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00" w:right="551"/>
        <w:spacing w:after="0" w:line="272" w:lineRule="auto"/>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467995</wp:posOffset>
            </wp:positionH>
            <wp:positionV relativeFrom="page">
              <wp:posOffset>269240</wp:posOffset>
            </wp:positionV>
            <wp:extent cx="943610" cy="655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43610" cy="655320"/>
                    </a:xfrm>
                    <a:prstGeom prst="rect">
                      <a:avLst/>
                    </a:prstGeom>
                    <a:noFill/>
                  </pic:spPr>
                </pic:pic>
              </a:graphicData>
            </a:graphic>
          </wp:anchor>
        </w:drawing>
        <w:t>Northern Technologies International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wp:posOffset>
            </wp:positionH>
            <wp:positionV relativeFrom="paragraph">
              <wp:posOffset>873760</wp:posOffset>
            </wp:positionV>
            <wp:extent cx="7533640" cy="8192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33640" cy="8192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right="411"/>
        <w:spacing w:after="0" w:line="291" w:lineRule="auto"/>
        <w:rPr>
          <w:sz w:val="20"/>
          <w:szCs w:val="20"/>
          <w:color w:val="auto"/>
        </w:rPr>
      </w:pPr>
      <w:r>
        <w:rPr>
          <w:rFonts w:ascii="Arial" w:cs="Arial" w:eastAsia="Arial" w:hAnsi="Arial"/>
          <w:sz w:val="81"/>
          <w:szCs w:val="81"/>
          <w:b w:val="1"/>
          <w:bCs w:val="1"/>
          <w:color w:val="auto"/>
        </w:rPr>
        <w:t>Fiscal 2025 Annual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9" w:right="140"/>
        <w:spacing w:after="0" w:line="266" w:lineRule="auto"/>
        <w:rPr>
          <w:sz w:val="20"/>
          <w:szCs w:val="20"/>
          <w:color w:val="auto"/>
        </w:rPr>
      </w:pPr>
      <w:r>
        <w:rPr>
          <w:rFonts w:ascii="Arial" w:cs="Arial" w:eastAsia="Arial" w:hAnsi="Arial"/>
          <w:sz w:val="29"/>
          <w:szCs w:val="29"/>
          <w:b w:val="1"/>
          <w:bCs w:val="1"/>
          <w:color w:val="auto"/>
        </w:rPr>
        <w:t>Northern Technologies International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1765935</wp:posOffset>
            </wp:positionH>
            <wp:positionV relativeFrom="paragraph">
              <wp:posOffset>-6878955</wp:posOffset>
            </wp:positionV>
            <wp:extent cx="96520" cy="96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520" cy="9652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-6878955</wp:posOffset>
            </wp:positionV>
            <wp:extent cx="9652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520" cy="96520"/>
                    </a:xfrm>
                    <a:prstGeom prst="rect">
                      <a:avLst/>
                    </a:prstGeom>
                    <a:noFill/>
                  </pic:spPr>
                </pic:pic>
              </a:graphicData>
            </a:graphic>
          </wp:anchor>
        </w:drawing>
        <w:drawing>
          <wp:anchor simplePos="0" relativeHeight="251657728" behindDoc="1" locked="0" layoutInCell="0" allowOverlap="1">
            <wp:simplePos x="0" y="0"/>
            <wp:positionH relativeFrom="column">
              <wp:posOffset>1765935</wp:posOffset>
            </wp:positionH>
            <wp:positionV relativeFrom="paragraph">
              <wp:posOffset>-6673215</wp:posOffset>
            </wp:positionV>
            <wp:extent cx="96520" cy="96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520" cy="9652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-6673215</wp:posOffset>
            </wp:positionV>
            <wp:extent cx="9652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520" cy="96520"/>
                    </a:xfrm>
                    <a:prstGeom prst="rect">
                      <a:avLst/>
                    </a:prstGeom>
                    <a:noFill/>
                  </pic:spPr>
                </pic:pic>
              </a:graphicData>
            </a:graphic>
          </wp:anchor>
        </w:drawing>
        <w:drawing>
          <wp:anchor simplePos="0" relativeHeight="251657728" behindDoc="1" locked="0" layoutInCell="0" allowOverlap="1">
            <wp:simplePos x="0" y="0"/>
            <wp:positionH relativeFrom="column">
              <wp:posOffset>1765935</wp:posOffset>
            </wp:positionH>
            <wp:positionV relativeFrom="paragraph">
              <wp:posOffset>-6466840</wp:posOffset>
            </wp:positionV>
            <wp:extent cx="96520" cy="96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520" cy="9652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-6466840</wp:posOffset>
            </wp:positionV>
            <wp:extent cx="96520" cy="96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520" cy="96520"/>
                    </a:xfrm>
                    <a:prstGeom prst="rect">
                      <a:avLst/>
                    </a:prstGeom>
                    <a:noFill/>
                  </pic:spPr>
                </pic:pic>
              </a:graphicData>
            </a:graphic>
          </wp:anchor>
        </w:drawing>
      </w:r>
    </w:p>
    <w:p>
      <w:pPr>
        <w:ind w:left="369" w:right="100" w:hanging="369"/>
        <w:spacing w:after="0" w:line="248" w:lineRule="auto"/>
        <w:tabs>
          <w:tab w:leader="none" w:pos="369" w:val="left"/>
        </w:tabs>
        <w:numPr>
          <w:ilvl w:val="0"/>
          <w:numId w:val="1"/>
        </w:numPr>
        <w:rPr>
          <w:rFonts w:ascii="Arial" w:cs="Arial" w:eastAsia="Arial" w:hAnsi="Arial"/>
          <w:sz w:val="33"/>
          <w:szCs w:val="33"/>
          <w:color w:val="auto"/>
        </w:rPr>
      </w:pPr>
      <w:r>
        <w:rPr>
          <w:rFonts w:ascii="Arial" w:cs="Arial" w:eastAsia="Arial" w:hAnsi="Arial"/>
          <w:sz w:val="33"/>
          <w:szCs w:val="33"/>
          <w:color w:val="auto"/>
        </w:rPr>
        <w:t>Notice of 2026 Annual Meeting</w:t>
      </w:r>
    </w:p>
    <w:p>
      <w:pPr>
        <w:spacing w:after="0" w:line="1" w:lineRule="exact"/>
        <w:rPr>
          <w:rFonts w:ascii="Arial" w:cs="Arial" w:eastAsia="Arial" w:hAnsi="Arial"/>
          <w:sz w:val="33"/>
          <w:szCs w:val="33"/>
          <w:color w:val="auto"/>
        </w:rPr>
      </w:pPr>
    </w:p>
    <w:p>
      <w:pPr>
        <w:ind w:left="369" w:hanging="369"/>
        <w:spacing w:after="0"/>
        <w:tabs>
          <w:tab w:leader="none" w:pos="369" w:val="left"/>
        </w:tabs>
        <w:numPr>
          <w:ilvl w:val="0"/>
          <w:numId w:val="1"/>
        </w:numPr>
        <w:rPr>
          <w:rFonts w:ascii="Arial" w:cs="Arial" w:eastAsia="Arial" w:hAnsi="Arial"/>
          <w:sz w:val="33"/>
          <w:szCs w:val="33"/>
          <w:color w:val="auto"/>
        </w:rPr>
      </w:pPr>
      <w:r>
        <w:rPr>
          <w:rFonts w:ascii="Arial" w:cs="Arial" w:eastAsia="Arial" w:hAnsi="Arial"/>
          <w:sz w:val="33"/>
          <w:szCs w:val="33"/>
          <w:color w:val="auto"/>
        </w:rPr>
        <w:t>Proxy Statement</w:t>
      </w:r>
    </w:p>
    <w:p>
      <w:pPr>
        <w:spacing w:after="0" w:line="13" w:lineRule="exact"/>
        <w:rPr>
          <w:rFonts w:ascii="Arial" w:cs="Arial" w:eastAsia="Arial" w:hAnsi="Arial"/>
          <w:sz w:val="33"/>
          <w:szCs w:val="33"/>
          <w:color w:val="auto"/>
        </w:rPr>
      </w:pPr>
    </w:p>
    <w:p>
      <w:pPr>
        <w:jc w:val="both"/>
        <w:ind w:left="369" w:hanging="369"/>
        <w:spacing w:after="0" w:line="287" w:lineRule="auto"/>
        <w:tabs>
          <w:tab w:leader="none" w:pos="369" w:val="left"/>
        </w:tabs>
        <w:numPr>
          <w:ilvl w:val="0"/>
          <w:numId w:val="1"/>
        </w:numPr>
        <w:rPr>
          <w:rFonts w:ascii="Arial" w:cs="Arial" w:eastAsia="Arial" w:hAnsi="Arial"/>
          <w:sz w:val="31"/>
          <w:szCs w:val="31"/>
          <w:color w:val="auto"/>
        </w:rPr>
      </w:pPr>
      <w:r>
        <w:rPr>
          <w:rFonts w:ascii="Arial" w:cs="Arial" w:eastAsia="Arial" w:hAnsi="Arial"/>
          <w:sz w:val="31"/>
          <w:szCs w:val="31"/>
          <w:color w:val="auto"/>
        </w:rPr>
        <w:t>Annual Report on Form 10-K - August 31, 2025</w:t>
      </w:r>
    </w:p>
    <w:p>
      <w:pPr>
        <w:sectPr>
          <w:pgSz w:w="12240" w:h="15840" w:orient="portrait"/>
          <w:cols w:equalWidth="0" w:num="2">
            <w:col w:w="6011" w:space="720"/>
            <w:col w:w="3689"/>
          </w:cols>
          <w:pgMar w:left="1140" w:top="623" w:right="680" w:bottom="1440" w:gutter="0" w:footer="0" w:header="0"/>
        </w:sectPr>
      </w:pPr>
    </w:p>
    <w:bookmarkStart w:id="1" w:name="page2"/>
    <w:bookmarkEnd w:id="1"/>
    <w:p>
      <w:pPr>
        <w:spacing w:after="0" w:line="22" w:lineRule="exact"/>
        <w:rPr>
          <w:sz w:val="20"/>
          <w:szCs w:val="20"/>
          <w:color w:val="auto"/>
        </w:rPr>
      </w:pPr>
    </w:p>
    <w:p>
      <w:pPr>
        <w:ind w:left="6"/>
        <w:spacing w:after="0"/>
        <w:tabs>
          <w:tab w:leader="none" w:pos="5605" w:val="left"/>
        </w:tabs>
        <w:rPr>
          <w:sz w:val="20"/>
          <w:szCs w:val="20"/>
          <w:color w:val="auto"/>
        </w:rPr>
      </w:pPr>
      <w:r>
        <w:rPr>
          <w:rFonts w:ascii="Calibri" w:cs="Calibri" w:eastAsia="Calibri" w:hAnsi="Calibri"/>
          <w:sz w:val="29"/>
          <w:szCs w:val="29"/>
          <w:b w:val="1"/>
          <w:bCs w:val="1"/>
          <w:color w:val="auto"/>
        </w:rPr>
        <w:t>KƵƌ DŝƐƐŝŽŶ͗</w:t>
      </w:r>
      <w:r>
        <w:rPr>
          <w:sz w:val="20"/>
          <w:szCs w:val="20"/>
          <w:color w:val="auto"/>
        </w:rPr>
        <w:tab/>
      </w:r>
      <w:r>
        <w:rPr>
          <w:rFonts w:ascii="Calibri" w:cs="Calibri" w:eastAsia="Calibri" w:hAnsi="Calibri"/>
          <w:sz w:val="29"/>
          <w:szCs w:val="29"/>
          <w:b w:val="1"/>
          <w:bCs w:val="1"/>
          <w:color w:val="auto"/>
        </w:rPr>
        <w:t>KƵƌ  ŶǀŝƌŽŶŵĞŶƚ͗</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5067935</wp:posOffset>
                </wp:positionH>
                <wp:positionV relativeFrom="paragraph">
                  <wp:posOffset>-37465</wp:posOffset>
                </wp:positionV>
                <wp:extent cx="193611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6115" cy="4763"/>
                        </a:xfrm>
                        <a:prstGeom prst="line">
                          <a:avLst/>
                        </a:prstGeom>
                        <a:solidFill>
                          <a:srgbClr val="FFFFFF"/>
                        </a:solidFill>
                        <a:ln w="12992">
                          <a:solidFill>
                            <a:srgbClr val="FD540D"/>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05pt,-2.9499pt" to="551.5pt,-2.9499pt" o:allowincell="f" strokecolor="#FD540D" strokeweight="1.023pt"/>
            </w:pict>
          </mc:Fallback>
        </mc:AlternateContent>
        <mc:AlternateContent>
          <mc:Choice Requires="wps">
            <w:drawing>
              <wp:anchor simplePos="0" relativeHeight="251657728" behindDoc="1" locked="0" layoutInCell="0" allowOverlap="1">
                <wp:simplePos x="0" y="0"/>
                <wp:positionH relativeFrom="column">
                  <wp:posOffset>1108710</wp:posOffset>
                </wp:positionH>
                <wp:positionV relativeFrom="paragraph">
                  <wp:posOffset>-36830</wp:posOffset>
                </wp:positionV>
                <wp:extent cx="231203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2035" cy="4763"/>
                        </a:xfrm>
                        <a:prstGeom prst="line">
                          <a:avLst/>
                        </a:prstGeom>
                        <a:solidFill>
                          <a:srgbClr val="FFFFFF"/>
                        </a:solidFill>
                        <a:ln w="12992">
                          <a:solidFill>
                            <a:srgbClr val="FD540D"/>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7.3pt,-2.8999pt" to="269.35pt,-2.8999pt" o:allowincell="f" strokecolor="#FD540D" strokeweight="1.023pt"/>
            </w:pict>
          </mc:Fallback>
        </mc:AlternateContent>
      </w:r>
    </w:p>
    <w:p>
      <w:pPr>
        <w:sectPr>
          <w:pgSz w:w="12240" w:h="15862" w:orient="portrait"/>
          <w:cols w:equalWidth="0" w:num="1">
            <w:col w:w="11106"/>
          </w:cols>
          <w:pgMar w:left="594" w:top="470" w:right="540" w:bottom="0" w:gutter="0" w:footer="0" w:header="0"/>
        </w:sectPr>
      </w:pPr>
    </w:p>
    <w:p>
      <w:pPr>
        <w:spacing w:after="0" w:line="158" w:lineRule="exact"/>
        <w:rPr>
          <w:sz w:val="20"/>
          <w:szCs w:val="20"/>
          <w:color w:val="auto"/>
        </w:rPr>
      </w:pPr>
    </w:p>
    <w:p>
      <w:pPr>
        <w:jc w:val="both"/>
        <w:ind w:left="6"/>
        <w:spacing w:after="0" w:line="262" w:lineRule="auto"/>
        <w:rPr>
          <w:sz w:val="20"/>
          <w:szCs w:val="20"/>
          <w:color w:val="auto"/>
        </w:rPr>
      </w:pPr>
      <w:r>
        <w:rPr>
          <w:rFonts w:ascii="Calibri" w:cs="Calibri" w:eastAsia="Calibri" w:hAnsi="Calibri"/>
          <w:sz w:val="19"/>
          <w:szCs w:val="19"/>
          <w:color w:val="auto"/>
        </w:rPr>
        <w:t>Our business model of commercializing clean and green technologies depends heavily on the talents, perseverance, and ŝŶƚĞŐƌŝƚǇ ŽĨ ďŽƚŚ ŽƵƌ ĞŵƉůŽǇĞĞƐ ĂŶĚ ŽƵƌ ǁŽƌůĚǁŝĚĞ ĨĞĚĞƌĂƟŽŶ ŽĨ  ũŽŝŶƚ  ǀĞŶƚƵƌĞ  ƉĂƌƚŶĞƌƐ͘  tĞ  ďĞůŝĞǀĞ  ƚŚĂƚ  ŽƵƌ  ƌĞƐƉŽŶƐŝďŝůŝƟĞƐ  ĂƌĞ  ĮƌƐƚ ƚŽ ŽƵƌ ǁŽƌůĚǁŝĚĞ ĐƵƐƚŽŵĞƌƐ͕ ƚŚĞŶ ƚŽ ŽƵƌ ƉĞŽƉůĞ͕ ŶĞǆƚ ƚŽ ŽƵƌ  ĐŽŵŵƵŶŝƟĞƐ͕ ĂŶĚ ĮŶĂůůǇ ƚŽ ŽƵƌ ƐŚĂƌĞŚŽůĚĞƌƐ͘ dŚĞƌĞĨŽƌĞ͕ ǁĞ ŵƵƐƚ͗</w:t>
      </w:r>
    </w:p>
    <w:p>
      <w:pPr>
        <w:spacing w:after="0" w:line="26" w:lineRule="exact"/>
        <w:rPr>
          <w:sz w:val="20"/>
          <w:szCs w:val="20"/>
          <w:color w:val="auto"/>
        </w:rPr>
      </w:pPr>
    </w:p>
    <w:p>
      <w:pPr>
        <w:ind w:left="126" w:hanging="126"/>
        <w:spacing w:after="0"/>
        <w:tabs>
          <w:tab w:leader="none" w:pos="126" w:val="left"/>
        </w:tabs>
        <w:numPr>
          <w:ilvl w:val="0"/>
          <w:numId w:val="2"/>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 xml:space="preserve"> ǆĞƌĐŝƐĞ ŚŽŶŽƌ͕ ŚƵŵĂŶŝƚǇ͕ ĂŶĚ ĚŝƐĐŝƉůŝŶĞĚ ŵĂŶĂŐĞŵĞŶƚ </w:t>
      </w:r>
    </w:p>
    <w:p>
      <w:pPr>
        <w:spacing w:after="0" w:line="21" w:lineRule="exact"/>
        <w:rPr>
          <w:rFonts w:ascii="Calibri" w:cs="Calibri" w:eastAsia="Calibri" w:hAnsi="Calibri"/>
          <w:sz w:val="20"/>
          <w:szCs w:val="20"/>
          <w:i w:val="1"/>
          <w:iCs w:val="1"/>
          <w:color w:val="auto"/>
        </w:rPr>
      </w:pPr>
    </w:p>
    <w:p>
      <w:pPr>
        <w:ind w:left="126"/>
        <w:spacing w:after="0"/>
        <w:rPr>
          <w:rFonts w:ascii="Calibri" w:cs="Calibri" w:eastAsia="Calibri" w:hAnsi="Calibri"/>
          <w:sz w:val="20"/>
          <w:szCs w:val="20"/>
          <w:i w:val="1"/>
          <w:iCs w:val="1"/>
          <w:color w:val="auto"/>
        </w:rPr>
      </w:pPr>
      <w:r>
        <w:rPr>
          <w:rFonts w:ascii="Calibri" w:cs="Calibri" w:eastAsia="Calibri" w:hAnsi="Calibri"/>
          <w:sz w:val="20"/>
          <w:szCs w:val="20"/>
          <w:i w:val="1"/>
          <w:iCs w:val="1"/>
          <w:color w:val="auto"/>
        </w:rPr>
        <w:t>ŝŶ ŽƵƌ ĂĐƟŽŶƐ͘</w:t>
      </w:r>
    </w:p>
    <w:p>
      <w:pPr>
        <w:spacing w:after="0" w:line="1" w:lineRule="exact"/>
        <w:rPr>
          <w:rFonts w:ascii="Calibri" w:cs="Calibri" w:eastAsia="Calibri" w:hAnsi="Calibri"/>
          <w:sz w:val="20"/>
          <w:szCs w:val="20"/>
          <w:i w:val="1"/>
          <w:iCs w:val="1"/>
          <w:color w:val="auto"/>
        </w:rPr>
      </w:pPr>
    </w:p>
    <w:p>
      <w:pPr>
        <w:ind w:left="126" w:hanging="126"/>
        <w:spacing w:after="0"/>
        <w:tabs>
          <w:tab w:leader="none" w:pos="126" w:val="left"/>
        </w:tabs>
        <w:numPr>
          <w:ilvl w:val="0"/>
          <w:numId w:val="2"/>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 xml:space="preserve">^ĞĞ Ă ƵŶŝĮĞĚ ǁŽƌůĚ ƚŚƌŽƵŐŚ ƚŚĞ ŐůŽďĂů ƉĞƌƐƉĞĐƟǀĞƐ </w:t>
      </w:r>
    </w:p>
    <w:p>
      <w:pPr>
        <w:spacing w:after="0" w:line="1" w:lineRule="exact"/>
        <w:rPr>
          <w:rFonts w:ascii="Calibri" w:cs="Calibri" w:eastAsia="Calibri" w:hAnsi="Calibri"/>
          <w:sz w:val="20"/>
          <w:szCs w:val="20"/>
          <w:i w:val="1"/>
          <w:iCs w:val="1"/>
          <w:color w:val="auto"/>
        </w:rPr>
      </w:pPr>
    </w:p>
    <w:p>
      <w:pPr>
        <w:ind w:left="126"/>
        <w:spacing w:after="0"/>
        <w:rPr>
          <w:rFonts w:ascii="Calibri" w:cs="Calibri" w:eastAsia="Calibri" w:hAnsi="Calibri"/>
          <w:sz w:val="20"/>
          <w:szCs w:val="20"/>
          <w:i w:val="1"/>
          <w:iCs w:val="1"/>
          <w:color w:val="auto"/>
        </w:rPr>
      </w:pPr>
      <w:r>
        <w:rPr>
          <w:rFonts w:ascii="Calibri" w:cs="Calibri" w:eastAsia="Calibri" w:hAnsi="Calibri"/>
          <w:sz w:val="20"/>
          <w:szCs w:val="20"/>
          <w:i w:val="1"/>
          <w:iCs w:val="1"/>
          <w:color w:val="auto"/>
        </w:rPr>
        <w:t>ŽĨ ŽƵƌ ƉĞŽƉůĞ͘</w:t>
      </w:r>
    </w:p>
    <w:p>
      <w:pPr>
        <w:spacing w:after="0" w:line="1" w:lineRule="exact"/>
        <w:rPr>
          <w:rFonts w:ascii="Calibri" w:cs="Calibri" w:eastAsia="Calibri" w:hAnsi="Calibri"/>
          <w:sz w:val="20"/>
          <w:szCs w:val="20"/>
          <w:i w:val="1"/>
          <w:iCs w:val="1"/>
          <w:color w:val="auto"/>
        </w:rPr>
      </w:pPr>
    </w:p>
    <w:p>
      <w:pPr>
        <w:ind w:left="126" w:hanging="126"/>
        <w:spacing w:after="0"/>
        <w:tabs>
          <w:tab w:leader="none" w:pos="126" w:val="left"/>
        </w:tabs>
        <w:numPr>
          <w:ilvl w:val="0"/>
          <w:numId w:val="2"/>
        </w:numPr>
        <w:rPr>
          <w:rFonts w:ascii="Calibri" w:cs="Calibri" w:eastAsia="Calibri" w:hAnsi="Calibri"/>
          <w:sz w:val="19"/>
          <w:szCs w:val="19"/>
          <w:i w:val="1"/>
          <w:iCs w:val="1"/>
          <w:color w:val="auto"/>
        </w:rPr>
      </w:pPr>
      <w:r>
        <w:rPr>
          <w:rFonts w:ascii="Calibri" w:cs="Calibri" w:eastAsia="Calibri" w:hAnsi="Calibri"/>
          <w:sz w:val="19"/>
          <w:szCs w:val="19"/>
          <w:i w:val="1"/>
          <w:iCs w:val="1"/>
          <w:color w:val="auto"/>
        </w:rPr>
        <w:t xml:space="preserve"> ŶƐƵƌĞ ƚŚĂƚ ƚŚĞ ĞŶǀŝƌŽŶŵĞŶƚ ďĞĐŽŵĞƐ Ă ďĞƩĞƌ ƉůĂĐĞ ďĞĐĂƵƐĞ </w:t>
      </w:r>
    </w:p>
    <w:p>
      <w:pPr>
        <w:spacing w:after="0" w:line="13" w:lineRule="exact"/>
        <w:rPr>
          <w:rFonts w:ascii="Calibri" w:cs="Calibri" w:eastAsia="Calibri" w:hAnsi="Calibri"/>
          <w:sz w:val="19"/>
          <w:szCs w:val="19"/>
          <w:i w:val="1"/>
          <w:iCs w:val="1"/>
          <w:color w:val="auto"/>
        </w:rPr>
      </w:pPr>
    </w:p>
    <w:p>
      <w:pPr>
        <w:ind w:left="126"/>
        <w:spacing w:after="0"/>
        <w:rPr>
          <w:rFonts w:ascii="Calibri" w:cs="Calibri" w:eastAsia="Calibri" w:hAnsi="Calibri"/>
          <w:sz w:val="19"/>
          <w:szCs w:val="19"/>
          <w:i w:val="1"/>
          <w:iCs w:val="1"/>
          <w:color w:val="auto"/>
        </w:rPr>
      </w:pPr>
      <w:r>
        <w:rPr>
          <w:rFonts w:ascii="Calibri" w:cs="Calibri" w:eastAsia="Calibri" w:hAnsi="Calibri"/>
          <w:sz w:val="20"/>
          <w:szCs w:val="20"/>
          <w:i w:val="1"/>
          <w:iCs w:val="1"/>
          <w:color w:val="auto"/>
        </w:rPr>
        <w:t>ŽĨ ǁŚĂƚ ǁĞ ĚŽ͘</w:t>
      </w:r>
    </w:p>
    <w:p>
      <w:pPr>
        <w:spacing w:after="0" w:line="1" w:lineRule="exact"/>
        <w:rPr>
          <w:rFonts w:ascii="Calibri" w:cs="Calibri" w:eastAsia="Calibri" w:hAnsi="Calibri"/>
          <w:sz w:val="19"/>
          <w:szCs w:val="19"/>
          <w:i w:val="1"/>
          <w:iCs w:val="1"/>
          <w:color w:val="auto"/>
        </w:rPr>
      </w:pPr>
    </w:p>
    <w:p>
      <w:pPr>
        <w:ind w:left="126" w:hanging="126"/>
        <w:spacing w:after="0"/>
        <w:tabs>
          <w:tab w:leader="none" w:pos="126" w:val="left"/>
        </w:tabs>
        <w:numPr>
          <w:ilvl w:val="0"/>
          <w:numId w:val="2"/>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/ŶǀĞƐƚ ĐŽŶƟŶƵŽƵƐůǇ ŝŶ ŽƵƌ ĨƵƚƵƌĞ͘</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both"/>
        <w:ind w:right="60"/>
        <w:spacing w:after="0" w:line="255" w:lineRule="auto"/>
        <w:rPr>
          <w:sz w:val="20"/>
          <w:szCs w:val="20"/>
          <w:color w:val="auto"/>
        </w:rPr>
      </w:pPr>
      <w:r>
        <w:rPr>
          <w:rFonts w:ascii="Calibri" w:cs="Calibri" w:eastAsia="Calibri" w:hAnsi="Calibri"/>
          <w:sz w:val="20"/>
          <w:szCs w:val="20"/>
          <w:color w:val="auto"/>
        </w:rPr>
        <w:t>NTIC uses advanced technologies to care for the world we live in, give back to society, and strive to set an example for environmental leadership and responsibility.</w:t>
      </w:r>
    </w:p>
    <w:p>
      <w:pPr>
        <w:spacing w:after="0" w:line="204" w:lineRule="exact"/>
        <w:rPr>
          <w:sz w:val="20"/>
          <w:szCs w:val="20"/>
          <w:color w:val="auto"/>
        </w:rPr>
      </w:pPr>
    </w:p>
    <w:p>
      <w:pPr>
        <w:jc w:val="both"/>
        <w:spacing w:after="0" w:line="255" w:lineRule="auto"/>
        <w:rPr>
          <w:sz w:val="20"/>
          <w:szCs w:val="20"/>
          <w:color w:val="auto"/>
        </w:rPr>
      </w:pPr>
      <w:r>
        <w:rPr>
          <w:rFonts w:ascii="Calibri" w:cs="Calibri" w:eastAsia="Calibri" w:hAnsi="Calibri"/>
          <w:sz w:val="20"/>
          <w:szCs w:val="20"/>
          <w:color w:val="auto"/>
        </w:rPr>
        <w:t xml:space="preserve"> ƚ  Ed/ ͕  ǁĞ  ďĞůŝĞǀĞ  ƚŚĂƚ  ƚŚĞƌĞ  ŝƐ  ŶŽ  ĂůƚĞƌŶĂƟǀĞ  ƚŽ  ĚŽŝŶŐ  environmentally sustainable business while working to grow the ďŽƩŽŵ ůŝŶĞ͘</w:t>
      </w:r>
    </w:p>
    <w:p>
      <w:pPr>
        <w:spacing w:after="0" w:line="204" w:lineRule="exact"/>
        <w:rPr>
          <w:sz w:val="20"/>
          <w:szCs w:val="20"/>
          <w:color w:val="auto"/>
        </w:rPr>
      </w:pPr>
    </w:p>
    <w:p>
      <w:pPr>
        <w:jc w:val="both"/>
        <w:spacing w:after="0" w:line="255" w:lineRule="auto"/>
        <w:rPr>
          <w:sz w:val="20"/>
          <w:szCs w:val="20"/>
          <w:color w:val="auto"/>
        </w:rPr>
      </w:pPr>
      <w:r>
        <w:rPr>
          <w:rFonts w:ascii="Calibri" w:cs="Calibri" w:eastAsia="Calibri" w:hAnsi="Calibri"/>
          <w:sz w:val="20"/>
          <w:szCs w:val="20"/>
          <w:color w:val="auto"/>
        </w:rPr>
        <w:t>We encourage our employees, joint venture partners, distributors, ĂĸůŝĂƚĞƐ͕  ĂŶĚ  ƐƵƉƉůŝĞƌƐ  ƚŽ  ĐĂƌƌǇ  ŽƵƚ  ŽƵƌ  ĞŶǀŝƌŽŶŵĞŶƚĂů  commitments at the individual level through:</w:t>
      </w:r>
    </w:p>
    <w:p>
      <w:pPr>
        <w:spacing w:after="0" w:line="204" w:lineRule="exact"/>
        <w:rPr>
          <w:sz w:val="20"/>
          <w:szCs w:val="20"/>
          <w:color w:val="auto"/>
        </w:rPr>
      </w:pPr>
    </w:p>
    <w:p>
      <w:pPr>
        <w:ind w:left="120" w:hanging="118"/>
        <w:spacing w:after="0"/>
        <w:tabs>
          <w:tab w:leader="none" w:pos="120" w:val="left"/>
        </w:tabs>
        <w:numPr>
          <w:ilvl w:val="0"/>
          <w:numId w:val="3"/>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 xml:space="preserve"> ŶǀŝƌŽŶŵĞŶƚĂůůǇ ƌĞƐƉŽŶƐŝďůĞ ďƵƐŝŶĞƐƐ ƉƌĂĐƟĐĞƐ͘</w:t>
      </w:r>
    </w:p>
    <w:p>
      <w:pPr>
        <w:spacing w:after="0" w:line="21" w:lineRule="exact"/>
        <w:rPr>
          <w:rFonts w:ascii="Calibri" w:cs="Calibri" w:eastAsia="Calibri" w:hAnsi="Calibri"/>
          <w:sz w:val="20"/>
          <w:szCs w:val="20"/>
          <w:i w:val="1"/>
          <w:iCs w:val="1"/>
          <w:color w:val="auto"/>
        </w:rPr>
      </w:pPr>
    </w:p>
    <w:p>
      <w:pPr>
        <w:ind w:left="120" w:hanging="118"/>
        <w:spacing w:after="0"/>
        <w:tabs>
          <w:tab w:leader="none" w:pos="120" w:val="left"/>
        </w:tabs>
        <w:numPr>
          <w:ilvl w:val="0"/>
          <w:numId w:val="3"/>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Advanced R&amp;D processes that promote the use of</w:t>
      </w:r>
    </w:p>
    <w:p>
      <w:pPr>
        <w:spacing w:after="0" w:line="1" w:lineRule="exact"/>
        <w:rPr>
          <w:rFonts w:ascii="Calibri" w:cs="Calibri" w:eastAsia="Calibri" w:hAnsi="Calibri"/>
          <w:sz w:val="20"/>
          <w:szCs w:val="20"/>
          <w:i w:val="1"/>
          <w:iCs w:val="1"/>
          <w:color w:val="auto"/>
        </w:rPr>
      </w:pPr>
    </w:p>
    <w:p>
      <w:pPr>
        <w:ind w:left="120"/>
        <w:spacing w:after="0"/>
        <w:rPr>
          <w:rFonts w:ascii="Calibri" w:cs="Calibri" w:eastAsia="Calibri" w:hAnsi="Calibri"/>
          <w:sz w:val="20"/>
          <w:szCs w:val="20"/>
          <w:i w:val="1"/>
          <w:iCs w:val="1"/>
          <w:color w:val="auto"/>
        </w:rPr>
      </w:pPr>
      <w:r>
        <w:rPr>
          <w:rFonts w:ascii="Calibri" w:cs="Calibri" w:eastAsia="Calibri" w:hAnsi="Calibri"/>
          <w:sz w:val="20"/>
          <w:szCs w:val="20"/>
          <w:i w:val="1"/>
          <w:iCs w:val="1"/>
          <w:color w:val="auto"/>
        </w:rPr>
        <w:t>ĞŶǀŝƌŽŶŵĞŶƚĂůůǇ ƌĞƐƉŽŶƐŝďůĞ ƌĂǁ ŵĂƚĞƌŝĂůƐ͘</w:t>
      </w:r>
    </w:p>
    <w:p>
      <w:pPr>
        <w:spacing w:after="0" w:line="1" w:lineRule="exact"/>
        <w:rPr>
          <w:rFonts w:ascii="Calibri" w:cs="Calibri" w:eastAsia="Calibri" w:hAnsi="Calibri"/>
          <w:sz w:val="20"/>
          <w:szCs w:val="20"/>
          <w:i w:val="1"/>
          <w:iCs w:val="1"/>
          <w:color w:val="auto"/>
        </w:rPr>
      </w:pPr>
    </w:p>
    <w:p>
      <w:pPr>
        <w:ind w:left="120" w:hanging="118"/>
        <w:spacing w:after="0"/>
        <w:tabs>
          <w:tab w:leader="none" w:pos="120" w:val="left"/>
        </w:tabs>
        <w:numPr>
          <w:ilvl w:val="0"/>
          <w:numId w:val="3"/>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 xml:space="preserve">^ĞůĞĐƟŶŐ ĐŽŵƉŽŶĞŶƚƐ ĂŶĚ ŵĂŶƵĨĂĐƚƵƌŝŶŐ ƉƌŽĐĞƐƐĞƐ ƚŚĂƚ ƌĞĚƵĐĞ </w:t>
      </w:r>
    </w:p>
    <w:p>
      <w:pPr>
        <w:spacing w:after="0" w:line="25" w:lineRule="exact"/>
        <w:rPr>
          <w:rFonts w:ascii="Calibri" w:cs="Calibri" w:eastAsia="Calibri" w:hAnsi="Calibri"/>
          <w:sz w:val="18"/>
          <w:szCs w:val="18"/>
          <w:i w:val="1"/>
          <w:iCs w:val="1"/>
          <w:color w:val="auto"/>
        </w:rPr>
      </w:pPr>
    </w:p>
    <w:p>
      <w:pPr>
        <w:ind w:left="120"/>
        <w:spacing w:after="0"/>
        <w:rPr>
          <w:rFonts w:ascii="Calibri" w:cs="Calibri" w:eastAsia="Calibri" w:hAnsi="Calibri"/>
          <w:sz w:val="18"/>
          <w:szCs w:val="18"/>
          <w:i w:val="1"/>
          <w:iCs w:val="1"/>
          <w:color w:val="auto"/>
        </w:rPr>
      </w:pPr>
      <w:r>
        <w:rPr>
          <w:rFonts w:ascii="Calibri" w:cs="Calibri" w:eastAsia="Calibri" w:hAnsi="Calibri"/>
          <w:sz w:val="20"/>
          <w:szCs w:val="20"/>
          <w:i w:val="1"/>
          <w:iCs w:val="1"/>
          <w:color w:val="auto"/>
        </w:rPr>
        <w:t>ǁĂƐƚĞ ĂŶĚ ŝŵƉĂĐƚ ŽŶ ƚŚĞ ĞŶǀŝƌŽŶŵĞŶƚ͘</w:t>
      </w:r>
    </w:p>
    <w:p>
      <w:pPr>
        <w:spacing w:after="0" w:line="1" w:lineRule="exact"/>
        <w:rPr>
          <w:rFonts w:ascii="Calibri" w:cs="Calibri" w:eastAsia="Calibri" w:hAnsi="Calibri"/>
          <w:sz w:val="18"/>
          <w:szCs w:val="18"/>
          <w:i w:val="1"/>
          <w:iCs w:val="1"/>
          <w:color w:val="auto"/>
        </w:rPr>
      </w:pPr>
    </w:p>
    <w:p>
      <w:pPr>
        <w:ind w:left="120" w:hanging="118"/>
        <w:spacing w:after="0"/>
        <w:tabs>
          <w:tab w:leader="none" w:pos="120" w:val="left"/>
        </w:tabs>
        <w:numPr>
          <w:ilvl w:val="0"/>
          <w:numId w:val="3"/>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 xml:space="preserve">ZĂŝƐŝŶŐ ĂǁĂƌĞŶĞƐƐ ĂďŽƵƚ ŽƵƌ ƚĞĐŚŶŽůŽŐŝĞƐ ĂŶĚ ŚŽǁ ƚŚĞǇ ĐĂŶ </w:t>
      </w:r>
    </w:p>
    <w:p>
      <w:pPr>
        <w:spacing w:after="0" w:line="1" w:lineRule="exact"/>
        <w:rPr>
          <w:rFonts w:ascii="Calibri" w:cs="Calibri" w:eastAsia="Calibri" w:hAnsi="Calibri"/>
          <w:sz w:val="20"/>
          <w:szCs w:val="20"/>
          <w:i w:val="1"/>
          <w:iCs w:val="1"/>
          <w:color w:val="auto"/>
        </w:rPr>
      </w:pPr>
    </w:p>
    <w:p>
      <w:pPr>
        <w:ind w:left="120"/>
        <w:spacing w:after="0"/>
        <w:rPr>
          <w:rFonts w:ascii="Calibri" w:cs="Calibri" w:eastAsia="Calibri" w:hAnsi="Calibri"/>
          <w:sz w:val="20"/>
          <w:szCs w:val="20"/>
          <w:i w:val="1"/>
          <w:iCs w:val="1"/>
          <w:color w:val="auto"/>
        </w:rPr>
      </w:pPr>
      <w:r>
        <w:rPr>
          <w:rFonts w:ascii="Calibri" w:cs="Calibri" w:eastAsia="Calibri" w:hAnsi="Calibri"/>
          <w:sz w:val="20"/>
          <w:szCs w:val="20"/>
          <w:i w:val="1"/>
          <w:iCs w:val="1"/>
          <w:color w:val="auto"/>
        </w:rPr>
        <w:t>ŚĞůƉ ƐŽůǀĞ ĐƵƌƌĞŶƚ ĞŶǀŝƌŽŶŵĞŶƚĂů ĐŚĂůůĞŶŐĞƐ͘</w:t>
      </w:r>
    </w:p>
    <w:p>
      <w:pPr>
        <w:spacing w:after="0" w:line="1" w:lineRule="exact"/>
        <w:rPr>
          <w:rFonts w:ascii="Calibri" w:cs="Calibri" w:eastAsia="Calibri" w:hAnsi="Calibri"/>
          <w:sz w:val="20"/>
          <w:szCs w:val="20"/>
          <w:i w:val="1"/>
          <w:iCs w:val="1"/>
          <w:color w:val="auto"/>
        </w:rPr>
      </w:pPr>
    </w:p>
    <w:p>
      <w:pPr>
        <w:ind w:left="120" w:right="180" w:hanging="118"/>
        <w:spacing w:after="0" w:line="254" w:lineRule="auto"/>
        <w:tabs>
          <w:tab w:leader="none" w:pos="120" w:val="left"/>
        </w:tabs>
        <w:numPr>
          <w:ilvl w:val="0"/>
          <w:numId w:val="3"/>
        </w:numPr>
        <w:rPr>
          <w:rFonts w:ascii="Calibri" w:cs="Calibri" w:eastAsia="Calibri" w:hAnsi="Calibri"/>
          <w:sz w:val="19"/>
          <w:szCs w:val="19"/>
          <w:i w:val="1"/>
          <w:iCs w:val="1"/>
          <w:color w:val="auto"/>
        </w:rPr>
      </w:pPr>
      <w:r>
        <w:rPr>
          <w:rFonts w:ascii="Calibri" w:cs="Calibri" w:eastAsia="Calibri" w:hAnsi="Calibri"/>
          <w:sz w:val="19"/>
          <w:szCs w:val="19"/>
          <w:i w:val="1"/>
          <w:iCs w:val="1"/>
          <w:color w:val="auto"/>
        </w:rPr>
        <w:t xml:space="preserve"> ĂĐŚ Ed/  ĞŵƉůŽǇĞĞ ŝƐ ĞǆƉĞĐƚĞĚ ƚŽ ƉƌĂĐƟĐĞ ĂŶ ŝŶĚŝǀŝĚƵĂů  commitment to sustainability and environmental responsibility</w:t>
      </w:r>
    </w:p>
    <w:p>
      <w:pPr>
        <w:ind w:left="120"/>
        <w:spacing w:after="0"/>
        <w:rPr>
          <w:rFonts w:ascii="Calibri" w:cs="Calibri" w:eastAsia="Calibri" w:hAnsi="Calibri"/>
          <w:sz w:val="19"/>
          <w:szCs w:val="19"/>
          <w:i w:val="1"/>
          <w:iCs w:val="1"/>
          <w:color w:val="auto"/>
        </w:rPr>
      </w:pPr>
      <w:r>
        <w:rPr>
          <w:rFonts w:ascii="Calibri" w:cs="Calibri" w:eastAsia="Calibri" w:hAnsi="Calibri"/>
          <w:sz w:val="20"/>
          <w:szCs w:val="20"/>
          <w:i w:val="1"/>
          <w:iCs w:val="1"/>
          <w:color w:val="auto"/>
        </w:rPr>
        <w:t>ŝŶ ƚŚĞ ǁŽƌŬƉůĂĐĞ͘</w:t>
      </w:r>
    </w:p>
    <w:p>
      <w:pPr>
        <w:spacing w:after="0" w:line="227" w:lineRule="exact"/>
        <w:rPr>
          <w:sz w:val="20"/>
          <w:szCs w:val="20"/>
          <w:color w:val="auto"/>
        </w:rPr>
      </w:pPr>
    </w:p>
    <w:p>
      <w:pPr>
        <w:jc w:val="both"/>
        <w:spacing w:after="0" w:line="248" w:lineRule="auto"/>
        <w:rPr>
          <w:sz w:val="20"/>
          <w:szCs w:val="20"/>
          <w:color w:val="auto"/>
        </w:rPr>
      </w:pPr>
      <w:r>
        <w:rPr>
          <w:rFonts w:ascii="Calibri" w:cs="Calibri" w:eastAsia="Calibri" w:hAnsi="Calibri"/>
          <w:sz w:val="20"/>
          <w:szCs w:val="20"/>
          <w:color w:val="auto"/>
        </w:rPr>
        <w:t>Through our commitments to lessen our environmental footprint and our advanced technologies, which allow others to ƉƌĂĐƟĐĞ  ƐƵƐƚĂŝŶĂďŝůŝƚǇ͕  ǁĞ  ŚĂǀĞ  ƚŚĞ  ƉŽǁĞƌ  ƚŽ  ďĞŶĞĮƚ  ŽƵƌƐĞůǀĞƐ  ĂƐ  ŝŶĚŝǀŝĚƵĂůƐ͕  ŽƵƌ  ĨĞĚĞƌĂƟŽŶ  ŽĨ  Ed/   ũŽŝŶƚ  ǀĞŶƚƵƌĞƐ͕  ĂŶĚ  ŽƵƌ  ĞŶǀŝƌŽŶŵĞŶƚ ĨŽƌ ŵĂŶǇ ŐĞŶĞƌĂƟŽŶƐ ƚŽ ĐŽŵĞ͘</w:t>
      </w:r>
    </w:p>
    <w:p>
      <w:pPr>
        <w:spacing w:after="0" w:line="200" w:lineRule="exact"/>
        <w:rPr>
          <w:sz w:val="20"/>
          <w:szCs w:val="20"/>
          <w:color w:val="auto"/>
        </w:rPr>
      </w:pPr>
    </w:p>
    <w:p>
      <w:pPr>
        <w:sectPr>
          <w:pgSz w:w="12240" w:h="15862" w:orient="portrait"/>
          <w:cols w:equalWidth="0" w:num="2">
            <w:col w:w="5426" w:space="200"/>
            <w:col w:w="5480"/>
          </w:cols>
          <w:pgMar w:left="594" w:top="470" w:right="540" w:bottom="0" w:gutter="0" w:footer="0" w:header="0"/>
          <w:type w:val="continuous"/>
        </w:sectPr>
      </w:pPr>
    </w:p>
    <w:p>
      <w:pPr>
        <w:spacing w:after="0" w:line="351" w:lineRule="exact"/>
        <w:rPr>
          <w:sz w:val="20"/>
          <w:szCs w:val="20"/>
          <w:color w:val="auto"/>
        </w:rPr>
      </w:pPr>
    </w:p>
    <w:p>
      <w:pPr>
        <w:ind w:left="6"/>
        <w:spacing w:after="0"/>
        <w:rPr>
          <w:sz w:val="20"/>
          <w:szCs w:val="20"/>
          <w:color w:val="auto"/>
        </w:rPr>
      </w:pPr>
      <w:r>
        <w:rPr>
          <w:rFonts w:ascii="Calibri" w:cs="Calibri" w:eastAsia="Calibri" w:hAnsi="Calibri"/>
          <w:sz w:val="29"/>
          <w:szCs w:val="29"/>
          <w:b w:val="1"/>
          <w:bCs w:val="1"/>
          <w:color w:val="auto"/>
        </w:rPr>
        <w:t>KƵƌ dĞĐŚŶŽůŽŐǇ WůĂƞŽƌŵƐ͗</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2338705</wp:posOffset>
                </wp:positionH>
                <wp:positionV relativeFrom="paragraph">
                  <wp:posOffset>-70485</wp:posOffset>
                </wp:positionV>
                <wp:extent cx="467868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78680" cy="4763"/>
                        </a:xfrm>
                        <a:prstGeom prst="line">
                          <a:avLst/>
                        </a:prstGeom>
                        <a:solidFill>
                          <a:srgbClr val="FFFFFF"/>
                        </a:solidFill>
                        <a:ln w="12992">
                          <a:solidFill>
                            <a:srgbClr val="FD540D"/>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15pt,-5.5499pt" to="552.55pt,-5.5499pt" o:allowincell="f" strokecolor="#FD540D" strokeweight="1.023pt"/>
            </w:pict>
          </mc:Fallback>
        </mc:AlternateContent>
      </w:r>
    </w:p>
    <w:p>
      <w:pPr>
        <w:spacing w:after="0" w:line="177" w:lineRule="exact"/>
        <w:rPr>
          <w:sz w:val="20"/>
          <w:szCs w:val="20"/>
          <w:color w:val="auto"/>
        </w:rPr>
      </w:pPr>
    </w:p>
    <w:p>
      <w:pPr>
        <w:jc w:val="both"/>
        <w:ind w:left="3686" w:right="60"/>
        <w:spacing w:after="0" w:line="232" w:lineRule="auto"/>
        <w:rPr>
          <w:sz w:val="20"/>
          <w:szCs w:val="20"/>
          <w:color w:val="auto"/>
        </w:rPr>
      </w:pPr>
      <w:r>
        <w:rPr>
          <w:rFonts w:ascii="Calibri" w:cs="Calibri" w:eastAsia="Calibri" w:hAnsi="Calibri"/>
          <w:sz w:val="20"/>
          <w:szCs w:val="20"/>
          <w:color w:val="auto"/>
        </w:rPr>
        <w:t>ZERUST</w:t>
      </w:r>
      <w:r>
        <w:rPr>
          <w:rFonts w:ascii="Calibri" w:cs="Calibri" w:eastAsia="Calibri" w:hAnsi="Calibri"/>
          <w:sz w:val="23"/>
          <w:szCs w:val="23"/>
          <w:color w:val="auto"/>
          <w:vertAlign w:val="superscript"/>
        </w:rPr>
        <w:t>®</w:t>
      </w:r>
      <w:r>
        <w:rPr>
          <w:rFonts w:ascii="Calibri" w:cs="Calibri" w:eastAsia="Calibri" w:hAnsi="Calibri"/>
          <w:sz w:val="20"/>
          <w:szCs w:val="20"/>
          <w:color w:val="auto"/>
        </w:rPr>
        <w:t>/EXCOR</w:t>
      </w:r>
      <w:r>
        <w:rPr>
          <w:rFonts w:ascii="Calibri" w:cs="Calibri" w:eastAsia="Calibri" w:hAnsi="Calibri"/>
          <w:sz w:val="23"/>
          <w:szCs w:val="23"/>
          <w:color w:val="auto"/>
          <w:vertAlign w:val="superscript"/>
        </w:rPr>
        <w:t>®</w:t>
      </w:r>
      <w:r>
        <w:rPr>
          <w:rFonts w:ascii="Calibri" w:cs="Calibri" w:eastAsia="Calibri" w:hAnsi="Calibri"/>
          <w:sz w:val="20"/>
          <w:szCs w:val="20"/>
          <w:color w:val="auto"/>
        </w:rPr>
        <w:t xml:space="preserve"> manufactures and markets corrosion-inhibiting technologies that provide customers with advanced solutions for corrosion across their production facilities and supply chains. The technology uses proprietary chemical systems to create invisible molecular corrosion shields on metal surfaces. The ZERUST</w:t>
      </w:r>
      <w:r>
        <w:rPr>
          <w:rFonts w:ascii="Calibri" w:cs="Calibri" w:eastAsia="Calibri" w:hAnsi="Calibri"/>
          <w:sz w:val="23"/>
          <w:szCs w:val="23"/>
          <w:color w:val="auto"/>
          <w:vertAlign w:val="superscript"/>
        </w:rPr>
        <w:t>®</w:t>
      </w:r>
      <w:r>
        <w:rPr>
          <w:rFonts w:ascii="Calibri" w:cs="Calibri" w:eastAsia="Calibri" w:hAnsi="Calibri"/>
          <w:sz w:val="20"/>
          <w:szCs w:val="20"/>
          <w:color w:val="auto"/>
        </w:rPr>
        <w:t>/EXCOR</w:t>
      </w:r>
      <w:r>
        <w:rPr>
          <w:rFonts w:ascii="Calibri" w:cs="Calibri" w:eastAsia="Calibri" w:hAnsi="Calibri"/>
          <w:sz w:val="23"/>
          <w:szCs w:val="23"/>
          <w:color w:val="auto"/>
          <w:vertAlign w:val="superscript"/>
        </w:rPr>
        <w:t>®</w:t>
      </w:r>
      <w:r>
        <w:rPr>
          <w:rFonts w:ascii="Calibri" w:cs="Calibri" w:eastAsia="Calibri" w:hAnsi="Calibri"/>
          <w:sz w:val="20"/>
          <w:szCs w:val="20"/>
          <w:color w:val="auto"/>
        </w:rPr>
        <w:t xml:space="preserve"> teams support clients globally in a broad range of industries, including automotive, electrical, electronic, medical, machine fabrications, steel production, military, and marine. ZERUST</w:t>
      </w:r>
      <w:r>
        <w:rPr>
          <w:rFonts w:ascii="Calibri" w:cs="Calibri" w:eastAsia="Calibri" w:hAnsi="Calibri"/>
          <w:sz w:val="23"/>
          <w:szCs w:val="23"/>
          <w:color w:val="auto"/>
          <w:vertAlign w:val="superscript"/>
        </w:rPr>
        <w:t>®</w:t>
      </w:r>
      <w:r>
        <w:rPr>
          <w:rFonts w:ascii="Calibri" w:cs="Calibri" w:eastAsia="Calibri" w:hAnsi="Calibri"/>
          <w:sz w:val="20"/>
          <w:szCs w:val="20"/>
          <w:color w:val="auto"/>
        </w:rPr>
        <w:t>/EXCOR</w:t>
      </w:r>
      <w:r>
        <w:rPr>
          <w:rFonts w:ascii="Calibri" w:cs="Calibri" w:eastAsia="Calibri" w:hAnsi="Calibri"/>
          <w:sz w:val="23"/>
          <w:szCs w:val="23"/>
          <w:color w:val="auto"/>
          <w:vertAlign w:val="superscript"/>
        </w:rPr>
        <w:t>®</w:t>
      </w:r>
      <w:r>
        <w:rPr>
          <w:rFonts w:ascii="Calibri" w:cs="Calibri" w:eastAsia="Calibri" w:hAnsi="Calibri"/>
          <w:sz w:val="20"/>
          <w:szCs w:val="20"/>
          <w:color w:val="auto"/>
        </w:rPr>
        <w:t xml:space="preserve"> products and services allow customers to achieve substantial cost savings as well as reduce the negative environmental impact caused by traditional corrosion prevention methods and the waste caused by the corrosion of metal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-1021080</wp:posOffset>
            </wp:positionV>
            <wp:extent cx="2179320" cy="408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2179320" cy="408305"/>
                    </a:xfrm>
                    <a:prstGeom prst="rect">
                      <a:avLst/>
                    </a:prstGeom>
                    <a:noFill/>
                  </pic:spPr>
                </pic:pic>
              </a:graphicData>
            </a:graphic>
          </wp:anchor>
        </w:drawing>
      </w:r>
    </w:p>
    <w:p>
      <w:pPr>
        <w:spacing w:after="0" w:line="37" w:lineRule="exact"/>
        <w:rPr>
          <w:sz w:val="20"/>
          <w:szCs w:val="20"/>
          <w:color w:val="auto"/>
        </w:rPr>
      </w:pPr>
    </w:p>
    <w:p>
      <w:pPr>
        <w:jc w:val="both"/>
        <w:ind w:left="3686" w:right="60"/>
        <w:spacing w:after="0" w:line="231" w:lineRule="auto"/>
        <w:rPr>
          <w:sz w:val="20"/>
          <w:szCs w:val="20"/>
          <w:color w:val="auto"/>
        </w:rPr>
      </w:pPr>
      <w:r>
        <w:rPr>
          <w:rFonts w:ascii="Calibri" w:cs="Calibri" w:eastAsia="Calibri" w:hAnsi="Calibri"/>
          <w:sz w:val="20"/>
          <w:szCs w:val="20"/>
          <w:color w:val="auto"/>
        </w:rPr>
        <w:t>Zerust</w:t>
      </w:r>
      <w:r>
        <w:rPr>
          <w:rFonts w:ascii="Calibri" w:cs="Calibri" w:eastAsia="Calibri" w:hAnsi="Calibri"/>
          <w:sz w:val="23"/>
          <w:szCs w:val="23"/>
          <w:color w:val="auto"/>
          <w:vertAlign w:val="superscript"/>
        </w:rPr>
        <w:t>®</w:t>
      </w:r>
      <w:r>
        <w:rPr>
          <w:rFonts w:ascii="Calibri" w:cs="Calibri" w:eastAsia="Calibri" w:hAnsi="Calibri"/>
          <w:sz w:val="20"/>
          <w:szCs w:val="20"/>
          <w:color w:val="auto"/>
        </w:rPr>
        <w:t xml:space="preserve"> Oil &amp; Gas provides advanced corrosion control technologies and services to the petrochemical industry. Zerust</w:t>
      </w:r>
      <w:r>
        <w:rPr>
          <w:rFonts w:ascii="Calibri" w:cs="Calibri" w:eastAsia="Calibri" w:hAnsi="Calibri"/>
          <w:sz w:val="23"/>
          <w:szCs w:val="23"/>
          <w:color w:val="auto"/>
          <w:vertAlign w:val="superscript"/>
        </w:rPr>
        <w:t>®</w:t>
      </w:r>
      <w:r>
        <w:rPr>
          <w:rFonts w:ascii="Calibri" w:cs="Calibri" w:eastAsia="Calibri" w:hAnsi="Calibri"/>
          <w:sz w:val="20"/>
          <w:szCs w:val="20"/>
          <w:color w:val="auto"/>
        </w:rPr>
        <w:t xml:space="preserve"> Oil &amp; Gas products and services utilize Zerust </w:t>
      </w:r>
      <w:r>
        <w:rPr>
          <w:rFonts w:ascii="Calibri" w:cs="Calibri" w:eastAsia="Calibri" w:hAnsi="Calibri"/>
          <w:sz w:val="23"/>
          <w:szCs w:val="23"/>
          <w:color w:val="auto"/>
          <w:vertAlign w:val="superscript"/>
        </w:rPr>
        <w:t>®</w:t>
      </w:r>
      <w:r>
        <w:rPr>
          <w:rFonts w:ascii="Calibri" w:cs="Calibri" w:eastAsia="Calibri" w:hAnsi="Calibri"/>
          <w:sz w:val="20"/>
          <w:szCs w:val="20"/>
          <w:color w:val="auto"/>
        </w:rPr>
        <w:t xml:space="preserve"> proprietary corrosion inhibitors in combination with advanced cathodic protection systems to dramatically enhance the corrosion protection of capital assets. These assets include above-ground storage tanks, various pieces of process equipment, buried and submerged pipelines, mothballed large capital equipment, pipeline flanges, valves, and welded joints. Zerust</w:t>
      </w:r>
      <w:r>
        <w:rPr>
          <w:rFonts w:ascii="Calibri" w:cs="Calibri" w:eastAsia="Calibri" w:hAnsi="Calibri"/>
          <w:sz w:val="23"/>
          <w:szCs w:val="23"/>
          <w:color w:val="auto"/>
          <w:vertAlign w:val="superscript"/>
        </w:rPr>
        <w:t>®</w:t>
      </w:r>
      <w:r>
        <w:rPr>
          <w:rFonts w:ascii="Calibri" w:cs="Calibri" w:eastAsia="Calibri" w:hAnsi="Calibri"/>
          <w:sz w:val="20"/>
          <w:szCs w:val="20"/>
          <w:color w:val="auto"/>
        </w:rPr>
        <w:t xml:space="preserve"> Oil &amp; Gas technologies are currently implemented in refineries, offshore oil rigs, tank farms, and retail gas stations in several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-974090</wp:posOffset>
            </wp:positionV>
            <wp:extent cx="1482725" cy="655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1482725" cy="655955"/>
                    </a:xfrm>
                    <a:prstGeom prst="rect">
                      <a:avLst/>
                    </a:prstGeom>
                    <a:noFill/>
                  </pic:spPr>
                </pic:pic>
              </a:graphicData>
            </a:graphic>
          </wp:anchor>
        </w:drawing>
      </w:r>
    </w:p>
    <w:p>
      <w:pPr>
        <w:spacing w:after="0" w:line="118" w:lineRule="exact"/>
        <w:rPr>
          <w:sz w:val="20"/>
          <w:szCs w:val="20"/>
          <w:color w:val="auto"/>
        </w:rPr>
      </w:pPr>
    </w:p>
    <w:p>
      <w:pPr>
        <w:jc w:val="both"/>
        <w:ind w:left="3686" w:right="60"/>
        <w:spacing w:after="0" w:line="229" w:lineRule="auto"/>
        <w:rPr>
          <w:sz w:val="20"/>
          <w:szCs w:val="20"/>
          <w:color w:val="auto"/>
        </w:rPr>
      </w:pPr>
      <w:r>
        <w:rPr>
          <w:rFonts w:ascii="Calibri" w:cs="Calibri" w:eastAsia="Calibri" w:hAnsi="Calibri"/>
          <w:sz w:val="20"/>
          <w:szCs w:val="20"/>
          <w:color w:val="auto"/>
        </w:rPr>
        <w:t>Natur-Tec</w:t>
      </w:r>
      <w:r>
        <w:rPr>
          <w:rFonts w:ascii="Calibri" w:cs="Calibri" w:eastAsia="Calibri" w:hAnsi="Calibri"/>
          <w:sz w:val="23"/>
          <w:szCs w:val="23"/>
          <w:color w:val="auto"/>
          <w:vertAlign w:val="superscript"/>
        </w:rPr>
        <w:t>®</w:t>
      </w:r>
      <w:r>
        <w:rPr>
          <w:rFonts w:ascii="Calibri" w:cs="Calibri" w:eastAsia="Calibri" w:hAnsi="Calibri"/>
          <w:sz w:val="20"/>
          <w:szCs w:val="20"/>
          <w:color w:val="auto"/>
        </w:rPr>
        <w:t xml:space="preserve"> engineers and manufactures biobased and biodegradable plastic resins intended to replace conventional, petroleum-based plastics. Natur-Tec</w:t>
      </w:r>
      <w:r>
        <w:rPr>
          <w:rFonts w:ascii="Calibri" w:cs="Calibri" w:eastAsia="Calibri" w:hAnsi="Calibri"/>
          <w:sz w:val="23"/>
          <w:szCs w:val="23"/>
          <w:color w:val="auto"/>
          <w:vertAlign w:val="superscript"/>
        </w:rPr>
        <w:t>®</w:t>
      </w:r>
      <w:r>
        <w:rPr>
          <w:rFonts w:ascii="Calibri" w:cs="Calibri" w:eastAsia="Calibri" w:hAnsi="Calibri"/>
          <w:sz w:val="20"/>
          <w:szCs w:val="20"/>
          <w:color w:val="auto"/>
        </w:rPr>
        <w:t xml:space="preserve"> has a broad bioplastics portfolio which spans flexible film, foam, rigid injection molded materials, and engineered plastics. These applications allow for the production of 100% certified compostable finished products, such as bags, food service products, and product packaging. Natur-Tec</w:t>
      </w:r>
      <w:r>
        <w:rPr>
          <w:rFonts w:ascii="Calibri" w:cs="Calibri" w:eastAsia="Calibri" w:hAnsi="Calibri"/>
          <w:sz w:val="23"/>
          <w:szCs w:val="23"/>
          <w:color w:val="auto"/>
          <w:vertAlign w:val="superscript"/>
        </w:rPr>
        <w:t>®</w:t>
      </w:r>
      <w:r>
        <w:rPr>
          <w:rFonts w:ascii="Calibri" w:cs="Calibri" w:eastAsia="Calibri" w:hAnsi="Calibri"/>
          <w:sz w:val="20"/>
          <w:szCs w:val="20"/>
          <w:color w:val="auto"/>
        </w:rPr>
        <w:t xml:space="preserve"> products are renewable, resource-based, and do not contain conventional plastic materials. Natur-Tec</w:t>
      </w:r>
      <w:r>
        <w:rPr>
          <w:rFonts w:ascii="Calibri" w:cs="Calibri" w:eastAsia="Calibri" w:hAnsi="Calibri"/>
          <w:sz w:val="23"/>
          <w:szCs w:val="23"/>
          <w:color w:val="auto"/>
          <w:vertAlign w:val="superscript"/>
        </w:rPr>
        <w:t>®</w:t>
      </w:r>
      <w:r>
        <w:rPr>
          <w:rFonts w:ascii="Calibri" w:cs="Calibri" w:eastAsia="Calibri" w:hAnsi="Calibri"/>
          <w:sz w:val="20"/>
          <w:szCs w:val="20"/>
          <w:color w:val="auto"/>
        </w:rPr>
        <w:t xml:space="preserve"> products provide sustainable alternatives to conventional plastics and enable the industry and consumers to move closer to a carbon-neutral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-849630</wp:posOffset>
            </wp:positionV>
            <wp:extent cx="1506220" cy="280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extLst>
                    </a:blip>
                    <a:srcRect/>
                    <a:stretch>
                      <a:fillRect/>
                    </a:stretch>
                  </pic:blipFill>
                  <pic:spPr bwMode="auto">
                    <a:xfrm>
                      <a:off x="0" y="0"/>
                      <a:ext cx="1506220" cy="280035"/>
                    </a:xfrm>
                    <a:prstGeom prst="rect">
                      <a:avLst/>
                    </a:prstGeom>
                    <a:noFill/>
                  </pic:spPr>
                </pic:pic>
              </a:graphicData>
            </a:graphic>
          </wp:anchor>
        </w:drawing>
      </w:r>
    </w:p>
    <w:p>
      <w:pPr>
        <w:sectPr>
          <w:pgSz w:w="12240" w:h="15862" w:orient="portrait"/>
          <w:cols w:equalWidth="0" w:num="1">
            <w:col w:w="11106"/>
          </w:cols>
          <w:pgMar w:left="594" w:top="470" w:right="540" w:bottom="0" w:gutter="0" w:footer="0" w:header="0"/>
          <w:type w:val="continuous"/>
        </w:sectPr>
      </w:pPr>
    </w:p>
    <w:bookmarkStart w:id="2" w:name="page3"/>
    <w:bookmarkEnd w:id="2"/>
    <w:p>
      <w:pPr>
        <w:spacing w:after="0"/>
        <w:rPr>
          <w:sz w:val="20"/>
          <w:szCs w:val="20"/>
          <w:color w:val="auto"/>
        </w:rPr>
      </w:pPr>
      <w:r>
        <w:rPr>
          <w:rFonts w:ascii="Arial" w:cs="Arial" w:eastAsia="Arial" w:hAnsi="Arial"/>
          <w:sz w:val="25"/>
          <w:szCs w:val="25"/>
          <w:b w:val="1"/>
          <w:bCs w:val="1"/>
          <w:color w:val="auto"/>
        </w:rPr>
        <w:t>dŽ ƚŚĞ ^ƚŽĐŬŚŽůĚĞƌƐ ŽĨ EŽƌƚŚĞƌŶ dĞĐŚŶŽůŽŐŝĞƐ /ŶƚĞƌŶĂƟŽŶĂů  ŽƌƉŽƌĂƟŽŶ ;Ed/ Ϳ͕</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5993765</wp:posOffset>
                </wp:positionH>
                <wp:positionV relativeFrom="paragraph">
                  <wp:posOffset>-26035</wp:posOffset>
                </wp:positionV>
                <wp:extent cx="101981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9810" cy="4763"/>
                        </a:xfrm>
                        <a:prstGeom prst="line">
                          <a:avLst/>
                        </a:prstGeom>
                        <a:solidFill>
                          <a:srgbClr val="FFFFFF"/>
                        </a:solidFill>
                        <a:ln w="12992">
                          <a:solidFill>
                            <a:srgbClr val="FD540D"/>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1.95pt,-2.0499pt" to="552.25pt,-2.0499pt" o:allowincell="f" strokecolor="#FD540D" strokeweight="1.023pt"/>
            </w:pict>
          </mc:Fallback>
        </mc:AlternateContent>
      </w:r>
    </w:p>
    <w:p>
      <w:pPr>
        <w:spacing w:after="0" w:line="329" w:lineRule="exact"/>
        <w:rPr>
          <w:sz w:val="20"/>
          <w:szCs w:val="20"/>
          <w:color w:val="auto"/>
        </w:rPr>
      </w:pPr>
    </w:p>
    <w:p>
      <w:pPr>
        <w:jc w:val="both"/>
        <w:spacing w:after="0" w:line="275" w:lineRule="auto"/>
        <w:rPr>
          <w:sz w:val="20"/>
          <w:szCs w:val="20"/>
          <w:color w:val="auto"/>
        </w:rPr>
      </w:pPr>
      <w:r>
        <w:rPr>
          <w:rFonts w:ascii="Arial" w:cs="Arial" w:eastAsia="Arial" w:hAnsi="Arial"/>
          <w:sz w:val="23"/>
          <w:szCs w:val="23"/>
          <w:color w:val="auto"/>
        </w:rPr>
        <w:t xml:space="preserve">&amp;ŝƐĐĂů ϮϬϮϱ ǁĂƐ Ă ǇĞĂƌ ƚŚĂƚ ƚĞƐƚĞĚ ĞǀĞŶ ƚŚĞ ŵŽƐƚ ƌĞƐŝůŝĞŶƚ ŐůŽďĂů ŵĂŶƵĨĂĐƚƵƌĞƌƐ͘ KŶŐŽŝŶŐ ĚŝƐůŽĐĂƟŽŶƐ ĨƌŽŵ ƚŚĞ  ZƵƐƐŝĂͬhŬƌĂŝŶĞ ǁĂƌ͕ ƐŚŝŌŝŶŐ h͘^ͬ͘ ŚŝŶĂ ƚƌĂĚĞ ĚǇŶĂŵŝĐƐ͕ ĂŶĚ ĂŶ ĞǀŽůǀŝŶŐ ƚĂƌŝī ĂŶĚ ŝŶĚƵƐƚƌŝĂů ƉŽůŝĐǇ ĨƌĂŵĞǁŽƌŬ  </w:t>
      </w:r>
      <w:r>
        <w:rPr>
          <w:rFonts w:ascii="Calibri" w:cs="Calibri" w:eastAsia="Calibri" w:hAnsi="Calibri"/>
          <w:sz w:val="23"/>
          <w:szCs w:val="23"/>
          <w:color w:val="auto"/>
        </w:rPr>
        <w:t>disrupted supply chains. Against this backdrop, NTIC remained what it has always been, nimble, customer-focused, and willing to invest through cycles.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dŚƌŽƵŐŚŽƵƚ ƚŚĞ ǇĞĂƌ͕ ǁĞ ĂĚǀĂŶĐĞĚ ŽƵƌ ĐŽƌĞ   Zh^dΠ ĐŽƌƌŽƐŝŽŶ ƉƌŽƚĞĐƟŽŶ ďƵƐŝŶĞƐƐ͕ ƐƵƉƉŽƌƚĞĚ ŽƵƌ ŐůŽďĂů ũŽŝŶƚ </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ǀĞŶƚƵƌĞ ƉĂƌƚŶĞƌƐ͕ ĂŶĚ ĨƵŶĚĞĚ ŐƌŽǁƚŚ ŝŶŝƟĂƟǀĞƐ ĂĐƌŽƐƐ ŽƵƌ   Zh^dΠ Žŝů ĂŶĚ ŐĂƐ ĂŶĚ EĂƚƵƌͲdĞĐΠ ƉůĂƞŽƌŵƐ͕ Ăůů </w:t>
      </w:r>
    </w:p>
    <w:p>
      <w:pPr>
        <w:spacing w:after="0" w:line="76" w:lineRule="exact"/>
        <w:rPr>
          <w:sz w:val="20"/>
          <w:szCs w:val="20"/>
          <w:color w:val="auto"/>
        </w:rPr>
      </w:pPr>
    </w:p>
    <w:p>
      <w:pPr>
        <w:jc w:val="both"/>
        <w:spacing w:after="0" w:line="309" w:lineRule="auto"/>
        <w:rPr>
          <w:sz w:val="20"/>
          <w:szCs w:val="20"/>
          <w:color w:val="auto"/>
        </w:rPr>
      </w:pPr>
      <w:r>
        <w:rPr>
          <w:rFonts w:ascii="Arial" w:cs="Arial" w:eastAsia="Arial" w:hAnsi="Arial"/>
          <w:sz w:val="21"/>
          <w:szCs w:val="21"/>
          <w:color w:val="auto"/>
        </w:rPr>
        <w:t xml:space="preserve">ǁŚŝůĞ ĞǆĞĐƵƟŶŐ ĂĐƟŽŶƐ ĚĞƐŝŐŶĞĚ ƚŽ ĞŶŚĂŶĐĞ ŽƵƌ ŽƉĞƌĂƟŶŐ ĞĸĐŝĞŶĐǇ ĂŶĚ ƉƌŽĮƚĂďŝůŝƚǇ͘ tĞ ŵĞƚ ĐŚĂůůĞŶŐĞƐ ŚĞĂĚͲ ŽŶ͕ ƉƌŽƚĞĐƚĞĚ ŽƵƌ ƐƚƌĂƚĞŐŝĐ ƉŽƐŝƟŽŶƐ͕ ĂŶĚ ƉŽƐŝƟŽŶĞĚ Ed/  ƚŽ ďĞŐŝŶ ĐŽŶǀĞƌƟŶŐ ƌĞĐĞŶƚ ŝŶǀĞƐƚŵĞŶƚƐ ŝŶƚŽ ŐƌŽǁƚŚ  </w:t>
      </w:r>
      <w:r>
        <w:rPr>
          <w:rFonts w:ascii="Calibri" w:cs="Calibri" w:eastAsia="Calibri" w:hAnsi="Calibri"/>
          <w:sz w:val="21"/>
          <w:szCs w:val="21"/>
          <w:color w:val="auto"/>
        </w:rPr>
        <w:t>and margin expansion in the year ahead.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^ĂůĞƐ ĚƵƌŝŶŐ ĮƐĐĂů ϮϬϮϱ ǁĞƌĞ ŝŵƉĂĐƚĞĚ ďǇ ŵĂƌŬĞƚ ĐŽŶĚŝƟŽŶƐ ĂŶĚ ƚŚĞ ƐŚŝŌŝŶŐ ƟŵŝŶŐ ŽĨ ĐĞƌƚĂŝŶ   Zh^dΠ Žŝů ĂŶĚ </w:t>
      </w:r>
    </w:p>
    <w:p>
      <w:pPr>
        <w:spacing w:after="0" w:line="119" w:lineRule="exact"/>
        <w:rPr>
          <w:sz w:val="20"/>
          <w:szCs w:val="20"/>
          <w:color w:val="auto"/>
        </w:rPr>
      </w:pPr>
    </w:p>
    <w:p>
      <w:pPr>
        <w:jc w:val="both"/>
        <w:spacing w:after="0" w:line="301" w:lineRule="auto"/>
        <w:rPr>
          <w:sz w:val="20"/>
          <w:szCs w:val="20"/>
          <w:color w:val="auto"/>
        </w:rPr>
      </w:pPr>
      <w:r>
        <w:rPr>
          <w:rFonts w:ascii="Arial" w:cs="Arial" w:eastAsia="Arial" w:hAnsi="Arial"/>
          <w:sz w:val="21"/>
          <w:szCs w:val="21"/>
          <w:color w:val="auto"/>
        </w:rPr>
        <w:t xml:space="preserve">ŐĂƐ ĂŶĚ EĂƚƵƌͲdĞĐΠ ŽƌĚĞƌƐ͘ EĞǀĞƌƚŚĞůĞƐƐ͕ ǁĞ ĐŽŶƟŶƵĞĚ ƚŽ ƐƚƌĞŶŐƚŚĞŶ ŽƵƌ ĨŽƵŶĚĂƟŽŶ ĂŶĚ ŝŶǀĞƐƚ ŝŶ ďƵƐŝŶĞƐƐ  ĚĞǀĞůŽƉŵĞŶƚ ŝŶŝƟĂƟǀĞƐ ƚŚĂƚ ǁĞ ďĞůŝĞǀĞ ǁŝůů ƉŽƐŝƟŽŶ Ed/  ĨŽƌ ƌĞŶĞǁĞĚ ŐƌŽǁƚŚ ŝŶ ĮƐĐĂů ϮϬϮϲ ĂŶĚ ďĞǇŽŶĚ͘ dŚŝƐ  ŝŶĐůƵĚĞĚ  ůĞǀĞƌĂŐŝŶŐ  ŽƵƌ  ĞǆĐĞƉƟŽŶĂů  ƚĞĐŚŶŝĐĂů  ĞǆƉĞƌƟƐĞ  ƚŽ  ĚĞǀĞůŽƉ  ŶĞǁ  EĂƚƵƌͲdĞĐΠ  ƚĞĐŚŶŽůŽŐŝĞƐ͕  ƉƵƌƐƵŝŶŐ  ĞŵĞƌŐŝŶŐ ŽƉƉŽƌƚƵŶŝƟĞƐ ŝŶ ƚŚĞ ^ŽƵƚŚ  ŵĞƌŝĐĂŶ ŽīƐŚŽƌĞ Žŝů ĂŶĚ ŐĂƐ ŵĂƌŬĞƚ͕ ĂŶĚ ĞǆƉĂŶĚŝŶŐ   Zh^dΠ ŝŶĚƵƐƚƌŝĂů  </w:t>
      </w:r>
      <w:r>
        <w:rPr>
          <w:rFonts w:ascii="Calibri" w:cs="Calibri" w:eastAsia="Calibri" w:hAnsi="Calibri"/>
          <w:sz w:val="21"/>
          <w:szCs w:val="21"/>
          <w:color w:val="auto"/>
        </w:rPr>
        <w:t>sales across our global footprint.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/Ŷ EŽǀĞŵďĞƌ ϮϬϮϱ͕ ǁĞ ĂŶŶŽƵŶĐĞĚ Ă ŵŝůĞƐƚŽŶĞ ŵƵůƟͲǇĞĂƌ ĐŽŶƚƌĂĐƚ ǁŝƚŚ Ă ŵĂũŽƌ ŝŶƚĞƌŶĂƟŽŶĂů  W  ĐŽŵƉĂŶǇ ŝŶ </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ƌĂǌŝů͕ ĂƐ ǀĂůŝĚĂƟŽŶ ŽĨ ŽƵƌ ĐŽƌƌŽƐŝŽŶ ƉƌŽƚĞĐƟŽŶ ĐĂƉĂďŝůŝƟĞƐ ĂŶĚ ŽƵƌ ƐƚƌĂƚĞŐǇ ƚŽ ĞǆƉĂŶĚ ŝŶƚŽ ŬĞǇ ŐůŽďĂů ĞŶĞƌŐǇ </w:t>
      </w:r>
    </w:p>
    <w:p>
      <w:pPr>
        <w:spacing w:after="0" w:line="99" w:lineRule="exact"/>
        <w:rPr>
          <w:sz w:val="20"/>
          <w:szCs w:val="20"/>
          <w:color w:val="auto"/>
        </w:rPr>
      </w:pPr>
    </w:p>
    <w:p>
      <w:pPr>
        <w:jc w:val="both"/>
        <w:ind w:right="60"/>
        <w:spacing w:after="0" w:line="241" w:lineRule="auto"/>
        <w:rPr>
          <w:sz w:val="20"/>
          <w:szCs w:val="20"/>
          <w:color w:val="auto"/>
        </w:rPr>
      </w:pPr>
      <w:r>
        <w:rPr>
          <w:rFonts w:ascii="Arial" w:cs="Arial" w:eastAsia="Arial" w:hAnsi="Arial"/>
          <w:sz w:val="25"/>
          <w:szCs w:val="25"/>
          <w:color w:val="auto"/>
        </w:rPr>
        <w:t xml:space="preserve">ŵĂƌŬĞƚƐ͘  Ɛ ǁĞ ĞŶƚĞƌ ĮƐĐĂů ϮϬϮϲ͕ ǁĞ ďĞůŝĞǀĞ ŽƵƌ ƉŝƉĞůŝŶĞ ŽĨ ŽƉƉŽƌƚƵŶŝƟĞƐ ĂĐƌŽƐƐ   Zh^dΠ Žŝů ĂŶĚ ŐĂƐ ĂŶĚ EĂƚƵƌͲ dĞĐΠ ŝƐ ƌŽďƵƐƚ ĂŶĚ ƚŚĂƚ Ed/  ŝƐ ǁĞůů ƉŽƐŝƟŽŶĞĚ ƚŽ ƚƌĂŶƐůĂƚĞ ŽƵƌ ŝŶǀĞƐƚŵĞŶƚƐ ŝŶƚŽ ŐƌŽǁƚŚ͕ ƉƌŽĮƚĂďŝůŝƚǇ͕ ĂŶĚ ůŽŶŐͲ </w:t>
      </w:r>
      <w:r>
        <w:rPr>
          <w:rFonts w:ascii="Calibri" w:cs="Calibri" w:eastAsia="Calibri" w:hAnsi="Calibri"/>
          <w:sz w:val="25"/>
          <w:szCs w:val="25"/>
          <w:color w:val="auto"/>
        </w:rPr>
        <w:t>term shareholder value.</w:t>
      </w:r>
    </w:p>
    <w:p>
      <w:pPr>
        <w:spacing w:after="0" w:line="263" w:lineRule="exact"/>
        <w:rPr>
          <w:sz w:val="20"/>
          <w:szCs w:val="20"/>
          <w:color w:val="auto"/>
        </w:rPr>
      </w:pPr>
    </w:p>
    <w:p>
      <w:pPr>
        <w:jc w:val="both"/>
        <w:spacing w:after="0" w:line="319" w:lineRule="auto"/>
        <w:rPr>
          <w:sz w:val="20"/>
          <w:szCs w:val="20"/>
          <w:color w:val="auto"/>
        </w:rPr>
      </w:pPr>
      <w:r>
        <w:rPr>
          <w:rFonts w:ascii="Arial" w:cs="Arial" w:eastAsia="Arial" w:hAnsi="Arial"/>
          <w:sz w:val="20"/>
          <w:szCs w:val="20"/>
          <w:color w:val="auto"/>
        </w:rPr>
        <w:t>dŽƚĂů ŶĞƚ ƐĂůĞƐ ĨŽƌ ĮƐĐĂů ϮϬϮϱ ďǇ ŽƵƌ ũŽŝŶƚ ǀĞŶƚƵƌĞƐ͕ ǁŚŝĐŚ ǁĞ ĚŽ ŶŽƚ ĐŽŶƐŽůŝĚĂƚĞ ŝŶ ŽƵƌ ĮŶĂŶĐŝĂů ƐƚĂƚĞŵĞŶƚƐ͕  ĚĞĐƌĞĂƐĞĚ ϰ͘ϵ</w:t>
      </w:r>
      <w:r>
        <w:rPr>
          <w:rFonts w:ascii="Calibri" w:cs="Calibri" w:eastAsia="Calibri" w:hAnsi="Calibri"/>
          <w:sz w:val="20"/>
          <w:szCs w:val="20"/>
          <w:color w:val="auto"/>
        </w:rPr>
        <w:t>й</w:t>
      </w:r>
      <w:r>
        <w:rPr>
          <w:rFonts w:ascii="Arial" w:cs="Arial" w:eastAsia="Arial" w:hAnsi="Arial"/>
          <w:sz w:val="20"/>
          <w:szCs w:val="20"/>
          <w:color w:val="auto"/>
        </w:rPr>
        <w:t xml:space="preserve"> ƚŽ Ψϵϭ͘Ϯ ŵŝůůŝŽŶ͕ ĐŽŵƉĂƌĞĚ ƚŽ ĮƐĐĂů ϮϬϮϰ͘ dŚŝƐ ƉƌŽĚƵĐĞĚ ũŽŝŶƚ ǀĞŶƚƵƌĞ ŽƉĞƌĂƟŶŐ ŝŶĐŽŵĞ ŽĨ Ψϴ͘ϱ  ŵŝůůŝŽŶ͕ ĐŽŵƉĂƌĞĚ ƚŽ Ψϵ͘ϱ ŵŝůůŝŽŶ ĨŽƌ ĮƐĐĂů ϮϬϮϰ͘  ŚĂůůĞŶŐŝŶŐ ĐŽŶĚŝƟŽŶƐ Ăƚ ŽƵƌ ũŽŝŶƚ ǀĞŶƚƵƌĞƐ ƉƌŝŵĂƌŝůǇ ƌĞŇĞĐƚ  ƚŚĞ ĐŽŶƟŶƵĞĚ ŝŵƉĂĐƚƐ ŽĨ ŚŝŐŚ ĞŶĞƌŐǇ ƉƌŝĐĞƐ ĂŶĚ ƌĞŐŝŽŶĂů ƉŽůŝƟĐĂů ƉƌĞƐƐƵƌĞƐ ŽŶ ƚŚĞ  ƵƌŽƉĞĂŶ ĞĐŽŶŽŵǇ͕ ĂƐ ǁĞůů  ĂƐ ƐŝŐŶŝĮĐĂŶƚůǇ ŝŶĐƌĞĂƐĞĚ ƵŶĐĞƌƚĂŝŶƚǇ ƌĞůĂƚĞĚ ƚŽ h͘^͘ ƚƌĂĚĞ ĂŶĚ ĞĐŽŶŽŵŝĐ ƉŽůŝĐŝĞƐ ĂŶĚ ƚŚĞ ƉŽƚĞŶƟĂů ŝŵƉĂĐƚƐ ƚŚŝƐ  </w:t>
      </w:r>
      <w:r>
        <w:rPr>
          <w:rFonts w:ascii="Calibri" w:cs="Calibri" w:eastAsia="Calibri" w:hAnsi="Calibri"/>
          <w:sz w:val="20"/>
          <w:szCs w:val="20"/>
          <w:color w:val="auto"/>
        </w:rPr>
        <w:t>will have on global supply chains.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tĞ ĐŽŶƟŶƵĞ ƚŽ ĐůŽƐĞůǇ ŵŽŶŝƚŽƌ ƚƌĞŶĚƐ ĂĐƌŽƐƐ ŽƵƌ  ƵƌŽƉĞĂŶ ŵĂƌŬĞƚƐ ĨŽƌ ƐŝŐŶƐ ŽĨ ƐƚĂďŝůŝǌĂƟŽŶ ĨŽůůŽǁŝŶŐ ǇĞĂƌƐ </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ŽĨ ƐƵďĚƵĞĚ ĚĞŵĂŶĚ͕ ĂƐ ŐŽǀĞƌŶŵĞŶƚƐ ďĞŐŝŶ ƚŽ ŝŵƉůĞŵĞŶƚ ƚĂƌŐĞƚĞĚ ĞĐŽŶŽŵŝĐ ƐƟŵƵůƵƐ ƉĂĐŬĂŐĞƐ͘ tĞ ĞǆƉĞĐƚ </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ƚŚĂƚ͕ ĂŶǇ ĞĐŽŶŽŵŝĐ ƌĞĐŽǀĞƌǇ ĨƌŽŵ ƚŚĞƐĞ ƐƟŵƵůƵƐ ƉĂĐŬĂŐĞƐ ǁŝůů ůĞĂĚ ƚŽ Ă ƉŽƐŝƟǀĞ ŝŵƉĂĐƚ ŽŶ ŽƵƌ ũŽŝŶƚ ǀĞŶƚƵƌĞ </w:t>
      </w:r>
    </w:p>
    <w:p>
      <w:pPr>
        <w:spacing w:after="0" w:line="76"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ŽƉĞƌĂƟŶŐ ŝŶĐŽŵĞ ŝŶ ĨƵƚƵƌĞ ƉĞƌŝŽĚƐ Ͳ ĞƐƉĞĐŝĂůůǇ ŝŶ 'ĞƌŵĂŶǇ͘ </w:t>
      </w:r>
    </w:p>
    <w:p>
      <w:pPr>
        <w:spacing w:after="0" w:line="27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EĞƚ ƐĂůĞƐ ďǇ ŽƵƌ ǁŚŽůůǇ ŽǁŶĞĚ Ed/   ŚŝŶĂ ƐƵďƐŝĚŝĂƌǇ ŝŶĐƌĞĂƐĞĚ ǇĞĂƌͲŽǀĞƌͲǇĞĂƌ ďǇ ϭϰ͘Ϭ</w:t>
      </w:r>
      <w:r>
        <w:rPr>
          <w:rFonts w:ascii="Calibri" w:cs="Calibri" w:eastAsia="Calibri" w:hAnsi="Calibri"/>
          <w:sz w:val="19"/>
          <w:szCs w:val="19"/>
          <w:color w:val="auto"/>
        </w:rPr>
        <w:t>й</w:t>
      </w:r>
      <w:r>
        <w:rPr>
          <w:rFonts w:ascii="Arial" w:cs="Arial" w:eastAsia="Arial" w:hAnsi="Arial"/>
          <w:sz w:val="19"/>
          <w:szCs w:val="19"/>
          <w:color w:val="auto"/>
        </w:rPr>
        <w:t xml:space="preserve"> ƚŽ Ψϭϲ͘Ϯ ŵŝůůŝŽŶ ĨŽƌ  ĮƐĐĂů ϮϬϮϱ ĂŶĚ ǁĂƐ ƚŚĞ ƐĞĐŽŶĚ ƐƚƌŽŶŐĞƐƚ ǇĞĂƌ ŽĨ ƐĂůĞƐ ǁĞ ŚĂǀĞ ĞǆƉĞƌŝĞŶĐĞĚ ŝŶ ƚŚŝƐ ŵĂƌŬĞƚ͘ dŚŝƐ ŝƐ ĂůƐŽ ƚŚĞ ƐĞĐŽŶĚ  ĐŽŶƐĞĐƵƟǀĞ ǇĞĂƌ ŽĨ ƐĂůĞƐ ŐƌŽǁƚŚ Ăƚ Ed/   ŚŝŶĂ͕ ĂƐ ĚĞŵĂŶĚ ĐŽŶƟŶƵĞƐ ƚŽ ŐƌŽǁ ŝŶ ƚŚŝƐ ŐĞŽŐƌĂƉŚǇ͘ &amp;ƵƌƚŚĞƌŵŽƌĞ͕  ŐŝǀĞŶ ƚŚĂƚ ƚŚĞ ŵĂũŽƌŝƚǇ ŽĨ Ed/   ŚŝŶĂ͛Ɛ ƐĂůĞƐ ĂƌĞ ĨŽƌ ĚŽŵĞƐƟĐ  ŚŝŶĞƐĞ ĐŽŶƐƵŵƉƟŽŶ͕ ǁĞ ďĞůŝĞǀĞ Ed/   ŚŝŶĂ͛Ɛ  ĞǆƉŽƐƵƌĞ ƚŽ h͘^͘ ƚĂƌŝīƐ ŝƐ ůŝŵŝƚĞĚ͘ tĞ ĞǆƉĞĐƚ ĚĞŵĂŶĚ ŝŶ  ŚŝŶĂ ǁŝůů ĐŽŶƟŶƵĞ ƚŽ ŝŵƉƌŽǀĞ ŝŶ ĮƐĐĂů ϮϬϮϲ͕ ŚĞůƉŝŶŐ ƚŽ  ƐƵƉƉŽƌƚ ĂŶƟĐŝƉĂƚĞĚ ŚŝŐŚĞƌ ŝŶĐƌĞŵĞŶƚĂů ƐĂůĞƐ ĂŶĚ ƉƌŽĮƚĂďŝůŝƚǇ ƚŚĞƌĞ͘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Ed/   ŚŝŶĂ͛Ɛ ƉĞƌĨŽƌŵĂŶĐĞ ŝƐ ĞŶĐŽƵƌĂŐŝŶŐ ĂŶĚ ƉƌŽǀŝĚĞƐ ƵƐ ǁŝƚŚ ŐƌŽǁŝŶŐ ĐŽŶĮĚĞŶĐĞ ƚŚĂƚ  ŚŝŶĂ ǁŝůů ůŝŬĞůǇ ďĞĐŽŵĞ </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Ă ƐŝŐŶŝĮĐĂŶƚ ŵĂƌŬĞƚ ĨŽƌ ŽƵƌ ŝŶĚƵƐƚƌŝĂů ĂŶĚ ďŝŽƉůĂƐƟĐ ƐĞŐŵĞŶƚƐ͘  Ɛ Ă ƌĞƐƵůƚ͕ ǁĞ ŝŶƚĞŶĚ ƚŽ ĐŽŶƟŶƵĞ ƚŽ ƚĂŬĞ ƐƚĞƉƐ ƚŽ </w:t>
      </w:r>
    </w:p>
    <w:p>
      <w:pPr>
        <w:spacing w:after="0" w:line="88"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ĞŶŚĂŶĐĞ ŽƵƌ ŽƉĞƌĂƟŽŶƐ ŝŶ ƚŚŝƐ ŐĞŽŐƌĂƉŚǇ͘ </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EĞƚ  ŝŶĐŽŵĞ  ĂƩƌŝďƵƚĂďůĞ  ƚŽ  Ed/   ĨŽƌ  ĮƐĐĂů  ϮϬϮϱ  ǁĂƐ  Ψϭϴ͕ϬϬϬ͕  Žƌ  ΨϬ͘ϬϬ  ƉĞƌ  ĚŝůƵƚĞĚ  ƐŚĂƌĞ͕  ĐŽŵƉĂƌĞĚ  ƚŽ  Ψϱ͘ϰ </w:t>
      </w:r>
    </w:p>
    <w:p>
      <w:pPr>
        <w:sectPr>
          <w:pgSz w:w="12240" w:h="15840" w:orient="portrait"/>
          <w:cols w:equalWidth="0" w:num="1">
            <w:col w:w="11100"/>
          </w:cols>
          <w:pgMar w:left="600" w:top="552" w:right="540" w:bottom="29" w:gutter="0" w:footer="0" w:header="0"/>
        </w:sectPr>
      </w:pPr>
    </w:p>
    <w:bookmarkStart w:id="3" w:name="page4"/>
    <w:bookmarkEnd w:id="3"/>
    <w:p>
      <w:pPr>
        <w:jc w:val="both"/>
        <w:spacing w:after="0" w:line="320" w:lineRule="auto"/>
        <w:rPr>
          <w:sz w:val="20"/>
          <w:szCs w:val="20"/>
          <w:color w:val="auto"/>
        </w:rPr>
      </w:pPr>
      <w:r>
        <w:rPr>
          <w:rFonts w:ascii="Arial" w:cs="Arial" w:eastAsia="Arial" w:hAnsi="Arial"/>
          <w:sz w:val="21"/>
          <w:szCs w:val="21"/>
          <w:color w:val="auto"/>
        </w:rPr>
        <w:t xml:space="preserve">ŵŝůůŝŽŶ͕  Žƌ  ΨϬ͘ϱϱ  ƉĞƌ  ĚŝůƵƚĞĚ  ƐŚĂƌĞ͕  ĨŽƌ  ĮƐĐĂů  ϮϬϮϰ͘  KƵƌ  ƌĞĐĞŶƚ  ŝŶǀĞƐƚŵĞŶƚƐ  ƚŽ  ƐƵƉƉŽƌƚ  ŐƌŽǁƚŚ͕  ůŽǁĞƌ  ũŽŝŶƚ  ǀĞŶƚƵƌĞ ŽƉĞƌĂƟŶŐ ŝŶĐŽŵĞ͕ Ă ůĞƐƐ ƉƌŽĮƚĂďůĞ ŵŝǆ ŽĨ ƌĞǀĞŶƵĞ͕ ĂŶĚ Ă ƐŝŐŶŝĮĐĂŶƚ ŝŶĐƌĞĂƐĞ ŝŶ ŽƵƌ ĞīĞĐƟǀĞ ƚĂǆ ƌĂƚĞ Ăůů  ŶĞŐĂƟǀĞůǇ ŝŵƉĂĐƚĞĚ ŽƵƌ ƉƌŽĮƚĂďŝůŝƚǇ ŝŶ ĮƐĐĂů ϮϬϮϱ͘ tĞ ĂůƐŽ ĞǆƉĞƌŝĞŶĐĞĚ ƐĞǀĞƌĂů ŽŶĞͲƟŵĞ ŝƚĞŵƐ ĚƵƌŝŶŐ ƚŚĞ ǇĞĂƌ  ƚŚĂƚ ŝŵƉĂĐƚĞĚ ŽƵƌ ĮŶĂŶĐŝĂů ƌĞƐƵůƚƐ͘ </w:t>
      </w:r>
    </w:p>
    <w:p>
      <w:pPr>
        <w:spacing w:after="0" w:line="186"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&amp;ŝƌƐƚ͕  ǁĞ  ŚĂĚ  Ă  Ψϭ͘ϭ  ŵŝůůŝŽŶ  ďĞŶĞĮƚ  ƚŽ  ŽƚŚĞƌ  ŝŶĐŽŵĞ͕  ĚƵĞ  ƚŽ  ƚŚĞ  ƌĞĐĞŝƉƚ  ŽĨ  Ă  ĐĂƐŚ  ĞŵƉůŽǇĞĞ  ƌĞƚĞŶƟŽŶ  ĐƌĞĚŝƚ  ƉĂǇŵĞŶƚ ŝŶ ĮƐĐĂů ϮϬϮϱ͘ ^ĞĐŽŶĚ͕ ǁĞ ƌĞĐŽŐŶŝǌĞĚ Ψϯϴϳ͕ϬϬϬ ŝŶ ŽƚŚĞƌ ĞǆƉĞŶƐĞ ĚƵƌŝŶŐ ĮƐĐĂů ϮϬϮϱ͕ ĂƐ Ed/ ͛Ɛ  ŚŝŶĞƐĞ  ƐƵďƐŝĚŝĂƌǇ ǁĂƐ ĂƐƐĞƐƐĞĚ ƉĞŶĂůƟĞƐ ĨƌŽŵ EŝŶŐďŽ  ƵƐƚŽŵƐ͕ Ă ĐƵƐƚŽŵƐ ĂƵƚŚŽƌŝƚǇ ŝŶ  ŚŝŶĂ͕ ĂƐ Ă ƌĞƐƵůƚ ŽĨ Ă ƚĞĐŚŶŝĐĂů  ĐůĂƐƐŝĮĐĂƟŽŶ ŵĂƩĞƌ͘ tĞ ŚĂǀĞ ƵƉĚĂƚĞĚ ŽƵƌ ĞǆƉŽƌƚ ĚŽĐƵŵĞŶƚƐ ĂŶĚ ŝŶƚĞƌŶĂů ƌĞǀŝĞǁ ƉƌŽĐĞĚƵƌĞƐ ĂŶĚ ďĞůŝĞǀĞ ƚŚĞ  ŝƐƐƵĞ ƚŽ ďĞ ĨƵůůǇ ƌĞƐŽůǀĞĚ͘ &amp;Žƌ ĮƐĐĂů ϮϬϮϱ͕ Ed/  ƌĞƉŽƌƚĞĚ Ă ŶŽŶͲ'  W ĂĚũƵƐƚĞĚ ŶĞƚ ůŽƐƐ ŽĨ ΨϭϮ͕ϬϬϬ͕ Žƌ ΨϬ͘ϬϬ ƉĞƌ  ƐŚĂƌĞ͕ ĐŽŵƉĂƌĞĚ ƚŽ ŶŽŶͲ'  W ŶĞƚ ŝŶĐŽŵĞ ŽĨ Ψϱ͘ϴ ŵŝůůŝŽŶ ĚŽůůĂƌƐ͕ Žƌ ΨϬ͘ϱϵ ƉĞƌ ĚŝůƵƚĞĚ ƐŚĂƌĞ͕ ĨŽƌ ĮƐĐĂů ϮϬϮϰ͘</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KǀĞƌĂůů͕ ǁĞ ĐŽŶƟŶƵĞ ƚŽ ŚĂǀĞ ƚŚĞ ĮŶĂŶĐŝĂů ƌĞƐŽƵƌĐĞƐ ƚŽ ŵĂŬĞ ƐƚƌĂƚĞŐŝĐ ŝŶǀĞƐƚŵĞŶƚƐ ŝŶ ŽƵƌ ŽƉĞƌĂƟŽŶƐ͕ ŝŵƉƌŽǀĞ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ĞĸĐŝĞŶĐŝĞƐ͕ ĂŶĚ ĂĐĐĞůĞƌĂƚĞ ƐĂůĞƐ ŐƌŽǁƚŚ ĂĐƌŽƐƐ ŽƵƌ ŐůŽďĂů ĨŽŽƚƉƌŝŶƚ͘ tĞ ĞŶĚĞĚ ĮƐĐĂů ϮϬϮϱ ǁŝƚŚ ΨϮϬ͘ϰ ŵŝůůŝŽŶ ŝŶ </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ǁŽƌŬŝŶŐ ĐĂƉŝƚĂů͕ ŝŶĐůƵĚŝŶŐ Ψϳ͘ϯ ŵŝůůŝŽŶ ŝŶ ĐĂƐŚ ĂŶĚ ĐĂƐŚ ĞƋƵŝǀĂůĞŶƚƐ ĂŶĚ ĂŶ ŽƵƚƐƚĂŶĚŝŶŐ ƌĞǀŽůǀŝŶŐ ůŝŶĞ ŽĨ ĐƌĞĚŝƚ </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ĂŶĚ ƚĞƌŵ ůŽĂŶ ďĂůĂŶĐĞ ŽĨ ΨϭϮ͘Ϯ ŵŝůůŝŽŶ͘ KŶ  ƵŐƵƐƚ ϯϭ͕ ϮϬϮϱ͕ ǁĞ ĂůƐŽ ŚĂĚ ΨϮϴ͘ϲ ŵŝůůŝŽŶ ŽĨ ŝŶǀĞƐƚŵĞŶƚƐ ŝŶ ũŽŝŶƚ </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ǀĞŶƚƵƌĞƐ͕ ŽĨ ǁŚŝĐŚ ŶĞĂƌůǇ Ψϭϰ͘ϴ ŵŝůůŝŽŶ ǁĂƐ ĐĂƐŚ͕ ǁŝƚŚ ƚŚĞ ƌĞŵĂŝŶŝŶŐ ďĂůĂŶĐĞ ŵŽƐƚůǇ ďĞŝŶŐ ǁŽƌŬŝŶŐ ĐĂƉŝƚĂů͘</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ƵƌŝŶŐ ĮƐĐĂů ϮϬϮϱ͕ Ed/  ĚĞĐůĂƌĞĚ ƚŽƚĂů ĐĂƐŚ ĚŝǀŝĚĞŶĚƐ ŽĨ ΨϬ͘ϭϲ ƉĞƌ ƐŚĂƌĞ͕ ĐŽŵƉĂƌĞĚ ƚŽ ΨϬ͘Ϯϴ ƉĞƌ ƐŚĂƌĞ ůĂƐƚ ĮƐĐĂů </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ǇĞĂƌ͘ dŚĞ ǇĞĂƌͲŽǀĞƌͲǇĞĂƌ ƌĞĚƵĐƟŽŶ ŝŶ ŽƵƌ ĂŶŶƵĂů ĚŝǀŝĚĞŶĚ ƌĞŇĞĐƚƐ ƚŚĞ ĐŚĂůůĞŶŐŝŶŐ ĞŶǀŝƌŽŶŵĞŶƚ ƚŚƌŽƵŐŚŽƵƚ ĮƐĐĂů </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ϮϬϮϱ ĂŶĚ ŽƵƌ ĐŽŶƟŶƵĞĚ ĨŽĐƵƐ ŽŶ ƉĂǇŝŶŐ ĚŽǁŶ ƚŚĞ ďĂůĂŶĐĞ ŽĨ ŽƵƌ ƌĞǀŽůǀŝŶŐ ůŝŶĞ ŽĨ ĐƌĞĚŝƚ ĂŶĚ ƚĞƌŵ ůŽĂŶ͘</w:t>
      </w:r>
    </w:p>
    <w:p>
      <w:pPr>
        <w:spacing w:after="0" w:line="32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 xml:space="preserve">  Zh^dΠ /ŶĚƵƐƚƌŝĂů  ŽƌƌŽƐŝŽŶ WƌĞǀĞŶƟŽŶ</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Zh^dΠ ŝŶĚƵƐƚƌŝĂů ƐĂůĞƐ ǁĞƌĞ Ψϱϱ͘Ϯ ŵŝůůŝŽŶ ĨŽƌ ĮƐĐĂů ϮϬϮϱ͕ ŝŶĐƌĞĂƐŝŶŐ Ϯ͘ϰ</w:t>
      </w:r>
      <w:r>
        <w:rPr>
          <w:rFonts w:ascii="Calibri" w:cs="Calibri" w:eastAsia="Calibri" w:hAnsi="Calibri"/>
          <w:sz w:val="19"/>
          <w:szCs w:val="19"/>
          <w:color w:val="auto"/>
        </w:rPr>
        <w:t>й</w:t>
      </w:r>
      <w:r>
        <w:rPr>
          <w:rFonts w:ascii="Arial" w:cs="Arial" w:eastAsia="Arial" w:hAnsi="Arial"/>
          <w:sz w:val="19"/>
          <w:szCs w:val="19"/>
          <w:color w:val="auto"/>
        </w:rPr>
        <w:t xml:space="preserve"> ĨƌŽŵ ůĂƐƚ ĮƐĐĂů ǇĞĂƌ͘ WŽƐŝƟǀĞ   Zh^dΠ </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ŝŶĚƵƐƚƌŝĂů ƐĂůĞƐ ŐƌŽǁƚŚ ǁĂƐ ůĞĚ ďǇ Ed/   ŚŝŶĂ ĂŶĚ ĨĂǀŽƌĂďůĞ ƚƌĞŶĚƐ ǁŝƚŚŝŶ ŽƵƌ EŽƌƚŚ  ŵĞƌŝĐĂŶ ŵĂƌŬĞƚƐ͕ ƉĂƌƟĂůůǇ </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ŽīƐĞƚ  ďǇ  ǁĞĂŬĞƌ  ƚƌĞŶĚƐ  Ăƚ  Ed/   /ŶĚŝĂ͘  Ed/ ͛Ɛ    Zh^dΠ  ŝŶĚƵƐƚƌŝĂů  ďƵƐŝŶĞƐƐ  ĐŽŶƟŶƵĞƐ  ƚŽ  ďĞŶĞĮƚ  ĨƌŽŵ  ƐƚƌŽŶŐ </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ƌĞůĂƟŽŶƐŚŝƉƐ  ǁŝƚŚ  ůĞĂĚŝŶŐ͕  ŵƵůƟŶĂƟŽŶĂů  ĐŽŵƉĂŶŝĞƐ͘   Ɛ  ƐƵƉƉůǇ  ĐŚĂŝŶƐ  ĐŽŶƟŶƵĞ  ƚŽ  ĂĚũƵƐƚ  ƚŽ  ĂŶ  ĞǀŽůǀŝŶŐ  ƚĂƌŝī </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ĂŶĚ  ŝŶĚƵƐƚƌŝĂů  ƉŽůŝĐǇ  ĨƌĂŵĞǁŽƌŬ͕ ǁĞ  ĂƌĞ  ĨŽĐƵƐĞĚ  ŽŶ  ƐƵƉƉŽƌƟŶŐ  ŽƵƌ  ĐƵƐƚŽŵĞƌƐ  ĂŶĚ  ƉƵƌƐƵŝŶŐ  ŽƉƉŽƌƚƵŶŝƟĞƐ  ƚŽ </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ĞŶŚĂŶĐĞ  ŽƵƌ  ĐĂƉĂďŝůŝƟĞƐ  ĂŶĚ  ƚĞĐŚŶŽůŽŐŝĞƐ͘  /Ŷ  ĂĚĚŝƟŽŶ͕  ǁĞ  ĂŶƟĐŝƉĂƚĞ  ƚŚĂƚ  ĮƐĐĂů  ϮϬϮϲ  ƐĂůĞƐ  ǁŝůů  ďĞŶĞĮƚ  ĨƌŽŵ </w:t>
      </w:r>
    </w:p>
    <w:p>
      <w:pPr>
        <w:spacing w:after="0" w:line="77" w:lineRule="exact"/>
        <w:rPr>
          <w:sz w:val="20"/>
          <w:szCs w:val="20"/>
          <w:color w:val="auto"/>
        </w:rPr>
      </w:pPr>
    </w:p>
    <w:p>
      <w:pPr>
        <w:spacing w:after="0"/>
        <w:rPr>
          <w:sz w:val="20"/>
          <w:szCs w:val="20"/>
          <w:color w:val="auto"/>
        </w:rPr>
      </w:pPr>
      <w:r>
        <w:rPr>
          <w:rFonts w:ascii="Calibri" w:cs="Calibri" w:eastAsia="Calibri" w:hAnsi="Calibri"/>
          <w:sz w:val="25"/>
          <w:szCs w:val="25"/>
          <w:color w:val="auto"/>
        </w:rPr>
        <w:t>growth at NTIC China, rebounding demand at NTIC India, and stable North American sales.</w:t>
      </w:r>
    </w:p>
    <w:p>
      <w:pPr>
        <w:spacing w:after="0" w:line="25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 xml:space="preserve">  Zh^dΠ ŝŶ ƚŚĞ Kŝů ĂŶĚ 'ĂƐ /ŶĚƵƐƚƌǇ</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Zh^dΠ Žŝů ĂŶĚ ŐĂƐ ƐĂůĞƐ ǁĞƌĞ Ψϳ͘ϯ ŵŝůůŝŽŶ ĨŽƌ ĮƐĐĂů ϮϬϮϱ͕ ĐŽŵƉĂƌĞĚ ƚŽ Ψϵ͘Ϯ ŵŝůůŝŽŶ ůĂƐƚ ǇĞĂƌ͘ dŚĞ ϮϬ͘ϳ</w:t>
      </w:r>
      <w:r>
        <w:rPr>
          <w:rFonts w:ascii="Calibri" w:cs="Calibri" w:eastAsia="Calibri" w:hAnsi="Calibri"/>
          <w:sz w:val="19"/>
          <w:szCs w:val="19"/>
          <w:color w:val="auto"/>
        </w:rPr>
        <w:t>й</w:t>
      </w:r>
      <w:r>
        <w:rPr>
          <w:rFonts w:ascii="Arial" w:cs="Arial" w:eastAsia="Arial" w:hAnsi="Arial"/>
          <w:sz w:val="19"/>
          <w:szCs w:val="19"/>
          <w:color w:val="auto"/>
        </w:rPr>
        <w:t xml:space="preserve"> ĚĞĐůŝŶĞ </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ĚŽĞƐ ŶŽƚ ƌĞŇĞĐƚ ƚŚĞ ƉƌŽŐƌĞƐƐ ǁĞ ĂƌĞ ŵĂŬŝŶŐ ŝŶ ƚŚĞ ŵĂƌŬĞƚ͕ ĂŶĚ ǁĂƐ ƉƌŝŵĂƌŝůǇ ĐĂƵƐĞĚ ďǇ ƚŚĞ ƟŵŝŶŐ ŽĨ ŽƌĚĞƌƐ͘ </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tĞ ŚĂǀĞ ĐŽŶƟŶƵĂůůǇ ŝŶǀĞƐƚĞĚ ŝŶ   Zh^dΠ Žŝů ĂŶĚ ŐĂƐ ƚŽ ĞŶŚĂŶĐĞ ŽƵƌ ƐĂůĞƐ ƚĞĂŵ ĂŶĚ ĂĚĚ ƌĞƐŽƵƌĐĞƐ ƚŽ ƐƵƉƉŽƌƚ </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ĂŶƟĐŝƉĂƚĞĚ ĨƵƚƵƌĞ ŐƌŽǁƚŚ͘ dŚŝƐ ŚĂƐ ŝŵƉƌŽǀĞĚ ŽƵƌ ƐĂůĞƐ ƉŝƉĞůŝŶĞ ĂƐ ƚŚĞ ƐŝǌĞ ĂŶĚ ŶƵŵďĞƌ ŽĨ ŽƉƉŽƌƚƵŶŝƟĞƐ ŚĂǀĞ </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ĞǆƉĂŶĚĞĚ ĂŵŽŶŐ ďŽƚŚ ŶĞǁ ĂŶĚ ĞǆŝƐƟŶŐ ĐƵƐƚŽŵĞƌƐ͘ KƵƌ ƉŝƉĞůŝŶĞ ŝŶĐůƵĚĞƐ ŐůŽďĂů ŽƉƉŽƌƚƵŶŝƟĞƐ ƚŽ ƉƌŽƚĞĐƚ ĂďŽǀĞͲ</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ŐƌŽƵŶĚ Žŝů ƐƚŽƌĂŐĞ ƚĂŶŬƐ͕ ƉŝƉĞůŝŶĞ ĐĂƐŝŶŐƐ͕ ĂŶĚ ŽīƐŚŽƌĞ Žŝů ƌŝŐƐ ĨƌŽŵ ĐŽƌƌŽƐŝŽŶ͘ dŚĞ ŶĂƚƵƌĞ ŽĨ ƚŚŝƐ ŝŶĚƵƐƚƌǇ ǁŝůů </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ĂůǁĂǇƐ ĐĂƵƐĞ ĐĞƌƚĂŝŶ ŇƵĐƚƵĂƟŽŶƐ ŝŶ   Zh^d Π Žŝů ĂŶĚ ŐĂƐ ƐĂůĞƐ͘ EĞǀĞƌƚŚĞůĞƐƐ͕ ǁĞ ƐƟůů ĞǆƉĞĐƚ ƚŽ ƐĞĞ   Zh^dΠ Žŝů </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ĂŶĚ ŐĂƐ ƐĂůĞƐ ĂŶĚ ƉƌŽĮƚĂďŝůŝƚǇ ŝŵƉƌŽǀĞ ƐŝŐŶŝĮĐĂŶƚůǇ ŝŶ ĮƐĐĂů ϮϬϮϲ ĂƐ ǁĞ ŝŶƚĞŶĚ ƚŽ ůĞǀĞƌĂŐĞ ƚŚĞƐĞ ŝŶǀĞƐƚŵĞŶƚƐ ĂŶĚ </w:t>
      </w:r>
    </w:p>
    <w:p>
      <w:pPr>
        <w:spacing w:after="0" w:line="88" w:lineRule="exact"/>
        <w:rPr>
          <w:sz w:val="20"/>
          <w:szCs w:val="20"/>
          <w:color w:val="auto"/>
        </w:rPr>
      </w:pPr>
    </w:p>
    <w:p>
      <w:pPr>
        <w:spacing w:after="0"/>
        <w:rPr>
          <w:sz w:val="20"/>
          <w:szCs w:val="20"/>
          <w:color w:val="auto"/>
        </w:rPr>
      </w:pPr>
      <w:r>
        <w:rPr>
          <w:rFonts w:ascii="Arial" w:cs="Arial" w:eastAsia="Arial" w:hAnsi="Arial"/>
          <w:sz w:val="25"/>
          <w:szCs w:val="25"/>
          <w:color w:val="auto"/>
        </w:rPr>
        <w:t>ƌĞŝŶ ŝŶ ŽƉĞƌĂƟŶŐ ĞǆƉĞŶƐĞ ŐƌŽǁƚŚ͘</w:t>
      </w:r>
    </w:p>
    <w:p>
      <w:pPr>
        <w:spacing w:after="0" w:line="270" w:lineRule="exact"/>
        <w:rPr>
          <w:sz w:val="20"/>
          <w:szCs w:val="20"/>
          <w:color w:val="auto"/>
        </w:rPr>
      </w:pPr>
    </w:p>
    <w:p>
      <w:pPr>
        <w:jc w:val="both"/>
        <w:spacing w:after="0" w:line="379" w:lineRule="auto"/>
        <w:rPr>
          <w:sz w:val="20"/>
          <w:szCs w:val="20"/>
          <w:color w:val="auto"/>
        </w:rPr>
      </w:pPr>
      <w:r>
        <w:rPr>
          <w:rFonts w:ascii="Arial" w:cs="Arial" w:eastAsia="Arial" w:hAnsi="Arial"/>
          <w:sz w:val="18"/>
          <w:szCs w:val="18"/>
          <w:color w:val="auto"/>
        </w:rPr>
        <w:t>/Ŷ EŽǀĞŵďĞƌ ϮϬϮϱ͕ ǁĞ ĂŶŶŽƵŶĐĞĚ ƚŚĂƚ ŽƵƌ ϴϱ</w:t>
      </w:r>
      <w:r>
        <w:rPr>
          <w:rFonts w:ascii="Calibri" w:cs="Calibri" w:eastAsia="Calibri" w:hAnsi="Calibri"/>
          <w:sz w:val="18"/>
          <w:szCs w:val="18"/>
          <w:color w:val="auto"/>
        </w:rPr>
        <w:t>й</w:t>
      </w:r>
      <w:r>
        <w:rPr>
          <w:rFonts w:ascii="Arial" w:cs="Arial" w:eastAsia="Arial" w:hAnsi="Arial"/>
          <w:sz w:val="18"/>
          <w:szCs w:val="18"/>
          <w:color w:val="auto"/>
        </w:rPr>
        <w:t xml:space="preserve">ͲŽǁŶĞĚ ƐƵďƐŝĚŝĂƌǇ ŝŶ  ƌĂǌŝů͕  ĞƌƵƐƚ WƌĞǀĞŶĕĆŽ ĚĞ  ŽƌƌŽƐĆŽ ^͘ ͕͘  ƐĞĐƵƌĞĚ Ă ŶĞǁ ƚŚƌĞĞͲǇĞĂƌ ĐŽŶƚƌĂĐƚ ĨŽƌ Ă ŵĂũŽƌ ŽīƐŚŽƌĞ ƉƌŽũĞĐƚ ǁŝƚŚ Ă ůĞĂĚŝŶŐ ŐůŽďĂů  W  ĐŽŵƉĂŶǇ͘ hŶĚĞƌ ƚŚŝƐ  ĂŐƌĞĞŵĞŶƚ͕  ĞƌƵƐƚ  ƌĂǌŝů ǁŝůů ƉƌŽǀŝĚĞ ĂĚǀĂŶĐĞĚ ĐŽƌƌŽƐŝŽŶ ƉƌŽƚĞĐƟŽŶ ƐŽůƵƟŽŶƐ ĨŽƌ ŇŽĂƟŶŐ ƉƌŽĚƵĐƟŽŶ ƐƚŽƌĂŐĞ  ĂŶĚ ŽŋŽĂĚŝŶŐ ;&amp;W^KͿ ƵŶŝƚƐ͕ ǁŝƚŚ ĂŶ ĞƐƟŵĂƚĞĚ ƚŽƚĂů ǀĂůƵĞ ŽĨ ĂƉƉƌŽǆŝŵĂƚĞůǇ ZΨϳϬ ŵŝůůŝŽŶ ;h^Ψϭϯ ŵŝůůŝŽŶͿ͘ </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dŚĞ ƉƌŽũĞĐƚ ŝƐ ĞǆƉĞĐƚĞĚ ƚŽ ďĞŐŝŶ ďǇ ƚŚĞ ĞŶĚ ŽĨ ĐĂůĞŶĚĂƌ ϮϬϮϱ ĂŶĚ ĐŽŶƟŶƵĞ ƚŚƌŽƵŐŚ ĐĂůĞŶĚĂƌ ϮϬϮϴ͘ dŚŝƐ ŝƐ Ă </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ƐŝŐŶŝĮĐĂŶƚ ǀĂůŝĚĂƟŽŶ ŽĨ ŽƵƌ ƚĞĐŚŶŝĐĂů ĐĂƉĂďŝůŝƟĞƐ͕ ƚŚĞ ƐĐĂůĂďŝůŝƚǇ ŽĨ ŽƵƌ   Zh^dΠ Žŝů ĂŶĚ ŐĂƐ ďƵƐŝŶĞƐƐ͕ ĂŶĚ ƚŚĞ </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ƌĞƉƵƚĂƟŽŶ ǁĞ͛ǀĞ ďƵŝůƚ ĂƐ Ă ƚƌƵƐƚĞĚ ƉĂƌƚŶĞƌ ƚŽ ůĞĂĚŝŶŐ ŽīƐŚŽƌĞ ŽƉĞƌĂƚŽƌƐ͘  ƌĂǌŝů ƌĞƉƌĞƐĞŶƚƐ ŽŶĞ ŽĨ ƚŚĞ ĨĂƐƚĞƐƚ </w:t>
      </w:r>
    </w:p>
    <w:p>
      <w:pPr>
        <w:sectPr>
          <w:pgSz w:w="12240" w:h="15840" w:orient="portrait"/>
          <w:cols w:equalWidth="0" w:num="1">
            <w:col w:w="11100"/>
          </w:cols>
          <w:pgMar w:left="600" w:top="568" w:right="540" w:bottom="17" w:gutter="0" w:footer="0" w:header="0"/>
        </w:sectPr>
      </w:pPr>
    </w:p>
    <w:bookmarkStart w:id="4" w:name="page5"/>
    <w:bookmarkEnd w:id="4"/>
    <w:p>
      <w:pPr>
        <w:spacing w:after="0" w:line="377" w:lineRule="auto"/>
        <w:rPr>
          <w:sz w:val="20"/>
          <w:szCs w:val="20"/>
          <w:color w:val="auto"/>
        </w:rPr>
      </w:pPr>
      <w:r>
        <w:rPr>
          <w:rFonts w:ascii="Arial" w:cs="Arial" w:eastAsia="Arial" w:hAnsi="Arial"/>
          <w:sz w:val="21"/>
          <w:szCs w:val="21"/>
          <w:color w:val="auto"/>
        </w:rPr>
        <w:t xml:space="preserve">ŐƌŽǁŝŶŐ ĚĞĞƉǁĂƚĞƌ ŵĂƌŬĞƚƐ ŐůŽďĂůůǇ͕ ĂŶĚ ǁĞ ďĞůŝĞǀĞ ƚŚŝƐ ǁŝŶ ƉƌŽǀŝĚĞƐ Ă ƐƚƌŽŶŐ ĨŽƵŶĚĂƟŽŶ ĨŽƌ ŽƵƌ ĐŽŶƟŶƵĞĚ  ŐƌŽǁƚŚ ĂŶĚ ĞǆƉĂŶƐŝŽŶ ĂĐƌŽƐƐ ŝŶƚĞƌŶĂƟŽŶĂů Žŝů ĂŶĚ ŐĂƐ ŵĂƌŬĞƚƐ͘ </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EĂƚƵƌͲdĞĐΠ  ŝŽƉůĂƐƟĐƐ</w:t>
      </w:r>
    </w:p>
    <w:p>
      <w:pPr>
        <w:spacing w:after="0" w:line="51" w:lineRule="exact"/>
        <w:rPr>
          <w:sz w:val="20"/>
          <w:szCs w:val="20"/>
          <w:color w:val="auto"/>
        </w:rPr>
      </w:pPr>
    </w:p>
    <w:p>
      <w:pPr>
        <w:jc w:val="both"/>
        <w:spacing w:after="0" w:line="325" w:lineRule="auto"/>
        <w:rPr>
          <w:sz w:val="20"/>
          <w:szCs w:val="20"/>
          <w:color w:val="auto"/>
        </w:rPr>
      </w:pPr>
      <w:r>
        <w:rPr>
          <w:rFonts w:ascii="Arial" w:cs="Arial" w:eastAsia="Arial" w:hAnsi="Arial"/>
          <w:sz w:val="19"/>
          <w:szCs w:val="19"/>
          <w:color w:val="auto"/>
        </w:rPr>
        <w:t>EĂƚƵƌͲdĞĐΠ ƐĂůĞƐ ĨŽƌ ĮƐĐĂů ϮϬϮϱ ĚĞĐůŝŶĞĚ ϭ͘Ϭ</w:t>
      </w:r>
      <w:r>
        <w:rPr>
          <w:rFonts w:ascii="Calibri" w:cs="Calibri" w:eastAsia="Calibri" w:hAnsi="Calibri"/>
          <w:sz w:val="19"/>
          <w:szCs w:val="19"/>
          <w:color w:val="auto"/>
        </w:rPr>
        <w:t>й</w:t>
      </w:r>
      <w:r>
        <w:rPr>
          <w:rFonts w:ascii="Arial" w:cs="Arial" w:eastAsia="Arial" w:hAnsi="Arial"/>
          <w:sz w:val="19"/>
          <w:szCs w:val="19"/>
          <w:color w:val="auto"/>
        </w:rPr>
        <w:t xml:space="preserve"> ǇĞĂƌͲŽǀĞƌͲǇĞĂƌ ƚŽ ΨϮϭ͘ϳ ŵŝůůŝŽŶ͕ ƌĞŇĞĐƟŶŐ ƉƌŝĐŝŶŐ ĚǇŶĂŵŝĐƐ ĂŶĚ  ƚŚĞ  ƟŵŝŶŐ  ŽĨ  ŽƌĚĞƌƐ͘   ƵƌŝŶŐ  ĮƐĐĂů  ϮϬϮϱ͕  Ă  ůĂƌŐĞ  EŽƌƚŚ   ŵĞƌŝĐĂŶ  ĐƵƐƚŽŵĞƌ  ŽĨ  ŽƵƌ  ƌĞƐŝŶ  ĐŽŵƉŽƵŶĚƐ  ĚĞůĂǇĞĚ  </w:t>
      </w:r>
      <w:r>
        <w:rPr>
          <w:rFonts w:ascii="Calibri" w:cs="Calibri" w:eastAsia="Calibri" w:hAnsi="Calibri"/>
          <w:sz w:val="19"/>
          <w:szCs w:val="19"/>
          <w:color w:val="auto"/>
        </w:rPr>
        <w:t xml:space="preserve">purchases for nearly six months, as they made tooling adjustments to increase the output of their manufacturing </w:t>
      </w:r>
      <w:r>
        <w:rPr>
          <w:rFonts w:ascii="Arial" w:cs="Arial" w:eastAsia="Arial" w:hAnsi="Arial"/>
          <w:sz w:val="19"/>
          <w:szCs w:val="19"/>
          <w:color w:val="auto"/>
        </w:rPr>
        <w:t>ůŝŶĞ͘ tŚŝůĞ ƚŚŝƐ ĐŽŶƚƌŝďƵƚĞĚ ƚŽ EĂƚƵƌͲdĞĐ͛Ɛ ĚĞĐůŝŶĞ ŝŶ ƐĂůĞƐ ĨŽƌ ĮƐĐĂů ϮϬϮϱ͕ ǁĞ ŚĂǀĞ ĂůƌĞĂĚǇ ƌĞĐĞŝǀĞĚ ŽƌĚĞƌƐ ĨŽƌ ƚŚĞ  ĮƌƐƚ ĂŶĚ ƐĞĐŽŶĚ ƋƵĂƌƚĞƌƐ ŽĨ ĮƐĐĂů ϮϬϮϲ ĨŽƌ ƚŚĞ ĞƋƵŝǀĂůĞŶƚ ŽĨ ǁŚĂƚ ƚŚŝƐ ĐƵƐƚŽŵĞƌ ƉƵƌĐŚĂƐĞĚ ĨƌŽŵ ƵƐ ŝŶ Ăůů ĮƐĐĂů  ϮϬϮϱ͘ /ƚ͛Ɛ ĂůƐŽ ǁŽƌƚŚ ŵĞŶƟŽŶŝŶŐ ƚŚĂƚ ŝŶ ƚŚĞ ĨŽƵƌƚŚ ƋƵĂƌƚĞƌ ŽĨ ĮƐĐĂů ϮϬϮϱ͕ ǁĞ ĞŶƚĞƌĞĚ ŝŶƚŽ Ă ƉƌĞĨĞƌƌĞĚ ƐƵƉƉůŝĞƌ  ĂŐƌĞĞŵĞŶƚ ǁŝƚŚ ƚŚĞ ŶĂƟŽŶ͛Ɛ ůĞĂĚŝŶŐ ƐƉĞĐŝĂůŝǌĞĚ ĚŝƐƚƌŝďƵƚŽƌ ĨŽƌ :ĂŶ^ĂŶ͕ ĨŽŽĚƐĞƌǀŝĐĞ ĂŶĚ ŝŶĚƵƐƚƌŝĂů ƉĂĐŬĂŐŝŶŐ͘ tĞ  ĞǆƉĞĐƚ ƚŚŝƐ ŶĞǁ ƌĞůĂƟŽŶƐŚŝƉ ƚŽ ƚƌĂŶƐůĂƚĞ ŝŶƚŽ ŚŝŐŚĞƌ ƐĂůĞƐ ŐƌŽǁƚŚ ŝŶ ĮƐĐĂů ϮϬϮϲ͘</w:t>
      </w:r>
    </w:p>
    <w:p>
      <w:pPr>
        <w:spacing w:after="0" w:line="191" w:lineRule="exact"/>
        <w:rPr>
          <w:sz w:val="20"/>
          <w:szCs w:val="20"/>
          <w:color w:val="auto"/>
        </w:rPr>
      </w:pPr>
    </w:p>
    <w:p>
      <w:pPr>
        <w:jc w:val="both"/>
        <w:spacing w:after="0" w:line="363" w:lineRule="auto"/>
        <w:rPr>
          <w:sz w:val="20"/>
          <w:szCs w:val="20"/>
          <w:color w:val="auto"/>
        </w:rPr>
      </w:pPr>
      <w:r>
        <w:rPr>
          <w:rFonts w:ascii="Arial" w:cs="Arial" w:eastAsia="Arial" w:hAnsi="Arial"/>
          <w:sz w:val="19"/>
          <w:szCs w:val="19"/>
          <w:color w:val="auto"/>
        </w:rPr>
        <w:t xml:space="preserve">tĞ ĂƌĞ ĂůƐŽ ǁŽƌŬŝŶŐ ŽŶ ƐĞǀĞƌĂů ůĂƌŐĞƌ ŽƉƉŽƌƚƵŶŝƟĞƐ ĨŽƌ ŽƵƌ EĂƚƵƌͲdĞĐΠ ƐŽůƵƟŽŶƐ ƚŚĂƚ ǁĞ ďĞůŝĞǀĞ ŚŽůĚ ƐŝŐŶŝĮĐĂŶƚ  ƉƌŽŵŝƐĞ  ƚŽ  ďĞŶĞĮƚ  ŽƵƌ  ƐĂůĞƐ  ŝŶ  ƚŚĞ  ĐŽŵŝŶŐ  ƋƵĂƌƚĞƌƐ͕  ŝŶĐůƵĚŝŶŐ  ĂĚǀĂŶĐŝŶŐ  Ă  ĚŝīĞƌĞŶƟĂƚĞĚ  ĐŽŵƉŽƐƚĂďůĞ  ĨŽŽĚ  ƉĂĐŬĂŐŝŶŐ ƐŽůƵƟŽŶ͘ KǀĞƌĂůů͕ ǁĞ ďĞůŝĞǀĞ EĂƚƵƌͲdĞĐΠ ŝƐ Ă ďĞƐƚͲŝŶͲĐůĂƐƐ ĐŽŵƉŽƐƚĂďůĞ ƉůĂƐƟĐ ďƵƐŝŶĞƐƐ ƚŚĂƚ ŝƐ ǁĞůů  ƉŽƐŝƟŽŶĞĚ ĨŽƌ ƐŝŐŶŝĮĐĂŶƚ ĨƵƌƚŚĞƌ ŐƌŽǁƚŚ ŝŶ ƚŚĞ h͘^͘ ĂŶĚ ĂďƌŽĂĚ͘ </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 ůŽƐŝŶŐ</w:t>
      </w:r>
    </w:p>
    <w:p>
      <w:pPr>
        <w:spacing w:after="0" w:line="51"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 xml:space="preserve">tŚŝůĞ ĮƐĐĂů ϮϬϮϱ ǁĂƐ ŵŽƌĞ ĐŚĂůůĞŶŐŝŶŐ ƚŚĂŶ ǁĞ ĞǆƉĞĐƚĞĚ Ăƚ ƚŚĞ ďĞŐŝŶŶŝŶŐ ŽĨ ƚŚĞ ĮƐĐĂů ǇĞĂƌ͕ ǁĞ ƌĞŵĂŝŶ ƐƚĞĂĚĨĂƐƚ  ŽŶ ƉƵƌƐƵŝŶŐ Ă ƉƌŽĮƚ ĨŽĐƵƐĞĚ ŵƵůƟͲǇĞĂƌ ƐƚƌĂƚĞŐŝĐ ŐƌŽǁƚŚ ƉůĂŶ͘ /Ŷ ĮƐĐĂů ϮϬϮϲ͕ ǁĞ ĞǆƉĞĐƚ ƚŽ ƐƚĂƌƚ ƌĞĂƉŝŶŐ ƚŚĞ  ďĞŶĞĮƚƐ  ŐĂŝŶĞĚ  ĨƌŽŵ  ƚŚĞ  ƐƚƌĂƚĞŐŝĐ  ŝŶǀĞƐƚŵĞŶƚƐ  Ed/   ŵĂĚĞ  ŽǀĞƌ  ƚŚĞ  ƉĂƐƚ  ƚŚƌĞĞ  ǇĞĂƌƐ  ƚŽ  ƵƉŐƌĂĚĞ  ŽƵƌ  ŐůŽďĂů  ŽƉĞƌĂƟŽŶƐ ĂŶĚ ƐƵƉƉŽƌƚ ĨƵƚƵƌĞ ŐƌŽǁƚŚ͘ tĞ ĂƌĞ ĂůƐŽ ĨŽĐƵƐĞĚ ŽŶ ŇĂƩĞŶŝŶŐ ŽƵƌ ŽƉĞƌĂƟŶŐ ĞǆƉĞŶƐĞƐ ǁŚŝůĞ ĞǆƉĂŶĚŝŶŐ  ŐƌŽƐƐ ŵĂƌŐŝŶƐ ĂŶĚ ĚƌŝǀŝŶŐ ƐĂůĞƐ ŝŶ ŚŝŐŚĞƌͲŵĂƌŐŝŶ ƉĂƌƚƐ ŽĨ ŽƵƌ ďƵƐŝŶĞƐƐ͕ ǁŚŝĐŚ ǁĞ ĞǆƉĞĐƚ ǁŝůů ŝŵƉƌŽǀĞ ƉƌŽĮƚĂďŝůŝƚǇ  ĂŶĚ ƐƚƌĞŶŐƚŚĞŶ ŽƵƌ ďĂůĂŶĐĞ ƐŚĞĞƚ ŝŶ ĮƐĐĂů ϮϬϮϲ͘ tŚŝůĞ ǁĞ ĂŶƟĐŝƉĂƚĞ ŵĂĐƌŽĞĐŽŶŽŵŝĐ ŚĞĂĚǁŝŶĚƐ ƚŽ ƉĞƌƐŝƐƚ͕  ĞƐƉĞĐŝĂůůǇ ŝŶ  ƵƌŽƉĞ͕ ǁĞ ďĞůŝĞǀĞ Ed/  ŝƐ ƉŽƐŝƟŽŶĞĚ ƚŽ ĚĞůŝǀĞƌ ŐƌŽǁƚŚ ĂŶĚ ŝŵƉƌŽǀĞĚ ƉƌŽĮƚĂďŝůŝƚǇ ĂĐƌŽƐƐ ŵĂŶǇ ŽĨ  ŽƵƌ ŬĞǇ ŵĂƌŬĞƚƐ ŝŶ ƚŚĞ ĐŽŵŝŶŐ ĮƐĐĂů ǇĞĂƌ͘  </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&amp;ŝŶĂůůǇ͕ / ǁĂŶƚ ƚŽ ĂĐŬŶŽǁůĞĚŐĞ ƚŚĞ ŚĂƌĚ ǁŽƌŬ ĂŶĚ ĚĞĚŝĐĂƟŽŶ ŽĨ ŽƵƌ ŐůŽďĂů ƚĞĂŵ ŽĨ ďŽƚŚ ĞŵƉůŽǇĞĞƐ ĂŶĚ ũŽŝŶƚ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ǀĞŶƚƵƌĞ ƉĂƌƚŶĞƌƐ͘ KƵƌ ĂďŝůŝƚǇ ƚŽ ŶĂǀŝŐĂƚĞ ƉĞƌŝŽĚƐ ŽĨ ĞĐŽŶŽŵŝĐ ƵŶĐĞƌƚĂŝŶƚǇ ĂŶĚ ƉŽƐŝƟŽŶ ƚŚĞ ĐŽŵƉĂŶǇ ĨŽƌ ůŽŶŐͲ</w:t>
      </w:r>
    </w:p>
    <w:p>
      <w:pPr>
        <w:spacing w:after="0" w:line="88" w:lineRule="exact"/>
        <w:rPr>
          <w:sz w:val="20"/>
          <w:szCs w:val="20"/>
          <w:color w:val="auto"/>
        </w:rPr>
      </w:pPr>
    </w:p>
    <w:p>
      <w:pPr>
        <w:spacing w:after="0"/>
        <w:rPr>
          <w:sz w:val="20"/>
          <w:szCs w:val="20"/>
          <w:color w:val="auto"/>
        </w:rPr>
      </w:pPr>
      <w:r>
        <w:rPr>
          <w:rFonts w:ascii="Arial" w:cs="Arial" w:eastAsia="Arial" w:hAnsi="Arial"/>
          <w:sz w:val="25"/>
          <w:szCs w:val="25"/>
          <w:color w:val="auto"/>
        </w:rPr>
        <w:t>ƚĞƌŵ ƐƵĐĐĞƐƐ ĂŶĚ ǀĂůƵĞ ĐƌĞĂƟŽŶ ĂƌĞ Ă ĚŝƌĞĐƚ ƌĞƐƵůƚ ŽĨ ƚŚĞŝƌ ĞīŽƌƚƐ͘</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546100</wp:posOffset>
            </wp:positionV>
            <wp:extent cx="2169160" cy="2713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2169160" cy="2713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20"/>
        <w:spacing w:after="0"/>
        <w:rPr>
          <w:sz w:val="20"/>
          <w:szCs w:val="20"/>
          <w:color w:val="auto"/>
        </w:rPr>
      </w:pPr>
      <w:r>
        <w:rPr>
          <w:rFonts w:ascii="Calibri" w:cs="Calibri" w:eastAsia="Calibri" w:hAnsi="Calibri"/>
          <w:sz w:val="25"/>
          <w:szCs w:val="2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2126615</wp:posOffset>
            </wp:positionH>
            <wp:positionV relativeFrom="paragraph">
              <wp:posOffset>1905</wp:posOffset>
            </wp:positionV>
            <wp:extent cx="1971040" cy="673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1971040" cy="67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880"/>
        <w:spacing w:after="0"/>
        <w:rPr>
          <w:sz w:val="20"/>
          <w:szCs w:val="20"/>
          <w:color w:val="auto"/>
        </w:rPr>
      </w:pPr>
      <w:r>
        <w:rPr>
          <w:rFonts w:ascii="Arial" w:cs="Arial" w:eastAsia="Arial" w:hAnsi="Arial"/>
          <w:sz w:val="25"/>
          <w:szCs w:val="25"/>
          <w:color w:val="auto"/>
        </w:rPr>
        <w:t>'͘ WĂƚƌŝĐŬ &gt;ǇŶĐŚ</w:t>
      </w:r>
    </w:p>
    <w:p>
      <w:pPr>
        <w:spacing w:after="0" w:line="39" w:lineRule="exact"/>
        <w:rPr>
          <w:sz w:val="20"/>
          <w:szCs w:val="20"/>
          <w:color w:val="auto"/>
        </w:rPr>
      </w:pPr>
    </w:p>
    <w:p>
      <w:pPr>
        <w:ind w:left="4240"/>
        <w:spacing w:after="0"/>
        <w:rPr>
          <w:sz w:val="20"/>
          <w:szCs w:val="20"/>
          <w:color w:val="auto"/>
        </w:rPr>
      </w:pPr>
      <w:r>
        <w:rPr>
          <w:rFonts w:ascii="Arial" w:cs="Arial" w:eastAsia="Arial" w:hAnsi="Arial"/>
          <w:sz w:val="25"/>
          <w:szCs w:val="25"/>
          <w:color w:val="auto"/>
        </w:rPr>
        <w:t xml:space="preserve">WƌĞƐŝĚĞŶƚ Θ   K͕ Ed/ </w:t>
      </w:r>
    </w:p>
    <w:p>
      <w:pPr>
        <w:sectPr>
          <w:pgSz w:w="12240" w:h="15840" w:orient="portrait"/>
          <w:cols w:equalWidth="0" w:num="1">
            <w:col w:w="11100"/>
          </w:cols>
          <w:pgMar w:left="600" w:top="568" w:right="540" w:bottom="1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 WĂƚƌŝĐŬ &gt;ǇŶĐŚ</w:t>
      </w:r>
    </w:p>
    <w:p>
      <w:pPr>
        <w:sectPr>
          <w:pgSz w:w="12240" w:h="15840" w:orient="portrait"/>
          <w:cols w:equalWidth="0" w:num="1">
            <w:col w:w="11100"/>
          </w:cols>
          <w:pgMar w:left="600" w:top="568" w:right="540" w:bottom="141"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3119755</wp:posOffset>
            </wp:positionH>
            <wp:positionV relativeFrom="page">
              <wp:posOffset>1328420</wp:posOffset>
            </wp:positionV>
            <wp:extent cx="1532255" cy="9734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32255" cy="97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NORTHERN TECHNOLOGIES INTERNATIONAL CORPORATION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January 16, 2026</w:t>
      </w:r>
    </w:p>
    <w:p>
      <w:pPr>
        <w:spacing w:after="0" w:line="244"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22"/>
          <w:szCs w:val="22"/>
          <w:color w:val="auto"/>
        </w:rPr>
        <w:t>The Annual Meeting of Stockholders of Northern Technologies International Corporation, a Delaware corporation, will be held at our corporate executive offices located at 4201 Woodland Road, Circle Pines, Minnesota 55014, beginning at 8:00 a.m., Central Standard Time, on Friday, January 16, 2026, for the following purposes:</w:t>
      </w:r>
    </w:p>
    <w:p>
      <w:pPr>
        <w:spacing w:after="0" w:line="125" w:lineRule="exact"/>
        <w:rPr>
          <w:sz w:val="20"/>
          <w:szCs w:val="20"/>
          <w:color w:val="auto"/>
        </w:rPr>
      </w:pPr>
    </w:p>
    <w:p>
      <w:pPr>
        <w:ind w:left="720" w:right="440" w:hanging="364"/>
        <w:spacing w:after="0" w:line="278"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elect eight persons to serve as directors until our next annual meeting of stockholders or until their respective successors are elected and qualified.</w:t>
      </w:r>
    </w:p>
    <w:p>
      <w:pPr>
        <w:spacing w:after="0" w:line="100" w:lineRule="exact"/>
        <w:rPr>
          <w:rFonts w:ascii="Times New Roman" w:cs="Times New Roman" w:eastAsia="Times New Roman" w:hAnsi="Times New Roman"/>
          <w:sz w:val="22"/>
          <w:szCs w:val="22"/>
          <w:color w:val="auto"/>
        </w:rPr>
      </w:pPr>
    </w:p>
    <w:p>
      <w:pPr>
        <w:ind w:left="720" w:right="120" w:hanging="364"/>
        <w:spacing w:after="0" w:line="278"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on an advisory basis, the compensation of our named executive officers, as disclosed in the accompanying proxy statement.</w:t>
      </w:r>
    </w:p>
    <w:p>
      <w:pPr>
        <w:spacing w:after="0" w:line="99" w:lineRule="exact"/>
        <w:rPr>
          <w:rFonts w:ascii="Times New Roman" w:cs="Times New Roman" w:eastAsia="Times New Roman" w:hAnsi="Times New Roman"/>
          <w:sz w:val="22"/>
          <w:szCs w:val="22"/>
          <w:color w:val="auto"/>
        </w:rPr>
      </w:pPr>
    </w:p>
    <w:p>
      <w:pPr>
        <w:ind w:left="720" w:right="300" w:hanging="364"/>
        <w:spacing w:after="0" w:line="278"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indicate, on an advisory basis, whether future votes to approve executive compensation should occur every one year, two years, or three years.</w:t>
      </w:r>
    </w:p>
    <w:p>
      <w:pPr>
        <w:spacing w:after="0" w:line="100" w:lineRule="exact"/>
        <w:rPr>
          <w:rFonts w:ascii="Times New Roman" w:cs="Times New Roman" w:eastAsia="Times New Roman" w:hAnsi="Times New Roman"/>
          <w:sz w:val="22"/>
          <w:szCs w:val="22"/>
          <w:color w:val="auto"/>
        </w:rPr>
      </w:pPr>
    </w:p>
    <w:p>
      <w:pPr>
        <w:ind w:left="720" w:right="260" w:hanging="365"/>
        <w:spacing w:after="0" w:line="278"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ratify the appointment of Baker Tilly US, LLP as our independent registered public accounting firm for the fiscal year ending August 31, 2026.</w:t>
      </w:r>
    </w:p>
    <w:p>
      <w:pPr>
        <w:spacing w:after="0" w:line="100" w:lineRule="exact"/>
        <w:rPr>
          <w:rFonts w:ascii="Times New Roman" w:cs="Times New Roman" w:eastAsia="Times New Roman" w:hAnsi="Times New Roman"/>
          <w:sz w:val="22"/>
          <w:szCs w:val="22"/>
          <w:color w:val="auto"/>
        </w:rPr>
      </w:pPr>
    </w:p>
    <w:p>
      <w:pPr>
        <w:ind w:left="720" w:right="120" w:hanging="365"/>
        <w:spacing w:after="0" w:line="278"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transact such other business as may properly come before the meeting or any adjournment of the meeting.</w:t>
      </w:r>
    </w:p>
    <w:p>
      <w:pPr>
        <w:spacing w:after="0" w:line="9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Only those stockholders of record at the close of business on November 18, 2025 will be entitled to notice of, and to vote at, the meeting and any adjournments thereof. A stockholder list will be available at our corporate offices beginning January 6, 2026 during normal business hours for examination by any stockholder registered on NTIC’s stock ledger as of the record date, November 18, 2025, for any purpose germane to the Annual Meeting.</w:t>
      </w:r>
    </w:p>
    <w:p>
      <w:pPr>
        <w:spacing w:after="0" w:line="1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14605</wp:posOffset>
            </wp:positionV>
            <wp:extent cx="1619885" cy="489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1619885" cy="48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Matthew C. Wolsfeld</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i w:val="1"/>
          <w:iCs w:val="1"/>
          <w:color w:val="auto"/>
        </w:rPr>
        <w:t>Corporate Secretary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Circle Pines, Minnesota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146050</wp:posOffset>
                </wp:positionV>
                <wp:extent cx="0" cy="52006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065"/>
                        </a:xfrm>
                        <a:prstGeom prst="line">
                          <a:avLst/>
                        </a:prstGeom>
                        <a:solidFill>
                          <a:srgbClr val="FFFFFF"/>
                        </a:solidFill>
                        <a:ln w="6108">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pt,11.5pt" to="0.7pt,52.4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6198235</wp:posOffset>
                </wp:positionH>
                <wp:positionV relativeFrom="paragraph">
                  <wp:posOffset>146050</wp:posOffset>
                </wp:positionV>
                <wp:extent cx="0" cy="52006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06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8.05pt,11.5pt" to="488.05pt,52.4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149225</wp:posOffset>
                </wp:positionV>
                <wp:extent cx="619569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5695" cy="4763"/>
                        </a:xfrm>
                        <a:prstGeom prst="line">
                          <a:avLst/>
                        </a:prstGeom>
                        <a:solidFill>
                          <a:srgbClr val="FFFFFF"/>
                        </a:solidFill>
                        <a:ln w="6107">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1.75pt" to="488.3pt,11.75pt" o:allowincell="f" strokecolor="#000000" strokeweight="0.4809pt"/>
            </w:pict>
          </mc:Fallback>
        </mc:AlternateContent>
      </w:r>
    </w:p>
    <w:p>
      <w:pPr>
        <w:spacing w:after="0" w:line="213" w:lineRule="exact"/>
        <w:rPr>
          <w:sz w:val="20"/>
          <w:szCs w:val="20"/>
          <w:color w:val="auto"/>
        </w:rPr>
      </w:pPr>
    </w:p>
    <w:p>
      <w:pPr>
        <w:jc w:val="both"/>
        <w:ind w:left="140" w:right="20"/>
        <w:spacing w:after="0" w:line="264" w:lineRule="auto"/>
        <w:rPr>
          <w:sz w:val="20"/>
          <w:szCs w:val="20"/>
          <w:color w:val="auto"/>
        </w:rPr>
      </w:pPr>
      <w:r>
        <w:rPr>
          <w:rFonts w:ascii="Times New Roman" w:cs="Times New Roman" w:eastAsia="Times New Roman" w:hAnsi="Times New Roman"/>
          <w:sz w:val="22"/>
          <w:szCs w:val="22"/>
          <w:b w:val="1"/>
          <w:bCs w:val="1"/>
          <w:color w:val="auto"/>
        </w:rPr>
        <w:t>Important: Whether or not you expect to attend the meeting in person, please vote by the Internet or telephone, or request a paper proxy card to sign, date and return by mail so that your shares may be voted. A prompt response is helpful and your cooperation is appreciated.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20955</wp:posOffset>
                </wp:positionH>
                <wp:positionV relativeFrom="paragraph">
                  <wp:posOffset>-518795</wp:posOffset>
                </wp:positionV>
                <wp:extent cx="0" cy="49530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530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pt,-40.8499pt" to="1.65pt,-1.8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6186170</wp:posOffset>
                </wp:positionH>
                <wp:positionV relativeFrom="paragraph">
                  <wp:posOffset>-518795</wp:posOffset>
                </wp:positionV>
                <wp:extent cx="0" cy="4953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530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7.1pt,-40.8499pt" to="487.1pt,-1.8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-516255</wp:posOffset>
                </wp:positionV>
                <wp:extent cx="617156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094">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pt,-40.6499pt" to="487.35pt,-40.6499pt" o:allowincell="f" strokecolor="#000000" strokeweight="0.4798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-14605</wp:posOffset>
                </wp:positionV>
                <wp:extent cx="619569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56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1499pt" to="488.3pt,-1.1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-26670</wp:posOffset>
                </wp:positionV>
                <wp:extent cx="617156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pt,-2.0999pt" to="487.35pt,-2.0999pt" o:allowincell="f" strokecolor="#000000" strokeweight="0.48pt"/>
            </w:pict>
          </mc:Fallback>
        </mc:AlternateContent>
      </w:r>
    </w:p>
    <w:p>
      <w:pPr>
        <w:sectPr>
          <w:pgSz w:w="12240" w:h="15840" w:orient="portrait"/>
          <w:cols w:equalWidth="0" w:num="1">
            <w:col w:w="9640"/>
          </w:cols>
          <w:pgMar w:left="1300" w:top="1440" w:right="1300" w:bottom="76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intentionally left blank]</w:t>
      </w:r>
    </w:p>
    <w:p>
      <w:pPr>
        <w:sectPr>
          <w:pgSz w:w="12240" w:h="15840" w:orient="portrait"/>
          <w:cols w:equalWidth="0" w:num="1">
            <w:col w:w="9360"/>
          </w:cols>
          <w:pgMar w:left="1440" w:top="1440" w:right="1440" w:bottom="1440" w:gutter="0" w:footer="0" w:header="0"/>
        </w:sectPr>
      </w:pPr>
    </w:p>
    <w:bookmarkStart w:id="7" w:name="page8"/>
    <w:bookmarkEnd w:id="7"/>
    <w:p>
      <w:pPr>
        <w:ind w:left="350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20"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56" w:lineRule="exact"/>
        <w:rPr>
          <w:sz w:val="20"/>
          <w:szCs w:val="20"/>
          <w:color w:val="auto"/>
        </w:rPr>
      </w:pPr>
    </w:p>
    <w:p>
      <w:pPr>
        <w:spacing w:after="0"/>
        <w:tabs>
          <w:tab w:leader="dot" w:pos="9220" w:val="left"/>
        </w:tabs>
        <w:rPr>
          <w:sz w:val="20"/>
          <w:szCs w:val="20"/>
          <w:color w:val="auto"/>
        </w:rPr>
      </w:pPr>
      <w:r>
        <w:rPr>
          <w:rFonts w:ascii="Times New Roman" w:cs="Times New Roman" w:eastAsia="Times New Roman" w:hAnsi="Times New Roman"/>
          <w:sz w:val="22"/>
          <w:szCs w:val="22"/>
          <w:color w:val="auto"/>
        </w:rPr>
        <w:t>PROXY STATEMENT SUMMARY</w:t>
      </w:r>
      <w:r>
        <w:rPr>
          <w:sz w:val="20"/>
          <w:szCs w:val="20"/>
          <w:color w:val="auto"/>
        </w:rPr>
        <w:tab/>
      </w:r>
      <w:r>
        <w:rPr>
          <w:rFonts w:ascii="Times New Roman" w:cs="Times New Roman" w:eastAsia="Times New Roman" w:hAnsi="Times New Roman"/>
          <w:sz w:val="22"/>
          <w:szCs w:val="22"/>
          <w:color w:val="auto"/>
        </w:rPr>
        <w:t>3</w:t>
      </w:r>
    </w:p>
    <w:p>
      <w:pPr>
        <w:spacing w:after="0" w:line="32" w:lineRule="exact"/>
        <w:rPr>
          <w:sz w:val="20"/>
          <w:szCs w:val="20"/>
          <w:color w:val="auto"/>
        </w:rPr>
      </w:pPr>
    </w:p>
    <w:p>
      <w:pPr>
        <w:spacing w:after="0"/>
        <w:tabs>
          <w:tab w:leader="dot" w:pos="9120" w:val="left"/>
        </w:tabs>
        <w:rPr>
          <w:sz w:val="20"/>
          <w:szCs w:val="20"/>
          <w:color w:val="auto"/>
        </w:rPr>
      </w:pPr>
      <w:r>
        <w:rPr>
          <w:rFonts w:ascii="Times New Roman" w:cs="Times New Roman" w:eastAsia="Times New Roman" w:hAnsi="Times New Roman"/>
          <w:sz w:val="22"/>
          <w:szCs w:val="22"/>
          <w:color w:val="auto"/>
        </w:rPr>
        <w:t>GENERAL INFORMATION ABOUT THE ANNUAL MEETING AND VOTING</w:t>
      </w:r>
      <w:r>
        <w:rPr>
          <w:sz w:val="20"/>
          <w:szCs w:val="20"/>
          <w:color w:val="auto"/>
        </w:rPr>
        <w:tab/>
      </w:r>
      <w:r>
        <w:rPr>
          <w:rFonts w:ascii="Times New Roman" w:cs="Times New Roman" w:eastAsia="Times New Roman" w:hAnsi="Times New Roman"/>
          <w:sz w:val="22"/>
          <w:szCs w:val="22"/>
          <w:color w:val="auto"/>
        </w:rPr>
        <w:t>14</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Date, Time, Place and Purposes of Meeting</w:t>
      </w:r>
      <w:r>
        <w:rPr>
          <w:sz w:val="20"/>
          <w:szCs w:val="20"/>
          <w:color w:val="auto"/>
        </w:rPr>
        <w:tab/>
      </w:r>
      <w:r>
        <w:rPr>
          <w:rFonts w:ascii="Times New Roman" w:cs="Times New Roman" w:eastAsia="Times New Roman" w:hAnsi="Times New Roman"/>
          <w:sz w:val="22"/>
          <w:szCs w:val="22"/>
          <w:color w:val="auto"/>
        </w:rPr>
        <w:t>14</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Who Can Vote</w:t>
      </w:r>
      <w:r>
        <w:rPr>
          <w:sz w:val="20"/>
          <w:szCs w:val="20"/>
          <w:color w:val="auto"/>
        </w:rPr>
        <w:tab/>
      </w:r>
      <w:r>
        <w:rPr>
          <w:rFonts w:ascii="Times New Roman" w:cs="Times New Roman" w:eastAsia="Times New Roman" w:hAnsi="Times New Roman"/>
          <w:sz w:val="22"/>
          <w:szCs w:val="22"/>
          <w:color w:val="auto"/>
        </w:rPr>
        <w:t>14</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How You Can Vote</w:t>
      </w:r>
      <w:r>
        <w:rPr>
          <w:sz w:val="20"/>
          <w:szCs w:val="20"/>
          <w:color w:val="auto"/>
        </w:rPr>
        <w:tab/>
      </w:r>
      <w:r>
        <w:rPr>
          <w:rFonts w:ascii="Times New Roman" w:cs="Times New Roman" w:eastAsia="Times New Roman" w:hAnsi="Times New Roman"/>
          <w:sz w:val="22"/>
          <w:szCs w:val="22"/>
          <w:color w:val="auto"/>
        </w:rPr>
        <w:t>14</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How Does the Board Recommend that You Vote</w:t>
      </w:r>
      <w:r>
        <w:rPr>
          <w:sz w:val="20"/>
          <w:szCs w:val="20"/>
          <w:color w:val="auto"/>
        </w:rPr>
        <w:tab/>
      </w:r>
      <w:r>
        <w:rPr>
          <w:rFonts w:ascii="Times New Roman" w:cs="Times New Roman" w:eastAsia="Times New Roman" w:hAnsi="Times New Roman"/>
          <w:sz w:val="22"/>
          <w:szCs w:val="22"/>
          <w:color w:val="auto"/>
        </w:rPr>
        <w:t>16</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How You May Change Your Vote or Revoke Your Proxy</w:t>
      </w:r>
      <w:r>
        <w:rPr>
          <w:sz w:val="20"/>
          <w:szCs w:val="20"/>
          <w:color w:val="auto"/>
        </w:rPr>
        <w:tab/>
      </w:r>
      <w:r>
        <w:rPr>
          <w:rFonts w:ascii="Times New Roman" w:cs="Times New Roman" w:eastAsia="Times New Roman" w:hAnsi="Times New Roman"/>
          <w:sz w:val="22"/>
          <w:szCs w:val="22"/>
          <w:color w:val="auto"/>
        </w:rPr>
        <w:t>16</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Quorum Requirement</w:t>
      </w:r>
      <w:r>
        <w:rPr>
          <w:sz w:val="20"/>
          <w:szCs w:val="20"/>
          <w:color w:val="auto"/>
        </w:rPr>
        <w:tab/>
      </w:r>
      <w:r>
        <w:rPr>
          <w:rFonts w:ascii="Times New Roman" w:cs="Times New Roman" w:eastAsia="Times New Roman" w:hAnsi="Times New Roman"/>
          <w:sz w:val="22"/>
          <w:szCs w:val="22"/>
          <w:color w:val="auto"/>
        </w:rPr>
        <w:t>16</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Vote Required</w:t>
      </w:r>
      <w:r>
        <w:rPr>
          <w:sz w:val="20"/>
          <w:szCs w:val="20"/>
          <w:color w:val="auto"/>
        </w:rPr>
        <w:tab/>
      </w:r>
      <w:r>
        <w:rPr>
          <w:rFonts w:ascii="Times New Roman" w:cs="Times New Roman" w:eastAsia="Times New Roman" w:hAnsi="Times New Roman"/>
          <w:sz w:val="22"/>
          <w:szCs w:val="22"/>
          <w:color w:val="auto"/>
        </w:rPr>
        <w:t>17</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Other Business</w:t>
      </w:r>
      <w:r>
        <w:rPr>
          <w:sz w:val="20"/>
          <w:szCs w:val="20"/>
          <w:color w:val="auto"/>
        </w:rPr>
        <w:tab/>
      </w:r>
      <w:r>
        <w:rPr>
          <w:rFonts w:ascii="Times New Roman" w:cs="Times New Roman" w:eastAsia="Times New Roman" w:hAnsi="Times New Roman"/>
          <w:sz w:val="22"/>
          <w:szCs w:val="22"/>
          <w:color w:val="auto"/>
        </w:rPr>
        <w:t>18</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Procedures at the Annual Meeting</w:t>
      </w:r>
      <w:r>
        <w:rPr>
          <w:sz w:val="20"/>
          <w:szCs w:val="20"/>
          <w:color w:val="auto"/>
        </w:rPr>
        <w:tab/>
      </w:r>
      <w:r>
        <w:rPr>
          <w:rFonts w:ascii="Times New Roman" w:cs="Times New Roman" w:eastAsia="Times New Roman" w:hAnsi="Times New Roman"/>
          <w:sz w:val="22"/>
          <w:szCs w:val="22"/>
          <w:color w:val="auto"/>
        </w:rPr>
        <w:t>18</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Householding of Annual Meeting Materials</w:t>
      </w:r>
      <w:r>
        <w:rPr>
          <w:sz w:val="20"/>
          <w:szCs w:val="20"/>
          <w:color w:val="auto"/>
        </w:rPr>
        <w:tab/>
      </w:r>
      <w:r>
        <w:rPr>
          <w:rFonts w:ascii="Times New Roman" w:cs="Times New Roman" w:eastAsia="Times New Roman" w:hAnsi="Times New Roman"/>
          <w:sz w:val="22"/>
          <w:szCs w:val="22"/>
          <w:color w:val="auto"/>
        </w:rPr>
        <w:t>18</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Proxy Solicitation Costs</w:t>
      </w:r>
      <w:r>
        <w:rPr>
          <w:sz w:val="20"/>
          <w:szCs w:val="20"/>
          <w:color w:val="auto"/>
        </w:rPr>
        <w:tab/>
      </w:r>
      <w:r>
        <w:rPr>
          <w:rFonts w:ascii="Times New Roman" w:cs="Times New Roman" w:eastAsia="Times New Roman" w:hAnsi="Times New Roman"/>
          <w:sz w:val="22"/>
          <w:szCs w:val="22"/>
          <w:color w:val="auto"/>
        </w:rPr>
        <w:t>19</w:t>
      </w:r>
    </w:p>
    <w:p>
      <w:pPr>
        <w:spacing w:after="0"/>
        <w:tabs>
          <w:tab w:leader="dot" w:pos="9120" w:val="left"/>
        </w:tabs>
        <w:rPr>
          <w:sz w:val="20"/>
          <w:szCs w:val="20"/>
          <w:color w:val="auto"/>
        </w:rPr>
      </w:pPr>
      <w:r>
        <w:rPr>
          <w:rFonts w:ascii="Times New Roman" w:cs="Times New Roman" w:eastAsia="Times New Roman" w:hAnsi="Times New Roman"/>
          <w:sz w:val="22"/>
          <w:szCs w:val="22"/>
          <w:color w:val="auto"/>
        </w:rPr>
        <w:t>PROPOSAL ONE—ELECTION OF DIRECTORS</w:t>
      </w:r>
      <w:r>
        <w:rPr>
          <w:sz w:val="20"/>
          <w:szCs w:val="20"/>
          <w:color w:val="auto"/>
        </w:rPr>
        <w:tab/>
      </w:r>
      <w:r>
        <w:rPr>
          <w:rFonts w:ascii="Times New Roman" w:cs="Times New Roman" w:eastAsia="Times New Roman" w:hAnsi="Times New Roman"/>
          <w:sz w:val="22"/>
          <w:szCs w:val="22"/>
          <w:color w:val="auto"/>
        </w:rPr>
        <w:t>20</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Number of Directors</w:t>
      </w:r>
      <w:r>
        <w:rPr>
          <w:sz w:val="20"/>
          <w:szCs w:val="20"/>
          <w:color w:val="auto"/>
        </w:rPr>
        <w:tab/>
      </w:r>
      <w:r>
        <w:rPr>
          <w:rFonts w:ascii="Times New Roman" w:cs="Times New Roman" w:eastAsia="Times New Roman" w:hAnsi="Times New Roman"/>
          <w:sz w:val="22"/>
          <w:szCs w:val="22"/>
          <w:color w:val="auto"/>
        </w:rPr>
        <w:t>20</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Nominees for Director</w:t>
      </w:r>
      <w:r>
        <w:rPr>
          <w:sz w:val="20"/>
          <w:szCs w:val="20"/>
          <w:color w:val="auto"/>
        </w:rPr>
        <w:tab/>
      </w:r>
      <w:r>
        <w:rPr>
          <w:rFonts w:ascii="Times New Roman" w:cs="Times New Roman" w:eastAsia="Times New Roman" w:hAnsi="Times New Roman"/>
          <w:sz w:val="22"/>
          <w:szCs w:val="22"/>
          <w:color w:val="auto"/>
        </w:rPr>
        <w:t>20</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Information about Current Directors and Board Nominees</w:t>
      </w:r>
      <w:r>
        <w:rPr>
          <w:sz w:val="20"/>
          <w:szCs w:val="20"/>
          <w:color w:val="auto"/>
        </w:rPr>
        <w:tab/>
      </w:r>
      <w:r>
        <w:rPr>
          <w:rFonts w:ascii="Times New Roman" w:cs="Times New Roman" w:eastAsia="Times New Roman" w:hAnsi="Times New Roman"/>
          <w:sz w:val="22"/>
          <w:szCs w:val="22"/>
          <w:color w:val="auto"/>
        </w:rPr>
        <w:t>20</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Additional Information about Current Directors and Board Nominees</w:t>
      </w:r>
      <w:r>
        <w:rPr>
          <w:sz w:val="20"/>
          <w:szCs w:val="20"/>
          <w:color w:val="auto"/>
        </w:rPr>
        <w:tab/>
      </w:r>
      <w:r>
        <w:rPr>
          <w:rFonts w:ascii="Times New Roman" w:cs="Times New Roman" w:eastAsia="Times New Roman" w:hAnsi="Times New Roman"/>
          <w:sz w:val="22"/>
          <w:szCs w:val="22"/>
          <w:color w:val="auto"/>
        </w:rPr>
        <w:t>21</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Board Recommendation</w:t>
      </w:r>
      <w:r>
        <w:rPr>
          <w:sz w:val="20"/>
          <w:szCs w:val="20"/>
          <w:color w:val="auto"/>
        </w:rPr>
        <w:tab/>
      </w:r>
      <w:r>
        <w:rPr>
          <w:rFonts w:ascii="Times New Roman" w:cs="Times New Roman" w:eastAsia="Times New Roman" w:hAnsi="Times New Roman"/>
          <w:sz w:val="22"/>
          <w:szCs w:val="22"/>
          <w:color w:val="auto"/>
        </w:rPr>
        <w:t>24</w:t>
      </w:r>
    </w:p>
    <w:p>
      <w:pPr>
        <w:spacing w:after="0"/>
        <w:tabs>
          <w:tab w:leader="dot" w:pos="9120" w:val="left"/>
        </w:tabs>
        <w:rPr>
          <w:sz w:val="20"/>
          <w:szCs w:val="20"/>
          <w:color w:val="auto"/>
        </w:rPr>
      </w:pPr>
      <w:r>
        <w:rPr>
          <w:rFonts w:ascii="Times New Roman" w:cs="Times New Roman" w:eastAsia="Times New Roman" w:hAnsi="Times New Roman"/>
          <w:sz w:val="22"/>
          <w:szCs w:val="22"/>
          <w:color w:val="auto"/>
        </w:rPr>
        <w:t>PROPOSAL TWO—ADVISORY VOTE ON EXECUTIVE COMPENSATION</w:t>
      </w:r>
      <w:r>
        <w:rPr>
          <w:sz w:val="20"/>
          <w:szCs w:val="20"/>
          <w:color w:val="auto"/>
        </w:rPr>
        <w:tab/>
      </w:r>
      <w:r>
        <w:rPr>
          <w:rFonts w:ascii="Times New Roman" w:cs="Times New Roman" w:eastAsia="Times New Roman" w:hAnsi="Times New Roman"/>
          <w:sz w:val="22"/>
          <w:szCs w:val="22"/>
          <w:color w:val="auto"/>
        </w:rPr>
        <w:t>25</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Introduction</w:t>
      </w:r>
      <w:r>
        <w:rPr>
          <w:sz w:val="20"/>
          <w:szCs w:val="20"/>
          <w:color w:val="auto"/>
        </w:rPr>
        <w:tab/>
      </w:r>
      <w:r>
        <w:rPr>
          <w:rFonts w:ascii="Times New Roman" w:cs="Times New Roman" w:eastAsia="Times New Roman" w:hAnsi="Times New Roman"/>
          <w:sz w:val="22"/>
          <w:szCs w:val="22"/>
          <w:color w:val="auto"/>
        </w:rPr>
        <w:t>25</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Why You Should Vote in Favor of Our Say-on-Pay Vote</w:t>
      </w:r>
      <w:r>
        <w:rPr>
          <w:sz w:val="20"/>
          <w:szCs w:val="20"/>
          <w:color w:val="auto"/>
        </w:rPr>
        <w:tab/>
      </w:r>
      <w:r>
        <w:rPr>
          <w:rFonts w:ascii="Times New Roman" w:cs="Times New Roman" w:eastAsia="Times New Roman" w:hAnsi="Times New Roman"/>
          <w:sz w:val="22"/>
          <w:szCs w:val="22"/>
          <w:color w:val="auto"/>
        </w:rPr>
        <w:t>25</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Proposed Resolution</w:t>
      </w:r>
      <w:r>
        <w:rPr>
          <w:sz w:val="20"/>
          <w:szCs w:val="20"/>
          <w:color w:val="auto"/>
        </w:rPr>
        <w:tab/>
      </w:r>
      <w:r>
        <w:rPr>
          <w:rFonts w:ascii="Times New Roman" w:cs="Times New Roman" w:eastAsia="Times New Roman" w:hAnsi="Times New Roman"/>
          <w:sz w:val="22"/>
          <w:szCs w:val="22"/>
          <w:color w:val="auto"/>
        </w:rPr>
        <w:t>26</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Next Say-on-Pay Vote</w:t>
      </w:r>
      <w:r>
        <w:rPr>
          <w:sz w:val="20"/>
          <w:szCs w:val="20"/>
          <w:color w:val="auto"/>
        </w:rPr>
        <w:tab/>
      </w:r>
      <w:r>
        <w:rPr>
          <w:rFonts w:ascii="Times New Roman" w:cs="Times New Roman" w:eastAsia="Times New Roman" w:hAnsi="Times New Roman"/>
          <w:sz w:val="22"/>
          <w:szCs w:val="22"/>
          <w:color w:val="auto"/>
        </w:rPr>
        <w:t>26</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Board Recommendation</w:t>
      </w:r>
      <w:r>
        <w:rPr>
          <w:sz w:val="20"/>
          <w:szCs w:val="20"/>
          <w:color w:val="auto"/>
        </w:rPr>
        <w:tab/>
      </w:r>
      <w:r>
        <w:rPr>
          <w:rFonts w:ascii="Times New Roman" w:cs="Times New Roman" w:eastAsia="Times New Roman" w:hAnsi="Times New Roman"/>
          <w:sz w:val="22"/>
          <w:szCs w:val="22"/>
          <w:color w:val="auto"/>
        </w:rPr>
        <w:t>26</w:t>
      </w:r>
    </w:p>
    <w:p>
      <w:pPr>
        <w:spacing w:after="0"/>
        <w:rPr>
          <w:sz w:val="20"/>
          <w:szCs w:val="20"/>
          <w:color w:val="auto"/>
        </w:rPr>
      </w:pPr>
      <w:r>
        <w:rPr>
          <w:rFonts w:ascii="Times New Roman" w:cs="Times New Roman" w:eastAsia="Times New Roman" w:hAnsi="Times New Roman"/>
          <w:sz w:val="22"/>
          <w:szCs w:val="22"/>
          <w:color w:val="auto"/>
        </w:rPr>
        <w:t>PROPOSAL THREE—ADVISORY VOTE ON THE FREQUENCY OF FUTURE ADVISORY</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VOTES ON EXECUTIVE COMPENSATION</w:t>
      </w:r>
      <w:r>
        <w:rPr>
          <w:sz w:val="20"/>
          <w:szCs w:val="20"/>
          <w:color w:val="auto"/>
        </w:rPr>
        <w:tab/>
      </w:r>
      <w:r>
        <w:rPr>
          <w:rFonts w:ascii="Times New Roman" w:cs="Times New Roman" w:eastAsia="Times New Roman" w:hAnsi="Times New Roman"/>
          <w:sz w:val="22"/>
          <w:szCs w:val="22"/>
          <w:color w:val="auto"/>
        </w:rPr>
        <w:t>27</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Background</w:t>
      </w:r>
      <w:r>
        <w:rPr>
          <w:sz w:val="20"/>
          <w:szCs w:val="20"/>
          <w:color w:val="auto"/>
        </w:rPr>
        <w:tab/>
      </w:r>
      <w:r>
        <w:rPr>
          <w:rFonts w:ascii="Times New Roman" w:cs="Times New Roman" w:eastAsia="Times New Roman" w:hAnsi="Times New Roman"/>
          <w:sz w:val="22"/>
          <w:szCs w:val="22"/>
          <w:color w:val="auto"/>
        </w:rPr>
        <w:t>27</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Reasons for an Annual Say-on-Pay Vote Recommendation</w:t>
      </w:r>
      <w:r>
        <w:rPr>
          <w:sz w:val="20"/>
          <w:szCs w:val="20"/>
          <w:color w:val="auto"/>
        </w:rPr>
        <w:tab/>
      </w:r>
      <w:r>
        <w:rPr>
          <w:rFonts w:ascii="Times New Roman" w:cs="Times New Roman" w:eastAsia="Times New Roman" w:hAnsi="Times New Roman"/>
          <w:sz w:val="22"/>
          <w:szCs w:val="22"/>
          <w:color w:val="auto"/>
        </w:rPr>
        <w:t>27</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Board Recommendation</w:t>
      </w:r>
      <w:r>
        <w:rPr>
          <w:sz w:val="20"/>
          <w:szCs w:val="20"/>
          <w:color w:val="auto"/>
        </w:rPr>
        <w:tab/>
      </w:r>
      <w:r>
        <w:rPr>
          <w:rFonts w:ascii="Times New Roman" w:cs="Times New Roman" w:eastAsia="Times New Roman" w:hAnsi="Times New Roman"/>
          <w:sz w:val="22"/>
          <w:szCs w:val="22"/>
          <w:color w:val="auto"/>
        </w:rPr>
        <w:t>28</w:t>
      </w:r>
    </w:p>
    <w:p>
      <w:pPr>
        <w:spacing w:after="0"/>
        <w:rPr>
          <w:sz w:val="20"/>
          <w:szCs w:val="20"/>
          <w:color w:val="auto"/>
        </w:rPr>
      </w:pPr>
      <w:r>
        <w:rPr>
          <w:rFonts w:ascii="Times New Roman" w:cs="Times New Roman" w:eastAsia="Times New Roman" w:hAnsi="Times New Roman"/>
          <w:sz w:val="22"/>
          <w:szCs w:val="22"/>
          <w:color w:val="auto"/>
        </w:rPr>
        <w:t>PROPOSAL FOUR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RATIFICATION OF APPOINTMENT OF INDEPENDENT</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REGISTERED PUBLIC ACCOUNTING FIRM</w:t>
      </w:r>
      <w:r>
        <w:rPr>
          <w:sz w:val="20"/>
          <w:szCs w:val="20"/>
          <w:color w:val="auto"/>
        </w:rPr>
        <w:tab/>
      </w:r>
      <w:r>
        <w:rPr>
          <w:rFonts w:ascii="Times New Roman" w:cs="Times New Roman" w:eastAsia="Times New Roman" w:hAnsi="Times New Roman"/>
          <w:sz w:val="22"/>
          <w:szCs w:val="22"/>
          <w:color w:val="auto"/>
        </w:rPr>
        <w:t>29</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Appointment of Independent Registered Public Accounting Firm</w:t>
      </w:r>
      <w:r>
        <w:rPr>
          <w:sz w:val="20"/>
          <w:szCs w:val="20"/>
          <w:color w:val="auto"/>
        </w:rPr>
        <w:tab/>
      </w:r>
      <w:r>
        <w:rPr>
          <w:rFonts w:ascii="Times New Roman" w:cs="Times New Roman" w:eastAsia="Times New Roman" w:hAnsi="Times New Roman"/>
          <w:sz w:val="22"/>
          <w:szCs w:val="22"/>
          <w:color w:val="auto"/>
        </w:rPr>
        <w:t>29</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Audit, Audit-Related, Tax and Other Fees</w:t>
      </w:r>
      <w:r>
        <w:rPr>
          <w:sz w:val="20"/>
          <w:szCs w:val="20"/>
          <w:color w:val="auto"/>
        </w:rPr>
        <w:tab/>
      </w:r>
      <w:r>
        <w:rPr>
          <w:rFonts w:ascii="Times New Roman" w:cs="Times New Roman" w:eastAsia="Times New Roman" w:hAnsi="Times New Roman"/>
          <w:sz w:val="22"/>
          <w:szCs w:val="22"/>
          <w:color w:val="auto"/>
        </w:rPr>
        <w:t>29</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Audit Committee Pre-Approval Policies and Procedures</w:t>
      </w:r>
      <w:r>
        <w:rPr>
          <w:sz w:val="20"/>
          <w:szCs w:val="20"/>
          <w:color w:val="auto"/>
        </w:rPr>
        <w:tab/>
      </w:r>
      <w:r>
        <w:rPr>
          <w:rFonts w:ascii="Times New Roman" w:cs="Times New Roman" w:eastAsia="Times New Roman" w:hAnsi="Times New Roman"/>
          <w:sz w:val="22"/>
          <w:szCs w:val="22"/>
          <w:color w:val="auto"/>
        </w:rPr>
        <w:t>30</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Board Recommendation</w:t>
      </w:r>
      <w:r>
        <w:rPr>
          <w:sz w:val="20"/>
          <w:szCs w:val="20"/>
          <w:color w:val="auto"/>
        </w:rPr>
        <w:tab/>
      </w:r>
      <w:r>
        <w:rPr>
          <w:rFonts w:ascii="Times New Roman" w:cs="Times New Roman" w:eastAsia="Times New Roman" w:hAnsi="Times New Roman"/>
          <w:sz w:val="22"/>
          <w:szCs w:val="22"/>
          <w:color w:val="auto"/>
        </w:rPr>
        <w:t>30</w:t>
      </w:r>
    </w:p>
    <w:p>
      <w:pPr>
        <w:spacing w:after="0"/>
        <w:tabs>
          <w:tab w:leader="dot" w:pos="9120" w:val="left"/>
        </w:tabs>
        <w:rPr>
          <w:sz w:val="20"/>
          <w:szCs w:val="20"/>
          <w:color w:val="auto"/>
        </w:rPr>
      </w:pPr>
      <w:r>
        <w:rPr>
          <w:rFonts w:ascii="Times New Roman" w:cs="Times New Roman" w:eastAsia="Times New Roman" w:hAnsi="Times New Roman"/>
          <w:sz w:val="22"/>
          <w:szCs w:val="22"/>
          <w:color w:val="auto"/>
        </w:rPr>
        <w:t>STOCK OWNERSHIP</w:t>
      </w:r>
      <w:r>
        <w:rPr>
          <w:sz w:val="20"/>
          <w:szCs w:val="20"/>
          <w:color w:val="auto"/>
        </w:rPr>
        <w:tab/>
      </w:r>
      <w:r>
        <w:rPr>
          <w:rFonts w:ascii="Times New Roman" w:cs="Times New Roman" w:eastAsia="Times New Roman" w:hAnsi="Times New Roman"/>
          <w:sz w:val="22"/>
          <w:szCs w:val="22"/>
          <w:color w:val="auto"/>
        </w:rPr>
        <w:t>31</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Beneficial Ownership of Significant Stockholders and Management</w:t>
      </w:r>
      <w:r>
        <w:rPr>
          <w:sz w:val="20"/>
          <w:szCs w:val="20"/>
          <w:color w:val="auto"/>
        </w:rPr>
        <w:tab/>
      </w:r>
      <w:r>
        <w:rPr>
          <w:rFonts w:ascii="Times New Roman" w:cs="Times New Roman" w:eastAsia="Times New Roman" w:hAnsi="Times New Roman"/>
          <w:sz w:val="22"/>
          <w:szCs w:val="22"/>
          <w:color w:val="auto"/>
        </w:rPr>
        <w:t>31</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Stock Ownership Guidelines</w:t>
      </w:r>
      <w:r>
        <w:rPr>
          <w:sz w:val="20"/>
          <w:szCs w:val="20"/>
          <w:color w:val="auto"/>
        </w:rPr>
        <w:tab/>
      </w:r>
      <w:r>
        <w:rPr>
          <w:rFonts w:ascii="Times New Roman" w:cs="Times New Roman" w:eastAsia="Times New Roman" w:hAnsi="Times New Roman"/>
          <w:sz w:val="22"/>
          <w:szCs w:val="22"/>
          <w:color w:val="auto"/>
        </w:rPr>
        <w:t>33</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Securities Authorized for Issuance Under Equity Compensation Plans</w:t>
      </w:r>
      <w:r>
        <w:rPr>
          <w:sz w:val="20"/>
          <w:szCs w:val="20"/>
          <w:color w:val="auto"/>
        </w:rPr>
        <w:tab/>
      </w:r>
      <w:r>
        <w:rPr>
          <w:rFonts w:ascii="Times New Roman" w:cs="Times New Roman" w:eastAsia="Times New Roman" w:hAnsi="Times New Roman"/>
          <w:sz w:val="22"/>
          <w:szCs w:val="22"/>
          <w:color w:val="auto"/>
        </w:rPr>
        <w:t>33</w:t>
      </w:r>
    </w:p>
    <w:p>
      <w:pPr>
        <w:spacing w:after="0"/>
        <w:tabs>
          <w:tab w:leader="dot" w:pos="9120" w:val="left"/>
        </w:tabs>
        <w:rPr>
          <w:sz w:val="20"/>
          <w:szCs w:val="20"/>
          <w:color w:val="auto"/>
        </w:rPr>
      </w:pPr>
      <w:r>
        <w:rPr>
          <w:rFonts w:ascii="Times New Roman" w:cs="Times New Roman" w:eastAsia="Times New Roman" w:hAnsi="Times New Roman"/>
          <w:sz w:val="22"/>
          <w:szCs w:val="22"/>
          <w:color w:val="auto"/>
        </w:rPr>
        <w:t>CORPORATE GOVERNANCE</w:t>
      </w:r>
      <w:r>
        <w:rPr>
          <w:sz w:val="20"/>
          <w:szCs w:val="20"/>
          <w:color w:val="auto"/>
        </w:rPr>
        <w:tab/>
      </w:r>
      <w:r>
        <w:rPr>
          <w:rFonts w:ascii="Times New Roman" w:cs="Times New Roman" w:eastAsia="Times New Roman" w:hAnsi="Times New Roman"/>
          <w:sz w:val="22"/>
          <w:szCs w:val="22"/>
          <w:color w:val="auto"/>
        </w:rPr>
        <w:t>35</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Governance Best Practices</w:t>
      </w:r>
      <w:r>
        <w:rPr>
          <w:sz w:val="20"/>
          <w:szCs w:val="20"/>
          <w:color w:val="auto"/>
        </w:rPr>
        <w:tab/>
      </w:r>
      <w:r>
        <w:rPr>
          <w:rFonts w:ascii="Times New Roman" w:cs="Times New Roman" w:eastAsia="Times New Roman" w:hAnsi="Times New Roman"/>
          <w:sz w:val="22"/>
          <w:szCs w:val="22"/>
          <w:color w:val="auto"/>
        </w:rPr>
        <w:t>35</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Corporate Governance Guidelines</w:t>
      </w:r>
      <w:r>
        <w:rPr>
          <w:sz w:val="20"/>
          <w:szCs w:val="20"/>
          <w:color w:val="auto"/>
        </w:rPr>
        <w:tab/>
      </w:r>
      <w:r>
        <w:rPr>
          <w:rFonts w:ascii="Times New Roman" w:cs="Times New Roman" w:eastAsia="Times New Roman" w:hAnsi="Times New Roman"/>
          <w:sz w:val="22"/>
          <w:szCs w:val="22"/>
          <w:color w:val="auto"/>
        </w:rPr>
        <w:t>36</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Board Leadership Structure</w:t>
      </w:r>
      <w:r>
        <w:rPr>
          <w:sz w:val="20"/>
          <w:szCs w:val="20"/>
          <w:color w:val="auto"/>
        </w:rPr>
        <w:tab/>
      </w:r>
      <w:r>
        <w:rPr>
          <w:rFonts w:ascii="Times New Roman" w:cs="Times New Roman" w:eastAsia="Times New Roman" w:hAnsi="Times New Roman"/>
          <w:sz w:val="22"/>
          <w:szCs w:val="22"/>
          <w:color w:val="auto"/>
        </w:rPr>
        <w:t>36</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Director Independence</w:t>
      </w:r>
      <w:r>
        <w:rPr>
          <w:sz w:val="20"/>
          <w:szCs w:val="20"/>
          <w:color w:val="auto"/>
        </w:rPr>
        <w:tab/>
      </w:r>
      <w:r>
        <w:rPr>
          <w:rFonts w:ascii="Times New Roman" w:cs="Times New Roman" w:eastAsia="Times New Roman" w:hAnsi="Times New Roman"/>
          <w:sz w:val="22"/>
          <w:szCs w:val="22"/>
          <w:color w:val="auto"/>
        </w:rPr>
        <w:t>37</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Board Meetings and Attendance</w:t>
      </w:r>
      <w:r>
        <w:rPr>
          <w:sz w:val="20"/>
          <w:szCs w:val="20"/>
          <w:color w:val="auto"/>
        </w:rPr>
        <w:tab/>
      </w:r>
      <w:r>
        <w:rPr>
          <w:rFonts w:ascii="Times New Roman" w:cs="Times New Roman" w:eastAsia="Times New Roman" w:hAnsi="Times New Roman"/>
          <w:sz w:val="22"/>
          <w:szCs w:val="22"/>
          <w:color w:val="auto"/>
        </w:rPr>
        <w:t>37</w:t>
      </w:r>
    </w:p>
    <w:p>
      <w:pPr>
        <w:ind w:left="240"/>
        <w:spacing w:after="0"/>
        <w:tabs>
          <w:tab w:leader="dot" w:pos="9120" w:val="left"/>
        </w:tabs>
        <w:rPr>
          <w:sz w:val="20"/>
          <w:szCs w:val="20"/>
          <w:color w:val="auto"/>
        </w:rPr>
      </w:pPr>
      <w:r>
        <w:rPr>
          <w:rFonts w:ascii="Times New Roman" w:cs="Times New Roman" w:eastAsia="Times New Roman" w:hAnsi="Times New Roman"/>
          <w:sz w:val="22"/>
          <w:szCs w:val="22"/>
          <w:color w:val="auto"/>
        </w:rPr>
        <w:t>Board Committees</w:t>
      </w:r>
      <w:r>
        <w:rPr>
          <w:sz w:val="20"/>
          <w:szCs w:val="20"/>
          <w:color w:val="auto"/>
        </w:rPr>
        <w:tab/>
      </w:r>
      <w:r>
        <w:rPr>
          <w:rFonts w:ascii="Times New Roman" w:cs="Times New Roman" w:eastAsia="Times New Roman" w:hAnsi="Times New Roman"/>
          <w:sz w:val="22"/>
          <w:szCs w:val="22"/>
          <w:color w:val="auto"/>
        </w:rPr>
        <w:t>37</w:t>
      </w:r>
    </w:p>
    <w:p>
      <w:pPr>
        <w:sectPr>
          <w:pgSz w:w="12240" w:h="15840" w:orient="portrait"/>
          <w:cols w:equalWidth="0" w:num="1">
            <w:col w:w="9360"/>
          </w:cols>
          <w:pgMar w:left="1440" w:top="1413" w:right="144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2240" w:h="15840" w:orient="portrait"/>
          <w:cols w:equalWidth="0" w:num="1">
            <w:col w:w="9360"/>
          </w:cols>
          <w:pgMar w:left="1440" w:top="1413" w:right="1440" w:bottom="34"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Audit Committee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37</w:t>
            </w:r>
          </w:p>
        </w:tc>
      </w:tr>
      <w:tr>
        <w:trPr>
          <w:trHeight w:val="252"/>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Compensation Committee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39</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Nominating and Corporate Governance Committee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41</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 Nominations Process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42</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Board Oversight of Risk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43</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Board Oversight of Strategy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44</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Board and Board Committee Evaluations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44</w:t>
            </w:r>
          </w:p>
        </w:tc>
      </w:tr>
      <w:tr>
        <w:trPr>
          <w:trHeight w:val="252"/>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Code of Ethics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45</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No Political Contributions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45</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Policy Regarding Director Attendance at Annual Meetings of Stockholders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45</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Complaint Procedures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45</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Stockholder Engagement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45</w:t>
            </w:r>
          </w:p>
        </w:tc>
      </w:tr>
      <w:tr>
        <w:trPr>
          <w:trHeight w:val="252"/>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Process Regarding Stockholder Communications with Board of Directors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46</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DIRECTOR COMPENSATION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47</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Summary of Cash and Other Compensation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47</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Non-Employee Director Compensation Program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48</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Consulting Agreement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50</w:t>
            </w:r>
          </w:p>
        </w:tc>
      </w:tr>
      <w:tr>
        <w:trPr>
          <w:trHeight w:val="252"/>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EXECUTIVE COMPENSATION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51</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Compensation Review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51</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Summary of Cash and Other Compensation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61</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Outstanding Equity Awards at Fiscal Year End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62</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Stock Incentive Plans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63</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Post-Termination Severance and Change in Control Arrangements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65</w:t>
            </w:r>
          </w:p>
        </w:tc>
      </w:tr>
      <w:tr>
        <w:trPr>
          <w:trHeight w:val="252"/>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Pay Versus Performance Disclosure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67</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Compensation Committee Interlocks and Insider Participation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67</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RELATED PERSON RELATIONSHIPS AND TRANSACTIONS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73</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Introduction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73</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Procedures Regarding Approval of Related Party Transactions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73</w:t>
            </w:r>
          </w:p>
        </w:tc>
      </w:tr>
      <w:tr>
        <w:trPr>
          <w:trHeight w:val="252"/>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Description of Related Party Transactions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74</w:t>
            </w:r>
          </w:p>
        </w:tc>
      </w:tr>
      <w:tr>
        <w:trPr>
          <w:trHeight w:val="253"/>
        </w:trPr>
        <w:tc>
          <w:tcPr>
            <w:tcW w:w="9120" w:type="dxa"/>
            <w:vAlign w:val="bottom"/>
          </w:tcPr>
          <w:p>
            <w:pPr>
              <w:jc w:val="right"/>
              <w:ind w:right="850"/>
              <w:spacing w:after="0"/>
              <w:rPr>
                <w:sz w:val="20"/>
                <w:szCs w:val="20"/>
                <w:color w:val="auto"/>
              </w:rPr>
            </w:pPr>
            <w:r>
              <w:rPr>
                <w:rFonts w:ascii="Times New Roman" w:cs="Times New Roman" w:eastAsia="Times New Roman" w:hAnsi="Times New Roman"/>
                <w:sz w:val="22"/>
                <w:szCs w:val="22"/>
                <w:color w:val="auto"/>
                <w:w w:val="99"/>
              </w:rPr>
              <w:t>STOCKHOLDER PROPOSALS AND DIRECTOR NOMINATIONS FOR 2027 ANNUAL</w:t>
            </w:r>
          </w:p>
        </w:tc>
        <w:tc>
          <w:tcPr>
            <w:tcW w:w="240" w:type="dxa"/>
            <w:vAlign w:val="bottom"/>
          </w:tcPr>
          <w:p>
            <w:pPr>
              <w:spacing w:after="0"/>
              <w:rPr>
                <w:sz w:val="22"/>
                <w:szCs w:val="22"/>
                <w:color w:val="auto"/>
              </w:rPr>
            </w:pP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MEETING OF STOCKHOLDERS........................................................................................................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75</w:t>
            </w:r>
          </w:p>
        </w:tc>
      </w:tr>
      <w:tr>
        <w:trPr>
          <w:trHeight w:val="253"/>
        </w:trPr>
        <w:tc>
          <w:tcPr>
            <w:tcW w:w="9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FISCAL 2025 ANNUAL REPORT ............................................................................................................</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75</w:t>
            </w:r>
          </w:p>
        </w:tc>
      </w:tr>
      <w:tr>
        <w:trPr>
          <w:trHeight w:val="294"/>
        </w:trPr>
        <w:tc>
          <w:tcPr>
            <w:tcW w:w="9120" w:type="dxa"/>
            <w:vAlign w:val="bottom"/>
          </w:tcPr>
          <w:p>
            <w:pPr>
              <w:jc w:val="right"/>
              <w:ind w:right="3450"/>
              <w:spacing w:after="0"/>
              <w:rPr>
                <w:sz w:val="20"/>
                <w:szCs w:val="20"/>
                <w:color w:val="auto"/>
              </w:rPr>
            </w:pPr>
            <w:r>
              <w:rPr>
                <w:rFonts w:ascii="Times New Roman" w:cs="Times New Roman" w:eastAsia="Times New Roman" w:hAnsi="Times New Roman"/>
                <w:sz w:val="22"/>
                <w:szCs w:val="22"/>
                <w:color w:val="auto"/>
              </w:rPr>
              <w:t>________________</w:t>
            </w:r>
          </w:p>
        </w:tc>
        <w:tc>
          <w:tcPr>
            <w:tcW w:w="240" w:type="dxa"/>
            <w:vAlign w:val="bottom"/>
          </w:tcPr>
          <w:p>
            <w:pPr>
              <w:spacing w:after="0"/>
              <w:rPr>
                <w:sz w:val="24"/>
                <w:szCs w:val="24"/>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References in this proxy statement to:</w:t>
      </w:r>
    </w:p>
    <w:p>
      <w:pPr>
        <w:spacing w:after="0" w:line="256" w:lineRule="exact"/>
        <w:rPr>
          <w:sz w:val="20"/>
          <w:szCs w:val="20"/>
          <w:color w:val="auto"/>
        </w:rPr>
      </w:pPr>
    </w:p>
    <w:p>
      <w:pPr>
        <w:ind w:left="720" w:right="580" w:hanging="360"/>
        <w:spacing w:after="0" w:line="258" w:lineRule="auto"/>
        <w:tabs>
          <w:tab w:leader="none" w:pos="7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“NTIC,” “we,” “us,” “our,” or the “Company” refer to Northern Technologies International Corporation;</w:t>
      </w:r>
    </w:p>
    <w:p>
      <w:pPr>
        <w:ind w:left="720" w:hanging="360"/>
        <w:spacing w:after="0"/>
        <w:tabs>
          <w:tab w:leader="none" w:pos="7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“Board” refer to the Board of Directors of NTIC;</w:t>
      </w:r>
    </w:p>
    <w:p>
      <w:pPr>
        <w:spacing w:after="0" w:line="14" w:lineRule="exact"/>
        <w:rPr>
          <w:rFonts w:ascii="Arial" w:cs="Arial" w:eastAsia="Arial" w:hAnsi="Arial"/>
          <w:sz w:val="22"/>
          <w:szCs w:val="22"/>
          <w:color w:val="auto"/>
        </w:rPr>
      </w:pPr>
    </w:p>
    <w:p>
      <w:pPr>
        <w:ind w:left="720" w:hanging="360"/>
        <w:spacing w:after="0"/>
        <w:tabs>
          <w:tab w:leader="none" w:pos="7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“Annual Meeting” refer to our 2026 Annual Meeting of Stockholders; and</w:t>
      </w:r>
    </w:p>
    <w:p>
      <w:pPr>
        <w:spacing w:after="0" w:line="14" w:lineRule="exact"/>
        <w:rPr>
          <w:rFonts w:ascii="Arial" w:cs="Arial" w:eastAsia="Arial" w:hAnsi="Arial"/>
          <w:sz w:val="22"/>
          <w:szCs w:val="22"/>
          <w:color w:val="auto"/>
        </w:rPr>
      </w:pPr>
    </w:p>
    <w:p>
      <w:pPr>
        <w:ind w:left="720" w:right="20" w:hanging="360"/>
        <w:spacing w:after="0" w:line="247" w:lineRule="auto"/>
        <w:tabs>
          <w:tab w:leader="none" w:pos="7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“Fiscal 2025 Annual Report” or “Fiscal 2025 Annual Report to Stockholders” refer to our Annual Report to Stockholders for fiscal 2025, including our Annual Report on Form 10-K for the year ended August 31, 2025, being made available together with this proxy statement.</w:t>
      </w:r>
    </w:p>
    <w:p>
      <w:pPr>
        <w:spacing w:after="0" w:line="193"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2"/>
          <w:szCs w:val="22"/>
          <w:color w:val="auto"/>
        </w:rPr>
        <w:t>Information on our website and any other website referenced herein is not incorporated by reference into, and does not constitute a part of, this proxy statement.</w:t>
      </w:r>
    </w:p>
    <w:p>
      <w:pPr>
        <w:spacing w:after="0" w:line="159" w:lineRule="exact"/>
        <w:rPr>
          <w:sz w:val="20"/>
          <w:szCs w:val="20"/>
          <w:color w:val="auto"/>
        </w:rPr>
      </w:pPr>
    </w:p>
    <w:p>
      <w:pPr>
        <w:ind w:right="220"/>
        <w:spacing w:after="0" w:line="259" w:lineRule="auto"/>
        <w:tabs>
          <w:tab w:leader="none" w:pos="27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 denote trademarks and registered trademarks of Northern Technologies International Corporation or our affiliates, registered as indicated in the United States. All other trademarks and trade names referred to in this proxy statement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2240" w:h="15840" w:orient="portrait"/>
          <w:cols w:equalWidth="0" w:num="1">
            <w:col w:w="9360"/>
          </w:cols>
          <w:pgMar w:left="1440" w:top="1417" w:right="1440" w:bottom="34" w:gutter="0" w:footer="0" w:header="0"/>
        </w:sectPr>
      </w:pPr>
    </w:p>
    <w:bookmarkStart w:id="9" w:name="page10"/>
    <w:bookmarkEnd w:id="9"/>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PROXY STATEMENT SUMMARY</w:t>
      </w:r>
    </w:p>
    <w:p>
      <w:pPr>
        <w:spacing w:after="0" w:line="3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211" w:lineRule="exact"/>
        <w:rPr>
          <w:sz w:val="20"/>
          <w:szCs w:val="20"/>
          <w:color w:val="auto"/>
        </w:rPr>
      </w:pPr>
    </w:p>
    <w:p>
      <w:pPr>
        <w:ind w:right="500"/>
        <w:spacing w:after="0" w:line="257" w:lineRule="auto"/>
        <w:rPr>
          <w:sz w:val="20"/>
          <w:szCs w:val="20"/>
          <w:color w:val="auto"/>
        </w:rPr>
      </w:pPr>
      <w:r>
        <w:rPr>
          <w:rFonts w:ascii="Times New Roman" w:cs="Times New Roman" w:eastAsia="Times New Roman" w:hAnsi="Times New Roman"/>
          <w:sz w:val="22"/>
          <w:szCs w:val="22"/>
          <w:i w:val="1"/>
          <w:iCs w:val="1"/>
          <w:color w:val="auto"/>
        </w:rPr>
        <w:t>This executive summary provides an overview of the information included in this proxy statement. We recommend that you review the entire proxy statement and our Fiscal 2025 Annual Report to Stockholders before voting.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2026 ANNUAL MEETING OF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10160</wp:posOffset>
                </wp:positionV>
                <wp:extent cx="59436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8pt" to="468pt,0.8pt" o:allowincell="f" strokecolor="#000000" strokeweight="1.32pt"/>
            </w:pict>
          </mc:Fallback>
        </mc:AlternateContent>
      </w:r>
    </w:p>
    <w:p>
      <w:pPr>
        <w:sectPr>
          <w:pgSz w:w="12240" w:h="15840" w:orient="portrait"/>
          <w:cols w:equalWidth="0" w:num="1">
            <w:col w:w="9460"/>
          </w:cols>
          <w:pgMar w:left="1440" w:top="1413" w:right="1340" w:bottom="34"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AND TIME</w:t>
      </w:r>
    </w:p>
    <w:p>
      <w:pPr>
        <w:spacing w:after="0" w:line="244" w:lineRule="exact"/>
        <w:rPr>
          <w:sz w:val="20"/>
          <w:szCs w:val="20"/>
          <w:color w:val="auto"/>
        </w:rPr>
      </w:pPr>
    </w:p>
    <w:p>
      <w:pPr>
        <w:jc w:val="both"/>
        <w:ind w:right="80"/>
        <w:spacing w:after="0" w:line="278" w:lineRule="auto"/>
        <w:rPr>
          <w:sz w:val="20"/>
          <w:szCs w:val="20"/>
          <w:color w:val="auto"/>
        </w:rPr>
      </w:pPr>
      <w:r>
        <w:rPr>
          <w:rFonts w:ascii="Times New Roman" w:cs="Times New Roman" w:eastAsia="Times New Roman" w:hAnsi="Times New Roman"/>
          <w:sz w:val="22"/>
          <w:szCs w:val="22"/>
          <w:color w:val="auto"/>
        </w:rPr>
        <w:t>Friday, January 16, 2026 8:00 a.m. (Central Time)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LOCATION</w:t>
      </w:r>
    </w:p>
    <w:p>
      <w:pPr>
        <w:spacing w:after="0" w:line="243"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2"/>
          <w:szCs w:val="22"/>
          <w:color w:val="auto"/>
        </w:rPr>
        <w:t>4201 Woodland Road Circle Pines, MN 55014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RECORD DATE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18, 2025</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 w:type="dxa"/>
            <w:vAlign w:val="bottom"/>
            <w:shd w:val="clear" w:color="auto" w:fill="D9D9D9"/>
          </w:tcPr>
          <w:p>
            <w:pPr>
              <w:spacing w:after="0"/>
              <w:rPr>
                <w:sz w:val="22"/>
                <w:szCs w:val="22"/>
                <w:color w:val="auto"/>
              </w:rPr>
            </w:pPr>
          </w:p>
        </w:tc>
        <w:tc>
          <w:tcPr>
            <w:tcW w:w="3200" w:type="dxa"/>
            <w:vAlign w:val="bottom"/>
            <w:vMerge w:val="restart"/>
            <w:shd w:val="clear" w:color="auto" w:fill="D9D9D9"/>
          </w:tcPr>
          <w:p>
            <w:pPr>
              <w:spacing w:after="0"/>
              <w:rPr>
                <w:sz w:val="20"/>
                <w:szCs w:val="20"/>
                <w:color w:val="auto"/>
              </w:rPr>
            </w:pPr>
            <w:r>
              <w:rPr>
                <w:rFonts w:ascii="Times New Roman" w:cs="Times New Roman" w:eastAsia="Times New Roman" w:hAnsi="Times New Roman"/>
                <w:sz w:val="22"/>
                <w:szCs w:val="22"/>
                <w:b w:val="1"/>
                <w:bCs w:val="1"/>
                <w:color w:val="auto"/>
              </w:rPr>
              <w:t>Proposal</w:t>
            </w:r>
          </w:p>
        </w:tc>
        <w:tc>
          <w:tcPr>
            <w:tcW w:w="120" w:type="dxa"/>
            <w:vAlign w:val="bottom"/>
            <w:shd w:val="clear" w:color="auto" w:fill="D9D9D9"/>
          </w:tcPr>
          <w:p>
            <w:pPr>
              <w:spacing w:after="0"/>
              <w:rPr>
                <w:sz w:val="22"/>
                <w:szCs w:val="22"/>
                <w:color w:val="auto"/>
              </w:rPr>
            </w:pPr>
          </w:p>
        </w:tc>
        <w:tc>
          <w:tcPr>
            <w:tcW w:w="100" w:type="dxa"/>
            <w:vAlign w:val="bottom"/>
            <w:shd w:val="clear" w:color="auto" w:fill="D9D9D9"/>
          </w:tcPr>
          <w:p>
            <w:pPr>
              <w:spacing w:after="0"/>
              <w:rPr>
                <w:sz w:val="22"/>
                <w:szCs w:val="22"/>
                <w:color w:val="auto"/>
              </w:rPr>
            </w:pPr>
          </w:p>
        </w:tc>
        <w:tc>
          <w:tcPr>
            <w:tcW w:w="18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Board’s Vote</w:t>
            </w:r>
          </w:p>
        </w:tc>
        <w:tc>
          <w:tcPr>
            <w:tcW w:w="200" w:type="dxa"/>
            <w:vAlign w:val="bottom"/>
            <w:shd w:val="clear" w:color="auto" w:fill="D9D9D9"/>
          </w:tcPr>
          <w:p>
            <w:pPr>
              <w:spacing w:after="0"/>
              <w:rPr>
                <w:sz w:val="22"/>
                <w:szCs w:val="22"/>
                <w:color w:val="auto"/>
              </w:rPr>
            </w:pPr>
          </w:p>
        </w:tc>
        <w:tc>
          <w:tcPr>
            <w:tcW w:w="78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rPr>
              <w:t>Page</w:t>
            </w:r>
          </w:p>
        </w:tc>
        <w:tc>
          <w:tcPr>
            <w:tcW w:w="100" w:type="dxa"/>
            <w:vAlign w:val="bottom"/>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D9D9D9"/>
          </w:tcPr>
          <w:p>
            <w:pPr>
              <w:spacing w:after="0"/>
              <w:rPr>
                <w:sz w:val="15"/>
                <w:szCs w:val="15"/>
                <w:color w:val="auto"/>
              </w:rPr>
            </w:pPr>
          </w:p>
        </w:tc>
        <w:tc>
          <w:tcPr>
            <w:tcW w:w="3200" w:type="dxa"/>
            <w:vAlign w:val="bottom"/>
            <w:vMerge w:val="continue"/>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8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rPr>
              <w:t>Recommendation</w:t>
            </w:r>
          </w:p>
        </w:tc>
        <w:tc>
          <w:tcPr>
            <w:tcW w:w="200" w:type="dxa"/>
            <w:vAlign w:val="bottom"/>
            <w:shd w:val="clear" w:color="auto" w:fill="D9D9D9"/>
          </w:tcPr>
          <w:p>
            <w:pPr>
              <w:spacing w:after="0"/>
              <w:rPr>
                <w:sz w:val="15"/>
                <w:szCs w:val="15"/>
                <w:color w:val="auto"/>
              </w:rPr>
            </w:pPr>
          </w:p>
        </w:tc>
        <w:tc>
          <w:tcPr>
            <w:tcW w:w="780" w:type="dxa"/>
            <w:vAlign w:val="bottom"/>
            <w:vMerge w:val="continue"/>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100" w:type="dxa"/>
            <w:vAlign w:val="bottom"/>
            <w:shd w:val="clear" w:color="auto" w:fill="D9D9D9"/>
          </w:tcPr>
          <w:p>
            <w:pPr>
              <w:spacing w:after="0"/>
              <w:rPr>
                <w:sz w:val="8"/>
                <w:szCs w:val="8"/>
                <w:color w:val="auto"/>
              </w:rPr>
            </w:pPr>
          </w:p>
        </w:tc>
        <w:tc>
          <w:tcPr>
            <w:tcW w:w="320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860" w:type="dxa"/>
            <w:vAlign w:val="bottom"/>
            <w:vMerge w:val="continue"/>
            <w:shd w:val="clear" w:color="auto" w:fill="D9D9D9"/>
          </w:tcPr>
          <w:p>
            <w:pPr>
              <w:spacing w:after="0"/>
              <w:rPr>
                <w:sz w:val="8"/>
                <w:szCs w:val="8"/>
                <w:color w:val="auto"/>
              </w:rPr>
            </w:pPr>
          </w:p>
        </w:tc>
        <w:tc>
          <w:tcPr>
            <w:tcW w:w="200" w:type="dxa"/>
            <w:vAlign w:val="bottom"/>
            <w:shd w:val="clear" w:color="auto" w:fill="D9D9D9"/>
          </w:tcPr>
          <w:p>
            <w:pPr>
              <w:spacing w:after="0"/>
              <w:rPr>
                <w:sz w:val="8"/>
                <w:szCs w:val="8"/>
                <w:color w:val="auto"/>
              </w:rPr>
            </w:pPr>
          </w:p>
        </w:tc>
        <w:tc>
          <w:tcPr>
            <w:tcW w:w="78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00" w:type="dxa"/>
            <w:vAlign w:val="bottom"/>
            <w:tcBorders>
              <w:bottom w:val="single" w:sz="8" w:color="auto"/>
            </w:tcBorders>
            <w:shd w:val="clear" w:color="auto" w:fill="D9D9D9"/>
          </w:tcPr>
          <w:p>
            <w:pPr>
              <w:spacing w:after="0"/>
              <w:rPr>
                <w:sz w:val="10"/>
                <w:szCs w:val="10"/>
                <w:color w:val="auto"/>
              </w:rPr>
            </w:pPr>
          </w:p>
        </w:tc>
        <w:tc>
          <w:tcPr>
            <w:tcW w:w="3200" w:type="dxa"/>
            <w:vAlign w:val="bottom"/>
            <w:tcBorders>
              <w:bottom w:val="single" w:sz="8" w:color="auto"/>
            </w:tcBorders>
            <w:shd w:val="clear" w:color="auto" w:fill="D9D9D9"/>
          </w:tcPr>
          <w:p>
            <w:pPr>
              <w:spacing w:after="0"/>
              <w:rPr>
                <w:sz w:val="10"/>
                <w:szCs w:val="10"/>
                <w:color w:val="auto"/>
              </w:rPr>
            </w:pPr>
          </w:p>
        </w:tc>
        <w:tc>
          <w:tcPr>
            <w:tcW w:w="120" w:type="dxa"/>
            <w:vAlign w:val="bottom"/>
            <w:tcBorders>
              <w:bottom w:val="single" w:sz="8" w:color="auto"/>
            </w:tcBorders>
            <w:shd w:val="clear" w:color="auto" w:fill="D9D9D9"/>
          </w:tcPr>
          <w:p>
            <w:pPr>
              <w:spacing w:after="0"/>
              <w:rPr>
                <w:sz w:val="10"/>
                <w:szCs w:val="10"/>
                <w:color w:val="auto"/>
              </w:rPr>
            </w:pPr>
          </w:p>
        </w:tc>
        <w:tc>
          <w:tcPr>
            <w:tcW w:w="100" w:type="dxa"/>
            <w:vAlign w:val="bottom"/>
            <w:tcBorders>
              <w:bottom w:val="single" w:sz="8" w:color="auto"/>
            </w:tcBorders>
            <w:shd w:val="clear" w:color="auto" w:fill="D9D9D9"/>
          </w:tcPr>
          <w:p>
            <w:pPr>
              <w:spacing w:after="0"/>
              <w:rPr>
                <w:sz w:val="10"/>
                <w:szCs w:val="10"/>
                <w:color w:val="auto"/>
              </w:rPr>
            </w:pPr>
          </w:p>
        </w:tc>
        <w:tc>
          <w:tcPr>
            <w:tcW w:w="1860" w:type="dxa"/>
            <w:vAlign w:val="bottom"/>
            <w:tcBorders>
              <w:bottom w:val="single" w:sz="8" w:color="auto"/>
            </w:tcBorders>
            <w:shd w:val="clear" w:color="auto" w:fill="D9D9D9"/>
          </w:tcPr>
          <w:p>
            <w:pPr>
              <w:spacing w:after="0"/>
              <w:rPr>
                <w:sz w:val="10"/>
                <w:szCs w:val="10"/>
                <w:color w:val="auto"/>
              </w:rPr>
            </w:pPr>
          </w:p>
        </w:tc>
        <w:tc>
          <w:tcPr>
            <w:tcW w:w="200" w:type="dxa"/>
            <w:vAlign w:val="bottom"/>
            <w:tcBorders>
              <w:bottom w:val="single" w:sz="8" w:color="auto"/>
            </w:tcBorders>
            <w:shd w:val="clear" w:color="auto" w:fill="D9D9D9"/>
          </w:tcPr>
          <w:p>
            <w:pPr>
              <w:spacing w:after="0"/>
              <w:rPr>
                <w:sz w:val="10"/>
                <w:szCs w:val="10"/>
                <w:color w:val="auto"/>
              </w:rPr>
            </w:pPr>
          </w:p>
        </w:tc>
        <w:tc>
          <w:tcPr>
            <w:tcW w:w="780" w:type="dxa"/>
            <w:vAlign w:val="bottom"/>
            <w:tcBorders>
              <w:bottom w:val="single" w:sz="8" w:color="auto"/>
            </w:tcBorders>
            <w:shd w:val="clear" w:color="auto" w:fill="D9D9D9"/>
          </w:tcPr>
          <w:p>
            <w:pPr>
              <w:spacing w:after="0"/>
              <w:rPr>
                <w:sz w:val="10"/>
                <w:szCs w:val="10"/>
                <w:color w:val="auto"/>
              </w:rPr>
            </w:pPr>
          </w:p>
        </w:tc>
        <w:tc>
          <w:tcPr>
            <w:tcW w:w="100" w:type="dxa"/>
            <w:vAlign w:val="bottom"/>
            <w:tcBorders>
              <w:bottom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10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Proposal One: Election of directors</w:t>
            </w:r>
          </w:p>
        </w:tc>
        <w:tc>
          <w:tcPr>
            <w:tcW w:w="1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FOR</w:t>
            </w: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22"/>
                <w:szCs w:val="22"/>
                <w:color w:val="auto"/>
                <w:w w:val="99"/>
              </w:rPr>
              <w:t>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00" w:type="dxa"/>
            <w:vAlign w:val="bottom"/>
            <w:tcBorders>
              <w:bottom w:val="single" w:sz="8" w:color="auto"/>
            </w:tcBorders>
          </w:tcPr>
          <w:p>
            <w:pPr>
              <w:spacing w:after="0"/>
              <w:rPr>
                <w:sz w:val="6"/>
                <w:szCs w:val="6"/>
                <w:color w:val="auto"/>
              </w:rPr>
            </w:pPr>
          </w:p>
        </w:tc>
        <w:tc>
          <w:tcPr>
            <w:tcW w:w="332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3320" w:type="dxa"/>
            <w:vAlign w:val="bottom"/>
            <w:gridSpan w:val="2"/>
          </w:tcPr>
          <w:p>
            <w:pPr>
              <w:spacing w:after="0" w:line="221" w:lineRule="exact"/>
              <w:rPr>
                <w:sz w:val="20"/>
                <w:szCs w:val="20"/>
                <w:color w:val="auto"/>
              </w:rPr>
            </w:pPr>
            <w:r>
              <w:rPr>
                <w:rFonts w:ascii="Times New Roman" w:cs="Times New Roman" w:eastAsia="Times New Roman" w:hAnsi="Times New Roman"/>
                <w:sz w:val="22"/>
                <w:szCs w:val="22"/>
                <w:color w:val="auto"/>
              </w:rPr>
              <w:t>Proposal Two: Advisory vote on</w:t>
            </w:r>
          </w:p>
        </w:tc>
        <w:tc>
          <w:tcPr>
            <w:tcW w:w="100" w:type="dxa"/>
            <w:vAlign w:val="bottom"/>
          </w:tcPr>
          <w:p>
            <w:pPr>
              <w:spacing w:after="0"/>
              <w:rPr>
                <w:sz w:val="19"/>
                <w:szCs w:val="19"/>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FOR</w:t>
            </w:r>
          </w:p>
        </w:tc>
        <w:tc>
          <w:tcPr>
            <w:tcW w:w="980" w:type="dxa"/>
            <w:vAlign w:val="bottom"/>
            <w:gridSpan w:val="2"/>
            <w:vMerge w:val="restart"/>
          </w:tcPr>
          <w:p>
            <w:pPr>
              <w:jc w:val="center"/>
              <w:ind w:left="90"/>
              <w:spacing w:after="0"/>
              <w:rPr>
                <w:sz w:val="20"/>
                <w:szCs w:val="20"/>
                <w:color w:val="auto"/>
              </w:rPr>
            </w:pPr>
            <w:r>
              <w:rPr>
                <w:rFonts w:ascii="Times New Roman" w:cs="Times New Roman" w:eastAsia="Times New Roman" w:hAnsi="Times New Roman"/>
                <w:sz w:val="22"/>
                <w:szCs w:val="22"/>
                <w:color w:val="auto"/>
                <w:w w:val="99"/>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executive compensation</w:t>
            </w:r>
          </w:p>
        </w:tc>
        <w:tc>
          <w:tcPr>
            <w:tcW w:w="10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33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3320" w:type="dxa"/>
            <w:vAlign w:val="bottom"/>
            <w:gridSpan w:val="2"/>
          </w:tcPr>
          <w:p>
            <w:pPr>
              <w:spacing w:after="0" w:line="221" w:lineRule="exact"/>
              <w:rPr>
                <w:sz w:val="20"/>
                <w:szCs w:val="20"/>
                <w:color w:val="auto"/>
              </w:rPr>
            </w:pPr>
            <w:r>
              <w:rPr>
                <w:rFonts w:ascii="Times New Roman" w:cs="Times New Roman" w:eastAsia="Times New Roman" w:hAnsi="Times New Roman"/>
                <w:sz w:val="22"/>
                <w:szCs w:val="22"/>
                <w:color w:val="auto"/>
              </w:rPr>
              <w:t>Proposal Three: Advisory vote on</w:t>
            </w:r>
          </w:p>
        </w:tc>
        <w:tc>
          <w:tcPr>
            <w:tcW w:w="100" w:type="dxa"/>
            <w:vAlign w:val="bottom"/>
          </w:tcPr>
          <w:p>
            <w:pPr>
              <w:spacing w:after="0"/>
              <w:rPr>
                <w:sz w:val="19"/>
                <w:szCs w:val="19"/>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ONE YEAR</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2"/>
                <w:szCs w:val="22"/>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frequency of advisory vote on</w:t>
            </w:r>
          </w:p>
        </w:tc>
        <w:tc>
          <w:tcPr>
            <w:tcW w:w="100" w:type="dxa"/>
            <w:vAlign w:val="bottom"/>
          </w:tcPr>
          <w:p>
            <w:pPr>
              <w:spacing w:after="0"/>
              <w:rPr>
                <w:sz w:val="22"/>
                <w:szCs w:val="22"/>
                <w:color w:val="auto"/>
              </w:rPr>
            </w:pPr>
          </w:p>
        </w:tc>
        <w:tc>
          <w:tcPr>
            <w:tcW w:w="1860" w:type="dxa"/>
            <w:vAlign w:val="bottom"/>
            <w:vMerge w:val="continue"/>
          </w:tcPr>
          <w:p>
            <w:pPr>
              <w:spacing w:after="0"/>
              <w:rPr>
                <w:sz w:val="22"/>
                <w:szCs w:val="22"/>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22"/>
                <w:szCs w:val="22"/>
                <w:color w:val="auto"/>
                <w:w w:val="99"/>
              </w:rPr>
              <w:t>27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executive compensation</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3320" w:type="dxa"/>
            <w:vAlign w:val="bottom"/>
            <w:gridSpan w:val="2"/>
          </w:tcPr>
          <w:p>
            <w:pPr>
              <w:spacing w:after="0" w:line="221" w:lineRule="exact"/>
              <w:rPr>
                <w:sz w:val="20"/>
                <w:szCs w:val="20"/>
                <w:color w:val="auto"/>
              </w:rPr>
            </w:pPr>
            <w:r>
              <w:rPr>
                <w:rFonts w:ascii="Times New Roman" w:cs="Times New Roman" w:eastAsia="Times New Roman" w:hAnsi="Times New Roman"/>
                <w:sz w:val="22"/>
                <w:szCs w:val="22"/>
                <w:color w:val="auto"/>
              </w:rPr>
              <w:t>Proposal Four: Ratification of</w:t>
            </w:r>
          </w:p>
        </w:tc>
        <w:tc>
          <w:tcPr>
            <w:tcW w:w="100" w:type="dxa"/>
            <w:vAlign w:val="bottom"/>
          </w:tcPr>
          <w:p>
            <w:pPr>
              <w:spacing w:after="0"/>
              <w:rPr>
                <w:sz w:val="19"/>
                <w:szCs w:val="19"/>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FOR</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2"/>
                <w:szCs w:val="22"/>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appointment of independent</w:t>
            </w:r>
          </w:p>
        </w:tc>
        <w:tc>
          <w:tcPr>
            <w:tcW w:w="100" w:type="dxa"/>
            <w:vAlign w:val="bottom"/>
          </w:tcPr>
          <w:p>
            <w:pPr>
              <w:spacing w:after="0"/>
              <w:rPr>
                <w:sz w:val="22"/>
                <w:szCs w:val="22"/>
                <w:color w:val="auto"/>
              </w:rPr>
            </w:pPr>
          </w:p>
        </w:tc>
        <w:tc>
          <w:tcPr>
            <w:tcW w:w="1860" w:type="dxa"/>
            <w:vAlign w:val="bottom"/>
            <w:vMerge w:val="continue"/>
          </w:tcPr>
          <w:p>
            <w:pPr>
              <w:spacing w:after="0"/>
              <w:rPr>
                <w:sz w:val="22"/>
                <w:szCs w:val="22"/>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22"/>
                <w:szCs w:val="22"/>
                <w:color w:val="auto"/>
                <w:w w:val="99"/>
              </w:rPr>
              <w:t>29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registered public accounting firm</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2">
            <w:col w:w="2280" w:space="720"/>
            <w:col w:w="6460"/>
          </w:cols>
          <w:pgMar w:left="1440" w:top="1413" w:right="1340" w:bottom="34" w:gutter="0" w:footer="0" w:header="0"/>
          <w:type w:val="continuous"/>
        </w:sectPr>
      </w:pPr>
    </w:p>
    <w:p>
      <w:pPr>
        <w:spacing w:after="0" w:line="1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Holders of record of our common stock at the close of business on November 18, 2025 are entitled to notice of, to attend, and to vote at the 2026 Annual Meeting of Stockholders or any continuation, postponement, or adjournment thereof.</w:t>
      </w:r>
    </w:p>
    <w:p>
      <w:pPr>
        <w:spacing w:after="0" w:line="183"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22"/>
          <w:szCs w:val="22"/>
          <w:color w:val="auto"/>
        </w:rPr>
        <w:t>On or about December 1, 2025, we expect to begin mailing a Notice of Internet Availability of Proxy Materials to stockholders of record as of November 18, 2025 and post our proxy materials on the website referenced in the Notice of Internet Availability of Proxy Materials (</w:t>
      </w:r>
      <w:r>
        <w:rPr>
          <w:rFonts w:ascii="Times New Roman" w:cs="Times New Roman" w:eastAsia="Times New Roman" w:hAnsi="Times New Roman"/>
          <w:sz w:val="22"/>
          <w:szCs w:val="22"/>
          <w:i w:val="1"/>
          <w:iCs w:val="1"/>
          <w:color w:val="auto"/>
        </w:rPr>
        <w:t>www.proxyvote.com</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ind w:right="100"/>
        <w:spacing w:after="0" w:line="288" w:lineRule="auto"/>
        <w:rPr>
          <w:sz w:val="20"/>
          <w:szCs w:val="20"/>
          <w:color w:val="auto"/>
        </w:rPr>
      </w:pPr>
      <w:r>
        <w:rPr>
          <w:rFonts w:ascii="Times New Roman" w:cs="Times New Roman" w:eastAsia="Times New Roman" w:hAnsi="Times New Roman"/>
          <w:sz w:val="22"/>
          <w:szCs w:val="22"/>
          <w:b w:val="1"/>
          <w:bCs w:val="1"/>
          <w:color w:val="auto"/>
        </w:rPr>
        <w:t>IMPORTANT NOTICE REGARDING THE AVAILABILITY OF PROXY MATERIALS FOR THE ANNUAL MEETING OF STOCKHOLDERS TO BE HELD ON JANUARY 16, 2026</w:t>
      </w:r>
    </w:p>
    <w:p>
      <w:pPr>
        <w:spacing w:after="0" w:line="142"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2"/>
          <w:szCs w:val="22"/>
          <w:color w:val="auto"/>
        </w:rPr>
        <w:t xml:space="preserve">This proxy statement and our Fiscal 2025 Annual Report to Stockholders are available on the Internet, free of charge, at </w:t>
      </w:r>
      <w:r>
        <w:rPr>
          <w:rFonts w:ascii="Times New Roman" w:cs="Times New Roman" w:eastAsia="Times New Roman" w:hAnsi="Times New Roman"/>
          <w:sz w:val="22"/>
          <w:szCs w:val="22"/>
          <w:i w:val="1"/>
          <w:iCs w:val="1"/>
          <w:color w:val="auto"/>
        </w:rPr>
        <w:t>www.proxyvote.com</w:t>
      </w:r>
      <w:r>
        <w:rPr>
          <w:rFonts w:ascii="Times New Roman" w:cs="Times New Roman" w:eastAsia="Times New Roman" w:hAnsi="Times New Roman"/>
          <w:sz w:val="22"/>
          <w:szCs w:val="22"/>
          <w:color w:val="auto"/>
        </w:rPr>
        <w:t>. On this website, you will be able to access this proxy statement, our Fiscal 2025 Annual Report to Stockholders, and any amendments or supplements to these materials that are required to be furnished to stockholders. We encourage you to access and review all of the important information contained in the proxy materials before voting.</w:t>
      </w:r>
    </w:p>
    <w:p>
      <w:pPr>
        <w:sectPr>
          <w:pgSz w:w="12240" w:h="15840" w:orient="portrait"/>
          <w:cols w:equalWidth="0" w:num="1">
            <w:col w:w="9460"/>
          </w:cols>
          <w:pgMar w:left="1440" w:top="1413" w:right="1340" w:bottom="3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w:t>
      </w:r>
    </w:p>
    <w:p>
      <w:pPr>
        <w:sectPr>
          <w:pgSz w:w="12240" w:h="15840" w:orient="portrait"/>
          <w:cols w:equalWidth="0" w:num="1">
            <w:col w:w="9460"/>
          </w:cols>
          <w:pgMar w:left="1440" w:top="1413" w:right="1340" w:bottom="34" w:gutter="0" w:footer="0" w:header="0"/>
          <w:type w:val="continuous"/>
        </w:sectPr>
      </w:pPr>
    </w:p>
    <w:bookmarkStart w:id="10" w:name="page11"/>
    <w:bookmarkEnd w:id="10"/>
    <w:p>
      <w:pPr>
        <w:ind w:left="100"/>
        <w:spacing w:after="0"/>
        <w:rPr>
          <w:sz w:val="20"/>
          <w:szCs w:val="20"/>
          <w:color w:val="auto"/>
        </w:rPr>
      </w:pPr>
      <w:r>
        <w:rPr>
          <w:rFonts w:ascii="Times New Roman" w:cs="Times New Roman" w:eastAsia="Times New Roman" w:hAnsi="Times New Roman"/>
          <w:sz w:val="28"/>
          <w:szCs w:val="28"/>
          <w:b w:val="1"/>
          <w:bCs w:val="1"/>
          <w:color w:val="auto"/>
        </w:rPr>
        <w:t>FISCAL 2025 BUSINESS HIGHLIGHTS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63500</wp:posOffset>
                </wp:positionH>
                <wp:positionV relativeFrom="paragraph">
                  <wp:posOffset>10160</wp:posOffset>
                </wp:positionV>
                <wp:extent cx="59436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pt,0.8pt" to="473pt,0.8pt" o:allowincell="f" strokecolor="#000000" strokeweight="1.32pt"/>
            </w:pict>
          </mc:Fallback>
        </mc:AlternateContent>
      </w: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Below are highlights of our financial, operational and strategic performance during fiscal 2025.</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FINANCIAL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-143510</wp:posOffset>
                </wp:positionV>
                <wp:extent cx="5936615" cy="31305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6615" cy="313055"/>
                        </a:xfrm>
                        <a:prstGeom prst="rect">
                          <a:avLst/>
                        </a:prstGeom>
                        <a:solidFill>
                          <a:srgbClr val="D9D9D9"/>
                        </a:solidFill>
                      </wps:spPr>
                      <wps:bodyPr/>
                    </wps:wsp>
                  </a:graphicData>
                </a:graphic>
              </wp:anchor>
            </w:drawing>
          </mc:Choice>
          <mc:Fallback>
            <w:pict>
              <v:rect id="Shape 30" o:spid="_x0000_s1055" style="position:absolute;margin-left:-0.3499pt;margin-top:-11.2999pt;width:467.45pt;height:24.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 Sales</w:t>
            </w: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Our net sales were $84.2 million during fiscal 2025, a slight decrease</w:t>
            </w:r>
          </w:p>
        </w:tc>
      </w:tr>
      <w:tr>
        <w:trPr>
          <w:trHeight w:val="294"/>
        </w:trPr>
        <w:tc>
          <w:tcPr>
            <w:tcW w:w="260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from last fiscal year’s record net sales.</w:t>
            </w:r>
          </w:p>
        </w:tc>
      </w:tr>
      <w:tr>
        <w:trPr>
          <w:trHeight w:val="332"/>
        </w:trPr>
        <w:tc>
          <w:tcPr>
            <w:tcW w:w="2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 Income Attributable to</w:t>
            </w: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Reflecting a challenging macroenvironment, our net income attributable</w:t>
            </w:r>
          </w:p>
        </w:tc>
      </w:tr>
      <w:tr>
        <w:trPr>
          <w:trHeight w:val="253"/>
        </w:trPr>
        <w:tc>
          <w:tcPr>
            <w:tcW w:w="2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NTIC</w:t>
            </w: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 NTIC decreased to $18,000, or $0.00 per diluted common share, for</w:t>
            </w:r>
          </w:p>
        </w:tc>
      </w:tr>
      <w:tr>
        <w:trPr>
          <w:trHeight w:val="253"/>
        </w:trPr>
        <w:tc>
          <w:tcPr>
            <w:tcW w:w="2600" w:type="dxa"/>
            <w:vAlign w:val="bottom"/>
          </w:tcPr>
          <w:p>
            <w:pPr>
              <w:spacing w:after="0"/>
              <w:rPr>
                <w:sz w:val="22"/>
                <w:szCs w:val="22"/>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fiscal 2025 compared to $5.4 million, or $0.55 per diluted common share,</w:t>
            </w:r>
          </w:p>
        </w:tc>
      </w:tr>
      <w:tr>
        <w:trPr>
          <w:trHeight w:val="253"/>
        </w:trPr>
        <w:tc>
          <w:tcPr>
            <w:tcW w:w="2600" w:type="dxa"/>
            <w:vAlign w:val="bottom"/>
          </w:tcPr>
          <w:p>
            <w:pPr>
              <w:spacing w:after="0"/>
              <w:rPr>
                <w:sz w:val="22"/>
                <w:szCs w:val="22"/>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 fiscal 2024. This decrease was primarily due to increases in operating</w:t>
            </w:r>
          </w:p>
        </w:tc>
      </w:tr>
      <w:tr>
        <w:trPr>
          <w:trHeight w:val="252"/>
        </w:trPr>
        <w:tc>
          <w:tcPr>
            <w:tcW w:w="2600" w:type="dxa"/>
            <w:vAlign w:val="bottom"/>
          </w:tcPr>
          <w:p>
            <w:pPr>
              <w:spacing w:after="0"/>
              <w:rPr>
                <w:sz w:val="21"/>
                <w:szCs w:val="21"/>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expenses, decreases in gross margin and income from our joint venture</w:t>
            </w:r>
          </w:p>
        </w:tc>
      </w:tr>
      <w:tr>
        <w:trPr>
          <w:trHeight w:val="253"/>
        </w:trPr>
        <w:tc>
          <w:tcPr>
            <w:tcW w:w="2600" w:type="dxa"/>
            <w:vAlign w:val="bottom"/>
          </w:tcPr>
          <w:p>
            <w:pPr>
              <w:spacing w:after="0"/>
              <w:rPr>
                <w:sz w:val="22"/>
                <w:szCs w:val="22"/>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operations and the other expense incurred as a result of a Chinese</w:t>
            </w:r>
          </w:p>
        </w:tc>
      </w:tr>
      <w:tr>
        <w:trPr>
          <w:trHeight w:val="253"/>
        </w:trPr>
        <w:tc>
          <w:tcPr>
            <w:tcW w:w="2600" w:type="dxa"/>
            <w:vAlign w:val="bottom"/>
          </w:tcPr>
          <w:p>
            <w:pPr>
              <w:spacing w:after="0"/>
              <w:rPr>
                <w:sz w:val="22"/>
                <w:szCs w:val="22"/>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Customs issue and was partially offset by a one-time employee retention</w:t>
            </w:r>
          </w:p>
        </w:tc>
      </w:tr>
      <w:tr>
        <w:trPr>
          <w:trHeight w:val="294"/>
        </w:trPr>
        <w:tc>
          <w:tcPr>
            <w:tcW w:w="260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credit payment.</w:t>
            </w:r>
          </w:p>
        </w:tc>
      </w:tr>
      <w:tr>
        <w:trPr>
          <w:trHeight w:val="333"/>
        </w:trPr>
        <w:tc>
          <w:tcPr>
            <w:tcW w:w="2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Quarterly Cash Dividends</w:t>
            </w: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While we paid a quarterly cash dividend of $0.07 per share for the first</w:t>
            </w:r>
          </w:p>
        </w:tc>
      </w:tr>
      <w:tr>
        <w:trPr>
          <w:trHeight w:val="253"/>
        </w:trPr>
        <w:tc>
          <w:tcPr>
            <w:tcW w:w="2600" w:type="dxa"/>
            <w:vAlign w:val="bottom"/>
          </w:tcPr>
          <w:p>
            <w:pPr>
              <w:spacing w:after="0"/>
              <w:rPr>
                <w:sz w:val="22"/>
                <w:szCs w:val="22"/>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and second quarters of fiscal 2025, we reduced our quarterly cash</w:t>
            </w:r>
          </w:p>
        </w:tc>
      </w:tr>
      <w:tr>
        <w:trPr>
          <w:trHeight w:val="253"/>
        </w:trPr>
        <w:tc>
          <w:tcPr>
            <w:tcW w:w="2600" w:type="dxa"/>
            <w:vAlign w:val="bottom"/>
          </w:tcPr>
          <w:p>
            <w:pPr>
              <w:spacing w:after="0"/>
              <w:rPr>
                <w:sz w:val="22"/>
                <w:szCs w:val="22"/>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dividend to $0.01 per share for the third and fourth quarters of fiscal 2025</w:t>
            </w:r>
          </w:p>
        </w:tc>
      </w:tr>
      <w:tr>
        <w:trPr>
          <w:trHeight w:val="294"/>
        </w:trPr>
        <w:tc>
          <w:tcPr>
            <w:tcW w:w="260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 conserve cash resources.</w:t>
            </w:r>
          </w:p>
        </w:tc>
      </w:tr>
      <w:tr>
        <w:trPr>
          <w:trHeight w:val="101"/>
        </w:trPr>
        <w:tc>
          <w:tcPr>
            <w:tcW w:w="2600" w:type="dxa"/>
            <w:vAlign w:val="bottom"/>
          </w:tcPr>
          <w:p>
            <w:pPr>
              <w:spacing w:after="0"/>
              <w:rPr>
                <w:sz w:val="8"/>
                <w:szCs w:val="8"/>
                <w:color w:val="auto"/>
              </w:rPr>
            </w:pPr>
          </w:p>
        </w:tc>
        <w:tc>
          <w:tcPr>
            <w:tcW w:w="6740" w:type="dxa"/>
            <w:vAlign w:val="bottom"/>
          </w:tcPr>
          <w:p>
            <w:pPr>
              <w:spacing w:after="0"/>
              <w:rPr>
                <w:sz w:val="8"/>
                <w:szCs w:val="8"/>
                <w:color w:val="auto"/>
              </w:rPr>
            </w:pPr>
          </w:p>
        </w:tc>
      </w:tr>
      <w:tr>
        <w:trPr>
          <w:trHeight w:val="304"/>
        </w:trPr>
        <w:tc>
          <w:tcPr>
            <w:tcW w:w="260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rPr>
              <w:t>OPERATIONAL</w:t>
            </w:r>
          </w:p>
        </w:tc>
        <w:tc>
          <w:tcPr>
            <w:tcW w:w="6740" w:type="dxa"/>
            <w:vAlign w:val="bottom"/>
            <w:shd w:val="clear" w:color="auto" w:fill="D9D9D9"/>
          </w:tcPr>
          <w:p>
            <w:pPr>
              <w:spacing w:after="0"/>
              <w:rPr>
                <w:sz w:val="24"/>
                <w:szCs w:val="24"/>
                <w:color w:val="auto"/>
              </w:rPr>
            </w:pPr>
          </w:p>
        </w:tc>
      </w:tr>
      <w:tr>
        <w:trPr>
          <w:trHeight w:val="190"/>
        </w:trPr>
        <w:tc>
          <w:tcPr>
            <w:tcW w:w="2600" w:type="dxa"/>
            <w:vAlign w:val="bottom"/>
            <w:shd w:val="clear" w:color="auto" w:fill="D9D9D9"/>
          </w:tcPr>
          <w:p>
            <w:pPr>
              <w:spacing w:after="0"/>
              <w:rPr>
                <w:sz w:val="16"/>
                <w:szCs w:val="16"/>
                <w:color w:val="auto"/>
              </w:rPr>
            </w:pPr>
          </w:p>
        </w:tc>
        <w:tc>
          <w:tcPr>
            <w:tcW w:w="6740" w:type="dxa"/>
            <w:vAlign w:val="bottom"/>
            <w:shd w:val="clear" w:color="auto" w:fill="D9D9D9"/>
          </w:tcPr>
          <w:p>
            <w:pPr>
              <w:spacing w:after="0"/>
              <w:rPr>
                <w:sz w:val="16"/>
                <w:szCs w:val="16"/>
                <w:color w:val="auto"/>
              </w:rPr>
            </w:pPr>
          </w:p>
        </w:tc>
      </w:tr>
      <w:tr>
        <w:trPr>
          <w:trHeight w:val="231"/>
        </w:trPr>
        <w:tc>
          <w:tcPr>
            <w:tcW w:w="2600" w:type="dxa"/>
            <w:vAlign w:val="bottom"/>
          </w:tcPr>
          <w:p>
            <w:pPr>
              <w:ind w:left="100"/>
              <w:spacing w:after="0" w:line="230" w:lineRule="exact"/>
              <w:rPr>
                <w:sz w:val="20"/>
                <w:szCs w:val="20"/>
                <w:color w:val="auto"/>
              </w:rPr>
            </w:pPr>
            <w:r>
              <w:rPr>
                <w:rFonts w:ascii="Times New Roman" w:cs="Times New Roman" w:eastAsia="Times New Roman" w:hAnsi="Times New Roman"/>
                <w:sz w:val="22"/>
                <w:szCs w:val="22"/>
                <w:color w:val="auto"/>
              </w:rPr>
              <w:t>15 Joint Ventures</w:t>
            </w:r>
          </w:p>
        </w:tc>
        <w:tc>
          <w:tcPr>
            <w:tcW w:w="6740" w:type="dxa"/>
            <w:vAlign w:val="bottom"/>
          </w:tcPr>
          <w:p>
            <w:pPr>
              <w:ind w:left="120"/>
              <w:spacing w:after="0" w:line="230" w:lineRule="exact"/>
              <w:rPr>
                <w:sz w:val="20"/>
                <w:szCs w:val="20"/>
                <w:color w:val="auto"/>
              </w:rPr>
            </w:pPr>
            <w:r>
              <w:rPr>
                <w:rFonts w:ascii="Times New Roman" w:cs="Times New Roman" w:eastAsia="Times New Roman" w:hAnsi="Times New Roman"/>
                <w:sz w:val="22"/>
                <w:szCs w:val="22"/>
                <w:color w:val="auto"/>
              </w:rPr>
              <w:t>Our 15 active joint ventures provide us with access to global markets</w:t>
            </w:r>
          </w:p>
        </w:tc>
      </w:tr>
      <w:tr>
        <w:trPr>
          <w:trHeight w:val="294"/>
        </w:trPr>
        <w:tc>
          <w:tcPr>
            <w:tcW w:w="260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with an annual global market potential estimated at $500 million.</w:t>
            </w:r>
          </w:p>
        </w:tc>
      </w:tr>
      <w:tr>
        <w:trPr>
          <w:trHeight w:val="333"/>
        </w:trPr>
        <w:tc>
          <w:tcPr>
            <w:tcW w:w="2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 Operating Subsidiaries</w:t>
            </w: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We maintain 12 wholly or majority-owned operating subsidiaries in</w:t>
            </w:r>
          </w:p>
        </w:tc>
      </w:tr>
      <w:tr>
        <w:trPr>
          <w:trHeight w:val="294"/>
        </w:trPr>
        <w:tc>
          <w:tcPr>
            <w:tcW w:w="260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North America, South America, Europe and Asia.</w:t>
            </w:r>
          </w:p>
        </w:tc>
      </w:tr>
      <w:tr>
        <w:trPr>
          <w:trHeight w:val="332"/>
        </w:trPr>
        <w:tc>
          <w:tcPr>
            <w:tcW w:w="2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Over 65 Countries</w:t>
            </w: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Our network of joint ventures and subsidiaries allows us to operate in</w:t>
            </w:r>
          </w:p>
        </w:tc>
      </w:tr>
      <w:tr>
        <w:trPr>
          <w:trHeight w:val="294"/>
        </w:trPr>
        <w:tc>
          <w:tcPr>
            <w:tcW w:w="260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over 65 countries worldwide, allowing us to reach customers globally.</w:t>
            </w:r>
          </w:p>
        </w:tc>
      </w:tr>
      <w:tr>
        <w:trPr>
          <w:trHeight w:val="102"/>
        </w:trPr>
        <w:tc>
          <w:tcPr>
            <w:tcW w:w="2600" w:type="dxa"/>
            <w:vAlign w:val="bottom"/>
          </w:tcPr>
          <w:p>
            <w:pPr>
              <w:spacing w:after="0"/>
              <w:rPr>
                <w:sz w:val="8"/>
                <w:szCs w:val="8"/>
                <w:color w:val="auto"/>
              </w:rPr>
            </w:pPr>
          </w:p>
        </w:tc>
        <w:tc>
          <w:tcPr>
            <w:tcW w:w="6740" w:type="dxa"/>
            <w:vAlign w:val="bottom"/>
          </w:tcPr>
          <w:p>
            <w:pPr>
              <w:spacing w:after="0"/>
              <w:rPr>
                <w:sz w:val="8"/>
                <w:szCs w:val="8"/>
                <w:color w:val="auto"/>
              </w:rPr>
            </w:pPr>
          </w:p>
        </w:tc>
      </w:tr>
      <w:tr>
        <w:trPr>
          <w:trHeight w:val="304"/>
        </w:trPr>
        <w:tc>
          <w:tcPr>
            <w:tcW w:w="260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rPr>
              <w:t>STRATEGIC</w:t>
            </w:r>
          </w:p>
        </w:tc>
        <w:tc>
          <w:tcPr>
            <w:tcW w:w="6740" w:type="dxa"/>
            <w:vAlign w:val="bottom"/>
            <w:shd w:val="clear" w:color="auto" w:fill="D9D9D9"/>
          </w:tcPr>
          <w:p>
            <w:pPr>
              <w:spacing w:after="0"/>
              <w:rPr>
                <w:sz w:val="24"/>
                <w:szCs w:val="24"/>
                <w:color w:val="auto"/>
              </w:rPr>
            </w:pPr>
          </w:p>
        </w:tc>
      </w:tr>
      <w:tr>
        <w:trPr>
          <w:trHeight w:val="190"/>
        </w:trPr>
        <w:tc>
          <w:tcPr>
            <w:tcW w:w="2600" w:type="dxa"/>
            <w:vAlign w:val="bottom"/>
            <w:shd w:val="clear" w:color="auto" w:fill="D9D9D9"/>
          </w:tcPr>
          <w:p>
            <w:pPr>
              <w:spacing w:after="0"/>
              <w:rPr>
                <w:sz w:val="16"/>
                <w:szCs w:val="16"/>
                <w:color w:val="auto"/>
              </w:rPr>
            </w:pPr>
          </w:p>
        </w:tc>
        <w:tc>
          <w:tcPr>
            <w:tcW w:w="6740" w:type="dxa"/>
            <w:vAlign w:val="bottom"/>
            <w:shd w:val="clear" w:color="auto" w:fill="D9D9D9"/>
          </w:tcPr>
          <w:p>
            <w:pPr>
              <w:spacing w:after="0"/>
              <w:rPr>
                <w:sz w:val="16"/>
                <w:szCs w:val="16"/>
                <w:color w:val="auto"/>
              </w:rPr>
            </w:pPr>
          </w:p>
        </w:tc>
      </w:tr>
      <w:tr>
        <w:trPr>
          <w:trHeight w:val="231"/>
        </w:trPr>
        <w:tc>
          <w:tcPr>
            <w:tcW w:w="2600" w:type="dxa"/>
            <w:vAlign w:val="bottom"/>
          </w:tcPr>
          <w:p>
            <w:pPr>
              <w:ind w:left="100"/>
              <w:spacing w:after="0" w:line="230" w:lineRule="exact"/>
              <w:rPr>
                <w:sz w:val="20"/>
                <w:szCs w:val="20"/>
                <w:color w:val="auto"/>
              </w:rPr>
            </w:pPr>
            <w:r>
              <w:rPr>
                <w:rFonts w:ascii="Times New Roman" w:cs="Times New Roman" w:eastAsia="Times New Roman" w:hAnsi="Times New Roman"/>
                <w:sz w:val="22"/>
                <w:szCs w:val="22"/>
                <w:color w:val="auto"/>
              </w:rPr>
              <w:t>Industrial Manufacturing</w:t>
            </w:r>
          </w:p>
        </w:tc>
        <w:tc>
          <w:tcPr>
            <w:tcW w:w="6740" w:type="dxa"/>
            <w:vAlign w:val="bottom"/>
          </w:tcPr>
          <w:p>
            <w:pPr>
              <w:ind w:left="120"/>
              <w:spacing w:after="0" w:line="231" w:lineRule="exact"/>
              <w:rPr>
                <w:sz w:val="20"/>
                <w:szCs w:val="20"/>
                <w:color w:val="auto"/>
              </w:rPr>
            </w:pPr>
            <w:r>
              <w:rPr>
                <w:rFonts w:ascii="Times New Roman" w:cs="Times New Roman" w:eastAsia="Times New Roman" w:hAnsi="Times New Roman"/>
                <w:sz w:val="20"/>
                <w:szCs w:val="20"/>
                <w:color w:val="auto"/>
              </w:rPr>
              <w:t>ZERUST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rust and corrosion inhibiting packaging solutions resolve</w:t>
            </w:r>
          </w:p>
        </w:tc>
      </w:tr>
      <w:tr>
        <w:trPr>
          <w:trHeight w:val="252"/>
        </w:trPr>
        <w:tc>
          <w:tcPr>
            <w:tcW w:w="2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Industry</w:t>
            </w: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corrosion problems while reducing operating costs, increasing</w:t>
            </w:r>
          </w:p>
        </w:tc>
      </w:tr>
      <w:tr>
        <w:trPr>
          <w:trHeight w:val="246"/>
        </w:trPr>
        <w:tc>
          <w:tcPr>
            <w:tcW w:w="2600" w:type="dxa"/>
            <w:vAlign w:val="bottom"/>
          </w:tcPr>
          <w:p>
            <w:pPr>
              <w:spacing w:after="0"/>
              <w:rPr>
                <w:sz w:val="21"/>
                <w:szCs w:val="21"/>
                <w:color w:val="auto"/>
              </w:rPr>
            </w:pPr>
          </w:p>
        </w:tc>
        <w:tc>
          <w:tcPr>
            <w:tcW w:w="6740" w:type="dxa"/>
            <w:vAlign w:val="bottom"/>
          </w:tcPr>
          <w:p>
            <w:pPr>
              <w:ind w:left="120"/>
              <w:spacing w:after="0" w:line="246" w:lineRule="exact"/>
              <w:rPr>
                <w:sz w:val="20"/>
                <w:szCs w:val="20"/>
                <w:color w:val="auto"/>
              </w:rPr>
            </w:pPr>
            <w:r>
              <w:rPr>
                <w:rFonts w:ascii="Times New Roman" w:cs="Times New Roman" w:eastAsia="Times New Roman" w:hAnsi="Times New Roman"/>
                <w:sz w:val="22"/>
                <w:szCs w:val="22"/>
                <w:color w:val="auto"/>
              </w:rPr>
              <w:t>productivity and enhancing customer satisfaction. During fiscal 2025,</w:t>
            </w:r>
          </w:p>
        </w:tc>
      </w:tr>
      <w:tr>
        <w:trPr>
          <w:trHeight w:val="261"/>
        </w:trPr>
        <w:tc>
          <w:tcPr>
            <w:tcW w:w="2600" w:type="dxa"/>
            <w:vAlign w:val="bottom"/>
          </w:tcPr>
          <w:p>
            <w:pPr>
              <w:spacing w:after="0"/>
              <w:rPr>
                <w:sz w:val="22"/>
                <w:szCs w:val="22"/>
                <w:color w:val="auto"/>
              </w:rPr>
            </w:pPr>
          </w:p>
        </w:tc>
        <w:tc>
          <w:tcPr>
            <w:tcW w:w="6740" w:type="dxa"/>
            <w:vAlign w:val="bottom"/>
          </w:tcPr>
          <w:p>
            <w:pPr>
              <w:ind w:left="120"/>
              <w:spacing w:after="0" w:line="261" w:lineRule="exact"/>
              <w:rPr>
                <w:sz w:val="20"/>
                <w:szCs w:val="20"/>
                <w:color w:val="auto"/>
              </w:rPr>
            </w:pPr>
            <w:r>
              <w:rPr>
                <w:rFonts w:ascii="Times New Roman" w:cs="Times New Roman" w:eastAsia="Times New Roman" w:hAnsi="Times New Roman"/>
                <w:sz w:val="22"/>
                <w:szCs w:val="22"/>
                <w:color w:val="auto"/>
              </w:rPr>
              <w:t>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industrial sales increased by 2.4% compared to fiscal 2024 as</w:t>
            </w:r>
          </w:p>
        </w:tc>
      </w:tr>
      <w:tr>
        <w:trPr>
          <w:trHeight w:val="294"/>
        </w:trPr>
        <w:tc>
          <w:tcPr>
            <w:tcW w:w="260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 result of increased demand for North American products.</w:t>
            </w:r>
          </w:p>
        </w:tc>
      </w:tr>
      <w:tr>
        <w:trPr>
          <w:trHeight w:val="333"/>
        </w:trPr>
        <w:tc>
          <w:tcPr>
            <w:tcW w:w="2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Oil and Gas Industry</w:t>
            </w: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Our global network of trained corrosion management professionals and</w:t>
            </w:r>
          </w:p>
        </w:tc>
      </w:tr>
      <w:tr>
        <w:trPr>
          <w:trHeight w:val="252"/>
        </w:trPr>
        <w:tc>
          <w:tcPr>
            <w:tcW w:w="2600" w:type="dxa"/>
            <w:vAlign w:val="bottom"/>
          </w:tcPr>
          <w:p>
            <w:pPr>
              <w:spacing w:after="0"/>
              <w:rPr>
                <w:sz w:val="21"/>
                <w:szCs w:val="21"/>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channel partners help us develop specialized corrosion mitigation</w:t>
            </w:r>
          </w:p>
        </w:tc>
      </w:tr>
      <w:tr>
        <w:trPr>
          <w:trHeight w:val="246"/>
        </w:trPr>
        <w:tc>
          <w:tcPr>
            <w:tcW w:w="2600" w:type="dxa"/>
            <w:vAlign w:val="bottom"/>
          </w:tcPr>
          <w:p>
            <w:pPr>
              <w:spacing w:after="0"/>
              <w:rPr>
                <w:sz w:val="21"/>
                <w:szCs w:val="21"/>
                <w:color w:val="auto"/>
              </w:rPr>
            </w:pPr>
          </w:p>
        </w:tc>
        <w:tc>
          <w:tcPr>
            <w:tcW w:w="6740" w:type="dxa"/>
            <w:vAlign w:val="bottom"/>
          </w:tcPr>
          <w:p>
            <w:pPr>
              <w:ind w:left="120"/>
              <w:spacing w:after="0" w:line="246" w:lineRule="exact"/>
              <w:rPr>
                <w:sz w:val="20"/>
                <w:szCs w:val="20"/>
                <w:color w:val="auto"/>
              </w:rPr>
            </w:pPr>
            <w:r>
              <w:rPr>
                <w:rFonts w:ascii="Times New Roman" w:cs="Times New Roman" w:eastAsia="Times New Roman" w:hAnsi="Times New Roman"/>
                <w:sz w:val="22"/>
                <w:szCs w:val="22"/>
                <w:color w:val="auto"/>
              </w:rPr>
              <w:t>solutions for the oil and gas industry, provide local support, and conduct</w:t>
            </w:r>
          </w:p>
        </w:tc>
      </w:tr>
      <w:tr>
        <w:trPr>
          <w:trHeight w:val="261"/>
        </w:trPr>
        <w:tc>
          <w:tcPr>
            <w:tcW w:w="2600" w:type="dxa"/>
            <w:vAlign w:val="bottom"/>
          </w:tcPr>
          <w:p>
            <w:pPr>
              <w:spacing w:after="0"/>
              <w:rPr>
                <w:sz w:val="22"/>
                <w:szCs w:val="22"/>
                <w:color w:val="auto"/>
              </w:rPr>
            </w:pPr>
          </w:p>
        </w:tc>
        <w:tc>
          <w:tcPr>
            <w:tcW w:w="6740" w:type="dxa"/>
            <w:vAlign w:val="bottom"/>
          </w:tcPr>
          <w:p>
            <w:pPr>
              <w:ind w:left="120"/>
              <w:spacing w:after="0" w:line="261" w:lineRule="exact"/>
              <w:rPr>
                <w:sz w:val="20"/>
                <w:szCs w:val="20"/>
                <w:color w:val="auto"/>
              </w:rPr>
            </w:pPr>
            <w:r>
              <w:rPr>
                <w:rFonts w:ascii="Times New Roman" w:cs="Times New Roman" w:eastAsia="Times New Roman" w:hAnsi="Times New Roman"/>
                <w:sz w:val="22"/>
                <w:szCs w:val="22"/>
                <w:color w:val="auto"/>
              </w:rPr>
              <w:t>client training.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Oil &amp; Gas net sales were $7.3 million, down</w:t>
            </w:r>
          </w:p>
        </w:tc>
      </w:tr>
      <w:tr>
        <w:trPr>
          <w:trHeight w:val="294"/>
        </w:trPr>
        <w:tc>
          <w:tcPr>
            <w:tcW w:w="260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from record sales in fiscal 2024.</w:t>
            </w:r>
          </w:p>
        </w:tc>
      </w:tr>
      <w:tr>
        <w:trPr>
          <w:trHeight w:val="333"/>
        </w:trPr>
        <w:tc>
          <w:tcPr>
            <w:tcW w:w="2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Bioplastics Industry</w:t>
            </w: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Our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biobased and compostable plastics are manufactured</w:t>
            </w:r>
          </w:p>
        </w:tc>
      </w:tr>
      <w:tr>
        <w:trPr>
          <w:trHeight w:val="252"/>
        </w:trPr>
        <w:tc>
          <w:tcPr>
            <w:tcW w:w="2600" w:type="dxa"/>
            <w:vAlign w:val="bottom"/>
          </w:tcPr>
          <w:p>
            <w:pPr>
              <w:spacing w:after="0"/>
              <w:rPr>
                <w:sz w:val="21"/>
                <w:szCs w:val="21"/>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using NTIC’s patented and/or proprietary technologies and are intended</w:t>
            </w:r>
          </w:p>
        </w:tc>
      </w:tr>
      <w:tr>
        <w:trPr>
          <w:trHeight w:val="253"/>
        </w:trPr>
        <w:tc>
          <w:tcPr>
            <w:tcW w:w="2600" w:type="dxa"/>
            <w:vAlign w:val="bottom"/>
          </w:tcPr>
          <w:p>
            <w:pPr>
              <w:spacing w:after="0"/>
              <w:rPr>
                <w:sz w:val="22"/>
                <w:szCs w:val="22"/>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 replace conventional plastics and thereby reduce our customers’</w:t>
            </w:r>
          </w:p>
        </w:tc>
      </w:tr>
      <w:tr>
        <w:trPr>
          <w:trHeight w:val="246"/>
        </w:trPr>
        <w:tc>
          <w:tcPr>
            <w:tcW w:w="2600" w:type="dxa"/>
            <w:vAlign w:val="bottom"/>
          </w:tcPr>
          <w:p>
            <w:pPr>
              <w:spacing w:after="0"/>
              <w:rPr>
                <w:sz w:val="21"/>
                <w:szCs w:val="21"/>
                <w:color w:val="auto"/>
              </w:rPr>
            </w:pPr>
          </w:p>
        </w:tc>
        <w:tc>
          <w:tcPr>
            <w:tcW w:w="6740" w:type="dxa"/>
            <w:vAlign w:val="bottom"/>
          </w:tcPr>
          <w:p>
            <w:pPr>
              <w:ind w:left="120"/>
              <w:spacing w:after="0" w:line="246" w:lineRule="exact"/>
              <w:rPr>
                <w:sz w:val="20"/>
                <w:szCs w:val="20"/>
                <w:color w:val="auto"/>
              </w:rPr>
            </w:pPr>
            <w:r>
              <w:rPr>
                <w:rFonts w:ascii="Times New Roman" w:cs="Times New Roman" w:eastAsia="Times New Roman" w:hAnsi="Times New Roman"/>
                <w:sz w:val="22"/>
                <w:szCs w:val="22"/>
                <w:color w:val="auto"/>
              </w:rPr>
              <w:t>carbon footprint and provide environmentally sound waste disposal</w:t>
            </w:r>
          </w:p>
        </w:tc>
      </w:tr>
      <w:tr>
        <w:trPr>
          <w:trHeight w:val="261"/>
        </w:trPr>
        <w:tc>
          <w:tcPr>
            <w:tcW w:w="2600" w:type="dxa"/>
            <w:vAlign w:val="bottom"/>
          </w:tcPr>
          <w:p>
            <w:pPr>
              <w:spacing w:after="0"/>
              <w:rPr>
                <w:sz w:val="22"/>
                <w:szCs w:val="22"/>
                <w:color w:val="auto"/>
              </w:rPr>
            </w:pPr>
          </w:p>
        </w:tc>
        <w:tc>
          <w:tcPr>
            <w:tcW w:w="6740" w:type="dxa"/>
            <w:vAlign w:val="bottom"/>
          </w:tcPr>
          <w:p>
            <w:pPr>
              <w:ind w:left="120"/>
              <w:spacing w:after="0" w:line="261" w:lineRule="exact"/>
              <w:rPr>
                <w:sz w:val="20"/>
                <w:szCs w:val="20"/>
                <w:color w:val="auto"/>
              </w:rPr>
            </w:pPr>
            <w:r>
              <w:rPr>
                <w:rFonts w:ascii="Times New Roman" w:cs="Times New Roman" w:eastAsia="Times New Roman" w:hAnsi="Times New Roman"/>
                <w:sz w:val="22"/>
                <w:szCs w:val="22"/>
                <w:color w:val="auto"/>
              </w:rPr>
              <w:t>options.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net sales were $21.7 million, down from record sales</w:t>
            </w:r>
          </w:p>
        </w:tc>
      </w:tr>
      <w:tr>
        <w:trPr>
          <w:trHeight w:val="294"/>
        </w:trPr>
        <w:tc>
          <w:tcPr>
            <w:tcW w:w="2600" w:type="dxa"/>
            <w:vAlign w:val="bottom"/>
          </w:tcPr>
          <w:p>
            <w:pPr>
              <w:spacing w:after="0"/>
              <w:rPr>
                <w:sz w:val="24"/>
                <w:szCs w:val="24"/>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 fiscal 2024.</w:t>
            </w:r>
          </w:p>
        </w:tc>
      </w:tr>
    </w:tbl>
    <w:p>
      <w:pPr>
        <w:spacing w:after="0" w:line="200" w:lineRule="exact"/>
        <w:rPr>
          <w:sz w:val="20"/>
          <w:szCs w:val="20"/>
          <w:color w:val="auto"/>
        </w:rPr>
      </w:pPr>
    </w:p>
    <w:p>
      <w:pPr>
        <w:sectPr>
          <w:pgSz w:w="12240" w:h="15840" w:orient="portrait"/>
          <w:cols w:equalWidth="0" w:num="1">
            <w:col w:w="9460"/>
          </w:cols>
          <w:pgMar w:left="1340" w:top="1406" w:right="144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w:t>
      </w:r>
    </w:p>
    <w:p>
      <w:pPr>
        <w:sectPr>
          <w:pgSz w:w="12240" w:h="15840" w:orient="portrait"/>
          <w:cols w:equalWidth="0" w:num="1">
            <w:col w:w="9460"/>
          </w:cols>
          <w:pgMar w:left="1340" w:top="1406" w:right="1440" w:bottom="34" w:gutter="0" w:footer="0" w:header="0"/>
          <w:type w:val="continuous"/>
        </w:sectPr>
      </w:pPr>
    </w:p>
    <w:bookmarkStart w:id="11" w:name="page12"/>
    <w:bookmarkEnd w:id="11"/>
    <w:p>
      <w:pPr>
        <w:ind w:left="120"/>
        <w:spacing w:after="0"/>
        <w:rPr>
          <w:sz w:val="20"/>
          <w:szCs w:val="20"/>
          <w:color w:val="auto"/>
        </w:rPr>
      </w:pPr>
      <w:r>
        <w:rPr>
          <w:rFonts w:ascii="Times New Roman" w:cs="Times New Roman" w:eastAsia="Times New Roman" w:hAnsi="Times New Roman"/>
          <w:sz w:val="28"/>
          <w:szCs w:val="28"/>
          <w:b w:val="1"/>
          <w:bCs w:val="1"/>
          <w:color w:val="auto"/>
        </w:rPr>
        <w:t>CORPORATE GOVERNANCE HIGHLIGHTS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10160</wp:posOffset>
                </wp:positionV>
                <wp:extent cx="59436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0.8pt" to="474pt,0.8pt" o:allowincell="f" strokecolor="#000000" strokeweight="1.32pt"/>
            </w:pict>
          </mc:Fallback>
        </mc:AlternateConten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260" w:type="dxa"/>
            <w:vAlign w:val="bottom"/>
          </w:tcPr>
          <w:p>
            <w:pPr>
              <w:jc w:val="right"/>
              <w:spacing w:after="0"/>
              <w:rPr>
                <w:sz w:val="20"/>
                <w:szCs w:val="20"/>
                <w:color w:val="auto"/>
              </w:rPr>
            </w:pPr>
            <w:r>
              <w:rPr>
                <w:rFonts w:ascii="Wingdings" w:cs="Wingdings" w:eastAsia="Wingdings" w:hAnsi="Wingdings"/>
                <w:sz w:val="21"/>
                <w:szCs w:val="21"/>
                <w:color w:val="auto"/>
                <w:w w:val="70"/>
              </w:rPr>
              <w:t>9</w:t>
            </w:r>
          </w:p>
        </w:tc>
        <w:tc>
          <w:tcPr>
            <w:tcW w:w="41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Annual election of directors</w:t>
            </w:r>
          </w:p>
        </w:tc>
        <w:tc>
          <w:tcPr>
            <w:tcW w:w="500" w:type="dxa"/>
            <w:vAlign w:val="bottom"/>
          </w:tcPr>
          <w:p>
            <w:pPr>
              <w:jc w:val="right"/>
              <w:spacing w:after="0"/>
              <w:rPr>
                <w:sz w:val="20"/>
                <w:szCs w:val="20"/>
                <w:color w:val="auto"/>
              </w:rPr>
            </w:pPr>
            <w:r>
              <w:rPr>
                <w:rFonts w:ascii="Wingdings" w:cs="Wingdings" w:eastAsia="Wingdings" w:hAnsi="Wingdings"/>
                <w:sz w:val="22"/>
                <w:szCs w:val="22"/>
                <w:color w:val="auto"/>
              </w:rPr>
              <w:t>9</w:t>
            </w:r>
          </w:p>
        </w:tc>
        <w:tc>
          <w:tcPr>
            <w:tcW w:w="4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Recent Board committee Chair rotations</w:t>
            </w:r>
          </w:p>
        </w:tc>
      </w:tr>
      <w:tr>
        <w:trPr>
          <w:trHeight w:val="253"/>
        </w:trPr>
        <w:tc>
          <w:tcPr>
            <w:tcW w:w="260" w:type="dxa"/>
            <w:vAlign w:val="bottom"/>
          </w:tcPr>
          <w:p>
            <w:pPr>
              <w:jc w:val="right"/>
              <w:spacing w:after="0"/>
              <w:rPr>
                <w:sz w:val="20"/>
                <w:szCs w:val="20"/>
                <w:color w:val="auto"/>
              </w:rPr>
            </w:pPr>
            <w:r>
              <w:rPr>
                <w:rFonts w:ascii="Wingdings" w:cs="Wingdings" w:eastAsia="Wingdings" w:hAnsi="Wingdings"/>
                <w:sz w:val="21"/>
                <w:szCs w:val="21"/>
                <w:color w:val="auto"/>
                <w:w w:val="70"/>
              </w:rPr>
              <w:t>9</w:t>
            </w:r>
          </w:p>
        </w:tc>
        <w:tc>
          <w:tcPr>
            <w:tcW w:w="41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75% independent directors</w:t>
            </w:r>
          </w:p>
        </w:tc>
        <w:tc>
          <w:tcPr>
            <w:tcW w:w="500" w:type="dxa"/>
            <w:vAlign w:val="bottom"/>
          </w:tcPr>
          <w:p>
            <w:pPr>
              <w:jc w:val="right"/>
              <w:spacing w:after="0"/>
              <w:rPr>
                <w:sz w:val="20"/>
                <w:szCs w:val="20"/>
                <w:color w:val="auto"/>
              </w:rPr>
            </w:pPr>
            <w:r>
              <w:rPr>
                <w:rFonts w:ascii="Wingdings" w:cs="Wingdings" w:eastAsia="Wingdings" w:hAnsi="Wingdings"/>
                <w:sz w:val="22"/>
                <w:szCs w:val="22"/>
                <w:color w:val="auto"/>
              </w:rPr>
              <w:t>9</w:t>
            </w:r>
          </w:p>
        </w:tc>
        <w:tc>
          <w:tcPr>
            <w:tcW w:w="4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poison pill</w:t>
            </w:r>
          </w:p>
        </w:tc>
      </w:tr>
      <w:tr>
        <w:trPr>
          <w:trHeight w:val="253"/>
        </w:trPr>
        <w:tc>
          <w:tcPr>
            <w:tcW w:w="260" w:type="dxa"/>
            <w:vAlign w:val="bottom"/>
          </w:tcPr>
          <w:p>
            <w:pPr>
              <w:jc w:val="right"/>
              <w:spacing w:after="0"/>
              <w:rPr>
                <w:sz w:val="20"/>
                <w:szCs w:val="20"/>
                <w:color w:val="auto"/>
              </w:rPr>
            </w:pPr>
            <w:r>
              <w:rPr>
                <w:rFonts w:ascii="Wingdings" w:cs="Wingdings" w:eastAsia="Wingdings" w:hAnsi="Wingdings"/>
                <w:sz w:val="21"/>
                <w:szCs w:val="21"/>
                <w:color w:val="auto"/>
                <w:w w:val="70"/>
              </w:rPr>
              <w:t>9</w:t>
            </w:r>
          </w:p>
        </w:tc>
        <w:tc>
          <w:tcPr>
            <w:tcW w:w="41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Independent Board Chair</w:t>
            </w:r>
          </w:p>
        </w:tc>
        <w:tc>
          <w:tcPr>
            <w:tcW w:w="500" w:type="dxa"/>
            <w:vAlign w:val="bottom"/>
          </w:tcPr>
          <w:p>
            <w:pPr>
              <w:jc w:val="right"/>
              <w:spacing w:after="0"/>
              <w:rPr>
                <w:sz w:val="20"/>
                <w:szCs w:val="20"/>
                <w:color w:val="auto"/>
              </w:rPr>
            </w:pPr>
            <w:r>
              <w:rPr>
                <w:rFonts w:ascii="Wingdings" w:cs="Wingdings" w:eastAsia="Wingdings" w:hAnsi="Wingdings"/>
                <w:sz w:val="22"/>
                <w:szCs w:val="22"/>
                <w:color w:val="auto"/>
              </w:rPr>
              <w:t>9</w:t>
            </w:r>
          </w:p>
        </w:tc>
        <w:tc>
          <w:tcPr>
            <w:tcW w:w="4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Annual say-on-pay vote</w:t>
            </w:r>
          </w:p>
        </w:tc>
      </w:tr>
      <w:tr>
        <w:trPr>
          <w:trHeight w:val="252"/>
        </w:trPr>
        <w:tc>
          <w:tcPr>
            <w:tcW w:w="260" w:type="dxa"/>
            <w:vAlign w:val="bottom"/>
          </w:tcPr>
          <w:p>
            <w:pPr>
              <w:jc w:val="right"/>
              <w:spacing w:after="0"/>
              <w:rPr>
                <w:sz w:val="20"/>
                <w:szCs w:val="20"/>
                <w:color w:val="auto"/>
              </w:rPr>
            </w:pPr>
            <w:r>
              <w:rPr>
                <w:rFonts w:ascii="Wingdings" w:cs="Wingdings" w:eastAsia="Wingdings" w:hAnsi="Wingdings"/>
                <w:sz w:val="21"/>
                <w:szCs w:val="21"/>
                <w:color w:val="auto"/>
                <w:w w:val="70"/>
              </w:rPr>
              <w:t>9</w:t>
            </w:r>
          </w:p>
        </w:tc>
        <w:tc>
          <w:tcPr>
            <w:tcW w:w="41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Three fully independent Board committees</w:t>
            </w:r>
          </w:p>
        </w:tc>
        <w:tc>
          <w:tcPr>
            <w:tcW w:w="500" w:type="dxa"/>
            <w:vAlign w:val="bottom"/>
          </w:tcPr>
          <w:p>
            <w:pPr>
              <w:jc w:val="right"/>
              <w:spacing w:after="0"/>
              <w:rPr>
                <w:sz w:val="20"/>
                <w:szCs w:val="20"/>
                <w:color w:val="auto"/>
              </w:rPr>
            </w:pPr>
            <w:r>
              <w:rPr>
                <w:rFonts w:ascii="Wingdings" w:cs="Wingdings" w:eastAsia="Wingdings" w:hAnsi="Wingdings"/>
                <w:sz w:val="22"/>
                <w:szCs w:val="22"/>
                <w:color w:val="auto"/>
              </w:rPr>
              <w:t>9</w:t>
            </w:r>
          </w:p>
        </w:tc>
        <w:tc>
          <w:tcPr>
            <w:tcW w:w="4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Robust clawback policy</w:t>
            </w:r>
          </w:p>
        </w:tc>
      </w:tr>
      <w:tr>
        <w:trPr>
          <w:trHeight w:val="253"/>
        </w:trPr>
        <w:tc>
          <w:tcPr>
            <w:tcW w:w="260" w:type="dxa"/>
            <w:vAlign w:val="bottom"/>
          </w:tcPr>
          <w:p>
            <w:pPr>
              <w:jc w:val="right"/>
              <w:spacing w:after="0"/>
              <w:rPr>
                <w:sz w:val="20"/>
                <w:szCs w:val="20"/>
                <w:color w:val="auto"/>
              </w:rPr>
            </w:pPr>
            <w:r>
              <w:rPr>
                <w:rFonts w:ascii="Wingdings" w:cs="Wingdings" w:eastAsia="Wingdings" w:hAnsi="Wingdings"/>
                <w:sz w:val="21"/>
                <w:szCs w:val="21"/>
                <w:color w:val="auto"/>
                <w:w w:val="70"/>
              </w:rPr>
              <w:t>9</w:t>
            </w:r>
          </w:p>
        </w:tc>
        <w:tc>
          <w:tcPr>
            <w:tcW w:w="41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Corporate governance guidelines</w:t>
            </w:r>
          </w:p>
        </w:tc>
        <w:tc>
          <w:tcPr>
            <w:tcW w:w="500" w:type="dxa"/>
            <w:vAlign w:val="bottom"/>
          </w:tcPr>
          <w:p>
            <w:pPr>
              <w:jc w:val="right"/>
              <w:spacing w:after="0"/>
              <w:rPr>
                <w:sz w:val="20"/>
                <w:szCs w:val="20"/>
                <w:color w:val="auto"/>
              </w:rPr>
            </w:pPr>
            <w:r>
              <w:rPr>
                <w:rFonts w:ascii="Wingdings" w:cs="Wingdings" w:eastAsia="Wingdings" w:hAnsi="Wingdings"/>
                <w:sz w:val="22"/>
                <w:szCs w:val="22"/>
                <w:color w:val="auto"/>
              </w:rPr>
              <w:t>9</w:t>
            </w:r>
          </w:p>
        </w:tc>
        <w:tc>
          <w:tcPr>
            <w:tcW w:w="4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guaranteed bonuses or significant perks</w:t>
            </w:r>
          </w:p>
        </w:tc>
      </w:tr>
      <w:tr>
        <w:trPr>
          <w:trHeight w:val="253"/>
        </w:trPr>
        <w:tc>
          <w:tcPr>
            <w:tcW w:w="260" w:type="dxa"/>
            <w:vAlign w:val="bottom"/>
          </w:tcPr>
          <w:p>
            <w:pPr>
              <w:jc w:val="right"/>
              <w:spacing w:after="0"/>
              <w:rPr>
                <w:sz w:val="20"/>
                <w:szCs w:val="20"/>
                <w:color w:val="auto"/>
              </w:rPr>
            </w:pPr>
            <w:r>
              <w:rPr>
                <w:rFonts w:ascii="Wingdings" w:cs="Wingdings" w:eastAsia="Wingdings" w:hAnsi="Wingdings"/>
                <w:sz w:val="21"/>
                <w:szCs w:val="21"/>
                <w:color w:val="auto"/>
                <w:w w:val="70"/>
              </w:rPr>
              <w:t>9</w:t>
            </w:r>
          </w:p>
        </w:tc>
        <w:tc>
          <w:tcPr>
            <w:tcW w:w="41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Annual review of governance documents</w:t>
            </w:r>
          </w:p>
        </w:tc>
        <w:tc>
          <w:tcPr>
            <w:tcW w:w="500" w:type="dxa"/>
            <w:vAlign w:val="bottom"/>
          </w:tcPr>
          <w:p>
            <w:pPr>
              <w:jc w:val="right"/>
              <w:spacing w:after="0"/>
              <w:rPr>
                <w:sz w:val="20"/>
                <w:szCs w:val="20"/>
                <w:color w:val="auto"/>
              </w:rPr>
            </w:pPr>
            <w:r>
              <w:rPr>
                <w:rFonts w:ascii="Wingdings" w:cs="Wingdings" w:eastAsia="Wingdings" w:hAnsi="Wingdings"/>
                <w:sz w:val="22"/>
                <w:szCs w:val="22"/>
                <w:color w:val="auto"/>
              </w:rPr>
              <w:t>9</w:t>
            </w:r>
          </w:p>
        </w:tc>
        <w:tc>
          <w:tcPr>
            <w:tcW w:w="4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Limits on other board memberships</w:t>
            </w:r>
          </w:p>
        </w:tc>
      </w:tr>
      <w:tr>
        <w:trPr>
          <w:trHeight w:val="253"/>
        </w:trPr>
        <w:tc>
          <w:tcPr>
            <w:tcW w:w="260" w:type="dxa"/>
            <w:vAlign w:val="bottom"/>
          </w:tcPr>
          <w:p>
            <w:pPr>
              <w:jc w:val="right"/>
              <w:spacing w:after="0"/>
              <w:rPr>
                <w:sz w:val="20"/>
                <w:szCs w:val="20"/>
                <w:color w:val="auto"/>
              </w:rPr>
            </w:pPr>
            <w:r>
              <w:rPr>
                <w:rFonts w:ascii="Wingdings" w:cs="Wingdings" w:eastAsia="Wingdings" w:hAnsi="Wingdings"/>
                <w:sz w:val="21"/>
                <w:szCs w:val="21"/>
                <w:color w:val="auto"/>
                <w:w w:val="70"/>
              </w:rPr>
              <w:t>9</w:t>
            </w:r>
          </w:p>
        </w:tc>
        <w:tc>
          <w:tcPr>
            <w:tcW w:w="41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Stock ownership guidelines for executive</w:t>
            </w:r>
          </w:p>
        </w:tc>
        <w:tc>
          <w:tcPr>
            <w:tcW w:w="500" w:type="dxa"/>
            <w:vAlign w:val="bottom"/>
          </w:tcPr>
          <w:p>
            <w:pPr>
              <w:jc w:val="right"/>
              <w:spacing w:after="0"/>
              <w:rPr>
                <w:sz w:val="20"/>
                <w:szCs w:val="20"/>
                <w:color w:val="auto"/>
              </w:rPr>
            </w:pPr>
            <w:r>
              <w:rPr>
                <w:rFonts w:ascii="Wingdings" w:cs="Wingdings" w:eastAsia="Wingdings" w:hAnsi="Wingdings"/>
                <w:sz w:val="22"/>
                <w:szCs w:val="22"/>
                <w:color w:val="auto"/>
              </w:rPr>
              <w:t>9</w:t>
            </w:r>
          </w:p>
        </w:tc>
        <w:tc>
          <w:tcPr>
            <w:tcW w:w="42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Board oversight of cybersecurity and other key</w:t>
            </w:r>
          </w:p>
        </w:tc>
      </w:tr>
      <w:tr>
        <w:trPr>
          <w:trHeight w:val="294"/>
        </w:trPr>
        <w:tc>
          <w:tcPr>
            <w:tcW w:w="260" w:type="dxa"/>
            <w:vAlign w:val="bottom"/>
          </w:tcPr>
          <w:p>
            <w:pPr>
              <w:spacing w:after="0"/>
              <w:rPr>
                <w:sz w:val="24"/>
                <w:szCs w:val="24"/>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officers and directors</w:t>
            </w:r>
          </w:p>
        </w:tc>
        <w:tc>
          <w:tcPr>
            <w:tcW w:w="500" w:type="dxa"/>
            <w:vAlign w:val="bottom"/>
          </w:tcPr>
          <w:p>
            <w:pPr>
              <w:spacing w:after="0"/>
              <w:rPr>
                <w:sz w:val="24"/>
                <w:szCs w:val="24"/>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risks</w:t>
            </w:r>
          </w:p>
        </w:tc>
      </w:tr>
    </w:tbl>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STOCKHOLDER ENGAGEMENT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10160</wp:posOffset>
                </wp:positionV>
                <wp:extent cx="59436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0.8pt" to="474pt,0.8pt" o:allowincell="f" strokecolor="#000000" strokeweight="1.32pt"/>
            </w:pict>
          </mc:Fallback>
        </mc:AlternateContent>
      </w:r>
    </w:p>
    <w:p>
      <w:pPr>
        <w:spacing w:after="0" w:line="231" w:lineRule="exact"/>
        <w:rPr>
          <w:sz w:val="20"/>
          <w:szCs w:val="20"/>
          <w:color w:val="auto"/>
        </w:rPr>
      </w:pPr>
    </w:p>
    <w:p>
      <w:pPr>
        <w:ind w:left="120" w:right="160"/>
        <w:spacing w:after="0" w:line="249" w:lineRule="auto"/>
        <w:rPr>
          <w:sz w:val="20"/>
          <w:szCs w:val="20"/>
          <w:color w:val="auto"/>
        </w:rPr>
      </w:pPr>
      <w:r>
        <w:rPr>
          <w:rFonts w:ascii="Times New Roman" w:cs="Times New Roman" w:eastAsia="Times New Roman" w:hAnsi="Times New Roman"/>
          <w:sz w:val="22"/>
          <w:szCs w:val="22"/>
          <w:color w:val="auto"/>
        </w:rPr>
        <w:t>We are committed to a robust and proactive stockholder engagement program. The Board of Directors values the perspectives of our stockholders, and feedback from stockholders on our business, corporate governance, executive compensation, and sustainability practices are important considerations for Board discussions throughout the year. Some of the actions we have taken in response to feedback from proxy advisory firms and stockholders over the last several years are described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4060" w:type="dxa"/>
            <w:vAlign w:val="bottom"/>
            <w:tcBorders>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rPr>
              <w:t>What We Heard</w:t>
            </w:r>
          </w:p>
        </w:tc>
        <w:tc>
          <w:tcPr>
            <w:tcW w:w="5320" w:type="dxa"/>
            <w:vAlign w:val="bottom"/>
            <w:tcBorders>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rPr>
              <w:t>What We Did</w:t>
            </w:r>
          </w:p>
        </w:tc>
      </w:tr>
      <w:tr>
        <w:trPr>
          <w:trHeight w:val="220"/>
        </w:trPr>
        <w:tc>
          <w:tcPr>
            <w:tcW w:w="20" w:type="dxa"/>
            <w:vAlign w:val="bottom"/>
          </w:tcPr>
          <w:p>
            <w:pPr>
              <w:spacing w:after="0"/>
              <w:rPr>
                <w:sz w:val="19"/>
                <w:szCs w:val="19"/>
                <w:color w:val="auto"/>
              </w:rPr>
            </w:pPr>
          </w:p>
        </w:tc>
        <w:tc>
          <w:tcPr>
            <w:tcW w:w="406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Encourage Board refreshment</w:t>
            </w:r>
          </w:p>
        </w:tc>
        <w:tc>
          <w:tcPr>
            <w:tcW w:w="5320" w:type="dxa"/>
            <w:vAlign w:val="bottom"/>
          </w:tcPr>
          <w:p>
            <w:pPr>
              <w:ind w:left="120"/>
              <w:spacing w:after="0" w:line="221" w:lineRule="exact"/>
              <w:rPr>
                <w:sz w:val="20"/>
                <w:szCs w:val="20"/>
                <w:color w:val="auto"/>
              </w:rPr>
            </w:pPr>
            <w:r>
              <w:rPr>
                <w:rFonts w:ascii="Times New Roman" w:cs="Times New Roman" w:eastAsia="Times New Roman" w:hAnsi="Times New Roman"/>
                <w:sz w:val="22"/>
                <w:szCs w:val="22"/>
                <w:color w:val="auto"/>
              </w:rPr>
              <w:t>We added Cristina Pinho to our Board in January 2023</w:t>
            </w:r>
          </w:p>
        </w:tc>
      </w:tr>
      <w:tr>
        <w:trPr>
          <w:trHeight w:val="253"/>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and rotated our Compensation Committee and</w:t>
            </w:r>
          </w:p>
        </w:tc>
      </w:tr>
      <w:tr>
        <w:trPr>
          <w:trHeight w:val="252"/>
        </w:trPr>
        <w:tc>
          <w:tcPr>
            <w:tcW w:w="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Nominating and Corporate Governance Committee</w:t>
            </w:r>
          </w:p>
        </w:tc>
      </w:tr>
      <w:tr>
        <w:trPr>
          <w:trHeight w:val="276"/>
        </w:trPr>
        <w:tc>
          <w:tcPr>
            <w:tcW w:w="20" w:type="dxa"/>
            <w:vAlign w:val="bottom"/>
          </w:tcPr>
          <w:p>
            <w:pPr>
              <w:spacing w:after="0"/>
              <w:rPr>
                <w:sz w:val="23"/>
                <w:szCs w:val="23"/>
                <w:color w:val="auto"/>
              </w:rPr>
            </w:pPr>
          </w:p>
        </w:tc>
        <w:tc>
          <w:tcPr>
            <w:tcW w:w="4060" w:type="dxa"/>
            <w:vAlign w:val="bottom"/>
            <w:tcBorders>
              <w:bottom w:val="single" w:sz="8" w:color="auto"/>
            </w:tcBorders>
          </w:tcPr>
          <w:p>
            <w:pPr>
              <w:spacing w:after="0"/>
              <w:rPr>
                <w:sz w:val="23"/>
                <w:szCs w:val="23"/>
                <w:color w:val="auto"/>
              </w:rPr>
            </w:pPr>
          </w:p>
        </w:tc>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Chairs in November 2024.</w:t>
            </w:r>
          </w:p>
        </w:tc>
      </w:tr>
      <w:tr>
        <w:trPr>
          <w:trHeight w:val="220"/>
        </w:trPr>
        <w:tc>
          <w:tcPr>
            <w:tcW w:w="20" w:type="dxa"/>
            <w:vAlign w:val="bottom"/>
          </w:tcPr>
          <w:p>
            <w:pPr>
              <w:spacing w:after="0"/>
              <w:rPr>
                <w:sz w:val="19"/>
                <w:szCs w:val="19"/>
                <w:color w:val="auto"/>
              </w:rPr>
            </w:pPr>
          </w:p>
        </w:tc>
        <w:tc>
          <w:tcPr>
            <w:tcW w:w="406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Increase stockholder influence over</w:t>
            </w:r>
          </w:p>
        </w:tc>
        <w:tc>
          <w:tcPr>
            <w:tcW w:w="53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We adopted a “plurality plus” vote standard for</w:t>
            </w:r>
          </w:p>
        </w:tc>
      </w:tr>
      <w:tr>
        <w:trPr>
          <w:trHeight w:val="253"/>
        </w:trPr>
        <w:tc>
          <w:tcPr>
            <w:tcW w:w="20" w:type="dxa"/>
            <w:vAlign w:val="bottom"/>
          </w:tcPr>
          <w:p>
            <w:pPr>
              <w:spacing w:after="0"/>
              <w:rPr>
                <w:sz w:val="22"/>
                <w:szCs w:val="22"/>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director elections</w:t>
            </w: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uncontested director elections, with a director resignation</w:t>
            </w:r>
          </w:p>
        </w:tc>
      </w:tr>
      <w:tr>
        <w:trPr>
          <w:trHeight w:val="276"/>
        </w:trPr>
        <w:tc>
          <w:tcPr>
            <w:tcW w:w="20" w:type="dxa"/>
            <w:vAlign w:val="bottom"/>
          </w:tcPr>
          <w:p>
            <w:pPr>
              <w:spacing w:after="0"/>
              <w:rPr>
                <w:sz w:val="23"/>
                <w:szCs w:val="23"/>
                <w:color w:val="auto"/>
              </w:rPr>
            </w:pPr>
          </w:p>
        </w:tc>
        <w:tc>
          <w:tcPr>
            <w:tcW w:w="4060" w:type="dxa"/>
            <w:vAlign w:val="bottom"/>
            <w:tcBorders>
              <w:bottom w:val="single" w:sz="8" w:color="auto"/>
            </w:tcBorders>
          </w:tcPr>
          <w:p>
            <w:pPr>
              <w:spacing w:after="0"/>
              <w:rPr>
                <w:sz w:val="23"/>
                <w:szCs w:val="23"/>
                <w:color w:val="auto"/>
              </w:rPr>
            </w:pPr>
          </w:p>
        </w:tc>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policy, instead of a simple plurality vote standard.</w:t>
            </w:r>
          </w:p>
        </w:tc>
      </w:tr>
      <w:tr>
        <w:trPr>
          <w:trHeight w:val="220"/>
        </w:trPr>
        <w:tc>
          <w:tcPr>
            <w:tcW w:w="20" w:type="dxa"/>
            <w:vAlign w:val="bottom"/>
          </w:tcPr>
          <w:p>
            <w:pPr>
              <w:spacing w:after="0"/>
              <w:rPr>
                <w:sz w:val="19"/>
                <w:szCs w:val="19"/>
                <w:color w:val="auto"/>
              </w:rPr>
            </w:pPr>
          </w:p>
        </w:tc>
        <w:tc>
          <w:tcPr>
            <w:tcW w:w="406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Align long-term incentives</w:t>
            </w:r>
          </w:p>
        </w:tc>
        <w:tc>
          <w:tcPr>
            <w:tcW w:w="5320" w:type="dxa"/>
            <w:vAlign w:val="bottom"/>
          </w:tcPr>
          <w:p>
            <w:pPr>
              <w:ind w:left="120"/>
              <w:spacing w:after="0" w:line="221" w:lineRule="exact"/>
              <w:rPr>
                <w:sz w:val="20"/>
                <w:szCs w:val="20"/>
                <w:color w:val="auto"/>
              </w:rPr>
            </w:pPr>
            <w:r>
              <w:rPr>
                <w:rFonts w:ascii="Times New Roman" w:cs="Times New Roman" w:eastAsia="Times New Roman" w:hAnsi="Times New Roman"/>
                <w:sz w:val="22"/>
                <w:szCs w:val="22"/>
                <w:color w:val="auto"/>
              </w:rPr>
              <w:t>We extended the vesting of our annual stock option</w:t>
            </w:r>
          </w:p>
        </w:tc>
      </w:tr>
      <w:tr>
        <w:trPr>
          <w:trHeight w:val="253"/>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grants to three-year vesting in response to a concern</w:t>
            </w:r>
          </w:p>
        </w:tc>
      </w:tr>
      <w:tr>
        <w:trPr>
          <w:trHeight w:val="276"/>
        </w:trPr>
        <w:tc>
          <w:tcPr>
            <w:tcW w:w="20" w:type="dxa"/>
            <w:vAlign w:val="bottom"/>
          </w:tcPr>
          <w:p>
            <w:pPr>
              <w:spacing w:after="0"/>
              <w:rPr>
                <w:sz w:val="23"/>
                <w:szCs w:val="23"/>
                <w:color w:val="auto"/>
              </w:rPr>
            </w:pPr>
          </w:p>
        </w:tc>
        <w:tc>
          <w:tcPr>
            <w:tcW w:w="4060" w:type="dxa"/>
            <w:vAlign w:val="bottom"/>
            <w:tcBorders>
              <w:bottom w:val="single" w:sz="8" w:color="auto"/>
            </w:tcBorders>
          </w:tcPr>
          <w:p>
            <w:pPr>
              <w:spacing w:after="0"/>
              <w:rPr>
                <w:sz w:val="23"/>
                <w:szCs w:val="23"/>
                <w:color w:val="auto"/>
              </w:rPr>
            </w:pPr>
          </w:p>
        </w:tc>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raised by one of our institutional stockholders.</w:t>
            </w:r>
          </w:p>
        </w:tc>
      </w:tr>
      <w:tr>
        <w:trPr>
          <w:trHeight w:val="220"/>
        </w:trPr>
        <w:tc>
          <w:tcPr>
            <w:tcW w:w="20" w:type="dxa"/>
            <w:vAlign w:val="bottom"/>
          </w:tcPr>
          <w:p>
            <w:pPr>
              <w:spacing w:after="0"/>
              <w:rPr>
                <w:sz w:val="19"/>
                <w:szCs w:val="19"/>
                <w:color w:val="auto"/>
              </w:rPr>
            </w:pPr>
          </w:p>
        </w:tc>
        <w:tc>
          <w:tcPr>
            <w:tcW w:w="406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Increase visibility of Environmental, Social</w:t>
            </w:r>
          </w:p>
        </w:tc>
        <w:tc>
          <w:tcPr>
            <w:tcW w:w="53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We adopted a Health, Safety and Environment Policy and</w:t>
            </w:r>
          </w:p>
        </w:tc>
      </w:tr>
      <w:tr>
        <w:trPr>
          <w:trHeight w:val="253"/>
        </w:trPr>
        <w:tc>
          <w:tcPr>
            <w:tcW w:w="20" w:type="dxa"/>
            <w:vAlign w:val="bottom"/>
          </w:tcPr>
          <w:p>
            <w:pPr>
              <w:spacing w:after="0"/>
              <w:rPr>
                <w:sz w:val="22"/>
                <w:szCs w:val="22"/>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and Governance (“ESG”) principles</w:t>
            </w: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Human Rights Policy to formalize our approach and</w:t>
            </w:r>
          </w:p>
        </w:tc>
      </w:tr>
      <w:tr>
        <w:trPr>
          <w:trHeight w:val="253"/>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further our goals with respect to these matters, as</w:t>
            </w:r>
          </w:p>
        </w:tc>
      </w:tr>
      <w:tr>
        <w:trPr>
          <w:trHeight w:val="252"/>
        </w:trPr>
        <w:tc>
          <w:tcPr>
            <w:tcW w:w="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described below. We also added an ESG section to our</w:t>
            </w:r>
          </w:p>
        </w:tc>
      </w:tr>
      <w:tr>
        <w:trPr>
          <w:trHeight w:val="253"/>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investor relations website to increase visibility of our</w:t>
            </w:r>
          </w:p>
        </w:tc>
      </w:tr>
      <w:tr>
        <w:trPr>
          <w:trHeight w:val="276"/>
        </w:trPr>
        <w:tc>
          <w:tcPr>
            <w:tcW w:w="20" w:type="dxa"/>
            <w:vAlign w:val="bottom"/>
          </w:tcPr>
          <w:p>
            <w:pPr>
              <w:spacing w:after="0"/>
              <w:rPr>
                <w:sz w:val="23"/>
                <w:szCs w:val="23"/>
                <w:color w:val="auto"/>
              </w:rPr>
            </w:pPr>
          </w:p>
        </w:tc>
        <w:tc>
          <w:tcPr>
            <w:tcW w:w="4060" w:type="dxa"/>
            <w:vAlign w:val="bottom"/>
            <w:tcBorders>
              <w:bottom w:val="single" w:sz="8" w:color="auto"/>
            </w:tcBorders>
          </w:tcPr>
          <w:p>
            <w:pPr>
              <w:spacing w:after="0"/>
              <w:rPr>
                <w:sz w:val="23"/>
                <w:szCs w:val="23"/>
                <w:color w:val="auto"/>
              </w:rPr>
            </w:pPr>
          </w:p>
        </w:tc>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ESG efforts.</w:t>
            </w:r>
          </w:p>
        </w:tc>
      </w:tr>
      <w:tr>
        <w:trPr>
          <w:trHeight w:val="220"/>
        </w:trPr>
        <w:tc>
          <w:tcPr>
            <w:tcW w:w="20" w:type="dxa"/>
            <w:vAlign w:val="bottom"/>
          </w:tcPr>
          <w:p>
            <w:pPr>
              <w:spacing w:after="0"/>
              <w:rPr>
                <w:sz w:val="19"/>
                <w:szCs w:val="19"/>
                <w:color w:val="auto"/>
              </w:rPr>
            </w:pPr>
          </w:p>
        </w:tc>
        <w:tc>
          <w:tcPr>
            <w:tcW w:w="406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Ensure the recovery of incentive</w:t>
            </w:r>
          </w:p>
        </w:tc>
        <w:tc>
          <w:tcPr>
            <w:tcW w:w="53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We adopted a robust, Nasdaq-compliant clawback policy</w:t>
            </w:r>
          </w:p>
        </w:tc>
      </w:tr>
      <w:tr>
        <w:trPr>
          <w:trHeight w:val="253"/>
        </w:trPr>
        <w:tc>
          <w:tcPr>
            <w:tcW w:w="20" w:type="dxa"/>
            <w:vAlign w:val="bottom"/>
          </w:tcPr>
          <w:p>
            <w:pPr>
              <w:spacing w:after="0"/>
              <w:rPr>
                <w:sz w:val="22"/>
                <w:szCs w:val="22"/>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compensation based on incorrect</w:t>
            </w: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which applies not only to financial restatements, but also</w:t>
            </w:r>
          </w:p>
        </w:tc>
      </w:tr>
      <w:tr>
        <w:trPr>
          <w:trHeight w:val="253"/>
        </w:trPr>
        <w:tc>
          <w:tcPr>
            <w:tcW w:w="20" w:type="dxa"/>
            <w:vAlign w:val="bottom"/>
          </w:tcPr>
          <w:p>
            <w:pPr>
              <w:spacing w:after="0"/>
              <w:rPr>
                <w:sz w:val="22"/>
                <w:szCs w:val="22"/>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calculations or egregious behavior</w:t>
            </w: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if a financial metric used to determine the vesting or</w:t>
            </w:r>
          </w:p>
        </w:tc>
      </w:tr>
      <w:tr>
        <w:trPr>
          <w:trHeight w:val="253"/>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payment of compensation was calculated incorrectly or if</w:t>
            </w:r>
          </w:p>
        </w:tc>
      </w:tr>
      <w:tr>
        <w:trPr>
          <w:trHeight w:val="252"/>
        </w:trPr>
        <w:tc>
          <w:tcPr>
            <w:tcW w:w="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 executive engages in egregious conduct that is</w:t>
            </w:r>
          </w:p>
        </w:tc>
      </w:tr>
      <w:tr>
        <w:trPr>
          <w:trHeight w:val="276"/>
        </w:trPr>
        <w:tc>
          <w:tcPr>
            <w:tcW w:w="20" w:type="dxa"/>
            <w:vAlign w:val="bottom"/>
          </w:tcPr>
          <w:p>
            <w:pPr>
              <w:spacing w:after="0"/>
              <w:rPr>
                <w:sz w:val="23"/>
                <w:szCs w:val="23"/>
                <w:color w:val="auto"/>
              </w:rPr>
            </w:pPr>
          </w:p>
        </w:tc>
        <w:tc>
          <w:tcPr>
            <w:tcW w:w="4060" w:type="dxa"/>
            <w:vAlign w:val="bottom"/>
            <w:tcBorders>
              <w:bottom w:val="single" w:sz="8" w:color="auto"/>
            </w:tcBorders>
          </w:tcPr>
          <w:p>
            <w:pPr>
              <w:spacing w:after="0"/>
              <w:rPr>
                <w:sz w:val="23"/>
                <w:szCs w:val="23"/>
                <w:color w:val="auto"/>
              </w:rPr>
            </w:pPr>
          </w:p>
        </w:tc>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substantially detrimental to NTIC.</w:t>
            </w:r>
          </w:p>
        </w:tc>
      </w:tr>
      <w:tr>
        <w:trPr>
          <w:trHeight w:val="220"/>
        </w:trPr>
        <w:tc>
          <w:tcPr>
            <w:tcW w:w="20" w:type="dxa"/>
            <w:vAlign w:val="bottom"/>
          </w:tcPr>
          <w:p>
            <w:pPr>
              <w:spacing w:after="0"/>
              <w:rPr>
                <w:sz w:val="19"/>
                <w:szCs w:val="19"/>
                <w:color w:val="auto"/>
              </w:rPr>
            </w:pPr>
          </w:p>
        </w:tc>
        <w:tc>
          <w:tcPr>
            <w:tcW w:w="406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Align the interests of executive officers and</w:t>
            </w:r>
          </w:p>
        </w:tc>
        <w:tc>
          <w:tcPr>
            <w:tcW w:w="53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We adopted stock ownership guidelines applicable to our</w:t>
            </w:r>
          </w:p>
        </w:tc>
      </w:tr>
      <w:tr>
        <w:trPr>
          <w:trHeight w:val="253"/>
        </w:trPr>
        <w:tc>
          <w:tcPr>
            <w:tcW w:w="20" w:type="dxa"/>
            <w:vAlign w:val="bottom"/>
          </w:tcPr>
          <w:p>
            <w:pPr>
              <w:spacing w:after="0"/>
              <w:rPr>
                <w:sz w:val="22"/>
                <w:szCs w:val="22"/>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directors with those of stockholders</w:t>
            </w: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executive officers and directors to ensure that their</w:t>
            </w:r>
          </w:p>
        </w:tc>
      </w:tr>
      <w:tr>
        <w:trPr>
          <w:trHeight w:val="253"/>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interests would be closely aligned with those of our</w:t>
            </w:r>
          </w:p>
        </w:tc>
      </w:tr>
      <w:tr>
        <w:trPr>
          <w:trHeight w:val="276"/>
        </w:trPr>
        <w:tc>
          <w:tcPr>
            <w:tcW w:w="2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spacing w:after="0"/>
              <w:rPr>
                <w:sz w:val="23"/>
                <w:szCs w:val="23"/>
                <w:color w:val="auto"/>
              </w:rPr>
            </w:pPr>
          </w:p>
        </w:tc>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stockholders.</w:t>
            </w:r>
          </w:p>
        </w:tc>
      </w:tr>
    </w:tbl>
    <w:p>
      <w:pPr>
        <w:spacing w:after="0" w:line="200" w:lineRule="exact"/>
        <w:rPr>
          <w:sz w:val="20"/>
          <w:szCs w:val="20"/>
          <w:color w:val="auto"/>
        </w:rPr>
      </w:pPr>
    </w:p>
    <w:p>
      <w:pPr>
        <w:sectPr>
          <w:pgSz w:w="12240" w:h="15840" w:orient="portrait"/>
          <w:cols w:equalWidth="0" w:num="1">
            <w:col w:w="9480"/>
          </w:cols>
          <w:pgMar w:left="1320" w:top="1406" w:right="144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5</w:t>
      </w:r>
    </w:p>
    <w:p>
      <w:pPr>
        <w:sectPr>
          <w:pgSz w:w="12240" w:h="15840" w:orient="portrait"/>
          <w:cols w:equalWidth="0" w:num="1">
            <w:col w:w="9480"/>
          </w:cols>
          <w:pgMar w:left="1320" w:top="1406" w:right="1440" w:bottom="34"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8"/>
          <w:szCs w:val="28"/>
          <w:b w:val="1"/>
          <w:bCs w:val="1"/>
          <w:color w:val="auto"/>
        </w:rPr>
        <w:t>BOARD OF DIRECTORS COMPOSITION AND DIVERSITY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10160</wp:posOffset>
                </wp:positionV>
                <wp:extent cx="59436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8pt" to="468pt,0.8pt" o:allowincell="f" strokecolor="#000000" strokeweight="1.32pt"/>
            </w:pict>
          </mc:Fallback>
        </mc:AlternateContent>
      </w:r>
    </w:p>
    <w:p>
      <w:pPr>
        <w:spacing w:after="0" w:line="2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The Board of Directors understands the importance of adding diverse, experienced talent to the Board of Directors in order to establish an array of experience and strategic views. The Nominating and Corporate Governance Committee is committed to refreshment efforts to ensure that the composition of the Board of Directors and each of its committees encompasses a wide range of perspectives and knowledge.</w:t>
      </w:r>
    </w:p>
    <w:p>
      <w:pPr>
        <w:spacing w:after="0" w:line="18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2"/>
          <w:szCs w:val="22"/>
          <w:color w:val="auto"/>
        </w:rPr>
        <w:t>All of our Board nominees collectively bring significant diversity to the Board. Each nominee is a strategic thinker and has varying, specialized experience in the areas relevant to NTIC and its businesses. Moreover, their collective experience covers a wide range of geographies and industries, and roles in academia, corporate governance and government. Our eight current directors range in age from 58 to 77; three of the eight directors are women; two are of Asian descent; one is of African descent; one is a citizen of Brazil, one is a citizen of the Republic of Korea and one is a citizen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138430</wp:posOffset>
            </wp:positionV>
            <wp:extent cx="5118735" cy="2018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extLst>
                    </a:blip>
                    <a:srcRect/>
                    <a:stretch>
                      <a:fillRect/>
                    </a:stretch>
                  </pic:blipFill>
                  <pic:spPr bwMode="auto">
                    <a:xfrm>
                      <a:off x="0" y="0"/>
                      <a:ext cx="5118735" cy="2018030"/>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2621915</wp:posOffset>
            </wp:positionV>
            <wp:extent cx="5118735" cy="2019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extLst>
                        <a:ext uri="{28A0092B-C50C-407E-A947-70E740481C1C}"/>
                      </a:extLst>
                    </a:blip>
                    <a:srcRect/>
                    <a:stretch>
                      <a:fillRect/>
                    </a:stretch>
                  </pic:blipFill>
                  <pic:spPr bwMode="auto">
                    <a:xfrm>
                      <a:off x="0" y="0"/>
                      <a:ext cx="5118735" cy="2019935"/>
                    </a:xfrm>
                    <a:prstGeom prst="rect">
                      <a:avLst/>
                    </a:prstGeom>
                    <a:noFill/>
                  </pic:spPr>
                </pic:pic>
              </a:graphicData>
            </a:graphic>
          </wp:anchor>
        </w:drawing>
      </w:r>
    </w:p>
    <w:p>
      <w:pPr>
        <w:sectPr>
          <w:pgSz w:w="12240" w:h="15840" w:orient="portrait"/>
          <w:cols w:equalWidth="0" w:num="1">
            <w:col w:w="9360"/>
          </w:cols>
          <w:pgMar w:left="1440" w:top="1406" w:right="144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2240" w:h="15840" w:orient="portrait"/>
          <w:cols w:equalWidth="0" w:num="1">
            <w:col w:w="9360"/>
          </w:cols>
          <w:pgMar w:left="1440" w:top="1406" w:right="1440" w:bottom="34" w:gutter="0" w:footer="0" w:header="0"/>
          <w:type w:val="continuous"/>
        </w:sectPr>
      </w:pPr>
    </w:p>
    <w:bookmarkStart w:id="13" w:name="page14"/>
    <w:bookmarkEnd w:id="13"/>
    <w:p>
      <w:pPr>
        <w:ind w:left="120"/>
        <w:spacing w:after="0"/>
        <w:rPr>
          <w:sz w:val="20"/>
          <w:szCs w:val="20"/>
          <w:color w:val="auto"/>
        </w:rPr>
      </w:pPr>
      <w:r>
        <w:rPr>
          <w:rFonts w:ascii="Times New Roman" w:cs="Times New Roman" w:eastAsia="Times New Roman" w:hAnsi="Times New Roman"/>
          <w:sz w:val="28"/>
          <w:szCs w:val="28"/>
          <w:b w:val="1"/>
          <w:bCs w:val="1"/>
          <w:color w:val="auto"/>
        </w:rPr>
        <w:t>BOARD OF DIRECTORS NOMINEES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10160</wp:posOffset>
                </wp:positionV>
                <wp:extent cx="59436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0.8pt" to="474pt,0.8pt" o:allowincell="f" strokecolor="#000000" strokeweight="1.32pt"/>
            </w:pict>
          </mc:Fallback>
        </mc:AlternateContent>
      </w:r>
    </w:p>
    <w:p>
      <w:pPr>
        <w:spacing w:after="0" w:line="231" w:lineRule="exact"/>
        <w:rPr>
          <w:sz w:val="20"/>
          <w:szCs w:val="20"/>
          <w:color w:val="auto"/>
        </w:rPr>
      </w:pPr>
    </w:p>
    <w:p>
      <w:pPr>
        <w:ind w:left="120" w:right="120"/>
        <w:spacing w:after="0" w:line="278" w:lineRule="auto"/>
        <w:rPr>
          <w:sz w:val="20"/>
          <w:szCs w:val="20"/>
          <w:color w:val="auto"/>
        </w:rPr>
      </w:pPr>
      <w:r>
        <w:rPr>
          <w:rFonts w:ascii="Times New Roman" w:cs="Times New Roman" w:eastAsia="Times New Roman" w:hAnsi="Times New Roman"/>
          <w:sz w:val="22"/>
          <w:szCs w:val="22"/>
          <w:color w:val="auto"/>
        </w:rPr>
        <w:t>Below are the director nominees for election by stockholders at the 2026 Annual Meeting of Stockholders for a one-year term.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3480" w:type="dxa"/>
            <w:vAlign w:val="bottom"/>
            <w:tcBorders>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rPr>
              <w:t>Director</w:t>
            </w:r>
          </w:p>
        </w:tc>
        <w:tc>
          <w:tcPr>
            <w:tcW w:w="118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Age</w:t>
            </w:r>
          </w:p>
        </w:tc>
        <w:tc>
          <w:tcPr>
            <w:tcW w:w="235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rPr>
              <w:t>Serving Since</w:t>
            </w:r>
          </w:p>
        </w:tc>
        <w:tc>
          <w:tcPr>
            <w:tcW w:w="245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Independent</w:t>
            </w:r>
          </w:p>
        </w:tc>
      </w:tr>
      <w:tr>
        <w:trPr>
          <w:trHeight w:val="243"/>
        </w:trPr>
        <w:tc>
          <w:tcPr>
            <w:tcW w:w="20" w:type="dxa"/>
            <w:vAlign w:val="bottom"/>
          </w:tcPr>
          <w:p>
            <w:pPr>
              <w:spacing w:after="0"/>
              <w:rPr>
                <w:sz w:val="21"/>
                <w:szCs w:val="21"/>
                <w:color w:val="auto"/>
              </w:rPr>
            </w:pPr>
          </w:p>
        </w:tc>
        <w:tc>
          <w:tcPr>
            <w:tcW w:w="3480" w:type="dxa"/>
            <w:vAlign w:val="bottom"/>
            <w:tcBorders>
              <w:bottom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Nancy E. Calderon</w:t>
            </w:r>
          </w:p>
        </w:tc>
        <w:tc>
          <w:tcPr>
            <w:tcW w:w="118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22"/>
                <w:szCs w:val="22"/>
                <w:color w:val="auto"/>
                <w:w w:val="99"/>
              </w:rPr>
              <w:t>66</w:t>
            </w:r>
          </w:p>
        </w:tc>
        <w:tc>
          <w:tcPr>
            <w:tcW w:w="23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2019</w:t>
            </w:r>
          </w:p>
        </w:tc>
        <w:tc>
          <w:tcPr>
            <w:tcW w:w="24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Yes</w:t>
            </w:r>
          </w:p>
        </w:tc>
      </w:tr>
      <w:tr>
        <w:trPr>
          <w:trHeight w:val="243"/>
        </w:trPr>
        <w:tc>
          <w:tcPr>
            <w:tcW w:w="20" w:type="dxa"/>
            <w:vAlign w:val="bottom"/>
          </w:tcPr>
          <w:p>
            <w:pPr>
              <w:spacing w:after="0"/>
              <w:rPr>
                <w:sz w:val="21"/>
                <w:szCs w:val="21"/>
                <w:color w:val="auto"/>
              </w:rPr>
            </w:pPr>
          </w:p>
        </w:tc>
        <w:tc>
          <w:tcPr>
            <w:tcW w:w="3480" w:type="dxa"/>
            <w:vAlign w:val="bottom"/>
            <w:tcBorders>
              <w:bottom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Sarah E. Kemp</w:t>
            </w:r>
          </w:p>
        </w:tc>
        <w:tc>
          <w:tcPr>
            <w:tcW w:w="118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22"/>
                <w:szCs w:val="22"/>
                <w:color w:val="auto"/>
                <w:w w:val="99"/>
              </w:rPr>
              <w:t>59</w:t>
            </w:r>
          </w:p>
        </w:tc>
        <w:tc>
          <w:tcPr>
            <w:tcW w:w="23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2019</w:t>
            </w:r>
          </w:p>
        </w:tc>
        <w:tc>
          <w:tcPr>
            <w:tcW w:w="24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Yes</w:t>
            </w:r>
          </w:p>
        </w:tc>
      </w:tr>
      <w:tr>
        <w:trPr>
          <w:trHeight w:val="243"/>
        </w:trPr>
        <w:tc>
          <w:tcPr>
            <w:tcW w:w="20" w:type="dxa"/>
            <w:vAlign w:val="bottom"/>
          </w:tcPr>
          <w:p>
            <w:pPr>
              <w:spacing w:after="0"/>
              <w:rPr>
                <w:sz w:val="21"/>
                <w:szCs w:val="21"/>
                <w:color w:val="auto"/>
              </w:rPr>
            </w:pPr>
          </w:p>
        </w:tc>
        <w:tc>
          <w:tcPr>
            <w:tcW w:w="3480" w:type="dxa"/>
            <w:vAlign w:val="bottom"/>
            <w:tcBorders>
              <w:bottom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Sunggyu Lee, Ph.D.</w:t>
            </w:r>
          </w:p>
        </w:tc>
        <w:tc>
          <w:tcPr>
            <w:tcW w:w="118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22"/>
                <w:szCs w:val="22"/>
                <w:color w:val="auto"/>
                <w:w w:val="99"/>
              </w:rPr>
              <w:t>73</w:t>
            </w:r>
          </w:p>
        </w:tc>
        <w:tc>
          <w:tcPr>
            <w:tcW w:w="23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2004</w:t>
            </w:r>
          </w:p>
        </w:tc>
        <w:tc>
          <w:tcPr>
            <w:tcW w:w="24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Yes</w:t>
            </w:r>
          </w:p>
        </w:tc>
      </w:tr>
      <w:tr>
        <w:trPr>
          <w:trHeight w:val="243"/>
        </w:trPr>
        <w:tc>
          <w:tcPr>
            <w:tcW w:w="20" w:type="dxa"/>
            <w:vAlign w:val="bottom"/>
          </w:tcPr>
          <w:p>
            <w:pPr>
              <w:spacing w:after="0"/>
              <w:rPr>
                <w:sz w:val="21"/>
                <w:szCs w:val="21"/>
                <w:color w:val="auto"/>
              </w:rPr>
            </w:pPr>
          </w:p>
        </w:tc>
        <w:tc>
          <w:tcPr>
            <w:tcW w:w="3480" w:type="dxa"/>
            <w:vAlign w:val="bottom"/>
            <w:tcBorders>
              <w:bottom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G. Patrick Lynch</w:t>
            </w:r>
          </w:p>
        </w:tc>
        <w:tc>
          <w:tcPr>
            <w:tcW w:w="118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22"/>
                <w:szCs w:val="22"/>
                <w:color w:val="auto"/>
                <w:w w:val="99"/>
              </w:rPr>
              <w:t>58</w:t>
            </w:r>
          </w:p>
        </w:tc>
        <w:tc>
          <w:tcPr>
            <w:tcW w:w="23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2004</w:t>
            </w:r>
          </w:p>
        </w:tc>
        <w:tc>
          <w:tcPr>
            <w:tcW w:w="24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No</w:t>
            </w:r>
          </w:p>
        </w:tc>
      </w:tr>
      <w:tr>
        <w:trPr>
          <w:trHeight w:val="244"/>
        </w:trPr>
        <w:tc>
          <w:tcPr>
            <w:tcW w:w="20" w:type="dxa"/>
            <w:vAlign w:val="bottom"/>
          </w:tcPr>
          <w:p>
            <w:pPr>
              <w:spacing w:after="0"/>
              <w:rPr>
                <w:sz w:val="21"/>
                <w:szCs w:val="21"/>
                <w:color w:val="auto"/>
              </w:rPr>
            </w:pPr>
          </w:p>
        </w:tc>
        <w:tc>
          <w:tcPr>
            <w:tcW w:w="3480" w:type="dxa"/>
            <w:vAlign w:val="bottom"/>
            <w:tcBorders>
              <w:bottom w:val="single" w:sz="8" w:color="auto"/>
            </w:tcBorders>
          </w:tcPr>
          <w:p>
            <w:pPr>
              <w:ind w:left="100"/>
              <w:spacing w:after="0" w:line="244" w:lineRule="exact"/>
              <w:rPr>
                <w:sz w:val="20"/>
                <w:szCs w:val="20"/>
                <w:color w:val="auto"/>
              </w:rPr>
            </w:pPr>
            <w:r>
              <w:rPr>
                <w:rFonts w:ascii="Times New Roman" w:cs="Times New Roman" w:eastAsia="Times New Roman" w:hAnsi="Times New Roman"/>
                <w:sz w:val="22"/>
                <w:szCs w:val="22"/>
                <w:color w:val="auto"/>
              </w:rPr>
              <w:t>Ramani Narayan, Ph.D.</w:t>
            </w:r>
          </w:p>
        </w:tc>
        <w:tc>
          <w:tcPr>
            <w:tcW w:w="1180" w:type="dxa"/>
            <w:vAlign w:val="bottom"/>
            <w:tcBorders>
              <w:bottom w:val="single" w:sz="8" w:color="auto"/>
            </w:tcBorders>
          </w:tcPr>
          <w:p>
            <w:pPr>
              <w:jc w:val="center"/>
              <w:ind w:left="10"/>
              <w:spacing w:after="0" w:line="244" w:lineRule="exact"/>
              <w:rPr>
                <w:sz w:val="20"/>
                <w:szCs w:val="20"/>
                <w:color w:val="auto"/>
              </w:rPr>
            </w:pPr>
            <w:r>
              <w:rPr>
                <w:rFonts w:ascii="Times New Roman" w:cs="Times New Roman" w:eastAsia="Times New Roman" w:hAnsi="Times New Roman"/>
                <w:sz w:val="22"/>
                <w:szCs w:val="22"/>
                <w:color w:val="auto"/>
                <w:w w:val="99"/>
              </w:rPr>
              <w:t>76</w:t>
            </w:r>
          </w:p>
        </w:tc>
        <w:tc>
          <w:tcPr>
            <w:tcW w:w="235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color w:val="auto"/>
                <w:w w:val="99"/>
              </w:rPr>
              <w:t>2004</w:t>
            </w:r>
          </w:p>
        </w:tc>
        <w:tc>
          <w:tcPr>
            <w:tcW w:w="245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color w:val="auto"/>
                <w:w w:val="96"/>
              </w:rPr>
              <w:t>No</w:t>
            </w:r>
          </w:p>
        </w:tc>
      </w:tr>
      <w:tr>
        <w:trPr>
          <w:trHeight w:val="243"/>
        </w:trPr>
        <w:tc>
          <w:tcPr>
            <w:tcW w:w="20" w:type="dxa"/>
            <w:vAlign w:val="bottom"/>
          </w:tcPr>
          <w:p>
            <w:pPr>
              <w:spacing w:after="0"/>
              <w:rPr>
                <w:sz w:val="21"/>
                <w:szCs w:val="21"/>
                <w:color w:val="auto"/>
              </w:rPr>
            </w:pPr>
          </w:p>
        </w:tc>
        <w:tc>
          <w:tcPr>
            <w:tcW w:w="3480" w:type="dxa"/>
            <w:vAlign w:val="bottom"/>
            <w:tcBorders>
              <w:bottom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Richard J. Nigon</w:t>
            </w:r>
          </w:p>
        </w:tc>
        <w:tc>
          <w:tcPr>
            <w:tcW w:w="118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22"/>
                <w:szCs w:val="22"/>
                <w:color w:val="auto"/>
                <w:w w:val="99"/>
              </w:rPr>
              <w:t>77</w:t>
            </w:r>
          </w:p>
        </w:tc>
        <w:tc>
          <w:tcPr>
            <w:tcW w:w="23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2010</w:t>
            </w:r>
          </w:p>
        </w:tc>
        <w:tc>
          <w:tcPr>
            <w:tcW w:w="24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Yes</w:t>
            </w:r>
          </w:p>
        </w:tc>
      </w:tr>
      <w:tr>
        <w:trPr>
          <w:trHeight w:val="243"/>
        </w:trPr>
        <w:tc>
          <w:tcPr>
            <w:tcW w:w="20" w:type="dxa"/>
            <w:vAlign w:val="bottom"/>
          </w:tcPr>
          <w:p>
            <w:pPr>
              <w:spacing w:after="0"/>
              <w:rPr>
                <w:sz w:val="21"/>
                <w:szCs w:val="21"/>
                <w:color w:val="auto"/>
              </w:rPr>
            </w:pPr>
          </w:p>
        </w:tc>
        <w:tc>
          <w:tcPr>
            <w:tcW w:w="3480" w:type="dxa"/>
            <w:vAlign w:val="bottom"/>
            <w:tcBorders>
              <w:bottom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Cristina Pinho</w:t>
            </w:r>
          </w:p>
        </w:tc>
        <w:tc>
          <w:tcPr>
            <w:tcW w:w="118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22"/>
                <w:szCs w:val="22"/>
                <w:color w:val="auto"/>
                <w:w w:val="99"/>
              </w:rPr>
              <w:t>68</w:t>
            </w:r>
          </w:p>
        </w:tc>
        <w:tc>
          <w:tcPr>
            <w:tcW w:w="23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2023</w:t>
            </w:r>
          </w:p>
        </w:tc>
        <w:tc>
          <w:tcPr>
            <w:tcW w:w="24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Yes</w:t>
            </w:r>
          </w:p>
        </w:tc>
      </w:tr>
      <w:tr>
        <w:trPr>
          <w:trHeight w:val="243"/>
        </w:trPr>
        <w:tc>
          <w:tcPr>
            <w:tcW w:w="2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Konstantin von Falkenhausen</w:t>
            </w:r>
          </w:p>
        </w:tc>
        <w:tc>
          <w:tcPr>
            <w:tcW w:w="118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22"/>
                <w:szCs w:val="22"/>
                <w:color w:val="auto"/>
                <w:w w:val="99"/>
              </w:rPr>
              <w:t>58</w:t>
            </w:r>
          </w:p>
        </w:tc>
        <w:tc>
          <w:tcPr>
            <w:tcW w:w="23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2012</w:t>
            </w:r>
          </w:p>
        </w:tc>
        <w:tc>
          <w:tcPr>
            <w:tcW w:w="245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Yes</w:t>
            </w:r>
          </w:p>
        </w:tc>
      </w:tr>
    </w:tbl>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The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each of these nominees.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COMMITTEE COMPOSITION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10160</wp:posOffset>
                </wp:positionV>
                <wp:extent cx="59436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0.8pt" to="474pt,0.8pt" o:allowincell="f" strokecolor="#000000" strokeweight="1.32pt"/>
            </w:pict>
          </mc:Fallback>
        </mc:AlternateConten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The Board of Directors maintains a standing Audit Committee, Compensation Committee, and</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Nominating and Corporate Governance Committee, each comprised of the following directors: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2940" w:type="dxa"/>
            <w:vAlign w:val="bottom"/>
            <w:vMerge w:val="restart"/>
            <w:shd w:val="clear" w:color="auto" w:fill="D9D9D9"/>
          </w:tcPr>
          <w:p>
            <w:pPr>
              <w:spacing w:after="0"/>
              <w:rPr>
                <w:sz w:val="20"/>
                <w:szCs w:val="20"/>
                <w:color w:val="auto"/>
              </w:rPr>
            </w:pPr>
            <w:r>
              <w:rPr>
                <w:rFonts w:ascii="Times New Roman" w:cs="Times New Roman" w:eastAsia="Times New Roman" w:hAnsi="Times New Roman"/>
                <w:sz w:val="22"/>
                <w:szCs w:val="22"/>
                <w:b w:val="1"/>
                <w:bCs w:val="1"/>
                <w:color w:val="auto"/>
              </w:rPr>
              <w:t>Director</w:t>
            </w:r>
          </w:p>
        </w:tc>
        <w:tc>
          <w:tcPr>
            <w:tcW w:w="14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rPr>
              <w:t>Audit</w:t>
            </w:r>
          </w:p>
        </w:tc>
        <w:tc>
          <w:tcPr>
            <w:tcW w:w="18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Compensation</w:t>
            </w:r>
          </w:p>
        </w:tc>
        <w:tc>
          <w:tcPr>
            <w:tcW w:w="32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rPr>
              <w:t>Nominating and Corporate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2940" w:type="dxa"/>
            <w:vAlign w:val="bottom"/>
            <w:vMerge w:val="continue"/>
            <w:shd w:val="clear" w:color="auto" w:fill="D9D9D9"/>
          </w:tcPr>
          <w:p>
            <w:pPr>
              <w:spacing w:after="0"/>
              <w:rPr>
                <w:sz w:val="13"/>
                <w:szCs w:val="13"/>
                <w:color w:val="auto"/>
              </w:rPr>
            </w:pPr>
          </w:p>
        </w:tc>
        <w:tc>
          <w:tcPr>
            <w:tcW w:w="14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rPr>
              <w:t>Committee</w:t>
            </w:r>
          </w:p>
        </w:tc>
        <w:tc>
          <w:tcPr>
            <w:tcW w:w="18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Committee</w:t>
            </w:r>
          </w:p>
        </w:tc>
        <w:tc>
          <w:tcPr>
            <w:tcW w:w="320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rPr>
              <w:t>Governance Committee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Borders>
              <w:bottom w:val="single" w:sz="8" w:color="auto"/>
            </w:tcBorders>
            <w:shd w:val="clear" w:color="auto" w:fill="D9D9D9"/>
          </w:tcPr>
          <w:p>
            <w:pPr>
              <w:spacing w:after="0"/>
              <w:rPr>
                <w:sz w:val="11"/>
                <w:szCs w:val="11"/>
                <w:color w:val="auto"/>
              </w:rPr>
            </w:pPr>
          </w:p>
        </w:tc>
        <w:tc>
          <w:tcPr>
            <w:tcW w:w="2940" w:type="dxa"/>
            <w:vAlign w:val="bottom"/>
            <w:tcBorders>
              <w:bottom w:val="single" w:sz="8" w:color="auto"/>
            </w:tcBorders>
            <w:shd w:val="clear" w:color="auto" w:fill="D9D9D9"/>
          </w:tcPr>
          <w:p>
            <w:pPr>
              <w:spacing w:after="0"/>
              <w:rPr>
                <w:sz w:val="11"/>
                <w:szCs w:val="11"/>
                <w:color w:val="auto"/>
              </w:rPr>
            </w:pPr>
          </w:p>
        </w:tc>
        <w:tc>
          <w:tcPr>
            <w:tcW w:w="1460" w:type="dxa"/>
            <w:vAlign w:val="bottom"/>
            <w:tcBorders>
              <w:bottom w:val="single" w:sz="8" w:color="auto"/>
            </w:tcBorders>
            <w:vMerge w:val="continue"/>
            <w:shd w:val="clear" w:color="auto" w:fill="D9D9D9"/>
          </w:tcPr>
          <w:p>
            <w:pPr>
              <w:spacing w:after="0"/>
              <w:rPr>
                <w:sz w:val="11"/>
                <w:szCs w:val="11"/>
                <w:color w:val="auto"/>
              </w:rPr>
            </w:pPr>
          </w:p>
        </w:tc>
        <w:tc>
          <w:tcPr>
            <w:tcW w:w="1860" w:type="dxa"/>
            <w:vAlign w:val="bottom"/>
            <w:tcBorders>
              <w:bottom w:val="single" w:sz="8" w:color="auto"/>
            </w:tcBorders>
            <w:vMerge w:val="continue"/>
            <w:shd w:val="clear" w:color="auto" w:fill="D9D9D9"/>
          </w:tcPr>
          <w:p>
            <w:pPr>
              <w:spacing w:after="0"/>
              <w:rPr>
                <w:sz w:val="11"/>
                <w:szCs w:val="11"/>
                <w:color w:val="auto"/>
              </w:rPr>
            </w:pPr>
          </w:p>
        </w:tc>
        <w:tc>
          <w:tcPr>
            <w:tcW w:w="3200" w:type="dxa"/>
            <w:vAlign w:val="bottom"/>
            <w:tcBorders>
              <w:bottom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Nancy E. Calderon</w:t>
            </w:r>
          </w:p>
        </w:tc>
        <w:tc>
          <w:tcPr>
            <w:tcW w:w="14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Chair</w:t>
            </w:r>
          </w:p>
        </w:tc>
        <w:tc>
          <w:tcPr>
            <w:tcW w:w="186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75"/>
              </w:rPr>
              <w:t>Ɣ</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Sarah E. Kemp</w:t>
            </w:r>
          </w:p>
        </w:tc>
        <w:tc>
          <w:tcPr>
            <w:tcW w:w="14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rPr>
              <w:t>Chair</w:t>
            </w:r>
          </w:p>
        </w:tc>
        <w:tc>
          <w:tcPr>
            <w:tcW w:w="3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Sunggyu Lee, Ph.D.</w:t>
            </w:r>
          </w:p>
        </w:tc>
        <w:tc>
          <w:tcPr>
            <w:tcW w:w="14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3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G. Patrick Lynch</w:t>
            </w:r>
          </w:p>
        </w:tc>
        <w:tc>
          <w:tcPr>
            <w:tcW w:w="14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Ramani Narayan, Ph.D.</w:t>
            </w:r>
          </w:p>
        </w:tc>
        <w:tc>
          <w:tcPr>
            <w:tcW w:w="14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line="244" w:lineRule="exact"/>
              <w:rPr>
                <w:sz w:val="20"/>
                <w:szCs w:val="20"/>
                <w:color w:val="auto"/>
              </w:rPr>
            </w:pPr>
            <w:r>
              <w:rPr>
                <w:rFonts w:ascii="Times New Roman" w:cs="Times New Roman" w:eastAsia="Times New Roman" w:hAnsi="Times New Roman"/>
                <w:sz w:val="22"/>
                <w:szCs w:val="22"/>
                <w:color w:val="auto"/>
              </w:rPr>
              <w:t>Richard J. Nigon</w:t>
            </w:r>
          </w:p>
        </w:tc>
        <w:tc>
          <w:tcPr>
            <w:tcW w:w="146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color w:val="auto"/>
                <w:w w:val="75"/>
              </w:rPr>
              <w:t>Ɣ</w:t>
            </w:r>
          </w:p>
        </w:tc>
        <w:tc>
          <w:tcPr>
            <w:tcW w:w="186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color w:val="auto"/>
                <w:w w:val="87"/>
              </w:rPr>
              <w:t>Ɣ</w:t>
            </w:r>
          </w:p>
        </w:tc>
        <w:tc>
          <w:tcPr>
            <w:tcW w:w="320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color w:val="auto"/>
                <w:w w:val="75"/>
              </w:rPr>
              <w:t>Ɣ</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Cristina Pinho</w:t>
            </w:r>
          </w:p>
        </w:tc>
        <w:tc>
          <w:tcPr>
            <w:tcW w:w="14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75"/>
              </w:rPr>
              <w:t>Ɣ</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Konstantin von Falkenhausen</w:t>
            </w:r>
          </w:p>
        </w:tc>
        <w:tc>
          <w:tcPr>
            <w:tcW w:w="14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75"/>
              </w:rPr>
              <w:t>Ɣ</w:t>
            </w:r>
          </w:p>
        </w:tc>
        <w:tc>
          <w:tcPr>
            <w:tcW w:w="186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Chair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KEY QUALIFICATIONS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10160</wp:posOffset>
                </wp:positionV>
                <wp:extent cx="59436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2">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0.8pt" to="474pt,0.8pt" o:allowincell="f" strokecolor="#000000" strokeweight="1.3198pt"/>
            </w:pict>
          </mc:Fallback>
        </mc:AlternateConten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The following are some key qualifications, skills and experiences of our directors.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206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10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Leadership/</w:t>
            </w:r>
          </w:p>
        </w:tc>
        <w:tc>
          <w:tcPr>
            <w:tcW w:w="200" w:type="dxa"/>
            <w:vAlign w:val="bottom"/>
            <w:shd w:val="clear" w:color="auto" w:fill="D9D9D9"/>
          </w:tcPr>
          <w:p>
            <w:pPr>
              <w:spacing w:after="0"/>
              <w:rPr>
                <w:sz w:val="20"/>
                <w:szCs w:val="20"/>
                <w:color w:val="auto"/>
              </w:rPr>
            </w:pPr>
          </w:p>
        </w:tc>
        <w:tc>
          <w:tcPr>
            <w:tcW w:w="78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2"/>
              </w:rPr>
              <w:t>Financial</w:t>
            </w:r>
          </w:p>
        </w:tc>
        <w:tc>
          <w:tcPr>
            <w:tcW w:w="220" w:type="dxa"/>
            <w:vAlign w:val="bottom"/>
            <w:shd w:val="clear" w:color="auto" w:fill="D9D9D9"/>
          </w:tcPr>
          <w:p>
            <w:pPr>
              <w:spacing w:after="0"/>
              <w:rPr>
                <w:sz w:val="20"/>
                <w:szCs w:val="20"/>
                <w:color w:val="auto"/>
              </w:rPr>
            </w:pPr>
          </w:p>
        </w:tc>
        <w:tc>
          <w:tcPr>
            <w:tcW w:w="114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International</w:t>
            </w:r>
          </w:p>
        </w:tc>
        <w:tc>
          <w:tcPr>
            <w:tcW w:w="200" w:type="dxa"/>
            <w:vAlign w:val="bottom"/>
            <w:shd w:val="clear" w:color="auto" w:fill="D9D9D9"/>
          </w:tcPr>
          <w:p>
            <w:pPr>
              <w:spacing w:after="0"/>
              <w:rPr>
                <w:sz w:val="20"/>
                <w:szCs w:val="20"/>
                <w:color w:val="auto"/>
              </w:rPr>
            </w:pPr>
          </w:p>
        </w:tc>
        <w:tc>
          <w:tcPr>
            <w:tcW w:w="10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Prior Board</w:t>
            </w:r>
          </w:p>
        </w:tc>
        <w:tc>
          <w:tcPr>
            <w:tcW w:w="200" w:type="dxa"/>
            <w:vAlign w:val="bottom"/>
            <w:shd w:val="clear" w:color="auto" w:fill="D9D9D9"/>
          </w:tcPr>
          <w:p>
            <w:pPr>
              <w:spacing w:after="0"/>
              <w:rPr>
                <w:sz w:val="20"/>
                <w:szCs w:val="20"/>
                <w:color w:val="auto"/>
              </w:rPr>
            </w:pPr>
          </w:p>
        </w:tc>
        <w:tc>
          <w:tcPr>
            <w:tcW w:w="10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Government</w:t>
            </w:r>
          </w:p>
        </w:tc>
        <w:tc>
          <w:tcPr>
            <w:tcW w:w="1280" w:type="dxa"/>
            <w:vAlign w:val="bottom"/>
            <w:shd w:val="clear" w:color="auto" w:fill="D9D9D9"/>
          </w:tcPr>
          <w:p>
            <w:pPr>
              <w:jc w:val="center"/>
              <w:ind w:left="17"/>
              <w:spacing w:after="0"/>
              <w:rPr>
                <w:sz w:val="20"/>
                <w:szCs w:val="20"/>
                <w:color w:val="auto"/>
              </w:rPr>
            </w:pPr>
            <w:r>
              <w:rPr>
                <w:rFonts w:ascii="Times New Roman" w:cs="Times New Roman" w:eastAsia="Times New Roman" w:hAnsi="Times New Roman"/>
                <w:sz w:val="20"/>
                <w:szCs w:val="20"/>
                <w:b w:val="1"/>
                <w:bCs w:val="1"/>
                <w:color w:val="auto"/>
                <w:w w:val="99"/>
              </w:rPr>
              <w:t>Bioplastics</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2060" w:type="dxa"/>
            <w:vAlign w:val="bottom"/>
            <w:vMerge w:val="restart"/>
            <w:shd w:val="clear" w:color="auto" w:fill="D9D9D9"/>
          </w:tcPr>
          <w:p>
            <w:pPr>
              <w:spacing w:after="0"/>
              <w:rPr>
                <w:sz w:val="20"/>
                <w:szCs w:val="20"/>
                <w:color w:val="auto"/>
              </w:rPr>
            </w:pPr>
            <w:r>
              <w:rPr>
                <w:rFonts w:ascii="Times New Roman" w:cs="Times New Roman" w:eastAsia="Times New Roman" w:hAnsi="Times New Roman"/>
                <w:sz w:val="20"/>
                <w:szCs w:val="20"/>
                <w:b w:val="1"/>
                <w:bCs w:val="1"/>
                <w:color w:val="auto"/>
              </w:rPr>
              <w:t>Director</w:t>
            </w:r>
          </w:p>
        </w:tc>
        <w:tc>
          <w:tcPr>
            <w:tcW w:w="200" w:type="dxa"/>
            <w:vAlign w:val="bottom"/>
            <w:shd w:val="clear" w:color="auto" w:fill="D9D9D9"/>
          </w:tcPr>
          <w:p>
            <w:pPr>
              <w:spacing w:after="0"/>
              <w:rPr>
                <w:sz w:val="7"/>
                <w:szCs w:val="7"/>
                <w:color w:val="auto"/>
              </w:rPr>
            </w:pPr>
          </w:p>
        </w:tc>
        <w:tc>
          <w:tcPr>
            <w:tcW w:w="1060" w:type="dxa"/>
            <w:vAlign w:val="bottom"/>
            <w:vMerge w:val="continue"/>
            <w:shd w:val="clear" w:color="auto" w:fill="D9D9D9"/>
          </w:tcPr>
          <w:p>
            <w:pPr>
              <w:spacing w:after="0"/>
              <w:rPr>
                <w:sz w:val="7"/>
                <w:szCs w:val="7"/>
                <w:color w:val="auto"/>
              </w:rPr>
            </w:pPr>
          </w:p>
        </w:tc>
        <w:tc>
          <w:tcPr>
            <w:tcW w:w="200" w:type="dxa"/>
            <w:vAlign w:val="bottom"/>
            <w:shd w:val="clear" w:color="auto" w:fill="D9D9D9"/>
          </w:tcPr>
          <w:p>
            <w:pPr>
              <w:spacing w:after="0"/>
              <w:rPr>
                <w:sz w:val="7"/>
                <w:szCs w:val="7"/>
                <w:color w:val="auto"/>
              </w:rPr>
            </w:pPr>
          </w:p>
        </w:tc>
        <w:tc>
          <w:tcPr>
            <w:tcW w:w="780" w:type="dxa"/>
            <w:vAlign w:val="bottom"/>
            <w:vMerge w:val="continue"/>
            <w:shd w:val="clear" w:color="auto" w:fill="D9D9D9"/>
          </w:tcPr>
          <w:p>
            <w:pPr>
              <w:spacing w:after="0"/>
              <w:rPr>
                <w:sz w:val="7"/>
                <w:szCs w:val="7"/>
                <w:color w:val="auto"/>
              </w:rPr>
            </w:pPr>
          </w:p>
        </w:tc>
        <w:tc>
          <w:tcPr>
            <w:tcW w:w="220" w:type="dxa"/>
            <w:vAlign w:val="bottom"/>
            <w:shd w:val="clear" w:color="auto" w:fill="D9D9D9"/>
          </w:tcPr>
          <w:p>
            <w:pPr>
              <w:spacing w:after="0"/>
              <w:rPr>
                <w:sz w:val="7"/>
                <w:szCs w:val="7"/>
                <w:color w:val="auto"/>
              </w:rPr>
            </w:pPr>
          </w:p>
        </w:tc>
        <w:tc>
          <w:tcPr>
            <w:tcW w:w="1140" w:type="dxa"/>
            <w:vAlign w:val="bottom"/>
            <w:vMerge w:val="continue"/>
            <w:shd w:val="clear" w:color="auto" w:fill="D9D9D9"/>
          </w:tcPr>
          <w:p>
            <w:pPr>
              <w:spacing w:after="0"/>
              <w:rPr>
                <w:sz w:val="7"/>
                <w:szCs w:val="7"/>
                <w:color w:val="auto"/>
              </w:rPr>
            </w:pPr>
          </w:p>
        </w:tc>
        <w:tc>
          <w:tcPr>
            <w:tcW w:w="200" w:type="dxa"/>
            <w:vAlign w:val="bottom"/>
            <w:shd w:val="clear" w:color="auto" w:fill="D9D9D9"/>
          </w:tcPr>
          <w:p>
            <w:pPr>
              <w:spacing w:after="0"/>
              <w:rPr>
                <w:sz w:val="7"/>
                <w:szCs w:val="7"/>
                <w:color w:val="auto"/>
              </w:rPr>
            </w:pPr>
          </w:p>
        </w:tc>
        <w:tc>
          <w:tcPr>
            <w:tcW w:w="1060" w:type="dxa"/>
            <w:vAlign w:val="bottom"/>
            <w:vMerge w:val="continue"/>
            <w:shd w:val="clear" w:color="auto" w:fill="D9D9D9"/>
          </w:tcPr>
          <w:p>
            <w:pPr>
              <w:spacing w:after="0"/>
              <w:rPr>
                <w:sz w:val="7"/>
                <w:szCs w:val="7"/>
                <w:color w:val="auto"/>
              </w:rPr>
            </w:pPr>
          </w:p>
        </w:tc>
        <w:tc>
          <w:tcPr>
            <w:tcW w:w="200" w:type="dxa"/>
            <w:vAlign w:val="bottom"/>
            <w:shd w:val="clear" w:color="auto" w:fill="D9D9D9"/>
          </w:tcPr>
          <w:p>
            <w:pPr>
              <w:spacing w:after="0"/>
              <w:rPr>
                <w:sz w:val="7"/>
                <w:szCs w:val="7"/>
                <w:color w:val="auto"/>
              </w:rPr>
            </w:pPr>
          </w:p>
        </w:tc>
        <w:tc>
          <w:tcPr>
            <w:tcW w:w="1060" w:type="dxa"/>
            <w:vAlign w:val="bottom"/>
            <w:vMerge w:val="continue"/>
            <w:shd w:val="clear" w:color="auto" w:fill="D9D9D9"/>
          </w:tcPr>
          <w:p>
            <w:pPr>
              <w:spacing w:after="0"/>
              <w:rPr>
                <w:sz w:val="7"/>
                <w:szCs w:val="7"/>
                <w:color w:val="auto"/>
              </w:rPr>
            </w:pPr>
          </w:p>
        </w:tc>
        <w:tc>
          <w:tcPr>
            <w:tcW w:w="1280" w:type="dxa"/>
            <w:vAlign w:val="bottom"/>
            <w:vMerge w:val="restart"/>
            <w:shd w:val="clear" w:color="auto" w:fill="D9D9D9"/>
          </w:tcPr>
          <w:p>
            <w:pPr>
              <w:jc w:val="center"/>
              <w:ind w:left="17"/>
              <w:spacing w:after="0"/>
              <w:rPr>
                <w:sz w:val="20"/>
                <w:szCs w:val="20"/>
                <w:color w:val="auto"/>
              </w:rPr>
            </w:pPr>
            <w:r>
              <w:rPr>
                <w:rFonts w:ascii="Times New Roman" w:cs="Times New Roman" w:eastAsia="Times New Roman" w:hAnsi="Times New Roman"/>
                <w:sz w:val="20"/>
                <w:szCs w:val="20"/>
                <w:b w:val="1"/>
                <w:bCs w:val="1"/>
                <w:color w:val="auto"/>
              </w:rPr>
              <w:t>Industry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60" w:type="dxa"/>
            <w:vAlign w:val="bottom"/>
            <w:vMerge w:val="continue"/>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10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2"/>
              </w:rPr>
              <w:t>Management</w:t>
            </w:r>
          </w:p>
        </w:tc>
        <w:tc>
          <w:tcPr>
            <w:tcW w:w="200" w:type="dxa"/>
            <w:vAlign w:val="bottom"/>
            <w:shd w:val="clear" w:color="auto" w:fill="D9D9D9"/>
          </w:tcPr>
          <w:p>
            <w:pPr>
              <w:spacing w:after="0"/>
              <w:rPr>
                <w:sz w:val="12"/>
                <w:szCs w:val="12"/>
                <w:color w:val="auto"/>
              </w:rPr>
            </w:pPr>
          </w:p>
        </w:tc>
        <w:tc>
          <w:tcPr>
            <w:tcW w:w="78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1"/>
              </w:rPr>
              <w:t>Expertise</w:t>
            </w:r>
          </w:p>
        </w:tc>
        <w:tc>
          <w:tcPr>
            <w:tcW w:w="220" w:type="dxa"/>
            <w:vAlign w:val="bottom"/>
            <w:shd w:val="clear" w:color="auto" w:fill="D9D9D9"/>
          </w:tcPr>
          <w:p>
            <w:pPr>
              <w:spacing w:after="0"/>
              <w:rPr>
                <w:sz w:val="12"/>
                <w:szCs w:val="12"/>
                <w:color w:val="auto"/>
              </w:rPr>
            </w:pPr>
          </w:p>
        </w:tc>
        <w:tc>
          <w:tcPr>
            <w:tcW w:w="114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Experience</w:t>
            </w:r>
          </w:p>
        </w:tc>
        <w:tc>
          <w:tcPr>
            <w:tcW w:w="200" w:type="dxa"/>
            <w:vAlign w:val="bottom"/>
            <w:shd w:val="clear" w:color="auto" w:fill="D9D9D9"/>
          </w:tcPr>
          <w:p>
            <w:pPr>
              <w:spacing w:after="0"/>
              <w:rPr>
                <w:sz w:val="12"/>
                <w:szCs w:val="12"/>
                <w:color w:val="auto"/>
              </w:rPr>
            </w:pPr>
          </w:p>
        </w:tc>
        <w:tc>
          <w:tcPr>
            <w:tcW w:w="10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Experience</w:t>
            </w:r>
          </w:p>
        </w:tc>
        <w:tc>
          <w:tcPr>
            <w:tcW w:w="200" w:type="dxa"/>
            <w:vAlign w:val="bottom"/>
            <w:shd w:val="clear" w:color="auto" w:fill="D9D9D9"/>
          </w:tcPr>
          <w:p>
            <w:pPr>
              <w:spacing w:after="0"/>
              <w:rPr>
                <w:sz w:val="12"/>
                <w:szCs w:val="12"/>
                <w:color w:val="auto"/>
              </w:rPr>
            </w:pPr>
          </w:p>
        </w:tc>
        <w:tc>
          <w:tcPr>
            <w:tcW w:w="10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Experience</w:t>
            </w:r>
          </w:p>
        </w:tc>
        <w:tc>
          <w:tcPr>
            <w:tcW w:w="1280" w:type="dxa"/>
            <w:vAlign w:val="bottom"/>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2060" w:type="dxa"/>
            <w:vAlign w:val="bottom"/>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1060" w:type="dxa"/>
            <w:vAlign w:val="bottom"/>
            <w:vMerge w:val="continue"/>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780" w:type="dxa"/>
            <w:vAlign w:val="bottom"/>
            <w:vMerge w:val="continue"/>
            <w:shd w:val="clear" w:color="auto" w:fill="D9D9D9"/>
          </w:tcPr>
          <w:p>
            <w:pPr>
              <w:spacing w:after="0"/>
              <w:rPr>
                <w:sz w:val="9"/>
                <w:szCs w:val="9"/>
                <w:color w:val="auto"/>
              </w:rPr>
            </w:pPr>
          </w:p>
        </w:tc>
        <w:tc>
          <w:tcPr>
            <w:tcW w:w="220" w:type="dxa"/>
            <w:vAlign w:val="bottom"/>
            <w:shd w:val="clear" w:color="auto" w:fill="D9D9D9"/>
          </w:tcPr>
          <w:p>
            <w:pPr>
              <w:spacing w:after="0"/>
              <w:rPr>
                <w:sz w:val="9"/>
                <w:szCs w:val="9"/>
                <w:color w:val="auto"/>
              </w:rPr>
            </w:pPr>
          </w:p>
        </w:tc>
        <w:tc>
          <w:tcPr>
            <w:tcW w:w="1140" w:type="dxa"/>
            <w:vAlign w:val="bottom"/>
            <w:vMerge w:val="continue"/>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1060" w:type="dxa"/>
            <w:vAlign w:val="bottom"/>
            <w:vMerge w:val="continue"/>
            <w:shd w:val="clear" w:color="auto" w:fill="D9D9D9"/>
          </w:tcPr>
          <w:p>
            <w:pPr>
              <w:spacing w:after="0"/>
              <w:rPr>
                <w:sz w:val="9"/>
                <w:szCs w:val="9"/>
                <w:color w:val="auto"/>
              </w:rPr>
            </w:pPr>
          </w:p>
        </w:tc>
        <w:tc>
          <w:tcPr>
            <w:tcW w:w="200" w:type="dxa"/>
            <w:vAlign w:val="bottom"/>
            <w:shd w:val="clear" w:color="auto" w:fill="D9D9D9"/>
          </w:tcPr>
          <w:p>
            <w:pPr>
              <w:spacing w:after="0"/>
              <w:rPr>
                <w:sz w:val="9"/>
                <w:szCs w:val="9"/>
                <w:color w:val="auto"/>
              </w:rPr>
            </w:pPr>
          </w:p>
        </w:tc>
        <w:tc>
          <w:tcPr>
            <w:tcW w:w="1060" w:type="dxa"/>
            <w:vAlign w:val="bottom"/>
            <w:vMerge w:val="continue"/>
            <w:shd w:val="clear" w:color="auto" w:fill="D9D9D9"/>
          </w:tcPr>
          <w:p>
            <w:pPr>
              <w:spacing w:after="0"/>
              <w:rPr>
                <w:sz w:val="9"/>
                <w:szCs w:val="9"/>
                <w:color w:val="auto"/>
              </w:rPr>
            </w:pPr>
          </w:p>
        </w:tc>
        <w:tc>
          <w:tcPr>
            <w:tcW w:w="1280" w:type="dxa"/>
            <w:vAlign w:val="bottom"/>
            <w:vMerge w:val="restart"/>
            <w:shd w:val="clear" w:color="auto" w:fill="D9D9D9"/>
          </w:tcPr>
          <w:p>
            <w:pPr>
              <w:jc w:val="center"/>
              <w:ind w:left="17"/>
              <w:spacing w:after="0"/>
              <w:rPr>
                <w:sz w:val="20"/>
                <w:szCs w:val="20"/>
                <w:color w:val="auto"/>
              </w:rPr>
            </w:pPr>
            <w:r>
              <w:rPr>
                <w:rFonts w:ascii="Times New Roman" w:cs="Times New Roman" w:eastAsia="Times New Roman" w:hAnsi="Times New Roman"/>
                <w:sz w:val="20"/>
                <w:szCs w:val="20"/>
                <w:b w:val="1"/>
                <w:bCs w:val="1"/>
                <w:color w:val="auto"/>
              </w:rPr>
              <w:t>Experience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auto"/>
            </w:tcBorders>
            <w:shd w:val="clear" w:color="auto" w:fill="D9D9D9"/>
          </w:tcPr>
          <w:p>
            <w:pPr>
              <w:spacing w:after="0"/>
              <w:rPr>
                <w:sz w:val="10"/>
                <w:szCs w:val="10"/>
                <w:color w:val="auto"/>
              </w:rPr>
            </w:pPr>
          </w:p>
        </w:tc>
        <w:tc>
          <w:tcPr>
            <w:tcW w:w="2060" w:type="dxa"/>
            <w:vAlign w:val="bottom"/>
            <w:tcBorders>
              <w:bottom w:val="single" w:sz="8" w:color="auto"/>
            </w:tcBorders>
            <w:shd w:val="clear" w:color="auto" w:fill="D9D9D9"/>
          </w:tcPr>
          <w:p>
            <w:pPr>
              <w:spacing w:after="0"/>
              <w:rPr>
                <w:sz w:val="10"/>
                <w:szCs w:val="10"/>
                <w:color w:val="auto"/>
              </w:rPr>
            </w:pPr>
          </w:p>
        </w:tc>
        <w:tc>
          <w:tcPr>
            <w:tcW w:w="200" w:type="dxa"/>
            <w:vAlign w:val="bottom"/>
            <w:tcBorders>
              <w:bottom w:val="single" w:sz="8" w:color="auto"/>
            </w:tcBorders>
            <w:shd w:val="clear" w:color="auto" w:fill="D9D9D9"/>
          </w:tcPr>
          <w:p>
            <w:pPr>
              <w:spacing w:after="0"/>
              <w:rPr>
                <w:sz w:val="10"/>
                <w:szCs w:val="10"/>
                <w:color w:val="auto"/>
              </w:rPr>
            </w:pPr>
          </w:p>
        </w:tc>
        <w:tc>
          <w:tcPr>
            <w:tcW w:w="1060" w:type="dxa"/>
            <w:vAlign w:val="bottom"/>
            <w:tcBorders>
              <w:bottom w:val="single" w:sz="8" w:color="auto"/>
            </w:tcBorders>
            <w:shd w:val="clear" w:color="auto" w:fill="D9D9D9"/>
          </w:tcPr>
          <w:p>
            <w:pPr>
              <w:spacing w:after="0"/>
              <w:rPr>
                <w:sz w:val="10"/>
                <w:szCs w:val="10"/>
                <w:color w:val="auto"/>
              </w:rPr>
            </w:pPr>
          </w:p>
        </w:tc>
        <w:tc>
          <w:tcPr>
            <w:tcW w:w="200" w:type="dxa"/>
            <w:vAlign w:val="bottom"/>
            <w:tcBorders>
              <w:bottom w:val="single" w:sz="8" w:color="auto"/>
            </w:tcBorders>
            <w:shd w:val="clear" w:color="auto" w:fill="D9D9D9"/>
          </w:tcPr>
          <w:p>
            <w:pPr>
              <w:spacing w:after="0"/>
              <w:rPr>
                <w:sz w:val="10"/>
                <w:szCs w:val="10"/>
                <w:color w:val="auto"/>
              </w:rPr>
            </w:pPr>
          </w:p>
        </w:tc>
        <w:tc>
          <w:tcPr>
            <w:tcW w:w="780" w:type="dxa"/>
            <w:vAlign w:val="bottom"/>
            <w:tcBorders>
              <w:bottom w:val="single" w:sz="8" w:color="auto"/>
            </w:tcBorders>
            <w:shd w:val="clear" w:color="auto" w:fill="D9D9D9"/>
          </w:tcPr>
          <w:p>
            <w:pPr>
              <w:spacing w:after="0"/>
              <w:rPr>
                <w:sz w:val="10"/>
                <w:szCs w:val="10"/>
                <w:color w:val="auto"/>
              </w:rPr>
            </w:pPr>
          </w:p>
        </w:tc>
        <w:tc>
          <w:tcPr>
            <w:tcW w:w="220" w:type="dxa"/>
            <w:vAlign w:val="bottom"/>
            <w:tcBorders>
              <w:bottom w:val="single" w:sz="8" w:color="auto"/>
            </w:tcBorders>
            <w:shd w:val="clear" w:color="auto" w:fill="D9D9D9"/>
          </w:tcPr>
          <w:p>
            <w:pPr>
              <w:spacing w:after="0"/>
              <w:rPr>
                <w:sz w:val="10"/>
                <w:szCs w:val="10"/>
                <w:color w:val="auto"/>
              </w:rPr>
            </w:pPr>
          </w:p>
        </w:tc>
        <w:tc>
          <w:tcPr>
            <w:tcW w:w="1140" w:type="dxa"/>
            <w:vAlign w:val="bottom"/>
            <w:tcBorders>
              <w:bottom w:val="single" w:sz="8" w:color="auto"/>
            </w:tcBorders>
            <w:shd w:val="clear" w:color="auto" w:fill="D9D9D9"/>
          </w:tcPr>
          <w:p>
            <w:pPr>
              <w:spacing w:after="0"/>
              <w:rPr>
                <w:sz w:val="10"/>
                <w:szCs w:val="10"/>
                <w:color w:val="auto"/>
              </w:rPr>
            </w:pPr>
          </w:p>
        </w:tc>
        <w:tc>
          <w:tcPr>
            <w:tcW w:w="200" w:type="dxa"/>
            <w:vAlign w:val="bottom"/>
            <w:tcBorders>
              <w:bottom w:val="single" w:sz="8" w:color="auto"/>
            </w:tcBorders>
            <w:shd w:val="clear" w:color="auto" w:fill="D9D9D9"/>
          </w:tcPr>
          <w:p>
            <w:pPr>
              <w:spacing w:after="0"/>
              <w:rPr>
                <w:sz w:val="10"/>
                <w:szCs w:val="10"/>
                <w:color w:val="auto"/>
              </w:rPr>
            </w:pPr>
          </w:p>
        </w:tc>
        <w:tc>
          <w:tcPr>
            <w:tcW w:w="1060" w:type="dxa"/>
            <w:vAlign w:val="bottom"/>
            <w:tcBorders>
              <w:bottom w:val="single" w:sz="8" w:color="auto"/>
            </w:tcBorders>
            <w:shd w:val="clear" w:color="auto" w:fill="D9D9D9"/>
          </w:tcPr>
          <w:p>
            <w:pPr>
              <w:spacing w:after="0"/>
              <w:rPr>
                <w:sz w:val="10"/>
                <w:szCs w:val="10"/>
                <w:color w:val="auto"/>
              </w:rPr>
            </w:pPr>
          </w:p>
        </w:tc>
        <w:tc>
          <w:tcPr>
            <w:tcW w:w="200" w:type="dxa"/>
            <w:vAlign w:val="bottom"/>
            <w:tcBorders>
              <w:bottom w:val="single" w:sz="8" w:color="auto"/>
            </w:tcBorders>
            <w:shd w:val="clear" w:color="auto" w:fill="D9D9D9"/>
          </w:tcPr>
          <w:p>
            <w:pPr>
              <w:spacing w:after="0"/>
              <w:rPr>
                <w:sz w:val="10"/>
                <w:szCs w:val="10"/>
                <w:color w:val="auto"/>
              </w:rPr>
            </w:pPr>
          </w:p>
        </w:tc>
        <w:tc>
          <w:tcPr>
            <w:tcW w:w="1060" w:type="dxa"/>
            <w:vAlign w:val="bottom"/>
            <w:tcBorders>
              <w:bottom w:val="single" w:sz="8" w:color="auto"/>
            </w:tcBorders>
            <w:shd w:val="clear" w:color="auto" w:fill="D9D9D9"/>
          </w:tcPr>
          <w:p>
            <w:pPr>
              <w:spacing w:after="0"/>
              <w:rPr>
                <w:sz w:val="10"/>
                <w:szCs w:val="10"/>
                <w:color w:val="auto"/>
              </w:rPr>
            </w:pPr>
          </w:p>
        </w:tc>
        <w:tc>
          <w:tcPr>
            <w:tcW w:w="1280" w:type="dxa"/>
            <w:vAlign w:val="bottom"/>
            <w:tcBorders>
              <w:bottom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Nancy E. Calderon</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color w:val="auto"/>
                <w:w w:val="75"/>
              </w:rPr>
              <w:t>Ɣ</w:t>
            </w:r>
          </w:p>
        </w:tc>
        <w:tc>
          <w:tcPr>
            <w:tcW w:w="11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tcBorders>
              <w:bottom w:val="single" w:sz="8" w:color="auto"/>
            </w:tcBorders>
            <w:gridSpan w:val="2"/>
          </w:tcPr>
          <w:p>
            <w:pPr>
              <w:ind w:left="20"/>
              <w:spacing w:after="0" w:line="244" w:lineRule="exact"/>
              <w:rPr>
                <w:sz w:val="20"/>
                <w:szCs w:val="20"/>
                <w:color w:val="auto"/>
              </w:rPr>
            </w:pPr>
            <w:r>
              <w:rPr>
                <w:rFonts w:ascii="Times New Roman" w:cs="Times New Roman" w:eastAsia="Times New Roman" w:hAnsi="Times New Roman"/>
                <w:sz w:val="22"/>
                <w:szCs w:val="22"/>
                <w:color w:val="auto"/>
              </w:rPr>
              <w:t>Sarah E. Kemp</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2"/>
              <w:spacing w:after="0" w:line="244"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color w:val="auto"/>
                <w:w w:val="75"/>
              </w:rPr>
              <w:t>Ɣ</w:t>
            </w: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Sunggyu Lee, Ph.D.</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G. Patrick Lynch</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Ramani Narayan, Ph.D.</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75"/>
              </w:rPr>
              <w:t>Ɣ</w:t>
            </w:r>
          </w:p>
        </w:tc>
        <w:tc>
          <w:tcPr>
            <w:tcW w:w="1280" w:type="dxa"/>
            <w:vAlign w:val="bottom"/>
            <w:tcBorders>
              <w:bottom w:val="single" w:sz="8" w:color="auto"/>
            </w:tcBorders>
          </w:tcPr>
          <w:p>
            <w:pPr>
              <w:jc w:val="center"/>
              <w:ind w:left="17"/>
              <w:spacing w:after="0" w:line="243" w:lineRule="exact"/>
              <w:rPr>
                <w:sz w:val="20"/>
                <w:szCs w:val="20"/>
                <w:color w:val="auto"/>
              </w:rPr>
            </w:pPr>
            <w:r>
              <w:rPr>
                <w:rFonts w:ascii="Times New Roman" w:cs="Times New Roman" w:eastAsia="Times New Roman" w:hAnsi="Times New Roman"/>
                <w:sz w:val="22"/>
                <w:szCs w:val="22"/>
                <w:color w:val="auto"/>
                <w:w w:val="75"/>
              </w:rPr>
              <w:t>Ɣ</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Richard J. Nigon</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color w:val="auto"/>
                <w:w w:val="75"/>
              </w:rPr>
              <w:t>Ɣ</w:t>
            </w:r>
          </w:p>
        </w:tc>
        <w:tc>
          <w:tcPr>
            <w:tcW w:w="1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Cristina Pinho</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75"/>
              </w:rPr>
              <w:t>Ɣ</w:t>
            </w: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6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22"/>
                <w:szCs w:val="22"/>
                <w:color w:val="auto"/>
              </w:rPr>
              <w:t>Konstantin von</w:t>
            </w:r>
          </w:p>
        </w:tc>
        <w:tc>
          <w:tcPr>
            <w:tcW w:w="200" w:type="dxa"/>
            <w:vAlign w:val="bottom"/>
          </w:tcPr>
          <w:p>
            <w:pPr>
              <w:spacing w:after="0"/>
              <w:rPr>
                <w:sz w:val="19"/>
                <w:szCs w:val="19"/>
                <w:color w:val="auto"/>
              </w:rPr>
            </w:pPr>
          </w:p>
        </w:tc>
        <w:tc>
          <w:tcPr>
            <w:tcW w:w="1060" w:type="dxa"/>
            <w:vAlign w:val="bottom"/>
          </w:tcPr>
          <w:p>
            <w:pPr>
              <w:jc w:val="center"/>
              <w:ind w:right="12"/>
              <w:spacing w:after="0" w:line="221"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Pr>
          <w:p>
            <w:pPr>
              <w:spacing w:after="0"/>
              <w:rPr>
                <w:sz w:val="19"/>
                <w:szCs w:val="19"/>
                <w:color w:val="auto"/>
              </w:rPr>
            </w:pPr>
          </w:p>
        </w:tc>
        <w:tc>
          <w:tcPr>
            <w:tcW w:w="1000" w:type="dxa"/>
            <w:vAlign w:val="bottom"/>
            <w:gridSpan w:val="2"/>
          </w:tcPr>
          <w:p>
            <w:pPr>
              <w:jc w:val="center"/>
              <w:ind w:right="320"/>
              <w:spacing w:after="0" w:line="221" w:lineRule="exact"/>
              <w:rPr>
                <w:sz w:val="20"/>
                <w:szCs w:val="20"/>
                <w:color w:val="auto"/>
              </w:rPr>
            </w:pPr>
            <w:r>
              <w:rPr>
                <w:rFonts w:ascii="Times New Roman" w:cs="Times New Roman" w:eastAsia="Times New Roman" w:hAnsi="Times New Roman"/>
                <w:sz w:val="22"/>
                <w:szCs w:val="22"/>
                <w:color w:val="auto"/>
                <w:w w:val="75"/>
              </w:rPr>
              <w:t>Ɣ</w:t>
            </w:r>
          </w:p>
        </w:tc>
        <w:tc>
          <w:tcPr>
            <w:tcW w:w="11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color w:val="auto"/>
                <w:w w:val="87"/>
              </w:rPr>
              <w:t>Ɣ</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Falkenhausen</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580"/>
          </w:cols>
          <w:pgMar w:left="1320" w:top="1406" w:right="134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2240" w:h="15840" w:orient="portrait"/>
          <w:cols w:equalWidth="0" w:num="1">
            <w:col w:w="9580"/>
          </w:cols>
          <w:pgMar w:left="1320" w:top="1406" w:right="1340" w:bottom="34"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8"/>
          <w:szCs w:val="28"/>
          <w:b w:val="1"/>
          <w:bCs w:val="1"/>
          <w:color w:val="auto"/>
        </w:rPr>
        <w:t>EXECUTIVE COMPENSATION PHILOSOPHY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10160</wp:posOffset>
                </wp:positionV>
                <wp:extent cx="59436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8pt" to="468pt,0.8pt" o:allowincell="f" strokecolor="#000000" strokeweight="1.32pt"/>
            </w:pict>
          </mc:Fallback>
        </mc:AlternateContent>
      </w:r>
    </w:p>
    <w:p>
      <w:pPr>
        <w:spacing w:after="0" w:line="231" w:lineRule="exact"/>
        <w:rPr>
          <w:sz w:val="20"/>
          <w:szCs w:val="20"/>
          <w:color w:val="auto"/>
        </w:rPr>
      </w:pPr>
    </w:p>
    <w:p>
      <w:pPr>
        <w:jc w:val="both"/>
        <w:ind w:right="220"/>
        <w:spacing w:after="0" w:line="259" w:lineRule="auto"/>
        <w:rPr>
          <w:sz w:val="20"/>
          <w:szCs w:val="20"/>
          <w:color w:val="auto"/>
        </w:rPr>
      </w:pPr>
      <w:r>
        <w:rPr>
          <w:rFonts w:ascii="Times New Roman" w:cs="Times New Roman" w:eastAsia="Times New Roman" w:hAnsi="Times New Roman"/>
          <w:sz w:val="22"/>
          <w:szCs w:val="22"/>
          <w:color w:val="auto"/>
        </w:rPr>
        <w:t>Our guiding compensation philosophy is to maintain an executive compensation program that allows us to attract, retain, motivate and reward qualified and talented executives who will enable us to grow our business, achieve our annual, long-term and strategic goals and drive long-term stockholder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core principles provide a framework for our executive compensation program:</w:t>
      </w:r>
    </w:p>
    <w:p>
      <w:pPr>
        <w:spacing w:after="0" w:line="256" w:lineRule="exact"/>
        <w:rPr>
          <w:sz w:val="20"/>
          <w:szCs w:val="20"/>
          <w:color w:val="auto"/>
        </w:rPr>
      </w:pPr>
    </w:p>
    <w:p>
      <w:pPr>
        <w:ind w:left="360" w:hanging="360"/>
        <w:spacing w:after="0"/>
        <w:tabs>
          <w:tab w:leader="none" w:pos="3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22"/>
          <w:szCs w:val="22"/>
          <w:color w:val="auto"/>
        </w:rPr>
        <w:t>Align interests of our executives with stockholder interests;</w:t>
      </w:r>
    </w:p>
    <w:p>
      <w:pPr>
        <w:spacing w:after="0" w:line="134" w:lineRule="exact"/>
        <w:rPr>
          <w:rFonts w:ascii="Arial" w:cs="Arial" w:eastAsia="Arial" w:hAnsi="Arial"/>
          <w:sz w:val="22"/>
          <w:szCs w:val="22"/>
          <w:color w:val="auto"/>
        </w:rPr>
      </w:pPr>
    </w:p>
    <w:p>
      <w:pPr>
        <w:ind w:left="360" w:hanging="360"/>
        <w:spacing w:after="0"/>
        <w:tabs>
          <w:tab w:leader="none" w:pos="3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22"/>
          <w:szCs w:val="22"/>
          <w:color w:val="auto"/>
        </w:rPr>
        <w:t>Integrate compensation with our business plans and strategic goals;</w:t>
      </w:r>
    </w:p>
    <w:p>
      <w:pPr>
        <w:spacing w:after="0" w:line="134" w:lineRule="exact"/>
        <w:rPr>
          <w:rFonts w:ascii="Arial" w:cs="Arial" w:eastAsia="Arial" w:hAnsi="Arial"/>
          <w:sz w:val="22"/>
          <w:szCs w:val="22"/>
          <w:color w:val="auto"/>
        </w:rPr>
      </w:pPr>
    </w:p>
    <w:p>
      <w:pPr>
        <w:ind w:left="360" w:hanging="360"/>
        <w:spacing w:after="0"/>
        <w:tabs>
          <w:tab w:leader="none" w:pos="3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22"/>
          <w:szCs w:val="22"/>
          <w:color w:val="auto"/>
        </w:rPr>
        <w:t>Link amount of compensation to both company and individual performance; and</w:t>
      </w:r>
    </w:p>
    <w:p>
      <w:pPr>
        <w:spacing w:after="0" w:line="133" w:lineRule="exact"/>
        <w:rPr>
          <w:rFonts w:ascii="Arial" w:cs="Arial" w:eastAsia="Arial" w:hAnsi="Arial"/>
          <w:sz w:val="22"/>
          <w:szCs w:val="22"/>
          <w:color w:val="auto"/>
        </w:rPr>
      </w:pPr>
    </w:p>
    <w:p>
      <w:pPr>
        <w:ind w:left="360" w:hanging="360"/>
        <w:spacing w:after="0"/>
        <w:tabs>
          <w:tab w:leader="none" w:pos="3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22"/>
          <w:szCs w:val="22"/>
          <w:color w:val="auto"/>
        </w:rPr>
        <w:t>Provide fair and competitive compensation opportunities that attract and retain executives.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EXECUTIVE COMPENSATION BEST PRACTICES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10160</wp:posOffset>
                </wp:positionV>
                <wp:extent cx="59436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8pt" to="468pt,0.8pt" o:allowincell="f" strokecolor="#000000" strokeweight="1.32pt"/>
            </w:pict>
          </mc:Fallback>
        </mc:AlternateContent>
      </w:r>
    </w:p>
    <w:p>
      <w:pPr>
        <w:spacing w:after="0" w:line="232" w:lineRule="exact"/>
        <w:rPr>
          <w:sz w:val="20"/>
          <w:szCs w:val="20"/>
          <w:color w:val="auto"/>
        </w:rPr>
      </w:pPr>
    </w:p>
    <w:p>
      <w:pPr>
        <w:ind w:right="780"/>
        <w:spacing w:after="0" w:line="278" w:lineRule="auto"/>
        <w:rPr>
          <w:sz w:val="20"/>
          <w:szCs w:val="20"/>
          <w:color w:val="auto"/>
        </w:rPr>
      </w:pPr>
      <w:r>
        <w:rPr>
          <w:rFonts w:ascii="Times New Roman" w:cs="Times New Roman" w:eastAsia="Times New Roman" w:hAnsi="Times New Roman"/>
          <w:sz w:val="22"/>
          <w:szCs w:val="22"/>
          <w:color w:val="auto"/>
        </w:rPr>
        <w:t>Our compensation practices include many best practices that support our executive compensation objectives and principles and benefit our stockholders.</w:t>
      </w:r>
    </w:p>
    <w:p>
      <w:pPr>
        <w:sectPr>
          <w:pgSz w:w="12240" w:h="15840" w:orient="portrait"/>
          <w:cols w:equalWidth="0" w:num="1">
            <w:col w:w="9360"/>
          </w:cols>
          <w:pgMar w:left="1440" w:top="1406" w:right="1440" w:bottom="34"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We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-67945</wp:posOffset>
                </wp:positionH>
                <wp:positionV relativeFrom="paragraph">
                  <wp:posOffset>-143510</wp:posOffset>
                </wp:positionV>
                <wp:extent cx="2968625" cy="16065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8625" cy="160655"/>
                        </a:xfrm>
                        <a:prstGeom prst="rect">
                          <a:avLst/>
                        </a:prstGeom>
                        <a:solidFill>
                          <a:srgbClr val="D9D9D9"/>
                        </a:solidFill>
                      </wps:spPr>
                      <wps:bodyPr/>
                    </wps:wsp>
                  </a:graphicData>
                </a:graphic>
              </wp:anchor>
            </w:drawing>
          </mc:Choice>
          <mc:Fallback>
            <w:pict>
              <v:rect id="Shape 41" o:spid="_x0000_s1066" style="position:absolute;margin-left:-5.3499pt;margin-top:-11.2999pt;width:233.75pt;height:12.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7" w:lineRule="exact"/>
        <w:rPr>
          <w:sz w:val="20"/>
          <w:szCs w:val="20"/>
          <w:color w:val="auto"/>
        </w:rPr>
      </w:pPr>
    </w:p>
    <w:p>
      <w:pPr>
        <w:ind w:left="360" w:hanging="360"/>
        <w:spacing w:after="0"/>
        <w:tabs>
          <w:tab w:leader="none" w:pos="3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Emphasize pay for performance</w:t>
      </w:r>
    </w:p>
    <w:p>
      <w:pPr>
        <w:spacing w:after="0" w:line="32" w:lineRule="exact"/>
        <w:rPr>
          <w:rFonts w:ascii="Arial" w:cs="Arial" w:eastAsia="Arial" w:hAnsi="Arial"/>
          <w:sz w:val="22"/>
          <w:szCs w:val="22"/>
          <w:color w:val="auto"/>
        </w:rPr>
      </w:pPr>
    </w:p>
    <w:p>
      <w:pPr>
        <w:ind w:left="360" w:hanging="360"/>
        <w:spacing w:after="0" w:line="247" w:lineRule="auto"/>
        <w:tabs>
          <w:tab w:leader="none" w:pos="3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Structure our executive compensation so a significant portion of pay is at risk</w:t>
      </w:r>
    </w:p>
    <w:p>
      <w:pPr>
        <w:ind w:left="360" w:hanging="360"/>
        <w:spacing w:after="0" w:line="247" w:lineRule="auto"/>
        <w:tabs>
          <w:tab w:leader="none" w:pos="3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Structure our executive compensation so a significant portion is paid in equity</w:t>
      </w:r>
    </w:p>
    <w:p>
      <w:pPr>
        <w:ind w:left="360" w:hanging="360"/>
        <w:spacing w:after="0"/>
        <w:tabs>
          <w:tab w:leader="none" w:pos="3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Maintain competitive pay packages</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Maintain robust clawback policy</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Hold an annual say-on-pay vote</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Maintain stock ownership guidelines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b w:val="1"/>
          <w:bCs w:val="1"/>
          <w:color w:val="auto"/>
        </w:rPr>
        <w:t>What We Don’t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-69215</wp:posOffset>
                </wp:positionH>
                <wp:positionV relativeFrom="paragraph">
                  <wp:posOffset>-143510</wp:posOffset>
                </wp:positionV>
                <wp:extent cx="3042920" cy="16065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2920" cy="160655"/>
                        </a:xfrm>
                        <a:prstGeom prst="rect">
                          <a:avLst/>
                        </a:prstGeom>
                        <a:solidFill>
                          <a:srgbClr val="D9D9D9"/>
                        </a:solidFill>
                      </wps:spPr>
                      <wps:bodyPr/>
                    </wps:wsp>
                  </a:graphicData>
                </a:graphic>
              </wp:anchor>
            </w:drawing>
          </mc:Choice>
          <mc:Fallback>
            <w:pict>
              <v:rect id="Shape 42" o:spid="_x0000_s1067" style="position:absolute;margin-left:-5.4499pt;margin-top:-11.2999pt;width:239.6pt;height:12.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7" w:lineRule="exact"/>
        <w:rPr>
          <w:sz w:val="20"/>
          <w:szCs w:val="20"/>
          <w:color w:val="auto"/>
        </w:rPr>
      </w:pPr>
    </w:p>
    <w:p>
      <w:pPr>
        <w:ind w:left="363" w:hanging="362"/>
        <w:spacing w:after="0"/>
        <w:tabs>
          <w:tab w:leader="none" w:pos="363" w:val="left"/>
        </w:tabs>
        <w:numPr>
          <w:ilvl w:val="0"/>
          <w:numId w:val="9"/>
        </w:numPr>
        <w:rPr>
          <w:rFonts w:ascii="Arial" w:cs="Arial" w:eastAsia="Arial" w:hAnsi="Arial"/>
          <w:sz w:val="22"/>
          <w:szCs w:val="22"/>
          <w:color w:val="auto"/>
        </w:rPr>
      </w:pPr>
      <w:r>
        <w:rPr>
          <w:rFonts w:ascii="Times New Roman" w:cs="Times New Roman" w:eastAsia="Times New Roman" w:hAnsi="Times New Roman"/>
          <w:sz w:val="22"/>
          <w:szCs w:val="22"/>
          <w:color w:val="auto"/>
        </w:rPr>
        <w:t>No guaranteed salary increases or bonuses</w:t>
      </w:r>
    </w:p>
    <w:p>
      <w:pPr>
        <w:spacing w:after="0" w:line="32" w:lineRule="exact"/>
        <w:rPr>
          <w:rFonts w:ascii="Arial" w:cs="Arial" w:eastAsia="Arial" w:hAnsi="Arial"/>
          <w:sz w:val="22"/>
          <w:szCs w:val="22"/>
          <w:color w:val="auto"/>
        </w:rPr>
      </w:pPr>
    </w:p>
    <w:p>
      <w:pPr>
        <w:ind w:left="363" w:right="260" w:hanging="362"/>
        <w:spacing w:after="0" w:line="247" w:lineRule="auto"/>
        <w:tabs>
          <w:tab w:leader="none" w:pos="363" w:val="left"/>
        </w:tabs>
        <w:numPr>
          <w:ilvl w:val="0"/>
          <w:numId w:val="9"/>
        </w:numPr>
        <w:rPr>
          <w:rFonts w:ascii="Arial" w:cs="Arial" w:eastAsia="Arial" w:hAnsi="Arial"/>
          <w:sz w:val="22"/>
          <w:szCs w:val="22"/>
          <w:color w:val="auto"/>
        </w:rPr>
      </w:pPr>
      <w:r>
        <w:rPr>
          <w:rFonts w:ascii="Times New Roman" w:cs="Times New Roman" w:eastAsia="Times New Roman" w:hAnsi="Times New Roman"/>
          <w:sz w:val="22"/>
          <w:szCs w:val="22"/>
          <w:color w:val="auto"/>
        </w:rPr>
        <w:t>No repricing of stock options unless approved by stockholders</w:t>
      </w:r>
    </w:p>
    <w:p>
      <w:pPr>
        <w:ind w:left="363" w:right="220" w:hanging="362"/>
        <w:spacing w:after="0" w:line="247" w:lineRule="auto"/>
        <w:tabs>
          <w:tab w:leader="none" w:pos="363" w:val="left"/>
        </w:tabs>
        <w:numPr>
          <w:ilvl w:val="0"/>
          <w:numId w:val="9"/>
        </w:numPr>
        <w:rPr>
          <w:rFonts w:ascii="Arial" w:cs="Arial" w:eastAsia="Arial" w:hAnsi="Arial"/>
          <w:sz w:val="22"/>
          <w:szCs w:val="22"/>
          <w:color w:val="auto"/>
        </w:rPr>
      </w:pPr>
      <w:r>
        <w:rPr>
          <w:rFonts w:ascii="Times New Roman" w:cs="Times New Roman" w:eastAsia="Times New Roman" w:hAnsi="Times New Roman"/>
          <w:sz w:val="22"/>
          <w:szCs w:val="22"/>
          <w:color w:val="auto"/>
        </w:rPr>
        <w:t>No pledging of NTIC securities, unless certain criteria are met</w:t>
      </w:r>
    </w:p>
    <w:p>
      <w:pPr>
        <w:ind w:left="363" w:hanging="362"/>
        <w:spacing w:after="0"/>
        <w:tabs>
          <w:tab w:leader="none" w:pos="363" w:val="left"/>
        </w:tabs>
        <w:numPr>
          <w:ilvl w:val="0"/>
          <w:numId w:val="9"/>
        </w:numPr>
        <w:rPr>
          <w:rFonts w:ascii="Arial" w:cs="Arial" w:eastAsia="Arial" w:hAnsi="Arial"/>
          <w:sz w:val="22"/>
          <w:szCs w:val="22"/>
          <w:color w:val="auto"/>
        </w:rPr>
      </w:pPr>
      <w:r>
        <w:rPr>
          <w:rFonts w:ascii="Times New Roman" w:cs="Times New Roman" w:eastAsia="Times New Roman" w:hAnsi="Times New Roman"/>
          <w:sz w:val="22"/>
          <w:szCs w:val="22"/>
          <w:color w:val="auto"/>
        </w:rPr>
        <w:t>No hedging of NTIC securities</w:t>
      </w:r>
    </w:p>
    <w:p>
      <w:pPr>
        <w:spacing w:after="0" w:line="14" w:lineRule="exact"/>
        <w:rPr>
          <w:rFonts w:ascii="Arial" w:cs="Arial" w:eastAsia="Arial" w:hAnsi="Arial"/>
          <w:sz w:val="22"/>
          <w:szCs w:val="22"/>
          <w:color w:val="auto"/>
        </w:rPr>
      </w:pPr>
    </w:p>
    <w:p>
      <w:pPr>
        <w:ind w:left="363" w:hanging="362"/>
        <w:spacing w:after="0"/>
        <w:tabs>
          <w:tab w:leader="none" w:pos="363" w:val="left"/>
        </w:tabs>
        <w:numPr>
          <w:ilvl w:val="0"/>
          <w:numId w:val="9"/>
        </w:numPr>
        <w:rPr>
          <w:rFonts w:ascii="Arial" w:cs="Arial" w:eastAsia="Arial" w:hAnsi="Arial"/>
          <w:sz w:val="22"/>
          <w:szCs w:val="22"/>
          <w:color w:val="auto"/>
        </w:rPr>
      </w:pPr>
      <w:r>
        <w:rPr>
          <w:rFonts w:ascii="Times New Roman" w:cs="Times New Roman" w:eastAsia="Times New Roman" w:hAnsi="Times New Roman"/>
          <w:sz w:val="22"/>
          <w:szCs w:val="22"/>
          <w:color w:val="auto"/>
        </w:rPr>
        <w:t>No excessive perquisites</w:t>
      </w:r>
    </w:p>
    <w:p>
      <w:pPr>
        <w:spacing w:after="0" w:line="14" w:lineRule="exact"/>
        <w:rPr>
          <w:rFonts w:ascii="Arial" w:cs="Arial" w:eastAsia="Arial" w:hAnsi="Arial"/>
          <w:sz w:val="22"/>
          <w:szCs w:val="22"/>
          <w:color w:val="auto"/>
        </w:rPr>
      </w:pPr>
    </w:p>
    <w:p>
      <w:pPr>
        <w:ind w:left="363" w:hanging="363"/>
        <w:spacing w:after="0"/>
        <w:tabs>
          <w:tab w:leader="none" w:pos="363" w:val="left"/>
        </w:tabs>
        <w:numPr>
          <w:ilvl w:val="0"/>
          <w:numId w:val="9"/>
        </w:numPr>
        <w:rPr>
          <w:rFonts w:ascii="Arial" w:cs="Arial" w:eastAsia="Arial" w:hAnsi="Arial"/>
          <w:sz w:val="22"/>
          <w:szCs w:val="22"/>
          <w:color w:val="auto"/>
        </w:rPr>
      </w:pPr>
      <w:r>
        <w:rPr>
          <w:rFonts w:ascii="Times New Roman" w:cs="Times New Roman" w:eastAsia="Times New Roman" w:hAnsi="Times New Roman"/>
          <w:sz w:val="22"/>
          <w:szCs w:val="22"/>
          <w:color w:val="auto"/>
        </w:rPr>
        <w:t>No tax gross-ups</w:t>
      </w:r>
    </w:p>
    <w:p>
      <w:pPr>
        <w:spacing w:after="0" w:line="468" w:lineRule="exact"/>
        <w:rPr>
          <w:sz w:val="20"/>
          <w:szCs w:val="20"/>
          <w:color w:val="auto"/>
        </w:rPr>
      </w:pPr>
    </w:p>
    <w:p>
      <w:pPr>
        <w:sectPr>
          <w:pgSz w:w="12240" w:h="15840" w:orient="portrait"/>
          <w:cols w:equalWidth="0" w:num="2">
            <w:col w:w="4100" w:space="577"/>
            <w:col w:w="4683"/>
          </w:cols>
          <w:pgMar w:left="1440" w:top="1406" w:right="1440" w:bottom="34"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HOW WE PAY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10160</wp:posOffset>
                </wp:positionV>
                <wp:extent cx="59436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8pt" to="468pt,0.8pt" o:allowincell="f" strokecolor="#000000" strokeweight="1.32pt"/>
            </w:pict>
          </mc:Fallback>
        </mc:AlternateConten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executive compensation program consists of the following principal elements:</w:t>
      </w:r>
    </w:p>
    <w:p>
      <w:pPr>
        <w:spacing w:after="0" w:line="256" w:lineRule="exact"/>
        <w:rPr>
          <w:sz w:val="20"/>
          <w:szCs w:val="20"/>
          <w:color w:val="auto"/>
        </w:rPr>
      </w:pPr>
    </w:p>
    <w:p>
      <w:pPr>
        <w:ind w:left="360" w:hanging="360"/>
        <w:spacing w:after="0"/>
        <w:tabs>
          <w:tab w:leader="none" w:pos="3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2"/>
          <w:szCs w:val="22"/>
          <w:color w:val="auto"/>
        </w:rPr>
        <w:t>Base salary – a fixed amount, paid in cash and reviewed annually and, if appropriate, adjusted.</w:t>
      </w:r>
    </w:p>
    <w:p>
      <w:pPr>
        <w:spacing w:after="0" w:line="134" w:lineRule="exact"/>
        <w:rPr>
          <w:rFonts w:ascii="Arial" w:cs="Arial" w:eastAsia="Arial" w:hAnsi="Arial"/>
          <w:sz w:val="22"/>
          <w:szCs w:val="22"/>
          <w:color w:val="auto"/>
        </w:rPr>
      </w:pPr>
    </w:p>
    <w:p>
      <w:pPr>
        <w:ind w:left="360" w:right="240" w:hanging="360"/>
        <w:spacing w:after="0" w:line="277" w:lineRule="auto"/>
        <w:tabs>
          <w:tab w:leader="none" w:pos="361"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2"/>
          <w:szCs w:val="22"/>
          <w:color w:val="auto"/>
        </w:rPr>
        <w:t>Annual incentive – a variable, short-term element that is typically payable in cash and is based on a corporate profitability goal and individual performance goals.</w:t>
      </w:r>
    </w:p>
    <w:p>
      <w:pPr>
        <w:spacing w:after="0" w:line="56" w:lineRule="exact"/>
        <w:rPr>
          <w:rFonts w:ascii="Arial" w:cs="Arial" w:eastAsia="Arial" w:hAnsi="Arial"/>
          <w:sz w:val="22"/>
          <w:szCs w:val="22"/>
          <w:color w:val="auto"/>
        </w:rPr>
      </w:pPr>
    </w:p>
    <w:p>
      <w:pPr>
        <w:ind w:left="360" w:hanging="360"/>
        <w:spacing w:after="0"/>
        <w:tabs>
          <w:tab w:leader="none" w:pos="3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2"/>
          <w:szCs w:val="22"/>
          <w:color w:val="auto"/>
        </w:rPr>
        <w:t>Long-term incentive – a variable, long-term element that is provided in stock options.</w:t>
      </w:r>
    </w:p>
    <w:p>
      <w:pPr>
        <w:sectPr>
          <w:pgSz w:w="12240" w:h="15840" w:orient="portrait"/>
          <w:cols w:equalWidth="0" w:num="1">
            <w:col w:w="9360"/>
          </w:cols>
          <w:pgMar w:left="1440" w:top="1406" w:right="1440" w:bottom="3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2240" w:h="15840" w:orient="portrait"/>
          <w:cols w:equalWidth="0" w:num="1">
            <w:col w:w="9360"/>
          </w:cols>
          <w:pgMar w:left="1440" w:top="1406" w:right="1440" w:bottom="34" w:gutter="0" w:footer="0" w:header="0"/>
          <w:type w:val="continuous"/>
        </w:sectPr>
      </w:pPr>
    </w:p>
    <w:bookmarkStart w:id="15" w:name="page16"/>
    <w:bookmarkEnd w:id="15"/>
    <w:p>
      <w:pPr>
        <w:ind w:left="20"/>
        <w:spacing w:after="0"/>
        <w:rPr>
          <w:sz w:val="20"/>
          <w:szCs w:val="20"/>
          <w:color w:val="auto"/>
        </w:rPr>
      </w:pPr>
      <w:r>
        <w:rPr>
          <w:rFonts w:ascii="Times New Roman" w:cs="Times New Roman" w:eastAsia="Times New Roman" w:hAnsi="Times New Roman"/>
          <w:sz w:val="28"/>
          <w:szCs w:val="28"/>
          <w:b w:val="1"/>
          <w:bCs w:val="1"/>
          <w:color w:val="auto"/>
        </w:rPr>
        <w:t>FISCAL 2025 EXECUTIVE COMPENSATION ACTIONS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10160</wp:posOffset>
                </wp:positionV>
                <wp:extent cx="59436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8pt" to="469pt,0.8pt" o:allowincell="f" strokecolor="#000000" strokeweight="1.32pt"/>
            </w:pict>
          </mc:Fallback>
        </mc:AlternateContent>
      </w:r>
    </w:p>
    <w:p>
      <w:pPr>
        <w:spacing w:after="0" w:line="231" w:lineRule="exact"/>
        <w:rPr>
          <w:sz w:val="20"/>
          <w:szCs w:val="20"/>
          <w:color w:val="auto"/>
        </w:rPr>
      </w:pPr>
    </w:p>
    <w:p>
      <w:pPr>
        <w:ind w:left="20" w:right="360"/>
        <w:spacing w:after="0" w:line="278" w:lineRule="auto"/>
        <w:rPr>
          <w:sz w:val="20"/>
          <w:szCs w:val="20"/>
          <w:color w:val="auto"/>
        </w:rPr>
      </w:pPr>
      <w:r>
        <w:rPr>
          <w:rFonts w:ascii="Times New Roman" w:cs="Times New Roman" w:eastAsia="Times New Roman" w:hAnsi="Times New Roman"/>
          <w:sz w:val="22"/>
          <w:szCs w:val="22"/>
          <w:color w:val="auto"/>
        </w:rPr>
        <w:t>Fiscal 2025 compensation actions and incentive plan outcomes based on performance are summarized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620" w:type="dxa"/>
            <w:vAlign w:val="bottom"/>
            <w:tcBorders>
              <w:bottom w:val="single" w:sz="8" w:color="auto"/>
            </w:tcBorders>
            <w:shd w:val="clear" w:color="auto" w:fill="D9D9D9"/>
          </w:tcPr>
          <w:p>
            <w:pPr>
              <w:ind w:left="920"/>
              <w:spacing w:after="0"/>
              <w:rPr>
                <w:sz w:val="20"/>
                <w:szCs w:val="20"/>
                <w:color w:val="auto"/>
              </w:rPr>
            </w:pPr>
            <w:r>
              <w:rPr>
                <w:rFonts w:ascii="Times New Roman" w:cs="Times New Roman" w:eastAsia="Times New Roman" w:hAnsi="Times New Roman"/>
                <w:sz w:val="22"/>
                <w:szCs w:val="22"/>
                <w:b w:val="1"/>
                <w:bCs w:val="1"/>
                <w:color w:val="auto"/>
              </w:rPr>
              <w:t>Element</w:t>
            </w:r>
          </w:p>
        </w:tc>
        <w:tc>
          <w:tcPr>
            <w:tcW w:w="6740" w:type="dxa"/>
            <w:vAlign w:val="bottom"/>
            <w:tcBorders>
              <w:bottom w:val="single" w:sz="8" w:color="auto"/>
            </w:tcBorders>
            <w:shd w:val="clear" w:color="auto" w:fill="D9D9D9"/>
          </w:tcPr>
          <w:p>
            <w:pPr>
              <w:ind w:left="2320"/>
              <w:spacing w:after="0"/>
              <w:rPr>
                <w:sz w:val="20"/>
                <w:szCs w:val="20"/>
                <w:color w:val="auto"/>
              </w:rPr>
            </w:pPr>
            <w:r>
              <w:rPr>
                <w:rFonts w:ascii="Times New Roman" w:cs="Times New Roman" w:eastAsia="Times New Roman" w:hAnsi="Times New Roman"/>
                <w:sz w:val="22"/>
                <w:szCs w:val="22"/>
                <w:b w:val="1"/>
                <w:bCs w:val="1"/>
                <w:color w:val="auto"/>
              </w:rPr>
              <w:t>Key Fiscal 2025 Actions</w:t>
            </w:r>
          </w:p>
        </w:tc>
      </w:tr>
      <w:tr>
        <w:trPr>
          <w:trHeight w:val="224"/>
        </w:trPr>
        <w:tc>
          <w:tcPr>
            <w:tcW w:w="20" w:type="dxa"/>
            <w:vAlign w:val="bottom"/>
          </w:tcPr>
          <w:p>
            <w:pPr>
              <w:spacing w:after="0"/>
              <w:rPr>
                <w:sz w:val="19"/>
                <w:szCs w:val="19"/>
                <w:color w:val="auto"/>
              </w:rPr>
            </w:pPr>
          </w:p>
        </w:tc>
        <w:tc>
          <w:tcPr>
            <w:tcW w:w="2620" w:type="dxa"/>
            <w:vAlign w:val="bottom"/>
          </w:tcPr>
          <w:p>
            <w:pPr>
              <w:spacing w:after="0" w:line="224" w:lineRule="exact"/>
              <w:rPr>
                <w:sz w:val="20"/>
                <w:szCs w:val="20"/>
                <w:color w:val="auto"/>
              </w:rPr>
            </w:pPr>
            <w:r>
              <w:rPr>
                <w:rFonts w:ascii="Times New Roman" w:cs="Times New Roman" w:eastAsia="Times New Roman" w:hAnsi="Times New Roman"/>
                <w:sz w:val="22"/>
                <w:szCs w:val="22"/>
                <w:color w:val="auto"/>
              </w:rPr>
              <w:t>Base Salary</w:t>
            </w:r>
          </w:p>
        </w:tc>
        <w:tc>
          <w:tcPr>
            <w:tcW w:w="6740" w:type="dxa"/>
            <w:vAlign w:val="bottom"/>
          </w:tcPr>
          <w:p>
            <w:pPr>
              <w:ind w:left="100"/>
              <w:spacing w:after="0" w:line="224" w:lineRule="exact"/>
              <w:rPr>
                <w:sz w:val="20"/>
                <w:szCs w:val="20"/>
                <w:color w:val="auto"/>
              </w:rPr>
            </w:pPr>
            <w:r>
              <w:rPr>
                <w:rFonts w:ascii="Times New Roman" w:cs="Times New Roman" w:eastAsia="Times New Roman" w:hAnsi="Times New Roman"/>
                <w:sz w:val="22"/>
                <w:szCs w:val="22"/>
                <w:color w:val="auto"/>
              </w:rPr>
              <w:t>Our executives received base salary increases at the start of fiscal 2025 of</w:t>
            </w:r>
          </w:p>
        </w:tc>
      </w:tr>
      <w:tr>
        <w:trPr>
          <w:trHeight w:val="29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w:t>
            </w:r>
          </w:p>
        </w:tc>
      </w:tr>
      <w:tr>
        <w:trPr>
          <w:trHeight w:val="102"/>
        </w:trPr>
        <w:tc>
          <w:tcPr>
            <w:tcW w:w="20" w:type="dxa"/>
            <w:vAlign w:val="bottom"/>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r>
      <w:tr>
        <w:trPr>
          <w:trHeight w:val="220"/>
        </w:trPr>
        <w:tc>
          <w:tcPr>
            <w:tcW w:w="20" w:type="dxa"/>
            <w:vAlign w:val="bottom"/>
          </w:tcPr>
          <w:p>
            <w:pPr>
              <w:spacing w:after="0"/>
              <w:rPr>
                <w:sz w:val="19"/>
                <w:szCs w:val="19"/>
                <w:color w:val="auto"/>
              </w:rPr>
            </w:pPr>
          </w:p>
        </w:tc>
        <w:tc>
          <w:tcPr>
            <w:tcW w:w="2620" w:type="dxa"/>
            <w:vAlign w:val="bottom"/>
          </w:tcPr>
          <w:p>
            <w:pPr>
              <w:spacing w:after="0" w:line="221" w:lineRule="exact"/>
              <w:rPr>
                <w:sz w:val="20"/>
                <w:szCs w:val="20"/>
                <w:color w:val="auto"/>
              </w:rPr>
            </w:pPr>
            <w:r>
              <w:rPr>
                <w:rFonts w:ascii="Times New Roman" w:cs="Times New Roman" w:eastAsia="Times New Roman" w:hAnsi="Times New Roman"/>
                <w:sz w:val="22"/>
                <w:szCs w:val="22"/>
                <w:color w:val="auto"/>
              </w:rPr>
              <w:t>Annual Incentive</w:t>
            </w:r>
          </w:p>
        </w:tc>
        <w:tc>
          <w:tcPr>
            <w:tcW w:w="674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Our executives received annual bonuses based primarily on Adjusted</w:t>
            </w:r>
          </w:p>
        </w:tc>
      </w:tr>
      <w:tr>
        <w:trPr>
          <w:trHeight w:val="25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6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EBITOI (earnings before interest, taxes, and other income, as adjusted to</w:t>
            </w:r>
          </w:p>
        </w:tc>
      </w:tr>
      <w:tr>
        <w:trPr>
          <w:trHeight w:val="25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67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take into account amounts paid under bonus plan and other adjustments), in</w:t>
            </w:r>
          </w:p>
        </w:tc>
      </w:tr>
      <w:tr>
        <w:trPr>
          <w:trHeight w:val="25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6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amounts representing 85.4% of their base salaries. A portion of the annual</w:t>
            </w:r>
          </w:p>
        </w:tc>
      </w:tr>
      <w:tr>
        <w:trPr>
          <w:trHeight w:val="25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6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incentive earned for fiscal 2025 was paid in the form of stock option grants</w:t>
            </w:r>
          </w:p>
        </w:tc>
      </w:tr>
      <w:tr>
        <w:trPr>
          <w:trHeight w:val="29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made at the beginning of fiscal 2025.</w:t>
            </w:r>
          </w:p>
        </w:tc>
      </w:tr>
      <w:tr>
        <w:trPr>
          <w:trHeight w:val="101"/>
        </w:trPr>
        <w:tc>
          <w:tcPr>
            <w:tcW w:w="20" w:type="dxa"/>
            <w:vAlign w:val="bottom"/>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r>
      <w:tr>
        <w:trPr>
          <w:trHeight w:val="220"/>
        </w:trPr>
        <w:tc>
          <w:tcPr>
            <w:tcW w:w="20" w:type="dxa"/>
            <w:vAlign w:val="bottom"/>
          </w:tcPr>
          <w:p>
            <w:pPr>
              <w:spacing w:after="0"/>
              <w:rPr>
                <w:sz w:val="19"/>
                <w:szCs w:val="19"/>
                <w:color w:val="auto"/>
              </w:rPr>
            </w:pPr>
          </w:p>
        </w:tc>
        <w:tc>
          <w:tcPr>
            <w:tcW w:w="2620" w:type="dxa"/>
            <w:vAlign w:val="bottom"/>
          </w:tcPr>
          <w:p>
            <w:pPr>
              <w:spacing w:after="0" w:line="221" w:lineRule="exact"/>
              <w:rPr>
                <w:sz w:val="20"/>
                <w:szCs w:val="20"/>
                <w:color w:val="auto"/>
              </w:rPr>
            </w:pPr>
            <w:r>
              <w:rPr>
                <w:rFonts w:ascii="Times New Roman" w:cs="Times New Roman" w:eastAsia="Times New Roman" w:hAnsi="Times New Roman"/>
                <w:sz w:val="22"/>
                <w:szCs w:val="22"/>
                <w:color w:val="auto"/>
              </w:rPr>
              <w:t>Long-Term Incentive</w:t>
            </w:r>
          </w:p>
        </w:tc>
        <w:tc>
          <w:tcPr>
            <w:tcW w:w="674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Our executives received stock option grants on September 1, 2024, which</w:t>
            </w:r>
          </w:p>
        </w:tc>
      </w:tr>
      <w:tr>
        <w:trPr>
          <w:trHeight w:val="25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6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vest annually over a three-year period. The fiscal 2025 stock option grants</w:t>
            </w:r>
          </w:p>
        </w:tc>
      </w:tr>
      <w:tr>
        <w:trPr>
          <w:trHeight w:val="29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were intended as partial payout of the fiscal 2025 annual bonus program.</w:t>
            </w:r>
          </w:p>
        </w:tc>
      </w:tr>
      <w:tr>
        <w:trPr>
          <w:trHeight w:val="102"/>
        </w:trPr>
        <w:tc>
          <w:tcPr>
            <w:tcW w:w="20" w:type="dxa"/>
            <w:vAlign w:val="bottom"/>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r>
      <w:tr>
        <w:trPr>
          <w:trHeight w:val="283"/>
        </w:trPr>
        <w:tc>
          <w:tcPr>
            <w:tcW w:w="2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Health and Welfare Benefits</w:t>
            </w:r>
          </w:p>
        </w:tc>
        <w:tc>
          <w:tcPr>
            <w:tcW w:w="6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significant changes were made.</w:t>
            </w:r>
          </w:p>
        </w:tc>
      </w:tr>
      <w:tr>
        <w:trPr>
          <w:trHeight w:val="80"/>
        </w:trPr>
        <w:tc>
          <w:tcPr>
            <w:tcW w:w="20" w:type="dxa"/>
            <w:vAlign w:val="bottom"/>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6740" w:type="dxa"/>
            <w:vAlign w:val="bottom"/>
            <w:tcBorders>
              <w:bottom w:val="single" w:sz="8" w:color="auto"/>
            </w:tcBorders>
          </w:tcPr>
          <w:p>
            <w:pPr>
              <w:spacing w:after="0"/>
              <w:rPr>
                <w:sz w:val="6"/>
                <w:szCs w:val="6"/>
                <w:color w:val="auto"/>
              </w:rPr>
            </w:pPr>
          </w:p>
        </w:tc>
      </w:tr>
      <w:tr>
        <w:trPr>
          <w:trHeight w:val="283"/>
        </w:trPr>
        <w:tc>
          <w:tcPr>
            <w:tcW w:w="2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Retirement Plans</w:t>
            </w:r>
          </w:p>
        </w:tc>
        <w:tc>
          <w:tcPr>
            <w:tcW w:w="6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significant changes were made.</w:t>
            </w:r>
          </w:p>
        </w:tc>
      </w:tr>
      <w:tr>
        <w:trPr>
          <w:trHeight w:val="81"/>
        </w:trPr>
        <w:tc>
          <w:tcPr>
            <w:tcW w:w="20" w:type="dxa"/>
            <w:vAlign w:val="bottom"/>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6740" w:type="dxa"/>
            <w:vAlign w:val="bottom"/>
            <w:tcBorders>
              <w:bottom w:val="single" w:sz="8" w:color="auto"/>
            </w:tcBorders>
          </w:tcPr>
          <w:p>
            <w:pPr>
              <w:spacing w:after="0"/>
              <w:rPr>
                <w:sz w:val="7"/>
                <w:szCs w:val="7"/>
                <w:color w:val="auto"/>
              </w:rPr>
            </w:pPr>
          </w:p>
        </w:tc>
      </w:tr>
      <w:tr>
        <w:trPr>
          <w:trHeight w:val="283"/>
        </w:trPr>
        <w:tc>
          <w:tcPr>
            <w:tcW w:w="2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Perquisites</w:t>
            </w:r>
          </w:p>
        </w:tc>
        <w:tc>
          <w:tcPr>
            <w:tcW w:w="6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significant changes were made.</w:t>
            </w:r>
          </w:p>
        </w:tc>
      </w:tr>
      <w:tr>
        <w:trPr>
          <w:trHeight w:val="80"/>
        </w:trPr>
        <w:tc>
          <w:tcPr>
            <w:tcW w:w="2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6740" w:type="dxa"/>
            <w:vAlign w:val="bottom"/>
            <w:tcBorders>
              <w:bottom w:val="single" w:sz="8" w:color="auto"/>
            </w:tcBorders>
          </w:tcPr>
          <w:p>
            <w:pPr>
              <w:spacing w:after="0"/>
              <w:rPr>
                <w:sz w:val="6"/>
                <w:szCs w:val="6"/>
                <w:color w:val="auto"/>
              </w:rPr>
            </w:pPr>
          </w:p>
        </w:tc>
      </w:tr>
    </w:tbl>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8"/>
          <w:szCs w:val="28"/>
          <w:b w:val="1"/>
          <w:bCs w:val="1"/>
          <w:color w:val="auto"/>
        </w:rPr>
        <w:t>ADVISORY VOTE ON 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10160</wp:posOffset>
                </wp:positionV>
                <wp:extent cx="59436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8pt" to="469pt,0.8pt" o:allowincell="f" strokecolor="#000000" strokeweight="1.32pt"/>
            </w:pict>
          </mc:Fallback>
        </mc:AlternateContent>
      </w:r>
    </w:p>
    <w:p>
      <w:pPr>
        <w:spacing w:after="0" w:line="231" w:lineRule="exact"/>
        <w:rPr>
          <w:sz w:val="20"/>
          <w:szCs w:val="20"/>
          <w:color w:val="auto"/>
        </w:rPr>
      </w:pPr>
    </w:p>
    <w:p>
      <w:pPr>
        <w:ind w:left="20" w:right="100"/>
        <w:spacing w:after="0" w:line="253" w:lineRule="auto"/>
        <w:rPr>
          <w:sz w:val="20"/>
          <w:szCs w:val="20"/>
          <w:color w:val="auto"/>
        </w:rPr>
      </w:pPr>
      <w:r>
        <w:rPr>
          <w:rFonts w:ascii="Times New Roman" w:cs="Times New Roman" w:eastAsia="Times New Roman" w:hAnsi="Times New Roman"/>
          <w:sz w:val="22"/>
          <w:szCs w:val="22"/>
          <w:color w:val="auto"/>
        </w:rPr>
        <w:t>The Board of Directors is providing our stockholders with an advisory vote on our executive compensation, commonly known as a “say-on-pay” vote. We last submitted a say-on -pay proposal to our stockholders at our 2025 Annual Meeting of Stockholders held on January 17, 2025. At that meeting, approximately 93% of the votes cast by our stockholders were in favor of our say-on-pay vote.</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The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approval of our say-on-pay proposal.</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8"/>
          <w:szCs w:val="28"/>
          <w:b w:val="1"/>
          <w:bCs w:val="1"/>
          <w:u w:val="single" w:color="auto"/>
          <w:color w:val="auto"/>
        </w:rPr>
        <w:t>FREQUENCY OF ADVISORY VOTE ON EXECUTIVE COMPENSATION</w:t>
      </w:r>
    </w:p>
    <w:p>
      <w:pPr>
        <w:spacing w:after="0" w:line="252" w:lineRule="exact"/>
        <w:rPr>
          <w:sz w:val="20"/>
          <w:szCs w:val="20"/>
          <w:color w:val="auto"/>
        </w:rPr>
      </w:pPr>
    </w:p>
    <w:p>
      <w:pPr>
        <w:ind w:left="20" w:right="80"/>
        <w:spacing w:after="0" w:line="249" w:lineRule="auto"/>
        <w:rPr>
          <w:sz w:val="20"/>
          <w:szCs w:val="20"/>
          <w:color w:val="auto"/>
        </w:rPr>
      </w:pPr>
      <w:r>
        <w:rPr>
          <w:rFonts w:ascii="Times New Roman" w:cs="Times New Roman" w:eastAsia="Times New Roman" w:hAnsi="Times New Roman"/>
          <w:sz w:val="22"/>
          <w:szCs w:val="22"/>
          <w:color w:val="auto"/>
        </w:rPr>
        <w:t>Every six years, NTIC is required to hold an advisory vote on the frequency of future say-on-pay votes. Since our last frequency of say-on-pay vote was held at our 2020 Annual Meeting of Stockholders, NTIC is submitting a frequency of say-on -pay proposal at the 2026 Annual Meeting of Stockholders. Stockholders may indicate whether they prefer that we hold a say-on-pay vote every one year, two years or three years, or they may abstain from this vote.</w:t>
      </w:r>
    </w:p>
    <w:p>
      <w:pPr>
        <w:spacing w:after="0" w:line="189" w:lineRule="exact"/>
        <w:rPr>
          <w:sz w:val="20"/>
          <w:szCs w:val="20"/>
          <w:color w:val="auto"/>
        </w:rPr>
      </w:pPr>
    </w:p>
    <w:p>
      <w:pPr>
        <w:ind w:left="20" w:right="260"/>
        <w:spacing w:after="0" w:line="282" w:lineRule="auto"/>
        <w:rPr>
          <w:sz w:val="20"/>
          <w:szCs w:val="20"/>
          <w:color w:val="auto"/>
        </w:rPr>
      </w:pPr>
      <w:r>
        <w:rPr>
          <w:rFonts w:ascii="Times New Roman" w:cs="Times New Roman" w:eastAsia="Times New Roman" w:hAnsi="Times New Roman"/>
          <w:sz w:val="22"/>
          <w:szCs w:val="22"/>
          <w:color w:val="auto"/>
        </w:rPr>
        <w:t>The Board of Directors recommends that stockholders vote for a frequency of every “</w:t>
      </w:r>
      <w:r>
        <w:rPr>
          <w:rFonts w:ascii="Times New Roman" w:cs="Times New Roman" w:eastAsia="Times New Roman" w:hAnsi="Times New Roman"/>
          <w:sz w:val="22"/>
          <w:szCs w:val="22"/>
          <w:b w:val="1"/>
          <w:bCs w:val="1"/>
          <w:color w:val="auto"/>
        </w:rPr>
        <w:t>ONE YEAR</w:t>
      </w:r>
      <w:r>
        <w:rPr>
          <w:rFonts w:ascii="Times New Roman" w:cs="Times New Roman" w:eastAsia="Times New Roman" w:hAnsi="Times New Roman"/>
          <w:sz w:val="22"/>
          <w:szCs w:val="22"/>
          <w:color w:val="auto"/>
        </w:rPr>
        <w:t>” for future say-on-pay votes.</w:t>
      </w:r>
    </w:p>
    <w:p>
      <w:pPr>
        <w:sectPr>
          <w:pgSz w:w="12240" w:h="15840" w:orient="portrait"/>
          <w:cols w:equalWidth="0" w:num="1">
            <w:col w:w="9380"/>
          </w:cols>
          <w:pgMar w:left="1420" w:top="1406" w:right="144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2240" w:h="15840" w:orient="portrait"/>
          <w:cols w:equalWidth="0" w:num="1">
            <w:col w:w="9380"/>
          </w:cols>
          <w:pgMar w:left="1420" w:top="1406" w:right="1440" w:bottom="34" w:gutter="0" w:footer="0" w:header="0"/>
          <w:type w:val="continuous"/>
        </w:sectPr>
      </w:pPr>
    </w:p>
    <w:bookmarkStart w:id="16" w:name="page17"/>
    <w:bookmarkEnd w:id="16"/>
    <w:p>
      <w:pPr>
        <w:ind w:left="120" w:right="160"/>
        <w:spacing w:after="0" w:line="286" w:lineRule="auto"/>
        <w:rPr>
          <w:sz w:val="20"/>
          <w:szCs w:val="20"/>
          <w:color w:val="auto"/>
        </w:rPr>
      </w:pPr>
      <w:r>
        <w:rPr>
          <w:rFonts w:ascii="Times New Roman" w:cs="Times New Roman" w:eastAsia="Times New Roman" w:hAnsi="Times New Roman"/>
          <w:sz w:val="28"/>
          <w:szCs w:val="28"/>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-67945</wp:posOffset>
                </wp:positionV>
                <wp:extent cx="59436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5.3499pt" to="474pt,-5.3499pt" o:allowincell="f" strokecolor="#000000" strokeweight="1.32pt"/>
            </w:pict>
          </mc:Fallback>
        </mc:AlternateContent>
      </w:r>
    </w:p>
    <w:p>
      <w:pPr>
        <w:spacing w:after="0" w:line="107" w:lineRule="exact"/>
        <w:rPr>
          <w:sz w:val="20"/>
          <w:szCs w:val="20"/>
          <w:color w:val="auto"/>
        </w:rPr>
      </w:pPr>
    </w:p>
    <w:p>
      <w:pPr>
        <w:jc w:val="both"/>
        <w:ind w:left="120" w:right="420"/>
        <w:spacing w:after="0" w:line="259" w:lineRule="auto"/>
        <w:rPr>
          <w:sz w:val="20"/>
          <w:szCs w:val="20"/>
          <w:color w:val="auto"/>
        </w:rPr>
      </w:pPr>
      <w:r>
        <w:rPr>
          <w:rFonts w:ascii="Times New Roman" w:cs="Times New Roman" w:eastAsia="Times New Roman" w:hAnsi="Times New Roman"/>
          <w:sz w:val="22"/>
          <w:szCs w:val="22"/>
          <w:color w:val="auto"/>
        </w:rPr>
        <w:t>Although stockholder ratification is not required, the appointment of Baker Tilly US, LLP as NTIC’s independent registered public accounting firm for fiscal 2026 is being submitted for ratification at the 2026 Annual Meeting of Stockholders as a matter of good corporate governance.</w:t>
      </w:r>
    </w:p>
    <w:p>
      <w:pPr>
        <w:spacing w:after="0" w:line="177"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22"/>
          <w:szCs w:val="22"/>
          <w:color w:val="auto"/>
        </w:rPr>
        <w:t>The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ratification of Baker Tilly US, LLP as NTIC’s independent registered public accounting firm for fiscal 2026.</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2027 ANNUAL MEETING OF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10160</wp:posOffset>
                </wp:positionV>
                <wp:extent cx="59436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0.8pt" to="474pt,0.8pt" o:allowincell="f" strokecolor="#000000" strokeweight="1.32pt"/>
            </w:pict>
          </mc:Fallback>
        </mc:AlternateContent>
      </w:r>
    </w:p>
    <w:p>
      <w:pPr>
        <w:spacing w:after="0" w:line="231" w:lineRule="exact"/>
        <w:rPr>
          <w:sz w:val="20"/>
          <w:szCs w:val="20"/>
          <w:color w:val="auto"/>
        </w:rPr>
      </w:pPr>
    </w:p>
    <w:p>
      <w:pPr>
        <w:ind w:left="120" w:right="80"/>
        <w:spacing w:after="0" w:line="278" w:lineRule="auto"/>
        <w:rPr>
          <w:sz w:val="20"/>
          <w:szCs w:val="20"/>
          <w:color w:val="auto"/>
        </w:rPr>
      </w:pPr>
      <w:r>
        <w:rPr>
          <w:rFonts w:ascii="Times New Roman" w:cs="Times New Roman" w:eastAsia="Times New Roman" w:hAnsi="Times New Roman"/>
          <w:sz w:val="22"/>
          <w:szCs w:val="22"/>
          <w:color w:val="auto"/>
        </w:rPr>
        <w:t>We anticipate that our 2027 Annual Meeting of Stockholders will be held on or about Friday, January 15, 2027.</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The following are important dates in connection with our 2027 Annual Meeting of Stockholders.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4960" w:type="dxa"/>
            <w:vAlign w:val="bottom"/>
            <w:tcBorders>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rPr>
              <w:t>Stockholder Action</w:t>
            </w:r>
          </w:p>
        </w:tc>
        <w:tc>
          <w:tcPr>
            <w:tcW w:w="4380" w:type="dxa"/>
            <w:vAlign w:val="bottom"/>
            <w:tcBorders>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rPr>
              <w:t>Submission Deadline</w:t>
            </w:r>
          </w:p>
        </w:tc>
      </w:tr>
      <w:tr>
        <w:trPr>
          <w:trHeight w:val="220"/>
        </w:trPr>
        <w:tc>
          <w:tcPr>
            <w:tcW w:w="20" w:type="dxa"/>
            <w:vAlign w:val="bottom"/>
          </w:tcPr>
          <w:p>
            <w:pPr>
              <w:spacing w:after="0"/>
              <w:rPr>
                <w:sz w:val="19"/>
                <w:szCs w:val="19"/>
                <w:color w:val="auto"/>
              </w:rPr>
            </w:pPr>
          </w:p>
        </w:tc>
        <w:tc>
          <w:tcPr>
            <w:tcW w:w="496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Proposal Pursuant to Rule 14a-8 of the Securities</w:t>
            </w:r>
          </w:p>
        </w:tc>
        <w:tc>
          <w:tcPr>
            <w:tcW w:w="438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No later than August 3, 2026</w:t>
            </w:r>
          </w:p>
        </w:tc>
      </w:tr>
      <w:tr>
        <w:trPr>
          <w:trHeight w:val="276"/>
        </w:trPr>
        <w:tc>
          <w:tcPr>
            <w:tcW w:w="20" w:type="dxa"/>
            <w:vAlign w:val="bottom"/>
          </w:tcPr>
          <w:p>
            <w:pPr>
              <w:spacing w:after="0"/>
              <w:rPr>
                <w:sz w:val="23"/>
                <w:szCs w:val="23"/>
                <w:color w:val="auto"/>
              </w:rPr>
            </w:pP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Exchange Act of 1934, as amended</w:t>
            </w:r>
          </w:p>
        </w:tc>
        <w:tc>
          <w:tcPr>
            <w:tcW w:w="4380" w:type="dxa"/>
            <w:vAlign w:val="bottom"/>
            <w:tcBorders>
              <w:bottom w:val="single" w:sz="8" w:color="auto"/>
            </w:tcBorders>
          </w:tcPr>
          <w:p>
            <w:pPr>
              <w:spacing w:after="0"/>
              <w:rPr>
                <w:sz w:val="23"/>
                <w:szCs w:val="23"/>
                <w:color w:val="auto"/>
              </w:rPr>
            </w:pPr>
          </w:p>
        </w:tc>
      </w:tr>
      <w:tr>
        <w:trPr>
          <w:trHeight w:val="220"/>
        </w:trPr>
        <w:tc>
          <w:tcPr>
            <w:tcW w:w="20" w:type="dxa"/>
            <w:vAlign w:val="bottom"/>
          </w:tcPr>
          <w:p>
            <w:pPr>
              <w:spacing w:after="0"/>
              <w:rPr>
                <w:sz w:val="19"/>
                <w:szCs w:val="19"/>
                <w:color w:val="auto"/>
              </w:rPr>
            </w:pPr>
          </w:p>
        </w:tc>
        <w:tc>
          <w:tcPr>
            <w:tcW w:w="496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Nomination of a Candidate Pursuant to our Bylaws</w:t>
            </w:r>
          </w:p>
        </w:tc>
        <w:tc>
          <w:tcPr>
            <w:tcW w:w="438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Between September 18, 2026 and</w:t>
            </w:r>
          </w:p>
        </w:tc>
      </w:tr>
      <w:tr>
        <w:trPr>
          <w:trHeight w:val="276"/>
        </w:trPr>
        <w:tc>
          <w:tcPr>
            <w:tcW w:w="20" w:type="dxa"/>
            <w:vAlign w:val="bottom"/>
          </w:tcPr>
          <w:p>
            <w:pPr>
              <w:spacing w:after="0"/>
              <w:rPr>
                <w:sz w:val="23"/>
                <w:szCs w:val="23"/>
                <w:color w:val="auto"/>
              </w:rPr>
            </w:pPr>
          </w:p>
        </w:tc>
        <w:tc>
          <w:tcPr>
            <w:tcW w:w="4960" w:type="dxa"/>
            <w:vAlign w:val="bottom"/>
            <w:tcBorders>
              <w:bottom w:val="single" w:sz="8" w:color="auto"/>
            </w:tcBorders>
          </w:tcPr>
          <w:p>
            <w:pPr>
              <w:spacing w:after="0"/>
              <w:rPr>
                <w:sz w:val="23"/>
                <w:szCs w:val="23"/>
                <w:color w:val="auto"/>
              </w:rPr>
            </w:pP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October 18, 2026</w:t>
            </w:r>
          </w:p>
        </w:tc>
      </w:tr>
      <w:tr>
        <w:trPr>
          <w:trHeight w:val="220"/>
        </w:trPr>
        <w:tc>
          <w:tcPr>
            <w:tcW w:w="20" w:type="dxa"/>
            <w:vAlign w:val="bottom"/>
          </w:tcPr>
          <w:p>
            <w:pPr>
              <w:spacing w:after="0"/>
              <w:rPr>
                <w:sz w:val="19"/>
                <w:szCs w:val="19"/>
                <w:color w:val="auto"/>
              </w:rPr>
            </w:pPr>
          </w:p>
        </w:tc>
        <w:tc>
          <w:tcPr>
            <w:tcW w:w="496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Proposal of Other Business for Consideration</w:t>
            </w:r>
          </w:p>
        </w:tc>
        <w:tc>
          <w:tcPr>
            <w:tcW w:w="438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Between September 18, 2026 and</w:t>
            </w:r>
          </w:p>
        </w:tc>
      </w:tr>
      <w:tr>
        <w:trPr>
          <w:trHeight w:val="276"/>
        </w:trPr>
        <w:tc>
          <w:tcPr>
            <w:tcW w:w="20" w:type="dxa"/>
            <w:vAlign w:val="bottom"/>
            <w:tcBorders>
              <w:bottom w:val="single" w:sz="8" w:color="auto"/>
            </w:tcBorders>
          </w:tcPr>
          <w:p>
            <w:pPr>
              <w:spacing w:after="0"/>
              <w:rPr>
                <w:sz w:val="23"/>
                <w:szCs w:val="23"/>
                <w:color w:val="auto"/>
              </w:rPr>
            </w:pP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Pursuant to our Bylaws</w:t>
            </w: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October 18, 2026</w:t>
            </w:r>
          </w:p>
        </w:tc>
      </w:tr>
    </w:tbl>
    <w:p>
      <w:pPr>
        <w:spacing w:after="0" w:line="200" w:lineRule="exact"/>
        <w:rPr>
          <w:sz w:val="20"/>
          <w:szCs w:val="20"/>
          <w:color w:val="auto"/>
        </w:rPr>
      </w:pPr>
    </w:p>
    <w:p>
      <w:pPr>
        <w:sectPr>
          <w:pgSz w:w="12240" w:h="15840" w:orient="portrait"/>
          <w:cols w:equalWidth="0" w:num="1">
            <w:col w:w="9480"/>
          </w:cols>
          <w:pgMar w:left="1320" w:top="1406" w:right="144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10</w:t>
      </w:r>
    </w:p>
    <w:p>
      <w:pPr>
        <w:sectPr>
          <w:pgSz w:w="12240" w:h="15840" w:orient="portrait"/>
          <w:cols w:equalWidth="0" w:num="1">
            <w:col w:w="9480"/>
          </w:cols>
          <w:pgMar w:left="1320" w:top="1406" w:right="1440" w:bottom="34" w:gutter="0" w:footer="0" w:header="0"/>
          <w:type w:val="continuous"/>
        </w:sectPr>
      </w:pPr>
    </w:p>
    <w:bookmarkStart w:id="17" w:name="page18"/>
    <w:bookmarkEnd w:id="17"/>
    <w:p>
      <w:pPr>
        <w:ind w:left="1" w:right="1600"/>
        <w:spacing w:after="0" w:line="286" w:lineRule="auto"/>
        <w:rPr>
          <w:sz w:val="20"/>
          <w:szCs w:val="20"/>
          <w:color w:val="auto"/>
        </w:rPr>
      </w:pPr>
      <w:r>
        <w:rPr>
          <w:rFonts w:ascii="Times New Roman" w:cs="Times New Roman" w:eastAsia="Times New Roman" w:hAnsi="Times New Roman"/>
          <w:sz w:val="28"/>
          <w:szCs w:val="28"/>
          <w:b w:val="1"/>
          <w:bCs w:val="1"/>
          <w:color w:val="auto"/>
        </w:rPr>
        <w:t>OUR COMMITMENT TO ENVIRONMENTAL, SOCIAL AND GOVERNANCE PRINCIPLES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-67945</wp:posOffset>
                </wp:positionV>
                <wp:extent cx="59436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6764">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3499pt" to="468.05pt,-5.3499pt" o:allowincell="f" strokecolor="#000000" strokeweight="1.32pt"/>
            </w:pict>
          </mc:Fallback>
        </mc:AlternateContent>
      </w:r>
    </w:p>
    <w:p>
      <w:pPr>
        <w:spacing w:after="0" w:line="10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ESG APPROACH AND MISSION</w:t>
      </w:r>
    </w:p>
    <w:p>
      <w:pPr>
        <w:spacing w:after="0" w:line="243" w:lineRule="exact"/>
        <w:rPr>
          <w:sz w:val="20"/>
          <w:szCs w:val="20"/>
          <w:color w:val="auto"/>
        </w:rPr>
      </w:pPr>
    </w:p>
    <w:p>
      <w:pPr>
        <w:ind w:left="1" w:right="200"/>
        <w:spacing w:after="0" w:line="249" w:lineRule="auto"/>
        <w:rPr>
          <w:sz w:val="20"/>
          <w:szCs w:val="20"/>
          <w:color w:val="auto"/>
        </w:rPr>
      </w:pPr>
      <w:r>
        <w:rPr>
          <w:rFonts w:ascii="Times New Roman" w:cs="Times New Roman" w:eastAsia="Times New Roman" w:hAnsi="Times New Roman"/>
          <w:sz w:val="22"/>
          <w:szCs w:val="22"/>
          <w:color w:val="auto"/>
        </w:rPr>
        <w:t>At NTIC, we are committed to creating a more sustainable future. We convert unique, environmentally beneficial materials science into value-added products and services for industrial and consumer applications. Our research and development teams deliver innovative technologies and products that address climate change, use renewable materials, and enable sustainable waste management. We do this while maintaining the highest performance and processability.</w:t>
      </w:r>
    </w:p>
    <w:p>
      <w:pPr>
        <w:spacing w:after="0" w:line="1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ESG COMMITMENTS</w:t>
      </w:r>
    </w:p>
    <w:p>
      <w:pPr>
        <w:spacing w:after="0" w:line="239" w:lineRule="exact"/>
        <w:rPr>
          <w:sz w:val="20"/>
          <w:szCs w:val="20"/>
          <w:color w:val="auto"/>
        </w:rPr>
      </w:pPr>
    </w:p>
    <w:p>
      <w:pPr>
        <w:ind w:left="1" w:right="200"/>
        <w:spacing w:after="0" w:line="261" w:lineRule="auto"/>
        <w:rPr>
          <w:sz w:val="20"/>
          <w:szCs w:val="20"/>
          <w:color w:val="auto"/>
        </w:rPr>
      </w:pPr>
      <w:r>
        <w:rPr>
          <w:rFonts w:ascii="Times New Roman" w:cs="Times New Roman" w:eastAsia="Times New Roman" w:hAnsi="Times New Roman"/>
          <w:sz w:val="22"/>
          <w:szCs w:val="22"/>
          <w:b w:val="1"/>
          <w:bCs w:val="1"/>
          <w:color w:val="auto"/>
        </w:rPr>
        <w:t>Environmental</w:t>
      </w:r>
      <w:r>
        <w:rPr>
          <w:rFonts w:ascii="Times New Roman" w:cs="Times New Roman" w:eastAsia="Times New Roman" w:hAnsi="Times New Roman"/>
          <w:sz w:val="22"/>
          <w:szCs w:val="22"/>
          <w:color w:val="auto"/>
        </w:rPr>
        <w:t>: We are committed to operating in an environmentally responsible manner, as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our Policy Statement on Health, Safety and Environment, in order to reduce our impact on climate change, conserve natural resources and operate in compliance with environmental regulations.</w:t>
      </w:r>
    </w:p>
    <w:p>
      <w:pPr>
        <w:spacing w:after="0" w:line="174" w:lineRule="exact"/>
        <w:rPr>
          <w:sz w:val="20"/>
          <w:szCs w:val="20"/>
          <w:color w:val="auto"/>
        </w:rPr>
      </w:pPr>
    </w:p>
    <w:p>
      <w:pPr>
        <w:ind w:left="1" w:right="240"/>
        <w:spacing w:after="0" w:line="260" w:lineRule="auto"/>
        <w:rPr>
          <w:sz w:val="20"/>
          <w:szCs w:val="20"/>
          <w:color w:val="auto"/>
        </w:rPr>
      </w:pPr>
      <w:r>
        <w:rPr>
          <w:rFonts w:ascii="Times New Roman" w:cs="Times New Roman" w:eastAsia="Times New Roman" w:hAnsi="Times New Roman"/>
          <w:sz w:val="22"/>
          <w:szCs w:val="22"/>
          <w:b w:val="1"/>
          <w:bCs w:val="1"/>
          <w:color w:val="auto"/>
        </w:rPr>
        <w:t>Social</w:t>
      </w:r>
      <w:r>
        <w:rPr>
          <w:rFonts w:ascii="Times New Roman" w:cs="Times New Roman" w:eastAsia="Times New Roman" w:hAnsi="Times New Roman"/>
          <w:sz w:val="22"/>
          <w:szCs w:val="22"/>
          <w:color w:val="auto"/>
        </w:rPr>
        <w:t>: We are committed to being a socially responsible employer by prioritizing health and safety,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in our Policy Statement on Health, Safety and Environment, and fostering an environment of equity and inclusion across our business, as set forth in our Human Rights Policy.</w:t>
      </w:r>
    </w:p>
    <w:p>
      <w:pPr>
        <w:spacing w:after="0" w:line="176" w:lineRule="exact"/>
        <w:rPr>
          <w:sz w:val="20"/>
          <w:szCs w:val="20"/>
          <w:color w:val="auto"/>
        </w:rPr>
      </w:pPr>
    </w:p>
    <w:p>
      <w:pPr>
        <w:ind w:left="1" w:right="80"/>
        <w:spacing w:after="0" w:line="261" w:lineRule="auto"/>
        <w:rPr>
          <w:sz w:val="20"/>
          <w:szCs w:val="20"/>
          <w:color w:val="auto"/>
        </w:rPr>
      </w:pPr>
      <w:r>
        <w:rPr>
          <w:rFonts w:ascii="Times New Roman" w:cs="Times New Roman" w:eastAsia="Times New Roman" w:hAnsi="Times New Roman"/>
          <w:sz w:val="22"/>
          <w:szCs w:val="22"/>
          <w:b w:val="1"/>
          <w:bCs w:val="1"/>
          <w:color w:val="auto"/>
        </w:rPr>
        <w:t>Governance</w:t>
      </w:r>
      <w:r>
        <w:rPr>
          <w:rFonts w:ascii="Times New Roman" w:cs="Times New Roman" w:eastAsia="Times New Roman" w:hAnsi="Times New Roman"/>
          <w:sz w:val="22"/>
          <w:szCs w:val="22"/>
          <w:color w:val="auto"/>
        </w:rPr>
        <w:t>: We are committed to building a culture dedicated to ethical business behavior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responsible corporate activity, as set forth in our Code of Ethics. We believe strong corporate governance is the foundation to delivering on our commitments.</w:t>
      </w:r>
    </w:p>
    <w:p>
      <w:pPr>
        <w:spacing w:after="0" w:line="17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b w:val="1"/>
          <w:bCs w:val="1"/>
          <w:color w:val="auto"/>
        </w:rPr>
        <w:t>ESG INITIATIVES</w:t>
      </w:r>
    </w:p>
    <w:p>
      <w:pPr>
        <w:spacing w:after="0" w:line="243" w:lineRule="exact"/>
        <w:rPr>
          <w:sz w:val="20"/>
          <w:szCs w:val="20"/>
          <w:color w:val="auto"/>
        </w:rPr>
      </w:pPr>
    </w:p>
    <w:p>
      <w:pPr>
        <w:ind w:left="361" w:right="120" w:hanging="360"/>
        <w:spacing w:after="0" w:line="253" w:lineRule="auto"/>
        <w:tabs>
          <w:tab w:leader="none" w:pos="362" w:val="left"/>
        </w:tabs>
        <w:numPr>
          <w:ilvl w:val="0"/>
          <w:numId w:val="11"/>
        </w:numPr>
        <w:rPr>
          <w:rFonts w:ascii="Wingdings" w:cs="Wingdings" w:eastAsia="Wingdings" w:hAnsi="Wingdings"/>
          <w:sz w:val="22"/>
          <w:szCs w:val="22"/>
          <w:color w:val="auto"/>
        </w:rPr>
      </w:pPr>
      <w:r>
        <w:rPr>
          <w:rFonts w:ascii="Times New Roman" w:cs="Times New Roman" w:eastAsia="Times New Roman" w:hAnsi="Times New Roman"/>
          <w:sz w:val="22"/>
          <w:szCs w:val="22"/>
          <w:color w:val="auto"/>
        </w:rPr>
        <w:t>We utilize electricity generated by 100% renewable sources, through the purchase of energy off-set credits, for all NTIC facilities in the United States. This annually offsets greenhouse gas emissions equivalent to 380 metric tons of carbon dioxide, which is the equivalent energy used by 47.8 average households in one year.</w:t>
      </w:r>
    </w:p>
    <w:p>
      <w:pPr>
        <w:spacing w:after="0" w:line="65" w:lineRule="exact"/>
        <w:rPr>
          <w:rFonts w:ascii="Wingdings" w:cs="Wingdings" w:eastAsia="Wingdings" w:hAnsi="Wingdings"/>
          <w:sz w:val="22"/>
          <w:szCs w:val="22"/>
          <w:color w:val="auto"/>
        </w:rPr>
      </w:pPr>
    </w:p>
    <w:p>
      <w:pPr>
        <w:ind w:left="361" w:hanging="360"/>
        <w:spacing w:after="0"/>
        <w:tabs>
          <w:tab w:leader="none" w:pos="361" w:val="left"/>
        </w:tabs>
        <w:numPr>
          <w:ilvl w:val="0"/>
          <w:numId w:val="11"/>
        </w:numPr>
        <w:rPr>
          <w:rFonts w:ascii="Wingdings" w:cs="Wingdings" w:eastAsia="Wingdings" w:hAnsi="Wingdings"/>
          <w:sz w:val="22"/>
          <w:szCs w:val="22"/>
          <w:color w:val="auto"/>
        </w:rPr>
      </w:pPr>
      <w:r>
        <w:rPr>
          <w:rFonts w:ascii="Times New Roman" w:cs="Times New Roman" w:eastAsia="Times New Roman" w:hAnsi="Times New Roman"/>
          <w:sz w:val="22"/>
          <w:szCs w:val="22"/>
          <w:color w:val="auto"/>
        </w:rPr>
        <w:t>We develop technologies that support green manufacturing processes and energy production.</w:t>
      </w:r>
    </w:p>
    <w:p>
      <w:pPr>
        <w:spacing w:after="0" w:line="119" w:lineRule="exact"/>
        <w:rPr>
          <w:rFonts w:ascii="Wingdings" w:cs="Wingdings" w:eastAsia="Wingdings" w:hAnsi="Wingdings"/>
          <w:sz w:val="22"/>
          <w:szCs w:val="22"/>
          <w:color w:val="auto"/>
        </w:rPr>
      </w:pPr>
    </w:p>
    <w:p>
      <w:pPr>
        <w:ind w:left="361" w:right="460" w:hanging="360"/>
        <w:spacing w:after="0" w:line="247" w:lineRule="auto"/>
        <w:tabs>
          <w:tab w:leader="none" w:pos="362" w:val="left"/>
        </w:tabs>
        <w:numPr>
          <w:ilvl w:val="0"/>
          <w:numId w:val="11"/>
        </w:numPr>
        <w:rPr>
          <w:rFonts w:ascii="Wingdings" w:cs="Wingdings" w:eastAsia="Wingdings" w:hAnsi="Wingdings"/>
          <w:sz w:val="22"/>
          <w:szCs w:val="22"/>
          <w:color w:val="auto"/>
        </w:rPr>
      </w:pPr>
      <w:r>
        <w:rPr>
          <w:rFonts w:ascii="Times New Roman" w:cs="Times New Roman" w:eastAsia="Times New Roman" w:hAnsi="Times New Roman"/>
          <w:sz w:val="22"/>
          <w:szCs w:val="22"/>
          <w:color w:val="auto"/>
        </w:rPr>
        <w:t>Our corrosion management solutions are used for product packaging, rust prevention, and rust removers to reduce the impact manufacturing has on the environment by preserving metal assets, reducing waste and energy required to make new items, aiding in the refurbishing and remanufacturing of used metal items, preventing waste by enabling the recycling of rusted metal items, providing alternative solutions from the use of oil and solvents to protect metal assets, and offering recyclable and compostable products.</w:t>
      </w:r>
    </w:p>
    <w:p>
      <w:pPr>
        <w:spacing w:after="0" w:line="75" w:lineRule="exact"/>
        <w:rPr>
          <w:rFonts w:ascii="Wingdings" w:cs="Wingdings" w:eastAsia="Wingdings" w:hAnsi="Wingdings"/>
          <w:sz w:val="22"/>
          <w:szCs w:val="22"/>
          <w:color w:val="auto"/>
        </w:rPr>
      </w:pPr>
    </w:p>
    <w:p>
      <w:pPr>
        <w:jc w:val="both"/>
        <w:ind w:left="361" w:right="120" w:hanging="360"/>
        <w:spacing w:after="0" w:line="259" w:lineRule="auto"/>
        <w:tabs>
          <w:tab w:leader="none" w:pos="361" w:val="left"/>
        </w:tabs>
        <w:numPr>
          <w:ilvl w:val="0"/>
          <w:numId w:val="11"/>
        </w:numPr>
        <w:rPr>
          <w:rFonts w:ascii="Wingdings" w:cs="Wingdings" w:eastAsia="Wingdings" w:hAnsi="Wingdings"/>
          <w:sz w:val="22"/>
          <w:szCs w:val="22"/>
          <w:color w:val="auto"/>
        </w:rPr>
      </w:pPr>
      <w:r>
        <w:rPr>
          <w:rFonts w:ascii="Times New Roman" w:cs="Times New Roman" w:eastAsia="Times New Roman" w:hAnsi="Times New Roman"/>
          <w:sz w:val="22"/>
          <w:szCs w:val="22"/>
          <w:color w:val="auto"/>
        </w:rPr>
        <w:t>Our oil and gas products reduce the environmental impact of the oil and gas industry by reducing the waste of metal assets and fossil fuels, preventing spillage and leaks, and extending the service life of metal assets.</w:t>
      </w:r>
    </w:p>
    <w:p>
      <w:pPr>
        <w:spacing w:after="0" w:line="60" w:lineRule="exact"/>
        <w:rPr>
          <w:rFonts w:ascii="Wingdings" w:cs="Wingdings" w:eastAsia="Wingdings" w:hAnsi="Wingdings"/>
          <w:sz w:val="22"/>
          <w:szCs w:val="22"/>
          <w:color w:val="auto"/>
        </w:rPr>
      </w:pPr>
    </w:p>
    <w:p>
      <w:pPr>
        <w:ind w:left="361" w:right="1040" w:hanging="361"/>
        <w:spacing w:after="0" w:line="278" w:lineRule="auto"/>
        <w:tabs>
          <w:tab w:leader="none" w:pos="361" w:val="left"/>
        </w:tabs>
        <w:numPr>
          <w:ilvl w:val="0"/>
          <w:numId w:val="11"/>
        </w:numPr>
        <w:rPr>
          <w:rFonts w:ascii="Wingdings" w:cs="Wingdings" w:eastAsia="Wingdings" w:hAnsi="Wingdings"/>
          <w:sz w:val="22"/>
          <w:szCs w:val="22"/>
          <w:color w:val="auto"/>
        </w:rPr>
      </w:pPr>
      <w:r>
        <w:rPr>
          <w:rFonts w:ascii="Times New Roman" w:cs="Times New Roman" w:eastAsia="Times New Roman" w:hAnsi="Times New Roman"/>
          <w:sz w:val="22"/>
          <w:szCs w:val="22"/>
          <w:color w:val="auto"/>
        </w:rPr>
        <w:t>Our oil and gas solutions are designed to meet stringent Environmental Protection Agency regulations.</w:t>
      </w:r>
    </w:p>
    <w:p>
      <w:pPr>
        <w:spacing w:after="0" w:line="32" w:lineRule="exact"/>
        <w:rPr>
          <w:rFonts w:ascii="Wingdings" w:cs="Wingdings" w:eastAsia="Wingdings" w:hAnsi="Wingdings"/>
          <w:sz w:val="22"/>
          <w:szCs w:val="22"/>
          <w:color w:val="auto"/>
        </w:rPr>
      </w:pPr>
    </w:p>
    <w:p>
      <w:pPr>
        <w:jc w:val="both"/>
        <w:ind w:left="361" w:right="280" w:hanging="361"/>
        <w:spacing w:after="0" w:line="235" w:lineRule="auto"/>
        <w:tabs>
          <w:tab w:leader="none" w:pos="360" w:val="left"/>
        </w:tabs>
        <w:numPr>
          <w:ilvl w:val="0"/>
          <w:numId w:val="11"/>
        </w:numPr>
        <w:rPr>
          <w:rFonts w:ascii="Wingdings" w:cs="Wingdings" w:eastAsia="Wingdings" w:hAnsi="Wingdings"/>
          <w:sz w:val="22"/>
          <w:szCs w:val="22"/>
          <w:color w:val="auto"/>
        </w:rPr>
      </w:pPr>
      <w:r>
        <w:rPr>
          <w:rFonts w:ascii="Times New Roman" w:cs="Times New Roman" w:eastAsia="Times New Roman" w:hAnsi="Times New Roman"/>
          <w:sz w:val="22"/>
          <w:szCs w:val="22"/>
          <w:color w:val="auto"/>
        </w:rPr>
        <w:t>Our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bioplastics business supports the sustainability goals of people and companies by enabling users to reduce their carbon footprint, offering high-quality certified bio-based and 100% compostable resins and products, and researching new technologies to improve sustainable product choices.</w:t>
      </w:r>
    </w:p>
    <w:p>
      <w:pPr>
        <w:sectPr>
          <w:pgSz w:w="12240" w:h="15840" w:orient="portrait"/>
          <w:cols w:equalWidth="0" w:num="1">
            <w:col w:w="9361"/>
          </w:cols>
          <w:pgMar w:left="1439" w:top="1406" w:right="144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2240" w:h="15840" w:orient="portrait"/>
          <w:cols w:equalWidth="0" w:num="1">
            <w:col w:w="9361"/>
          </w:cols>
          <w:pgMar w:left="1439" w:top="1406" w:right="1440" w:bottom="34" w:gutter="0" w:footer="0" w:header="0"/>
          <w:type w:val="continuous"/>
        </w:sectPr>
      </w:pPr>
    </w:p>
    <w:bookmarkStart w:id="18" w:name="page19"/>
    <w:bookmarkEnd w:id="18"/>
    <w:p>
      <w:pPr>
        <w:jc w:val="both"/>
        <w:ind w:left="360" w:hanging="360"/>
        <w:spacing w:after="0" w:line="259" w:lineRule="auto"/>
        <w:tabs>
          <w:tab w:leader="none" w:pos="360" w:val="left"/>
        </w:tabs>
        <w:numPr>
          <w:ilvl w:val="0"/>
          <w:numId w:val="12"/>
        </w:numPr>
        <w:rPr>
          <w:rFonts w:ascii="Wingdings" w:cs="Wingdings" w:eastAsia="Wingdings" w:hAnsi="Wingdings"/>
          <w:sz w:val="22"/>
          <w:szCs w:val="22"/>
          <w:color w:val="auto"/>
        </w:rPr>
      </w:pPr>
      <w:r>
        <w:rPr>
          <w:rFonts w:ascii="Times New Roman" w:cs="Times New Roman" w:eastAsia="Times New Roman" w:hAnsi="Times New Roman"/>
          <w:sz w:val="22"/>
          <w:szCs w:val="22"/>
          <w:color w:val="auto"/>
        </w:rPr>
        <w:t>Our Board of directors and executive leadership team is committed to building an inclusive workforce and is committed to equal opportunity in regard to all hiring decisions, including the hiring/promoting of management positions and Board of Director appointments.</w:t>
      </w:r>
    </w:p>
    <w:p>
      <w:pPr>
        <w:spacing w:after="0" w:line="59" w:lineRule="exact"/>
        <w:rPr>
          <w:rFonts w:ascii="Wingdings" w:cs="Wingdings" w:eastAsia="Wingdings" w:hAnsi="Wingdings"/>
          <w:sz w:val="22"/>
          <w:szCs w:val="22"/>
          <w:color w:val="auto"/>
        </w:rPr>
      </w:pPr>
    </w:p>
    <w:p>
      <w:pPr>
        <w:ind w:left="360" w:right="300" w:hanging="360"/>
        <w:spacing w:after="0" w:line="259" w:lineRule="auto"/>
        <w:tabs>
          <w:tab w:leader="none" w:pos="360" w:val="left"/>
        </w:tabs>
        <w:numPr>
          <w:ilvl w:val="0"/>
          <w:numId w:val="12"/>
        </w:numPr>
        <w:rPr>
          <w:rFonts w:ascii="Wingdings" w:cs="Wingdings" w:eastAsia="Wingdings" w:hAnsi="Wingdings"/>
          <w:sz w:val="22"/>
          <w:szCs w:val="22"/>
          <w:color w:val="auto"/>
        </w:rPr>
      </w:pPr>
      <w:r>
        <w:rPr>
          <w:rFonts w:ascii="Times New Roman" w:cs="Times New Roman" w:eastAsia="Times New Roman" w:hAnsi="Times New Roman"/>
          <w:sz w:val="22"/>
          <w:szCs w:val="22"/>
          <w:color w:val="auto"/>
        </w:rPr>
        <w:t>We have a diversified workforce that is comprised of 42% female employees and 29% racially or ethnically diverse employees and a management team that is comprised of 40% female leaders and 23% racially or ethnically diverse leaders.</w:t>
      </w:r>
    </w:p>
    <w:p>
      <w:pPr>
        <w:spacing w:after="0" w:line="60" w:lineRule="exact"/>
        <w:rPr>
          <w:rFonts w:ascii="Wingdings" w:cs="Wingdings" w:eastAsia="Wingdings" w:hAnsi="Wingdings"/>
          <w:sz w:val="22"/>
          <w:szCs w:val="22"/>
          <w:color w:val="auto"/>
        </w:rPr>
      </w:pPr>
    </w:p>
    <w:p>
      <w:pPr>
        <w:jc w:val="both"/>
        <w:ind w:left="360" w:hanging="360"/>
        <w:spacing w:after="0" w:line="259" w:lineRule="auto"/>
        <w:tabs>
          <w:tab w:leader="none" w:pos="360" w:val="left"/>
        </w:tabs>
        <w:numPr>
          <w:ilvl w:val="0"/>
          <w:numId w:val="12"/>
        </w:numPr>
        <w:rPr>
          <w:rFonts w:ascii="Wingdings" w:cs="Wingdings" w:eastAsia="Wingdings" w:hAnsi="Wingdings"/>
          <w:sz w:val="22"/>
          <w:szCs w:val="22"/>
          <w:color w:val="auto"/>
        </w:rPr>
      </w:pPr>
      <w:r>
        <w:rPr>
          <w:rFonts w:ascii="Times New Roman" w:cs="Times New Roman" w:eastAsia="Times New Roman" w:hAnsi="Times New Roman"/>
          <w:sz w:val="22"/>
          <w:szCs w:val="22"/>
          <w:color w:val="auto"/>
        </w:rPr>
        <w:t>We believe that sustainability means being a responsible and ethical corporate citizen, and we support employees as they give back to the communities in which they live and work by engaging in efforts to strengthen community relationships and foster employee engagement.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HEALTH, SAFETY AND ENVIRONMENT</w:t>
      </w:r>
    </w:p>
    <w:p>
      <w:pPr>
        <w:spacing w:after="0" w:line="24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2"/>
          <w:szCs w:val="22"/>
          <w:color w:val="auto"/>
        </w:rPr>
        <w:t>Health, safety and environment are the cornerstone of NTIC. We are in the business of converting unique, environmentally beneficial materials science into value added products and services for industrial and consumer applications. We believe that we are responsible to our worldwide customers, our people, our communities and our stockholders, and we take these responsibilities seriously. We are dedicated to investing in the future of the planet and our people and we intend to continue to invest in health, safety and environmental protection and improvements in a timely manner consistent with available technology.</w:t>
      </w:r>
    </w:p>
    <w:p>
      <w:pPr>
        <w:spacing w:after="0" w:line="196" w:lineRule="exact"/>
        <w:rPr>
          <w:sz w:val="20"/>
          <w:szCs w:val="20"/>
          <w:color w:val="auto"/>
        </w:rPr>
      </w:pPr>
    </w:p>
    <w:p>
      <w:pPr>
        <w:ind w:right="160" w:firstLine="1"/>
        <w:spacing w:after="0" w:line="257" w:lineRule="auto"/>
        <w:rPr>
          <w:sz w:val="20"/>
          <w:szCs w:val="20"/>
          <w:color w:val="auto"/>
        </w:rPr>
      </w:pPr>
      <w:r>
        <w:rPr>
          <w:rFonts w:ascii="Times New Roman" w:cs="Times New Roman" w:eastAsia="Times New Roman" w:hAnsi="Times New Roman"/>
          <w:sz w:val="21"/>
          <w:szCs w:val="21"/>
          <w:color w:val="auto"/>
        </w:rPr>
        <w:t>We are guided by our Policy Statement on Health, Safety and Environment, which describes our health, safety and environmental objectives, including ensuring that all activities across the value chain are conducted in a manner consistent with our quality management standard and health, safety and environmental programs, ensuring that business activities are conducted to prevent harm and protect health and safety, and developing, manufacturing, distributing and marketing products and services with full regard for health, safety and environmental aspects. To accomplish these objectives, we intend to establish targets within our quality management standard and health, safety and environmental programs to measure progress and ensure continuous improvement, provide safe and healthy workplaces for our employees and contractors, and provide continued training to enable employees to meet their responsibility to contribute to compliance with our health, safety and environmental objectives.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ENVIRONMENTAL MANAGEMENT SYSTEM POLICY</w:t>
      </w:r>
    </w:p>
    <w:p>
      <w:pPr>
        <w:spacing w:after="0" w:line="24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NTIC has an environmental management system to establish operational controls related to the identified significant environmental aspects of NTIC’s international operations and activities, the goods and services used by NTIC and communicating relevant requirements to our suppliers and subcontractors. Our Environmental Management System Policy is administered by our Chief Executive Officer and relates to the development and implementation of plans and activities to minimize, avoid and manage impacts on the environment. Significant aspects include disposal of scrap film generated by subcontractors, recycling and composting internally generated waste, electricity, lighting, heating and cooling of our buildings, handling, storage and disposal of hazardous material, and the disposal of NTIC product after use. NTIC strives to abide by all applicable laws, regulations and internal standards.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AND INCLUSION; CODE OF ETHICS</w:t>
      </w:r>
    </w:p>
    <w:p>
      <w:pPr>
        <w:spacing w:after="0" w:line="24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1"/>
          <w:szCs w:val="21"/>
          <w:color w:val="auto"/>
        </w:rPr>
        <w:t>Equity and inclusion are embedded in our values and integrated into our strategies. Our Human Rights Policy was designed to align with the United Nations Global Compact and core elements of the United Nations Universal Declaration of Human Rights. We are committed to providing an environment free of discrimination and harassment, where all individuals are treated with respect and dignity, can contribute fully, and have equal opportunities. We have worked to build an inclusive workforce and are committed to equal opportunity. We invest in building diverse talent pools and provide training to improve skills</w:t>
      </w:r>
    </w:p>
    <w:p>
      <w:pPr>
        <w:sectPr>
          <w:pgSz w:w="12240" w:h="15840" w:orient="portrait"/>
          <w:cols w:equalWidth="0" w:num="1">
            <w:col w:w="9360"/>
          </w:cols>
          <w:pgMar w:left="1440" w:top="1417" w:right="144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12</w:t>
      </w:r>
    </w:p>
    <w:p>
      <w:pPr>
        <w:sectPr>
          <w:pgSz w:w="12240" w:h="15840" w:orient="portrait"/>
          <w:cols w:equalWidth="0" w:num="1">
            <w:col w:w="9360"/>
          </w:cols>
          <w:pgMar w:left="1440" w:top="1417" w:right="1440" w:bottom="34" w:gutter="0" w:footer="0" w:header="0"/>
          <w:type w:val="continuous"/>
        </w:sectPr>
      </w:pPr>
    </w:p>
    <w:bookmarkStart w:id="19" w:name="page20"/>
    <w:bookmarkEnd w:id="19"/>
    <w:p>
      <w:pPr>
        <w:ind w:right="440"/>
        <w:spacing w:after="0" w:line="303" w:lineRule="auto"/>
        <w:rPr>
          <w:sz w:val="20"/>
          <w:szCs w:val="20"/>
          <w:color w:val="auto"/>
        </w:rPr>
      </w:pPr>
      <w:r>
        <w:rPr>
          <w:rFonts w:ascii="Times New Roman" w:cs="Times New Roman" w:eastAsia="Times New Roman" w:hAnsi="Times New Roman"/>
          <w:sz w:val="21"/>
          <w:szCs w:val="21"/>
          <w:color w:val="auto"/>
        </w:rPr>
        <w:t>where appropriate. We uphold and support the right to equal treatment without discrimination or harassment, as reflected in our Equal Opportunity, Non-Discrimination, and Anti-Harassment Policy.</w:t>
      </w:r>
    </w:p>
    <w:p>
      <w:pPr>
        <w:spacing w:after="0" w:line="135"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2"/>
          <w:szCs w:val="22"/>
          <w:color w:val="auto"/>
        </w:rPr>
        <w:t>The Board of Directors has adopted a Code of Ethics, which applies to all of our directors, executive officers, including our Chief Executive Officer and Chief Financial Officer, and employees.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SUPPLIER CONDUCT</w:t>
      </w:r>
    </w:p>
    <w:p>
      <w:pPr>
        <w:spacing w:after="0" w:line="24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At NTIC, our company values are respect, integrity, innovation, stewardship and excellence. Our Vendor Code of Conduct sets forth the requirements that we expect our vendors to comply with in order to operate lawfully, ethically and with integrity in every jurisdiction where they conduct business. This policy sets forth our expectations for our vendors with respect to anti-bribery and anti-corruption, international trade sanctions laws, antitrust laws, employee health and safety laws, environmental laws, gifts, entertainment and hospitality, anti -human trafficking and anti-modern slavery and other conduct. NTIC takes pride in setting an example by holding itself to high standards. This includes ensuring that our supply partners and vendors who are essential for doing business embody these beliefs as well.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ESG OVERSIGHT</w:t>
      </w:r>
    </w:p>
    <w:p>
      <w:pPr>
        <w:spacing w:after="0" w:line="25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1"/>
          <w:szCs w:val="21"/>
          <w:color w:val="auto"/>
        </w:rPr>
        <w:t>Our Nominating and Corporate Governance Committee is responsible for overseeing NTIC’s ESG activities, including disclosures. In doing so, the Nominating and Corporate Governance Committee periodically reviews and discusses with senior management the type and presentation of NTIC’s key ESG disclosures and the adequacy and effectiveness of applicable internal controls related to such disclosures. In carrying out its responsibilities for ESG oversight, the Nominating and Corporate Governance Committee coordinates with and solicits input from the Compensation Committee and the Audit Committee in formulating the approach to NTIC’s ESG activities. Our Compensation Committee is responsible for overseeing and periodically reviewing NTIC’s culture and policies and strategies related to human capital management, including with respect to equity and inclusion initiatives, pay equity, talent, recruitment and development, performance management and employee engagement. Our Audit Committee has oversight over general compliance with applicable laws as well as risk management.</w:t>
      </w:r>
    </w:p>
    <w:p>
      <w:pPr>
        <w:sectPr>
          <w:pgSz w:w="12240" w:h="15840" w:orient="portrait"/>
          <w:cols w:equalWidth="0" w:num="1">
            <w:col w:w="9360"/>
          </w:cols>
          <w:pgMar w:left="1440" w:top="1417" w:right="144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13</w:t>
      </w:r>
    </w:p>
    <w:p>
      <w:pPr>
        <w:sectPr>
          <w:pgSz w:w="12240" w:h="15840" w:orient="portrait"/>
          <w:cols w:equalWidth="0" w:num="1">
            <w:col w:w="9360"/>
          </w:cols>
          <w:pgMar w:left="1440" w:top="1417" w:right="1440" w:bottom="34"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3112135</wp:posOffset>
            </wp:positionH>
            <wp:positionV relativeFrom="page">
              <wp:posOffset>914400</wp:posOffset>
            </wp:positionV>
            <wp:extent cx="1548130" cy="9842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548130" cy="98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4201 Woodland Road, Circle Pines, Minnesota 55014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1809750</wp:posOffset>
                </wp:positionH>
                <wp:positionV relativeFrom="paragraph">
                  <wp:posOffset>165735</wp:posOffset>
                </wp:positionV>
                <wp:extent cx="238887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8870" cy="4763"/>
                        </a:xfrm>
                        <a:prstGeom prst="line">
                          <a:avLst/>
                        </a:prstGeom>
                        <a:solidFill>
                          <a:srgbClr val="FFFFFF"/>
                        </a:solidFill>
                        <a:ln w="6858">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3.05pt" to="330.6pt,13.05pt" o:allowincell="f" strokecolor="#000000" strokeweight="0.54pt"/>
            </w:pict>
          </mc:Fallback>
        </mc:AlternateConten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 FOR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jc w:val="center"/>
        <w:spacing w:after="0"/>
        <w:rPr>
          <w:sz w:val="20"/>
          <w:szCs w:val="20"/>
          <w:color w:val="auto"/>
        </w:rPr>
      </w:pPr>
      <w:r>
        <w:rPr>
          <w:rFonts w:ascii="Times New Roman" w:cs="Times New Roman" w:eastAsia="Times New Roman" w:hAnsi="Times New Roman"/>
          <w:sz w:val="22"/>
          <w:szCs w:val="22"/>
          <w:b w:val="1"/>
          <w:bCs w:val="1"/>
          <w:color w:val="auto"/>
        </w:rPr>
        <w:t>January 16,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1809750</wp:posOffset>
                </wp:positionH>
                <wp:positionV relativeFrom="paragraph">
                  <wp:posOffset>142875</wp:posOffset>
                </wp:positionV>
                <wp:extent cx="238887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8870" cy="4763"/>
                        </a:xfrm>
                        <a:prstGeom prst="line">
                          <a:avLst/>
                        </a:prstGeom>
                        <a:solidFill>
                          <a:srgbClr val="FFFFFF"/>
                        </a:solidFill>
                        <a:ln w="6857">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1.25pt" to="330.6pt,11.25pt" o:allowincell="f" strokecolor="#000000" strokeweight="0.5399pt"/>
            </w:pict>
          </mc:Fallback>
        </mc:AlternateContent>
      </w:r>
    </w:p>
    <w:p>
      <w:pPr>
        <w:spacing w:after="0" w:line="200" w:lineRule="exact"/>
        <w:rPr>
          <w:sz w:val="20"/>
          <w:szCs w:val="20"/>
          <w:color w:val="auto"/>
        </w:rPr>
      </w:pPr>
    </w:p>
    <w:p>
      <w:pPr>
        <w:spacing w:after="0" w:line="240"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2"/>
          <w:szCs w:val="22"/>
          <w:color w:val="auto"/>
        </w:rPr>
        <w:t>The Board of Directors of Northern Technologies International Corporation is soliciting your proxy for use at the 2026 Annual Meeting of Stockholders to be held on Friday, January 16, 2026. The Board of Directors expects to make available to our stockholders beginning on or about December 1, 2025 the Notice of Annual Meeting of Stockholders, this proxy statement and a form of proxy on the Internet or will mail these materials to stockholders of NTIC upon their request.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INFORMATION ABOUT THE ANNUAL MEETING AND VOTING</w:t>
      </w:r>
    </w:p>
    <w:p>
      <w:pPr>
        <w:spacing w:after="0" w:line="3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Time, Place and Purposes of Meeting</w:t>
      </w:r>
    </w:p>
    <w:p>
      <w:pPr>
        <w:spacing w:after="0" w:line="2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The Annual Meeting of Stockholders of Northern Technologies International Corporation (sometimes referred to as “NTIC,” “we,” “our” or “us” in this proxy statement) will be held on Friday, January 16, 2026, at 8:00 a.m., Central Time, at the principal executive offices of Northern Technologies International Corporation located at 4201 Woodland Road, Circle Pines, Minnesota 55014, for the purposes set forth in the Notice of Annual Meeting of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Who Can Vote</w:t>
      </w:r>
    </w:p>
    <w:p>
      <w:pPr>
        <w:spacing w:after="0" w:line="24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color w:val="auto"/>
        </w:rPr>
        <w:t>Stockholders of record at the close of business on November 18, 2025 will be entitled to notice of and to vote at the meeting or any adjournment of the meeting. As of that date, there were 9,480,688 shares of our common stock outstanding. Each share of our common stock is entitled to one vote on each matter to be voted on at the Annual Meeting. Stockholders are not entitled to cumulate voting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You Can Vote</w:t>
      </w:r>
    </w:p>
    <w:p>
      <w:pPr>
        <w:spacing w:after="0" w:line="24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2"/>
          <w:szCs w:val="22"/>
          <w:color w:val="auto"/>
        </w:rPr>
        <w:t>Your vote is important. Whether you hold shares directly as a stockholder of record or beneficially in “street name” (through a broker, bank or other nominee), you may vote your shares without attending the Annual Meeting. You may vote by granting a proxy or, for shares held in street name, by submitting voting instructions to your broker, bank or other nominee.</w:t>
      </w:r>
    </w:p>
    <w:p>
      <w:pPr>
        <w:sectPr>
          <w:pgSz w:w="12240" w:h="15840" w:orient="portrait"/>
          <w:cols w:equalWidth="0" w:num="1">
            <w:col w:w="9360"/>
          </w:cols>
          <w:pgMar w:left="1440" w:top="1440" w:right="144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14</w:t>
      </w:r>
    </w:p>
    <w:p>
      <w:pPr>
        <w:sectPr>
          <w:pgSz w:w="12240" w:h="15840" w:orient="portrait"/>
          <w:cols w:equalWidth="0" w:num="1">
            <w:col w:w="9360"/>
          </w:cols>
          <w:pgMar w:left="1440" w:top="1440" w:right="1440" w:bottom="178" w:gutter="0" w:footer="0" w:header="0"/>
          <w:type w:val="continuous"/>
        </w:sectPr>
      </w:pPr>
    </w:p>
    <w:bookmarkStart w:id="21" w:name="page22"/>
    <w:bookmarkEnd w:id="21"/>
    <w:p>
      <w:pPr>
        <w:ind w:right="60"/>
        <w:spacing w:after="0" w:line="278" w:lineRule="auto"/>
        <w:rPr>
          <w:sz w:val="20"/>
          <w:szCs w:val="20"/>
          <w:color w:val="auto"/>
        </w:rPr>
      </w:pPr>
      <w:r>
        <w:rPr>
          <w:rFonts w:ascii="Times New Roman" w:cs="Times New Roman" w:eastAsia="Times New Roman" w:hAnsi="Times New Roman"/>
          <w:sz w:val="22"/>
          <w:szCs w:val="22"/>
          <w:color w:val="auto"/>
        </w:rPr>
        <w:t>If you are a registered stockholder whose shares are registered in your name, you may vote your shares in person at the meeting or by one of the three following methods:</w:t>
      </w:r>
    </w:p>
    <w:p>
      <w:pPr>
        <w:spacing w:after="0" w:line="172" w:lineRule="exact"/>
        <w:rPr>
          <w:sz w:val="20"/>
          <w:szCs w:val="20"/>
          <w:color w:val="auto"/>
        </w:rPr>
      </w:pPr>
    </w:p>
    <w:p>
      <w:pPr>
        <w:ind w:left="1080" w:right="400" w:hanging="360"/>
        <w:spacing w:after="0" w:line="260" w:lineRule="auto"/>
        <w:tabs>
          <w:tab w:leader="none" w:pos="108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Vote by Internet</w:t>
      </w:r>
      <w:r>
        <w:rPr>
          <w:rFonts w:ascii="Times New Roman" w:cs="Times New Roman" w:eastAsia="Times New Roman" w:hAnsi="Times New Roman"/>
          <w:sz w:val="22"/>
          <w:szCs w:val="22"/>
          <w:color w:val="auto"/>
        </w:rPr>
        <w:t>, by going to the website address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www.proxyvote.com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following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instructions for Internet voting shown on the Notice of Internet Availability of Proxy Materials or on your proxy card.</w:t>
      </w:r>
    </w:p>
    <w:p>
      <w:pPr>
        <w:spacing w:after="0" w:line="70" w:lineRule="exact"/>
        <w:rPr>
          <w:rFonts w:ascii="Arial" w:cs="Arial" w:eastAsia="Arial" w:hAnsi="Arial"/>
          <w:sz w:val="22"/>
          <w:szCs w:val="22"/>
          <w:color w:val="auto"/>
        </w:rPr>
      </w:pPr>
    </w:p>
    <w:p>
      <w:pPr>
        <w:ind w:left="1080" w:right="40" w:hanging="360"/>
        <w:spacing w:after="0" w:line="306" w:lineRule="auto"/>
        <w:tabs>
          <w:tab w:leader="none" w:pos="108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Vote by Telephone</w:t>
      </w:r>
      <w:r>
        <w:rPr>
          <w:rFonts w:ascii="Times New Roman" w:cs="Times New Roman" w:eastAsia="Times New Roman" w:hAnsi="Times New Roman"/>
          <w:sz w:val="21"/>
          <w:szCs w:val="21"/>
          <w:color w:val="auto"/>
        </w:rPr>
        <w:t>, by dialing 1-800-690-6903 and following the instructions for telephone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voting shown on the Notice of Internet Availability of Proxy Materials or on your proxy card.</w:t>
      </w:r>
    </w:p>
    <w:p>
      <w:pPr>
        <w:spacing w:after="0" w:line="24" w:lineRule="exact"/>
        <w:rPr>
          <w:rFonts w:ascii="Arial" w:cs="Arial" w:eastAsia="Arial" w:hAnsi="Arial"/>
          <w:sz w:val="21"/>
          <w:szCs w:val="21"/>
          <w:color w:val="auto"/>
        </w:rPr>
      </w:pPr>
    </w:p>
    <w:p>
      <w:pPr>
        <w:ind w:left="1080" w:right="120" w:hanging="360"/>
        <w:spacing w:after="0" w:line="281" w:lineRule="auto"/>
        <w:tabs>
          <w:tab w:leader="none" w:pos="108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Vote by Proxy Card</w:t>
      </w:r>
      <w:r>
        <w:rPr>
          <w:rFonts w:ascii="Times New Roman" w:cs="Times New Roman" w:eastAsia="Times New Roman" w:hAnsi="Times New Roman"/>
          <w:sz w:val="22"/>
          <w:szCs w:val="22"/>
          <w:color w:val="auto"/>
        </w:rPr>
        <w:t>, by completing, signing, dating and mailing the enclosed proxy card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envelope provided if you received a paper version of these proxy materials.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vote by Internet or telephone, please do not mail your proxy card.</w:t>
      </w:r>
    </w:p>
    <w:p>
      <w:pPr>
        <w:spacing w:after="0" w:line="23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2"/>
          <w:szCs w:val="22"/>
          <w:color w:val="auto"/>
        </w:rPr>
        <w:t>If your shares are held in “street name” (through a broker, bank or other nominee), you may receive a separate voting instruction form with this proxy statement or you may need to contact your broker, bank or other nominee to determine whether you will be able to vote electronically using the Internet or telephone.</w:t>
      </w:r>
    </w:p>
    <w:p>
      <w:pPr>
        <w:spacing w:after="0" w:line="18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2"/>
          <w:szCs w:val="22"/>
          <w:color w:val="auto"/>
        </w:rPr>
        <w:t>The deadline for voting by telephone or by using the Internet is 11:59 p.m., Eastern Time (10:59 p.m., Central Time), on the day before the date of the Annual Meeting or any adjournments thereof. Please see the Notice of Internet Availability of Proxy Materials, your proxy card or the information your bank, broker, or other holder of record provided to you for more information on your options for voting.</w:t>
      </w:r>
    </w:p>
    <w:p>
      <w:pPr>
        <w:spacing w:after="0" w:line="189"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21"/>
          <w:szCs w:val="21"/>
          <w:color w:val="auto"/>
        </w:rPr>
        <w:t>If you return your signed proxy card or use Internet or telephone voting before the Annual Meeting, the named proxies will vote your shares as you direct. You have three choices on each matter to be voted 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Proposal One—Election of Directors, you may:</w:t>
      </w:r>
    </w:p>
    <w:p>
      <w:pPr>
        <w:spacing w:after="0" w:line="252" w:lineRule="exact"/>
        <w:rPr>
          <w:sz w:val="20"/>
          <w:szCs w:val="20"/>
          <w:color w:val="auto"/>
        </w:rPr>
      </w:pPr>
    </w:p>
    <w:p>
      <w:pPr>
        <w:ind w:left="1080" w:hanging="360"/>
        <w:spacing w:after="0"/>
        <w:tabs>
          <w:tab w:leader="none" w:pos="108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all eight nominees for director,</w:t>
      </w:r>
    </w:p>
    <w:p>
      <w:pPr>
        <w:spacing w:after="0" w:line="134" w:lineRule="exact"/>
        <w:rPr>
          <w:rFonts w:ascii="Arial" w:cs="Arial" w:eastAsia="Arial" w:hAnsi="Arial"/>
          <w:sz w:val="22"/>
          <w:szCs w:val="22"/>
          <w:color w:val="auto"/>
        </w:rPr>
      </w:pPr>
    </w:p>
    <w:p>
      <w:pPr>
        <w:ind w:left="1080" w:hanging="361"/>
        <w:spacing w:after="0"/>
        <w:tabs>
          <w:tab w:leader="none" w:pos="108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WITHHOLD </w:t>
      </w:r>
      <w:r>
        <w:rPr>
          <w:rFonts w:ascii="Times New Roman" w:cs="Times New Roman" w:eastAsia="Times New Roman" w:hAnsi="Times New Roman"/>
          <w:sz w:val="22"/>
          <w:szCs w:val="22"/>
          <w:color w:val="auto"/>
        </w:rPr>
        <w:t>your vote from all eight nominees for director or</w:t>
      </w:r>
    </w:p>
    <w:p>
      <w:pPr>
        <w:spacing w:after="0" w:line="134" w:lineRule="exact"/>
        <w:rPr>
          <w:rFonts w:ascii="Arial" w:cs="Arial" w:eastAsia="Arial" w:hAnsi="Arial"/>
          <w:sz w:val="22"/>
          <w:szCs w:val="22"/>
          <w:color w:val="auto"/>
        </w:rPr>
      </w:pPr>
    </w:p>
    <w:p>
      <w:pPr>
        <w:ind w:left="1080" w:hanging="361"/>
        <w:spacing w:after="0"/>
        <w:tabs>
          <w:tab w:leader="none" w:pos="108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WITHHOLD </w:t>
      </w:r>
      <w:r>
        <w:rPr>
          <w:rFonts w:ascii="Times New Roman" w:cs="Times New Roman" w:eastAsia="Times New Roman" w:hAnsi="Times New Roman"/>
          <w:sz w:val="22"/>
          <w:szCs w:val="22"/>
          <w:color w:val="auto"/>
        </w:rPr>
        <w:t>your vote from one or more of the eight nominees for director.</w:t>
      </w:r>
    </w:p>
    <w:p>
      <w:pPr>
        <w:spacing w:after="0" w:line="242"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2"/>
          <w:szCs w:val="22"/>
          <w:color w:val="auto"/>
        </w:rPr>
        <w:t>For each of the other proposals, other than Proposal Three—Advisory Vote on the Frequency of Future Advisory Votes on Executive Compensation, you may:</w:t>
      </w:r>
    </w:p>
    <w:p>
      <w:pPr>
        <w:spacing w:after="0" w:line="172" w:lineRule="exact"/>
        <w:rPr>
          <w:sz w:val="20"/>
          <w:szCs w:val="20"/>
          <w:color w:val="auto"/>
        </w:rPr>
      </w:pPr>
    </w:p>
    <w:p>
      <w:pPr>
        <w:ind w:left="1080" w:hanging="361"/>
        <w:spacing w:after="0"/>
        <w:tabs>
          <w:tab w:leader="none" w:pos="108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proposal,</w:t>
      </w:r>
    </w:p>
    <w:p>
      <w:pPr>
        <w:spacing w:after="0" w:line="134" w:lineRule="exact"/>
        <w:rPr>
          <w:rFonts w:ascii="Arial" w:cs="Arial" w:eastAsia="Arial" w:hAnsi="Arial"/>
          <w:sz w:val="22"/>
          <w:szCs w:val="22"/>
          <w:color w:val="auto"/>
        </w:rPr>
      </w:pPr>
    </w:p>
    <w:p>
      <w:pPr>
        <w:ind w:left="1080" w:hanging="361"/>
        <w:spacing w:after="0"/>
        <w:tabs>
          <w:tab w:leader="none" w:pos="108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Vote </w:t>
      </w:r>
      <w:r>
        <w:rPr>
          <w:rFonts w:ascii="Times New Roman" w:cs="Times New Roman" w:eastAsia="Times New Roman" w:hAnsi="Times New Roman"/>
          <w:sz w:val="22"/>
          <w:szCs w:val="22"/>
          <w:b w:val="1"/>
          <w:bCs w:val="1"/>
          <w:color w:val="auto"/>
        </w:rPr>
        <w:t>AGAINST</w:t>
      </w:r>
      <w:r>
        <w:rPr>
          <w:rFonts w:ascii="Times New Roman" w:cs="Times New Roman" w:eastAsia="Times New Roman" w:hAnsi="Times New Roman"/>
          <w:sz w:val="22"/>
          <w:szCs w:val="22"/>
          <w:color w:val="auto"/>
        </w:rPr>
        <w:t xml:space="preserve"> the proposal or</w:t>
      </w:r>
    </w:p>
    <w:p>
      <w:pPr>
        <w:spacing w:after="0" w:line="134" w:lineRule="exact"/>
        <w:rPr>
          <w:rFonts w:ascii="Arial" w:cs="Arial" w:eastAsia="Arial" w:hAnsi="Arial"/>
          <w:sz w:val="22"/>
          <w:szCs w:val="22"/>
          <w:color w:val="auto"/>
        </w:rPr>
      </w:pPr>
    </w:p>
    <w:p>
      <w:pPr>
        <w:ind w:left="1080" w:hanging="361"/>
        <w:spacing w:after="0"/>
        <w:tabs>
          <w:tab w:leader="none" w:pos="108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ABSTAIN </w:t>
      </w:r>
      <w:r>
        <w:rPr>
          <w:rFonts w:ascii="Times New Roman" w:cs="Times New Roman" w:eastAsia="Times New Roman" w:hAnsi="Times New Roman"/>
          <w:sz w:val="22"/>
          <w:szCs w:val="22"/>
          <w:color w:val="auto"/>
        </w:rPr>
        <w:t>from voting on the proposal.</w:t>
      </w:r>
    </w:p>
    <w:p>
      <w:pPr>
        <w:spacing w:after="0" w:line="243" w:lineRule="exact"/>
        <w:rPr>
          <w:sz w:val="20"/>
          <w:szCs w:val="20"/>
          <w:color w:val="auto"/>
        </w:rPr>
      </w:pPr>
    </w:p>
    <w:p>
      <w:pPr>
        <w:ind w:right="1040"/>
        <w:spacing w:after="0" w:line="278" w:lineRule="auto"/>
        <w:rPr>
          <w:sz w:val="20"/>
          <w:szCs w:val="20"/>
          <w:color w:val="auto"/>
        </w:rPr>
      </w:pPr>
      <w:r>
        <w:rPr>
          <w:rFonts w:ascii="Times New Roman" w:cs="Times New Roman" w:eastAsia="Times New Roman" w:hAnsi="Times New Roman"/>
          <w:sz w:val="22"/>
          <w:szCs w:val="22"/>
          <w:color w:val="auto"/>
        </w:rPr>
        <w:t>For Proposal Three—Advisory Vote on the Frequency of Future Advisory Votes on Executive Compensation, you may:</w:t>
      </w:r>
    </w:p>
    <w:p>
      <w:pPr>
        <w:spacing w:after="0" w:line="172" w:lineRule="exact"/>
        <w:rPr>
          <w:sz w:val="20"/>
          <w:szCs w:val="20"/>
          <w:color w:val="auto"/>
        </w:rPr>
      </w:pPr>
    </w:p>
    <w:p>
      <w:pPr>
        <w:ind w:left="1080" w:hanging="361"/>
        <w:spacing w:after="0"/>
        <w:tabs>
          <w:tab w:leader="none" w:pos="108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Vote for a frequency of every </w:t>
      </w:r>
      <w:r>
        <w:rPr>
          <w:rFonts w:ascii="Times New Roman" w:cs="Times New Roman" w:eastAsia="Times New Roman" w:hAnsi="Times New Roman"/>
          <w:sz w:val="22"/>
          <w:szCs w:val="22"/>
          <w:b w:val="1"/>
          <w:bCs w:val="1"/>
          <w:color w:val="auto"/>
        </w:rPr>
        <w:t>ONE YEAR</w:t>
      </w:r>
      <w:r>
        <w:rPr>
          <w:rFonts w:ascii="Times New Roman" w:cs="Times New Roman" w:eastAsia="Times New Roman" w:hAnsi="Times New Roman"/>
          <w:sz w:val="22"/>
          <w:szCs w:val="22"/>
          <w:color w:val="auto"/>
        </w:rPr>
        <w:t>,</w:t>
      </w:r>
    </w:p>
    <w:p>
      <w:pPr>
        <w:spacing w:after="0" w:line="134" w:lineRule="exact"/>
        <w:rPr>
          <w:rFonts w:ascii="Arial" w:cs="Arial" w:eastAsia="Arial" w:hAnsi="Arial"/>
          <w:sz w:val="22"/>
          <w:szCs w:val="22"/>
          <w:color w:val="auto"/>
        </w:rPr>
      </w:pPr>
    </w:p>
    <w:p>
      <w:pPr>
        <w:ind w:left="1080" w:hanging="361"/>
        <w:spacing w:after="0"/>
        <w:tabs>
          <w:tab w:leader="none" w:pos="108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Vote for a frequency of every </w:t>
      </w:r>
      <w:r>
        <w:rPr>
          <w:rFonts w:ascii="Times New Roman" w:cs="Times New Roman" w:eastAsia="Times New Roman" w:hAnsi="Times New Roman"/>
          <w:sz w:val="22"/>
          <w:szCs w:val="22"/>
          <w:b w:val="1"/>
          <w:bCs w:val="1"/>
          <w:color w:val="auto"/>
        </w:rPr>
        <w:t>TWO YEARS,</w:t>
      </w:r>
    </w:p>
    <w:p>
      <w:pPr>
        <w:spacing w:after="0" w:line="134" w:lineRule="exact"/>
        <w:rPr>
          <w:rFonts w:ascii="Arial" w:cs="Arial" w:eastAsia="Arial" w:hAnsi="Arial"/>
          <w:sz w:val="22"/>
          <w:szCs w:val="22"/>
          <w:color w:val="auto"/>
        </w:rPr>
      </w:pPr>
    </w:p>
    <w:p>
      <w:pPr>
        <w:ind w:left="1080" w:hanging="361"/>
        <w:spacing w:after="0"/>
        <w:tabs>
          <w:tab w:leader="none" w:pos="108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Vote for a frequency of every </w:t>
      </w:r>
      <w:r>
        <w:rPr>
          <w:rFonts w:ascii="Times New Roman" w:cs="Times New Roman" w:eastAsia="Times New Roman" w:hAnsi="Times New Roman"/>
          <w:sz w:val="22"/>
          <w:szCs w:val="22"/>
          <w:b w:val="1"/>
          <w:bCs w:val="1"/>
          <w:color w:val="auto"/>
        </w:rPr>
        <w:t>THREE YEARS</w:t>
      </w:r>
      <w:r>
        <w:rPr>
          <w:rFonts w:ascii="Times New Roman" w:cs="Times New Roman" w:eastAsia="Times New Roman" w:hAnsi="Times New Roman"/>
          <w:sz w:val="22"/>
          <w:szCs w:val="22"/>
          <w:color w:val="auto"/>
        </w:rPr>
        <w:t>, or</w:t>
      </w:r>
    </w:p>
    <w:p>
      <w:pPr>
        <w:spacing w:after="0" w:line="134" w:lineRule="exact"/>
        <w:rPr>
          <w:rFonts w:ascii="Arial" w:cs="Arial" w:eastAsia="Arial" w:hAnsi="Arial"/>
          <w:sz w:val="22"/>
          <w:szCs w:val="22"/>
          <w:color w:val="auto"/>
        </w:rPr>
      </w:pPr>
    </w:p>
    <w:p>
      <w:pPr>
        <w:ind w:left="1080" w:hanging="361"/>
        <w:spacing w:after="0"/>
        <w:tabs>
          <w:tab w:leader="none" w:pos="108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ABSTAIN </w:t>
      </w:r>
      <w:r>
        <w:rPr>
          <w:rFonts w:ascii="Times New Roman" w:cs="Times New Roman" w:eastAsia="Times New Roman" w:hAnsi="Times New Roman"/>
          <w:sz w:val="22"/>
          <w:szCs w:val="22"/>
          <w:color w:val="auto"/>
        </w:rPr>
        <w:t>from voting on the proposal.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2240" w:h="15840" w:orient="portrait"/>
          <w:cols w:equalWidth="0" w:num="1">
            <w:col w:w="9360"/>
          </w:cols>
          <w:pgMar w:left="1440" w:top="1417" w:right="1440" w:bottom="178" w:gutter="0" w:footer="0" w:header="0"/>
        </w:sectPr>
      </w:pPr>
    </w:p>
    <w:bookmarkStart w:id="22" w:name="page23"/>
    <w:bookmarkEnd w:id="22"/>
    <w:p>
      <w:pPr>
        <w:ind w:right="80"/>
        <w:spacing w:after="0" w:line="251" w:lineRule="auto"/>
        <w:rPr>
          <w:sz w:val="20"/>
          <w:szCs w:val="20"/>
          <w:color w:val="auto"/>
        </w:rPr>
      </w:pPr>
      <w:r>
        <w:rPr>
          <w:rFonts w:ascii="Times New Roman" w:cs="Times New Roman" w:eastAsia="Times New Roman" w:hAnsi="Times New Roman"/>
          <w:sz w:val="22"/>
          <w:szCs w:val="22"/>
          <w:color w:val="auto"/>
        </w:rPr>
        <w:t xml:space="preserve">If you send in your proxy card or use Internet or telephone voting, but do not specify how you want to vote your shares, the proxies will vote your shares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all eight of the nominees for election to the Board of Directors in Proposal One—Election of Directors, for a frequency of every </w:t>
      </w:r>
      <w:r>
        <w:rPr>
          <w:rFonts w:ascii="Times New Roman" w:cs="Times New Roman" w:eastAsia="Times New Roman" w:hAnsi="Times New Roman"/>
          <w:sz w:val="22"/>
          <w:szCs w:val="22"/>
          <w:b w:val="1"/>
          <w:bCs w:val="1"/>
          <w:color w:val="auto"/>
        </w:rPr>
        <w:t>ONE YEAR</w:t>
      </w:r>
      <w:r>
        <w:rPr>
          <w:rFonts w:ascii="Times New Roman" w:cs="Times New Roman" w:eastAsia="Times New Roman" w:hAnsi="Times New Roman"/>
          <w:sz w:val="22"/>
          <w:szCs w:val="22"/>
          <w:color w:val="auto"/>
        </w:rPr>
        <w:t xml:space="preserve"> on Proposal Three—Advisory Vote on the Frequency of Future Advisory Votes on Executive Compensation and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each of the other proposals.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Does the Board Recommend that You Vote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of Directors unanimously recommends that you vote:</w:t>
      </w:r>
    </w:p>
    <w:p>
      <w:pPr>
        <w:spacing w:after="0" w:line="252" w:lineRule="exact"/>
        <w:rPr>
          <w:sz w:val="20"/>
          <w:szCs w:val="20"/>
          <w:color w:val="auto"/>
        </w:rPr>
      </w:pPr>
    </w:p>
    <w:p>
      <w:pPr>
        <w:ind w:left="1080" w:right="580" w:hanging="361"/>
        <w:spacing w:after="0" w:line="281" w:lineRule="auto"/>
        <w:tabs>
          <w:tab w:leader="none" w:pos="10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all eight of the nominees for election to the Board of Directors in Proposal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Election of Directors;</w:t>
      </w:r>
    </w:p>
    <w:p>
      <w:pPr>
        <w:spacing w:after="0" w:line="47" w:lineRule="exact"/>
        <w:rPr>
          <w:rFonts w:ascii="Arial" w:cs="Arial" w:eastAsia="Arial" w:hAnsi="Arial"/>
          <w:sz w:val="22"/>
          <w:szCs w:val="22"/>
          <w:color w:val="auto"/>
        </w:rPr>
      </w:pPr>
    </w:p>
    <w:p>
      <w:pPr>
        <w:ind w:left="1080" w:hanging="361"/>
        <w:spacing w:after="0"/>
        <w:tabs>
          <w:tab w:leader="none" w:pos="10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Proposal Two—Advisory Vote on Executive Compensation;</w:t>
      </w:r>
    </w:p>
    <w:p>
      <w:pPr>
        <w:spacing w:after="0" w:line="134" w:lineRule="exact"/>
        <w:rPr>
          <w:rFonts w:ascii="Arial" w:cs="Arial" w:eastAsia="Arial" w:hAnsi="Arial"/>
          <w:sz w:val="22"/>
          <w:szCs w:val="22"/>
          <w:color w:val="auto"/>
        </w:rPr>
      </w:pPr>
    </w:p>
    <w:p>
      <w:pPr>
        <w:ind w:left="1080" w:right="120" w:hanging="361"/>
        <w:spacing w:after="0" w:line="281" w:lineRule="auto"/>
        <w:tabs>
          <w:tab w:leader="none" w:pos="10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For a frequency of every </w:t>
      </w:r>
      <w:r>
        <w:rPr>
          <w:rFonts w:ascii="Times New Roman" w:cs="Times New Roman" w:eastAsia="Times New Roman" w:hAnsi="Times New Roman"/>
          <w:sz w:val="22"/>
          <w:szCs w:val="22"/>
          <w:b w:val="1"/>
          <w:bCs w:val="1"/>
          <w:color w:val="auto"/>
        </w:rPr>
        <w:t>ONE YEAR</w:t>
      </w:r>
      <w:r>
        <w:rPr>
          <w:rFonts w:ascii="Times New Roman" w:cs="Times New Roman" w:eastAsia="Times New Roman" w:hAnsi="Times New Roman"/>
          <w:sz w:val="22"/>
          <w:szCs w:val="22"/>
          <w:color w:val="auto"/>
        </w:rPr>
        <w:t xml:space="preserve"> on Proposal Three—Advisory Vote on the Frequency of Future Advisory Votes on Executive Compensation; and</w:t>
      </w:r>
    </w:p>
    <w:p>
      <w:pPr>
        <w:spacing w:after="0" w:line="48" w:lineRule="exact"/>
        <w:rPr>
          <w:rFonts w:ascii="Arial" w:cs="Arial" w:eastAsia="Arial" w:hAnsi="Arial"/>
          <w:sz w:val="22"/>
          <w:szCs w:val="22"/>
          <w:color w:val="auto"/>
        </w:rPr>
      </w:pPr>
    </w:p>
    <w:p>
      <w:pPr>
        <w:ind w:left="1080" w:right="820" w:hanging="361"/>
        <w:spacing w:after="0" w:line="281" w:lineRule="auto"/>
        <w:tabs>
          <w:tab w:leader="none" w:pos="10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Proposal Four—Ratification of Appointment of Independent Registered 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Firm.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You May Change Your Vote or Revoke Your Proxy</w:t>
      </w:r>
    </w:p>
    <w:p>
      <w:pPr>
        <w:spacing w:after="0" w:line="24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2"/>
          <w:szCs w:val="22"/>
          <w:color w:val="auto"/>
        </w:rPr>
        <w:t>If you are a stockholder whose shares are registered in your name, you may revoke your proxy at any time before it is voted by one of the following methods:</w:t>
      </w:r>
    </w:p>
    <w:p>
      <w:pPr>
        <w:spacing w:after="0" w:line="176" w:lineRule="exact"/>
        <w:rPr>
          <w:sz w:val="20"/>
          <w:szCs w:val="20"/>
          <w:color w:val="auto"/>
        </w:rPr>
      </w:pPr>
    </w:p>
    <w:p>
      <w:pPr>
        <w:ind w:left="1080" w:right="100" w:hanging="361"/>
        <w:spacing w:after="0" w:line="259" w:lineRule="auto"/>
        <w:tabs>
          <w:tab w:leader="none" w:pos="108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Submitting another proper proxy with a more recent date than that of the proxy first given by following the Internet or telephone voting instructions or completing, signing, dating and returning a proxy card to us;</w:t>
      </w:r>
    </w:p>
    <w:p>
      <w:pPr>
        <w:spacing w:after="0" w:line="75" w:lineRule="exact"/>
        <w:rPr>
          <w:rFonts w:ascii="Arial" w:cs="Arial" w:eastAsia="Arial" w:hAnsi="Arial"/>
          <w:sz w:val="22"/>
          <w:szCs w:val="22"/>
          <w:color w:val="auto"/>
        </w:rPr>
      </w:pPr>
    </w:p>
    <w:p>
      <w:pPr>
        <w:ind w:left="1080" w:hanging="361"/>
        <w:spacing w:after="0"/>
        <w:tabs>
          <w:tab w:leader="none" w:pos="108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Sending written notice of your revocation to our Corporate Secretary; or</w:t>
      </w:r>
    </w:p>
    <w:p>
      <w:pPr>
        <w:spacing w:after="0" w:line="134" w:lineRule="exact"/>
        <w:rPr>
          <w:rFonts w:ascii="Arial" w:cs="Arial" w:eastAsia="Arial" w:hAnsi="Arial"/>
          <w:sz w:val="22"/>
          <w:szCs w:val="22"/>
          <w:color w:val="auto"/>
        </w:rPr>
      </w:pPr>
    </w:p>
    <w:p>
      <w:pPr>
        <w:ind w:left="1080" w:hanging="361"/>
        <w:spacing w:after="0"/>
        <w:tabs>
          <w:tab w:leader="none" w:pos="108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2"/>
          <w:szCs w:val="22"/>
          <w:color w:val="auto"/>
        </w:rPr>
        <w:t>Attending the Annual Meeting and voting by ballot.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Quorum Requirement</w:t>
      </w:r>
    </w:p>
    <w:p>
      <w:pPr>
        <w:spacing w:after="0" w:line="24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presence at the Annual Meeting, in person or by proxy, of the holders of a majority (4,740,345 shares) of the outstanding shares of our common stock as of the record date will constitute a quorum for the transaction of business at the Annual Meeting. In general, shares of our common stock represented by proxies marked “For,” “Against,” “Abstain” or “Withheld” are counted in determining whether a quorum is present. In addition, a “broker non-vote” is counted in determining whether a quorum is present. A “broker non-vote” is a proxy returned by a broker on behalf of its beneficial owner customer that is not voted on a particular matter because voting instructions have not been received by the broker from the customer, and the broker has no discretionary authority to vote on behalf of such customer on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2240" w:h="15840" w:orient="portrait"/>
          <w:cols w:equalWidth="0" w:num="1">
            <w:col w:w="9360"/>
          </w:cols>
          <w:pgMar w:left="1440" w:top="1417" w:right="1440" w:bottom="178" w:gutter="0" w:footer="0" w:header="0"/>
        </w:sectPr>
      </w:pPr>
    </w:p>
    <w:bookmarkStart w:id="23" w:name="page24"/>
    <w:bookmarkEnd w:id="23"/>
    <w:p>
      <w:pPr>
        <w:ind w:left="100"/>
        <w:spacing w:after="0"/>
        <w:rPr>
          <w:sz w:val="20"/>
          <w:szCs w:val="20"/>
          <w:color w:val="auto"/>
        </w:rPr>
      </w:pPr>
      <w:r>
        <w:rPr>
          <w:rFonts w:ascii="Times New Roman" w:cs="Times New Roman" w:eastAsia="Times New Roman" w:hAnsi="Times New Roman"/>
          <w:sz w:val="22"/>
          <w:szCs w:val="22"/>
          <w:b w:val="1"/>
          <w:bCs w:val="1"/>
          <w:color w:val="auto"/>
        </w:rPr>
        <w:t>Vote Required</w:t>
      </w:r>
    </w:p>
    <w:p>
      <w:pPr>
        <w:spacing w:after="0" w:line="244" w:lineRule="exact"/>
        <w:rPr>
          <w:sz w:val="20"/>
          <w:szCs w:val="20"/>
          <w:color w:val="auto"/>
        </w:rPr>
      </w:pPr>
    </w:p>
    <w:p>
      <w:pPr>
        <w:ind w:left="100" w:right="860"/>
        <w:spacing w:after="0" w:line="278" w:lineRule="auto"/>
        <w:rPr>
          <w:sz w:val="20"/>
          <w:szCs w:val="20"/>
          <w:color w:val="auto"/>
        </w:rPr>
      </w:pPr>
      <w:r>
        <w:rPr>
          <w:rFonts w:ascii="Times New Roman" w:cs="Times New Roman" w:eastAsia="Times New Roman" w:hAnsi="Times New Roman"/>
          <w:sz w:val="22"/>
          <w:szCs w:val="22"/>
          <w:color w:val="auto"/>
        </w:rPr>
        <w:t>The table below describes the vote required for each of the proposals to be submitted to a vote of stockholders and the effect of any abstentions and broker non-votes.</w:t>
      </w:r>
    </w:p>
    <w:p>
      <w:pPr>
        <w:spacing w:after="0" w:line="159" w:lineRule="exact"/>
        <w:rPr>
          <w:sz w:val="20"/>
          <w:szCs w:val="20"/>
          <w:color w:val="auto"/>
        </w:rPr>
      </w:pPr>
    </w:p>
    <w:p>
      <w:pPr>
        <w:ind w:left="100" w:right="80"/>
        <w:spacing w:after="0" w:line="243" w:lineRule="auto"/>
        <w:rPr>
          <w:sz w:val="20"/>
          <w:szCs w:val="20"/>
          <w:color w:val="auto"/>
        </w:rPr>
      </w:pPr>
      <w:r>
        <w:rPr>
          <w:rFonts w:ascii="Times New Roman" w:cs="Times New Roman" w:eastAsia="Times New Roman" w:hAnsi="Times New Roman"/>
          <w:sz w:val="22"/>
          <w:szCs w:val="22"/>
          <w:color w:val="auto"/>
        </w:rPr>
        <w:t>If your shares are held in “street name” and you do not indicate how you wish to vote, your broker is permitted to exercise its discretion to vote your shares only on certain “routine” matters. Proposal One— Election of Directors, Proposal Two—Advisory Vote on Executive Compensation, and Proposal Three— Advisory Vote on the Frequency of Future Advisory Votes on Executive Compensation are not “routine” matters. Accordingly, if you do not direct your broker how to vote, your broker may not exercise discretion and may not vote your shares on either of these two proposals. This is called a “broker non-vote,” and although your shares will be considered to be represented by proxy at the meeting, they will not be considered to be shares “entitled to vote” at the meeting and will not be counted as having been voted on the applicable proposal. Proposal Four—Ratification of Appointment of Independent Registered Public Accounting Firm is a “routine” matter, and, as such, your broker is permitted to exercise its discretion to vote your shares for or against the proposals in the absence of your instruction.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200" w:type="dxa"/>
            <w:vAlign w:val="bottom"/>
            <w:shd w:val="clear" w:color="auto" w:fill="D9D9D9"/>
          </w:tcPr>
          <w:p>
            <w:pPr>
              <w:spacing w:after="0"/>
              <w:rPr>
                <w:sz w:val="19"/>
                <w:szCs w:val="19"/>
                <w:color w:val="auto"/>
              </w:rPr>
            </w:pPr>
          </w:p>
        </w:tc>
        <w:tc>
          <w:tcPr>
            <w:tcW w:w="148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314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80" w:type="dxa"/>
            <w:vAlign w:val="bottom"/>
            <w:tcBorders>
              <w:right w:val="single" w:sz="8" w:color="D9D9D9"/>
            </w:tcBorders>
          </w:tcPr>
          <w:p>
            <w:pPr>
              <w:spacing w:after="0"/>
              <w:rPr>
                <w:sz w:val="19"/>
                <w:szCs w:val="19"/>
                <w:color w:val="auto"/>
              </w:rPr>
            </w:pPr>
          </w:p>
        </w:tc>
        <w:tc>
          <w:tcPr>
            <w:tcW w:w="15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Effect of Votes</w:t>
            </w:r>
          </w:p>
        </w:tc>
        <w:tc>
          <w:tcPr>
            <w:tcW w:w="140" w:type="dxa"/>
            <w:vAlign w:val="bottom"/>
            <w:shd w:val="clear" w:color="auto" w:fill="D9D9D9"/>
          </w:tcPr>
          <w:p>
            <w:pPr>
              <w:spacing w:after="0"/>
              <w:rPr>
                <w:sz w:val="19"/>
                <w:szCs w:val="19"/>
                <w:color w:val="auto"/>
              </w:rPr>
            </w:pPr>
          </w:p>
        </w:tc>
        <w:tc>
          <w:tcPr>
            <w:tcW w:w="1480" w:type="dxa"/>
            <w:vAlign w:val="bottom"/>
            <w:gridSpan w:val="2"/>
            <w:shd w:val="clear" w:color="auto" w:fill="D9D9D9"/>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Effect of</w:t>
            </w:r>
          </w:p>
        </w:tc>
      </w:tr>
      <w:tr>
        <w:trPr>
          <w:trHeight w:val="254"/>
        </w:trPr>
        <w:tc>
          <w:tcPr>
            <w:tcW w:w="80" w:type="dxa"/>
            <w:vAlign w:val="bottom"/>
            <w:shd w:val="clear" w:color="auto" w:fill="D9D9D9"/>
          </w:tcPr>
          <w:p>
            <w:pPr>
              <w:spacing w:after="0"/>
              <w:rPr>
                <w:sz w:val="22"/>
                <w:szCs w:val="22"/>
                <w:color w:val="auto"/>
              </w:rPr>
            </w:pPr>
          </w:p>
        </w:tc>
        <w:tc>
          <w:tcPr>
            <w:tcW w:w="20" w:type="dxa"/>
            <w:vAlign w:val="bottom"/>
            <w:shd w:val="clear" w:color="auto" w:fill="D9D9D9"/>
          </w:tcPr>
          <w:p>
            <w:pPr>
              <w:spacing w:after="0"/>
              <w:rPr>
                <w:sz w:val="22"/>
                <w:szCs w:val="22"/>
                <w:color w:val="auto"/>
              </w:rPr>
            </w:pPr>
          </w:p>
        </w:tc>
        <w:tc>
          <w:tcPr>
            <w:tcW w:w="1200" w:type="dxa"/>
            <w:vAlign w:val="bottom"/>
            <w:shd w:val="clear" w:color="auto" w:fill="D9D9D9"/>
          </w:tcPr>
          <w:p>
            <w:pPr>
              <w:spacing w:after="0"/>
              <w:rPr>
                <w:sz w:val="22"/>
                <w:szCs w:val="22"/>
                <w:color w:val="auto"/>
              </w:rPr>
            </w:pPr>
          </w:p>
        </w:tc>
        <w:tc>
          <w:tcPr>
            <w:tcW w:w="1480" w:type="dxa"/>
            <w:vAlign w:val="bottom"/>
            <w:shd w:val="clear" w:color="auto" w:fill="D9D9D9"/>
          </w:tcPr>
          <w:p>
            <w:pPr>
              <w:spacing w:after="0"/>
              <w:rPr>
                <w:sz w:val="22"/>
                <w:szCs w:val="22"/>
                <w:color w:val="auto"/>
              </w:rPr>
            </w:pPr>
          </w:p>
        </w:tc>
        <w:tc>
          <w:tcPr>
            <w:tcW w:w="4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40" w:type="dxa"/>
            <w:vAlign w:val="bottom"/>
            <w:shd w:val="clear" w:color="auto" w:fill="D9D9D9"/>
          </w:tcPr>
          <w:p>
            <w:pPr>
              <w:spacing w:after="0"/>
              <w:rPr>
                <w:sz w:val="22"/>
                <w:szCs w:val="22"/>
                <w:color w:val="auto"/>
              </w:rPr>
            </w:pPr>
          </w:p>
        </w:tc>
        <w:tc>
          <w:tcPr>
            <w:tcW w:w="314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80" w:type="dxa"/>
            <w:vAlign w:val="bottom"/>
            <w:tcBorders>
              <w:right w:val="single" w:sz="8" w:color="D9D9D9"/>
            </w:tcBorders>
          </w:tcPr>
          <w:p>
            <w:pPr>
              <w:spacing w:after="0"/>
              <w:rPr>
                <w:sz w:val="22"/>
                <w:szCs w:val="22"/>
                <w:color w:val="auto"/>
              </w:rPr>
            </w:pPr>
          </w:p>
        </w:tc>
        <w:tc>
          <w:tcPr>
            <w:tcW w:w="15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Withheld /</w:t>
            </w:r>
          </w:p>
        </w:tc>
        <w:tc>
          <w:tcPr>
            <w:tcW w:w="140" w:type="dxa"/>
            <w:vAlign w:val="bottom"/>
            <w:shd w:val="clear" w:color="auto" w:fill="D9D9D9"/>
          </w:tcPr>
          <w:p>
            <w:pPr>
              <w:spacing w:after="0"/>
              <w:rPr>
                <w:sz w:val="22"/>
                <w:szCs w:val="22"/>
                <w:color w:val="auto"/>
              </w:rPr>
            </w:pPr>
          </w:p>
        </w:tc>
        <w:tc>
          <w:tcPr>
            <w:tcW w:w="1480" w:type="dxa"/>
            <w:vAlign w:val="bottom"/>
            <w:gridSpan w:val="2"/>
            <w:shd w:val="clear" w:color="auto" w:fill="D9D9D9"/>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Broker</w:t>
            </w:r>
          </w:p>
        </w:tc>
      </w:tr>
      <w:tr>
        <w:trPr>
          <w:trHeight w:val="248"/>
        </w:trPr>
        <w:tc>
          <w:tcPr>
            <w:tcW w:w="80" w:type="dxa"/>
            <w:vAlign w:val="bottom"/>
            <w:tcBorders>
              <w:bottom w:val="single" w:sz="8" w:color="D9D9D9"/>
            </w:tcBorders>
            <w:shd w:val="clear" w:color="auto" w:fill="D9D9D9"/>
          </w:tcPr>
          <w:p>
            <w:pPr>
              <w:spacing w:after="0"/>
              <w:rPr>
                <w:sz w:val="21"/>
                <w:szCs w:val="21"/>
                <w:color w:val="auto"/>
              </w:rPr>
            </w:pPr>
          </w:p>
        </w:tc>
        <w:tc>
          <w:tcPr>
            <w:tcW w:w="20" w:type="dxa"/>
            <w:vAlign w:val="bottom"/>
            <w:tcBorders>
              <w:bottom w:val="single" w:sz="8" w:color="auto"/>
            </w:tcBorders>
            <w:shd w:val="clear" w:color="auto" w:fill="D9D9D9"/>
          </w:tcPr>
          <w:p>
            <w:pPr>
              <w:spacing w:after="0"/>
              <w:rPr>
                <w:sz w:val="21"/>
                <w:szCs w:val="21"/>
                <w:color w:val="auto"/>
              </w:rPr>
            </w:pPr>
          </w:p>
        </w:tc>
        <w:tc>
          <w:tcPr>
            <w:tcW w:w="2680" w:type="dxa"/>
            <w:vAlign w:val="bottom"/>
            <w:tcBorders>
              <w:bottom w:val="single" w:sz="8" w:color="auto"/>
            </w:tcBorders>
            <w:gridSpan w:val="2"/>
            <w:shd w:val="clear" w:color="auto" w:fill="D9D9D9"/>
          </w:tcPr>
          <w:p>
            <w:pPr>
              <w:spacing w:after="0"/>
              <w:rPr>
                <w:sz w:val="20"/>
                <w:szCs w:val="20"/>
                <w:color w:val="auto"/>
              </w:rPr>
            </w:pPr>
            <w:r>
              <w:rPr>
                <w:rFonts w:ascii="Times New Roman" w:cs="Times New Roman" w:eastAsia="Times New Roman" w:hAnsi="Times New Roman"/>
                <w:sz w:val="20"/>
                <w:szCs w:val="20"/>
                <w:b w:val="1"/>
                <w:bCs w:val="1"/>
                <w:color w:val="auto"/>
              </w:rPr>
              <w:t>Proposal</w:t>
            </w:r>
          </w:p>
        </w:tc>
        <w:tc>
          <w:tcPr>
            <w:tcW w:w="40" w:type="dxa"/>
            <w:vAlign w:val="bottom"/>
            <w:tcBorders>
              <w:bottom w:val="single" w:sz="8" w:color="auto"/>
            </w:tcBorders>
            <w:shd w:val="clear" w:color="auto" w:fill="D9D9D9"/>
          </w:tcPr>
          <w:p>
            <w:pPr>
              <w:spacing w:after="0"/>
              <w:rPr>
                <w:sz w:val="21"/>
                <w:szCs w:val="21"/>
                <w:color w:val="auto"/>
              </w:rPr>
            </w:pPr>
          </w:p>
        </w:tc>
        <w:tc>
          <w:tcPr>
            <w:tcW w:w="140" w:type="dxa"/>
            <w:vAlign w:val="bottom"/>
            <w:tcBorders>
              <w:bottom w:val="single" w:sz="8" w:color="D9D9D9"/>
            </w:tcBorders>
            <w:shd w:val="clear" w:color="auto" w:fill="D9D9D9"/>
          </w:tcPr>
          <w:p>
            <w:pPr>
              <w:spacing w:after="0"/>
              <w:rPr>
                <w:sz w:val="21"/>
                <w:szCs w:val="21"/>
                <w:color w:val="auto"/>
              </w:rPr>
            </w:pPr>
          </w:p>
        </w:tc>
        <w:tc>
          <w:tcPr>
            <w:tcW w:w="40" w:type="dxa"/>
            <w:vAlign w:val="bottom"/>
            <w:tcBorders>
              <w:bottom w:val="single" w:sz="8" w:color="auto"/>
            </w:tcBorders>
            <w:shd w:val="clear" w:color="auto" w:fill="D9D9D9"/>
          </w:tcPr>
          <w:p>
            <w:pPr>
              <w:spacing w:after="0"/>
              <w:rPr>
                <w:sz w:val="21"/>
                <w:szCs w:val="21"/>
                <w:color w:val="auto"/>
              </w:rPr>
            </w:pPr>
          </w:p>
        </w:tc>
        <w:tc>
          <w:tcPr>
            <w:tcW w:w="3140" w:type="dxa"/>
            <w:vAlign w:val="bottom"/>
            <w:tcBorders>
              <w:bottom w:val="single" w:sz="8" w:color="auto"/>
            </w:tcBorders>
            <w:shd w:val="clear" w:color="auto" w:fill="D9D9D9"/>
          </w:tcPr>
          <w:p>
            <w:pPr>
              <w:ind w:left="900"/>
              <w:spacing w:after="0"/>
              <w:rPr>
                <w:sz w:val="20"/>
                <w:szCs w:val="20"/>
                <w:color w:val="auto"/>
              </w:rPr>
            </w:pPr>
            <w:r>
              <w:rPr>
                <w:rFonts w:ascii="Times New Roman" w:cs="Times New Roman" w:eastAsia="Times New Roman" w:hAnsi="Times New Roman"/>
                <w:sz w:val="20"/>
                <w:szCs w:val="20"/>
                <w:b w:val="1"/>
                <w:bCs w:val="1"/>
                <w:color w:val="auto"/>
              </w:rPr>
              <w:t>Votes Required</w:t>
            </w:r>
          </w:p>
        </w:tc>
        <w:tc>
          <w:tcPr>
            <w:tcW w:w="80" w:type="dxa"/>
            <w:vAlign w:val="bottom"/>
            <w:tcBorders>
              <w:bottom w:val="single" w:sz="8" w:color="D9D9D9"/>
            </w:tcBorders>
            <w:shd w:val="clear" w:color="auto" w:fill="D9D9D9"/>
          </w:tcPr>
          <w:p>
            <w:pPr>
              <w:spacing w:after="0"/>
              <w:rPr>
                <w:sz w:val="21"/>
                <w:szCs w:val="21"/>
                <w:color w:val="auto"/>
              </w:rPr>
            </w:pPr>
          </w:p>
        </w:tc>
        <w:tc>
          <w:tcPr>
            <w:tcW w:w="80" w:type="dxa"/>
            <w:vAlign w:val="bottom"/>
            <w:tcBorders>
              <w:right w:val="single" w:sz="8" w:color="D9D9D9"/>
            </w:tcBorders>
          </w:tcPr>
          <w:p>
            <w:pPr>
              <w:spacing w:after="0"/>
              <w:rPr>
                <w:sz w:val="21"/>
                <w:szCs w:val="21"/>
                <w:color w:val="auto"/>
              </w:rPr>
            </w:pPr>
          </w:p>
        </w:tc>
        <w:tc>
          <w:tcPr>
            <w:tcW w:w="156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Abstentions</w:t>
            </w:r>
          </w:p>
        </w:tc>
        <w:tc>
          <w:tcPr>
            <w:tcW w:w="140" w:type="dxa"/>
            <w:vAlign w:val="bottom"/>
            <w:tcBorders>
              <w:bottom w:val="single" w:sz="8" w:color="D9D9D9"/>
            </w:tcBorders>
            <w:shd w:val="clear" w:color="auto" w:fill="D9D9D9"/>
          </w:tcPr>
          <w:p>
            <w:pPr>
              <w:spacing w:after="0"/>
              <w:rPr>
                <w:sz w:val="21"/>
                <w:szCs w:val="21"/>
                <w:color w:val="auto"/>
              </w:rPr>
            </w:pPr>
          </w:p>
        </w:tc>
        <w:tc>
          <w:tcPr>
            <w:tcW w:w="140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Non-Votes</w:t>
            </w:r>
          </w:p>
        </w:tc>
        <w:tc>
          <w:tcPr>
            <w:tcW w:w="80" w:type="dxa"/>
            <w:vAlign w:val="bottom"/>
            <w:tcBorders>
              <w:bottom w:val="single" w:sz="8" w:color="D9D9D9"/>
            </w:tcBorders>
            <w:shd w:val="clear" w:color="auto" w:fill="D9D9D9"/>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2"/>
          </w:tcPr>
          <w:p>
            <w:pPr>
              <w:spacing w:after="0" w:line="220" w:lineRule="exact"/>
              <w:rPr>
                <w:sz w:val="20"/>
                <w:szCs w:val="20"/>
                <w:color w:val="auto"/>
              </w:rPr>
            </w:pPr>
            <w:r>
              <w:rPr>
                <w:rFonts w:ascii="Times New Roman" w:cs="Times New Roman" w:eastAsia="Times New Roman" w:hAnsi="Times New Roman"/>
                <w:sz w:val="22"/>
                <w:szCs w:val="22"/>
                <w:color w:val="auto"/>
              </w:rPr>
              <w:t>Proposal One: Election of</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20" w:type="dxa"/>
            <w:vAlign w:val="bottom"/>
            <w:gridSpan w:val="2"/>
          </w:tcPr>
          <w:p>
            <w:pPr>
              <w:spacing w:after="0" w:line="220" w:lineRule="exact"/>
              <w:rPr>
                <w:sz w:val="20"/>
                <w:szCs w:val="20"/>
                <w:color w:val="auto"/>
              </w:rPr>
            </w:pPr>
            <w:r>
              <w:rPr>
                <w:rFonts w:ascii="Times New Roman" w:cs="Times New Roman" w:eastAsia="Times New Roman" w:hAnsi="Times New Roman"/>
                <w:sz w:val="22"/>
                <w:szCs w:val="22"/>
                <w:color w:val="auto"/>
              </w:rPr>
              <w:t>Plurality of the voting power of the</w:t>
            </w:r>
          </w:p>
        </w:tc>
        <w:tc>
          <w:tcPr>
            <w:tcW w:w="80" w:type="dxa"/>
            <w:vAlign w:val="bottom"/>
          </w:tcPr>
          <w:p>
            <w:pPr>
              <w:spacing w:after="0"/>
              <w:rPr>
                <w:sz w:val="19"/>
                <w:szCs w:val="19"/>
                <w:color w:val="auto"/>
              </w:rPr>
            </w:pPr>
          </w:p>
        </w:tc>
        <w:tc>
          <w:tcPr>
            <w:tcW w:w="1560" w:type="dxa"/>
            <w:vAlign w:val="bottom"/>
          </w:tcPr>
          <w:p>
            <w:pPr>
              <w:ind w:left="20"/>
              <w:spacing w:after="0" w:line="220" w:lineRule="exact"/>
              <w:rPr>
                <w:sz w:val="20"/>
                <w:szCs w:val="20"/>
                <w:color w:val="auto"/>
              </w:rPr>
            </w:pPr>
            <w:r>
              <w:rPr>
                <w:rFonts w:ascii="Times New Roman" w:cs="Times New Roman" w:eastAsia="Times New Roman" w:hAnsi="Times New Roman"/>
                <w:sz w:val="22"/>
                <w:szCs w:val="22"/>
                <w:color w:val="auto"/>
              </w:rPr>
              <w:t>Votes withheld</w:t>
            </w:r>
          </w:p>
        </w:tc>
        <w:tc>
          <w:tcPr>
            <w:tcW w:w="140" w:type="dxa"/>
            <w:vAlign w:val="bottom"/>
          </w:tcPr>
          <w:p>
            <w:pPr>
              <w:spacing w:after="0"/>
              <w:rPr>
                <w:sz w:val="19"/>
                <w:szCs w:val="19"/>
                <w:color w:val="auto"/>
              </w:rPr>
            </w:pPr>
          </w:p>
        </w:tc>
        <w:tc>
          <w:tcPr>
            <w:tcW w:w="148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22"/>
                <w:szCs w:val="22"/>
                <w:color w:val="auto"/>
              </w:rPr>
              <w:t>Broker non-</w:t>
            </w:r>
          </w:p>
        </w:tc>
      </w:tr>
      <w:tr>
        <w:trPr>
          <w:trHeight w:val="235"/>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top w:val="single" w:sz="8" w:color="auto"/>
            </w:tcBorders>
          </w:tcPr>
          <w:p>
            <w:pPr>
              <w:spacing w:after="0" w:line="235" w:lineRule="exact"/>
              <w:rPr>
                <w:sz w:val="20"/>
                <w:szCs w:val="20"/>
                <w:color w:val="auto"/>
              </w:rPr>
            </w:pPr>
            <w:r>
              <w:rPr>
                <w:rFonts w:ascii="Times New Roman" w:cs="Times New Roman" w:eastAsia="Times New Roman" w:hAnsi="Times New Roman"/>
                <w:sz w:val="22"/>
                <w:szCs w:val="22"/>
                <w:color w:val="auto"/>
              </w:rPr>
              <w:t>Directors</w:t>
            </w: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2"/>
          </w:tcPr>
          <w:p>
            <w:pPr>
              <w:spacing w:after="0" w:line="235" w:lineRule="exact"/>
              <w:rPr>
                <w:sz w:val="20"/>
                <w:szCs w:val="20"/>
                <w:color w:val="auto"/>
              </w:rPr>
            </w:pPr>
            <w:r>
              <w:rPr>
                <w:rFonts w:ascii="Times New Roman" w:cs="Times New Roman" w:eastAsia="Times New Roman" w:hAnsi="Times New Roman"/>
                <w:sz w:val="22"/>
                <w:szCs w:val="22"/>
                <w:color w:val="auto"/>
              </w:rPr>
              <w:t>shares present in person or</w:t>
            </w:r>
          </w:p>
        </w:tc>
        <w:tc>
          <w:tcPr>
            <w:tcW w:w="80" w:type="dxa"/>
            <w:vAlign w:val="bottom"/>
          </w:tcPr>
          <w:p>
            <w:pPr>
              <w:spacing w:after="0"/>
              <w:rPr>
                <w:sz w:val="20"/>
                <w:szCs w:val="20"/>
                <w:color w:val="auto"/>
              </w:rPr>
            </w:pPr>
          </w:p>
        </w:tc>
        <w:tc>
          <w:tcPr>
            <w:tcW w:w="1560" w:type="dxa"/>
            <w:vAlign w:val="bottom"/>
          </w:tcPr>
          <w:p>
            <w:pPr>
              <w:ind w:left="20"/>
              <w:spacing w:after="0" w:line="235" w:lineRule="exact"/>
              <w:rPr>
                <w:sz w:val="20"/>
                <w:szCs w:val="20"/>
                <w:color w:val="auto"/>
              </w:rPr>
            </w:pPr>
            <w:r>
              <w:rPr>
                <w:rFonts w:ascii="Times New Roman" w:cs="Times New Roman" w:eastAsia="Times New Roman" w:hAnsi="Times New Roman"/>
                <w:sz w:val="22"/>
                <w:szCs w:val="22"/>
                <w:color w:val="auto"/>
              </w:rPr>
              <w:t>will have no</w:t>
            </w:r>
          </w:p>
        </w:tc>
        <w:tc>
          <w:tcPr>
            <w:tcW w:w="140" w:type="dxa"/>
            <w:vAlign w:val="bottom"/>
          </w:tcPr>
          <w:p>
            <w:pPr>
              <w:spacing w:after="0"/>
              <w:rPr>
                <w:sz w:val="20"/>
                <w:szCs w:val="20"/>
                <w:color w:val="auto"/>
              </w:rPr>
            </w:pPr>
          </w:p>
        </w:tc>
        <w:tc>
          <w:tcPr>
            <w:tcW w:w="1480" w:type="dxa"/>
            <w:vAlign w:val="bottom"/>
            <w:gridSpan w:val="2"/>
          </w:tcPr>
          <w:p>
            <w:pPr>
              <w:jc w:val="center"/>
              <w:ind w:right="80"/>
              <w:spacing w:after="0" w:line="235" w:lineRule="exact"/>
              <w:rPr>
                <w:sz w:val="20"/>
                <w:szCs w:val="20"/>
                <w:color w:val="auto"/>
              </w:rPr>
            </w:pPr>
            <w:r>
              <w:rPr>
                <w:rFonts w:ascii="Times New Roman" w:cs="Times New Roman" w:eastAsia="Times New Roman" w:hAnsi="Times New Roman"/>
                <w:sz w:val="22"/>
                <w:szCs w:val="22"/>
                <w:color w:val="auto"/>
                <w:w w:val="99"/>
              </w:rPr>
              <w:t>votes will have</w:t>
            </w:r>
          </w:p>
        </w:tc>
      </w:tr>
      <w:tr>
        <w:trPr>
          <w:trHeight w:val="253"/>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represented by proxy at the</w:t>
            </w:r>
          </w:p>
        </w:tc>
        <w:tc>
          <w:tcPr>
            <w:tcW w:w="8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effect, unless</w:t>
            </w: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 effect.</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meeting and entitled to vote on the</w:t>
            </w:r>
          </w:p>
        </w:tc>
        <w:tc>
          <w:tcPr>
            <w:tcW w:w="8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there are more</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election of directors. This means</w:t>
            </w:r>
          </w:p>
        </w:tc>
        <w:tc>
          <w:tcPr>
            <w:tcW w:w="8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votes withheld</w:t>
            </w: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6"/>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2"/>
          </w:tcPr>
          <w:p>
            <w:pPr>
              <w:spacing w:after="0" w:line="246" w:lineRule="exact"/>
              <w:rPr>
                <w:sz w:val="20"/>
                <w:szCs w:val="20"/>
                <w:color w:val="auto"/>
              </w:rPr>
            </w:pPr>
            <w:r>
              <w:rPr>
                <w:rFonts w:ascii="Times New Roman" w:cs="Times New Roman" w:eastAsia="Times New Roman" w:hAnsi="Times New Roman"/>
                <w:sz w:val="22"/>
                <w:szCs w:val="22"/>
                <w:color w:val="auto"/>
              </w:rPr>
              <w:t>that the eight nominees receiving</w:t>
            </w:r>
          </w:p>
        </w:tc>
        <w:tc>
          <w:tcPr>
            <w:tcW w:w="80" w:type="dxa"/>
            <w:vAlign w:val="bottom"/>
          </w:tcPr>
          <w:p>
            <w:pPr>
              <w:spacing w:after="0"/>
              <w:rPr>
                <w:sz w:val="21"/>
                <w:szCs w:val="21"/>
                <w:color w:val="auto"/>
              </w:rPr>
            </w:pPr>
          </w:p>
        </w:tc>
        <w:tc>
          <w:tcPr>
            <w:tcW w:w="1560" w:type="dxa"/>
            <w:vAlign w:val="bottom"/>
          </w:tcPr>
          <w:p>
            <w:pPr>
              <w:ind w:left="20"/>
              <w:spacing w:after="0" w:line="246" w:lineRule="exact"/>
              <w:rPr>
                <w:sz w:val="20"/>
                <w:szCs w:val="20"/>
                <w:color w:val="auto"/>
              </w:rPr>
            </w:pPr>
            <w:r>
              <w:rPr>
                <w:rFonts w:ascii="Times New Roman" w:cs="Times New Roman" w:eastAsia="Times New Roman" w:hAnsi="Times New Roman"/>
                <w:sz w:val="22"/>
                <w:szCs w:val="22"/>
                <w:color w:val="auto"/>
              </w:rPr>
              <w:t>than “FOR”</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highest number of affirmative</w:t>
            </w:r>
          </w:p>
        </w:tc>
        <w:tc>
          <w:tcPr>
            <w:tcW w:w="80" w:type="dxa"/>
            <w:vAlign w:val="bottom"/>
          </w:tcPr>
          <w:p>
            <w:pPr>
              <w:spacing w:after="0"/>
              <w:rPr>
                <w:sz w:val="22"/>
                <w:szCs w:val="22"/>
                <w:color w:val="auto"/>
              </w:rPr>
            </w:pPr>
          </w:p>
        </w:tc>
        <w:tc>
          <w:tcPr>
            <w:tcW w:w="1560" w:type="dxa"/>
            <w:vAlign w:val="bottom"/>
          </w:tcPr>
          <w:p>
            <w:pPr>
              <w:ind w:left="20"/>
              <w:spacing w:after="0" w:line="261" w:lineRule="exact"/>
              <w:rPr>
                <w:sz w:val="20"/>
                <w:szCs w:val="20"/>
                <w:color w:val="auto"/>
              </w:rPr>
            </w:pPr>
            <w:r>
              <w:rPr>
                <w:rFonts w:ascii="Times New Roman" w:cs="Times New Roman" w:eastAsia="Times New Roman" w:hAnsi="Times New Roman"/>
                <w:sz w:val="22"/>
                <w:szCs w:val="22"/>
                <w:color w:val="auto"/>
              </w:rPr>
              <w:t>votes.</w:t>
            </w:r>
            <w:r>
              <w:rPr>
                <w:rFonts w:ascii="Times New Roman" w:cs="Times New Roman" w:eastAsia="Times New Roman" w:hAnsi="Times New Roman"/>
                <w:sz w:val="28"/>
                <w:szCs w:val="28"/>
                <w:color w:val="auto"/>
                <w:vertAlign w:val="superscript"/>
              </w:rPr>
              <w:t>(1)</w:t>
            </w: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6"/>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2"/>
          </w:tcPr>
          <w:p>
            <w:pPr>
              <w:spacing w:after="0" w:line="246" w:lineRule="exact"/>
              <w:rPr>
                <w:sz w:val="20"/>
                <w:szCs w:val="20"/>
                <w:color w:val="auto"/>
              </w:rPr>
            </w:pPr>
            <w:r>
              <w:rPr>
                <w:rFonts w:ascii="Times New Roman" w:cs="Times New Roman" w:eastAsia="Times New Roman" w:hAnsi="Times New Roman"/>
                <w:sz w:val="22"/>
                <w:szCs w:val="22"/>
                <w:color w:val="auto"/>
              </w:rPr>
              <w:t>“FOR” votes will be elected as</w:t>
            </w: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7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directors.</w:t>
            </w:r>
            <w:r>
              <w:rPr>
                <w:rFonts w:ascii="Times New Roman" w:cs="Times New Roman" w:eastAsia="Times New Roman" w:hAnsi="Times New Roman"/>
                <w:sz w:val="28"/>
                <w:szCs w:val="28"/>
                <w:color w:val="auto"/>
                <w:vertAlign w:val="superscript"/>
              </w:rPr>
              <w:t>(1)</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38" w:lineRule="exact"/>
        <w:rPr>
          <w:sz w:val="20"/>
          <w:szCs w:val="20"/>
          <w:color w:val="auto"/>
        </w:rPr>
      </w:pPr>
    </w:p>
    <w:p>
      <w:pPr>
        <w:sectPr>
          <w:pgSz w:w="12240" w:h="15840" w:orient="portrait"/>
          <w:cols w:equalWidth="0" w:num="1">
            <w:col w:w="9480"/>
          </w:cols>
          <w:pgMar w:left="1340" w:top="1413" w:right="1420" w:bottom="178" w:gutter="0" w:footer="0" w:header="0"/>
        </w:sectPr>
      </w:pPr>
    </w:p>
    <w:p>
      <w:pPr>
        <w:jc w:val="both"/>
        <w:ind w:left="100"/>
        <w:spacing w:after="0" w:line="292" w:lineRule="auto"/>
        <w:rPr>
          <w:sz w:val="20"/>
          <w:szCs w:val="20"/>
          <w:color w:val="auto"/>
        </w:rPr>
      </w:pPr>
      <w:r>
        <w:rPr>
          <w:rFonts w:ascii="Times New Roman" w:cs="Times New Roman" w:eastAsia="Times New Roman" w:hAnsi="Times New Roman"/>
          <w:sz w:val="21"/>
          <w:szCs w:val="21"/>
          <w:u w:val="single" w:color="auto"/>
          <w:color w:val="auto"/>
        </w:rPr>
        <w:t>Proposal Two</w:t>
      </w:r>
      <w:r>
        <w:rPr>
          <w:rFonts w:ascii="Times New Roman" w:cs="Times New Roman" w:eastAsia="Times New Roman" w:hAnsi="Times New Roman"/>
          <w:sz w:val="21"/>
          <w:szCs w:val="21"/>
          <w:color w:val="auto"/>
        </w:rPr>
        <w:t>: Advisory Vote on Executive Compensation</w:t>
      </w:r>
      <w:r>
        <w:rPr>
          <w:rFonts w:ascii="Times New Roman" w:cs="Times New Roman" w:eastAsia="Times New Roman" w:hAnsi="Times New Roman"/>
          <w:sz w:val="27"/>
          <w:szCs w:val="27"/>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Proposal Three</w:t>
      </w:r>
      <w:r>
        <w:rPr>
          <w:rFonts w:ascii="Times New Roman" w:cs="Times New Roman" w:eastAsia="Times New Roman" w:hAnsi="Times New Roman"/>
          <w:sz w:val="22"/>
          <w:szCs w:val="22"/>
          <w:color w:val="auto"/>
        </w:rPr>
        <w:t>: Advisory</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Vote on the Frequency of</w:t>
      </w:r>
    </w:p>
    <w:p>
      <w:pPr>
        <w:ind w:left="100"/>
        <w:spacing w:after="0"/>
        <w:rPr>
          <w:sz w:val="20"/>
          <w:szCs w:val="20"/>
          <w:color w:val="auto"/>
        </w:rPr>
      </w:pPr>
      <w:r>
        <w:rPr>
          <w:rFonts w:ascii="Times New Roman" w:cs="Times New Roman" w:eastAsia="Times New Roman" w:hAnsi="Times New Roman"/>
          <w:sz w:val="22"/>
          <w:szCs w:val="22"/>
          <w:color w:val="auto"/>
        </w:rPr>
        <w:t>Future Advisory Votes on</w:t>
      </w:r>
    </w:p>
    <w:p>
      <w:pPr>
        <w:ind w:left="100"/>
        <w:spacing w:after="0" w:line="228" w:lineRule="auto"/>
        <w:rPr>
          <w:sz w:val="20"/>
          <w:szCs w:val="20"/>
          <w:color w:val="auto"/>
        </w:rPr>
      </w:pPr>
      <w:r>
        <w:rPr>
          <w:rFonts w:ascii="Times New Roman" w:cs="Times New Roman" w:eastAsia="Times New Roman" w:hAnsi="Times New Roman"/>
          <w:sz w:val="22"/>
          <w:szCs w:val="22"/>
          <w:color w:val="auto"/>
        </w:rPr>
        <w:t>Executive Compensation</w:t>
      </w:r>
      <w:r>
        <w:rPr>
          <w:rFonts w:ascii="Times New Roman" w:cs="Times New Roman" w:eastAsia="Times New Roman" w:hAnsi="Times New Roman"/>
          <w:sz w:val="28"/>
          <w:szCs w:val="28"/>
          <w:color w:val="auto"/>
          <w:vertAlign w:val="superscript"/>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Affirmative vote of a majority of</w:t>
            </w: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Abstentions will</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Broker non-</w:t>
            </w: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the voting power of the shares</w:t>
            </w: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have the effect</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votes will have</w:t>
            </w: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present or represented by proxy at</w:t>
            </w: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of a vote against</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 effect.</w:t>
            </w: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the meeting and entitled to vote on</w:t>
            </w: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proposal.</w:t>
            </w:r>
          </w:p>
        </w:tc>
        <w:tc>
          <w:tcPr>
            <w:tcW w:w="1460" w:type="dxa"/>
            <w:vAlign w:val="bottom"/>
          </w:tcPr>
          <w:p>
            <w:pPr>
              <w:spacing w:after="0"/>
              <w:rPr>
                <w:sz w:val="22"/>
                <w:szCs w:val="22"/>
                <w:color w:val="auto"/>
              </w:rPr>
            </w:pPr>
          </w:p>
        </w:tc>
      </w:tr>
      <w:tr>
        <w:trPr>
          <w:trHeight w:val="294"/>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the proposal.</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65"/>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The frequency option receiving an</w:t>
            </w: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Abstentions will</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Broker non-</w:t>
            </w: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affirmative vote of a majority of</w:t>
            </w: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have the effect</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votes will have</w:t>
            </w: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the voting power of the shares</w:t>
            </w: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of a vote against</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 effect.</w:t>
            </w:r>
          </w:p>
        </w:tc>
      </w:tr>
      <w:tr>
        <w:trPr>
          <w:trHeight w:val="25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present in person or represented by</w:t>
            </w: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proposal.</w:t>
            </w:r>
          </w:p>
        </w:tc>
        <w:tc>
          <w:tcPr>
            <w:tcW w:w="1460" w:type="dxa"/>
            <w:vAlign w:val="bottom"/>
          </w:tcPr>
          <w:p>
            <w:pPr>
              <w:spacing w:after="0"/>
              <w:rPr>
                <w:sz w:val="21"/>
                <w:szCs w:val="21"/>
                <w:color w:val="auto"/>
              </w:rPr>
            </w:pP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proxy at the meeting and entitled</w:t>
            </w:r>
          </w:p>
        </w:tc>
        <w:tc>
          <w:tcPr>
            <w:tcW w:w="17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to vote will be the option selected</w:t>
            </w:r>
          </w:p>
        </w:tc>
        <w:tc>
          <w:tcPr>
            <w:tcW w:w="17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by the stockholders on this</w:t>
            </w:r>
          </w:p>
        </w:tc>
        <w:tc>
          <w:tcPr>
            <w:tcW w:w="17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advisory vote. If none of the</w:t>
            </w:r>
          </w:p>
        </w:tc>
        <w:tc>
          <w:tcPr>
            <w:tcW w:w="17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alternatives receives a majority</w:t>
            </w:r>
          </w:p>
        </w:tc>
        <w:tc>
          <w:tcPr>
            <w:tcW w:w="17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vote, then the frequency option</w:t>
            </w:r>
          </w:p>
        </w:tc>
        <w:tc>
          <w:tcPr>
            <w:tcW w:w="17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receiving the greatest number of</w:t>
            </w:r>
          </w:p>
        </w:tc>
        <w:tc>
          <w:tcPr>
            <w:tcW w:w="17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votes cast will be deemed the</w:t>
            </w:r>
          </w:p>
        </w:tc>
        <w:tc>
          <w:tcPr>
            <w:tcW w:w="17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preferred option on this advisory</w:t>
            </w:r>
          </w:p>
        </w:tc>
        <w:tc>
          <w:tcPr>
            <w:tcW w:w="17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94"/>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vote.</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2">
            <w:col w:w="2740" w:space="260"/>
            <w:col w:w="6480"/>
          </w:cols>
          <w:pgMar w:left="1340" w:top="1413" w:right="1420" w:bottom="17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ectPr>
          <w:pgSz w:w="12240" w:h="15840" w:orient="portrait"/>
          <w:cols w:equalWidth="0" w:num="1">
            <w:col w:w="9480"/>
          </w:cols>
          <w:pgMar w:left="1340" w:top="1413" w:right="1420" w:bottom="178"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240" w:type="dxa"/>
            <w:vAlign w:val="bottom"/>
            <w:shd w:val="clear" w:color="auto" w:fill="D9D9D9"/>
          </w:tcPr>
          <w:p>
            <w:pPr>
              <w:spacing w:after="0"/>
              <w:rPr>
                <w:sz w:val="19"/>
                <w:szCs w:val="19"/>
                <w:color w:val="auto"/>
              </w:rPr>
            </w:pPr>
          </w:p>
        </w:tc>
        <w:tc>
          <w:tcPr>
            <w:tcW w:w="144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314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80" w:type="dxa"/>
            <w:vAlign w:val="bottom"/>
            <w:tcBorders>
              <w:right w:val="single" w:sz="8" w:color="D9D9D9"/>
            </w:tcBorders>
          </w:tcPr>
          <w:p>
            <w:pPr>
              <w:spacing w:after="0"/>
              <w:rPr>
                <w:sz w:val="19"/>
                <w:szCs w:val="19"/>
                <w:color w:val="auto"/>
              </w:rPr>
            </w:pPr>
          </w:p>
        </w:tc>
        <w:tc>
          <w:tcPr>
            <w:tcW w:w="15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Effect of Votes</w:t>
            </w:r>
          </w:p>
        </w:tc>
        <w:tc>
          <w:tcPr>
            <w:tcW w:w="140" w:type="dxa"/>
            <w:vAlign w:val="bottom"/>
            <w:shd w:val="clear" w:color="auto" w:fill="D9D9D9"/>
          </w:tcPr>
          <w:p>
            <w:pPr>
              <w:spacing w:after="0"/>
              <w:rPr>
                <w:sz w:val="19"/>
                <w:szCs w:val="19"/>
                <w:color w:val="auto"/>
              </w:rPr>
            </w:pPr>
          </w:p>
        </w:tc>
        <w:tc>
          <w:tcPr>
            <w:tcW w:w="1480" w:type="dxa"/>
            <w:vAlign w:val="bottom"/>
            <w:gridSpan w:val="2"/>
            <w:shd w:val="clear" w:color="auto" w:fill="D9D9D9"/>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Effect of</w:t>
            </w:r>
          </w:p>
        </w:tc>
        <w:tc>
          <w:tcPr>
            <w:tcW w:w="0" w:type="dxa"/>
            <w:vAlign w:val="bottom"/>
          </w:tcPr>
          <w:p>
            <w:pPr>
              <w:spacing w:after="0"/>
              <w:rPr>
                <w:sz w:val="1"/>
                <w:szCs w:val="1"/>
                <w:color w:val="auto"/>
              </w:rPr>
            </w:pPr>
          </w:p>
        </w:tc>
      </w:tr>
      <w:tr>
        <w:trPr>
          <w:trHeight w:val="254"/>
        </w:trPr>
        <w:tc>
          <w:tcPr>
            <w:tcW w:w="80" w:type="dxa"/>
            <w:vAlign w:val="bottom"/>
            <w:shd w:val="clear" w:color="auto" w:fill="D9D9D9"/>
          </w:tcPr>
          <w:p>
            <w:pPr>
              <w:spacing w:after="0"/>
              <w:rPr>
                <w:sz w:val="22"/>
                <w:szCs w:val="22"/>
                <w:color w:val="auto"/>
              </w:rPr>
            </w:pPr>
          </w:p>
        </w:tc>
        <w:tc>
          <w:tcPr>
            <w:tcW w:w="20" w:type="dxa"/>
            <w:vAlign w:val="bottom"/>
            <w:shd w:val="clear" w:color="auto" w:fill="D9D9D9"/>
          </w:tcPr>
          <w:p>
            <w:pPr>
              <w:spacing w:after="0"/>
              <w:rPr>
                <w:sz w:val="22"/>
                <w:szCs w:val="22"/>
                <w:color w:val="auto"/>
              </w:rPr>
            </w:pPr>
          </w:p>
        </w:tc>
        <w:tc>
          <w:tcPr>
            <w:tcW w:w="1240" w:type="dxa"/>
            <w:vAlign w:val="bottom"/>
            <w:shd w:val="clear" w:color="auto" w:fill="D9D9D9"/>
          </w:tcPr>
          <w:p>
            <w:pPr>
              <w:spacing w:after="0"/>
              <w:rPr>
                <w:sz w:val="22"/>
                <w:szCs w:val="22"/>
                <w:color w:val="auto"/>
              </w:rPr>
            </w:pPr>
          </w:p>
        </w:tc>
        <w:tc>
          <w:tcPr>
            <w:tcW w:w="1440" w:type="dxa"/>
            <w:vAlign w:val="bottom"/>
            <w:shd w:val="clear" w:color="auto" w:fill="D9D9D9"/>
          </w:tcPr>
          <w:p>
            <w:pPr>
              <w:spacing w:after="0"/>
              <w:rPr>
                <w:sz w:val="22"/>
                <w:szCs w:val="22"/>
                <w:color w:val="auto"/>
              </w:rPr>
            </w:pPr>
          </w:p>
        </w:tc>
        <w:tc>
          <w:tcPr>
            <w:tcW w:w="4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40" w:type="dxa"/>
            <w:vAlign w:val="bottom"/>
            <w:shd w:val="clear" w:color="auto" w:fill="D9D9D9"/>
          </w:tcPr>
          <w:p>
            <w:pPr>
              <w:spacing w:after="0"/>
              <w:rPr>
                <w:sz w:val="22"/>
                <w:szCs w:val="22"/>
                <w:color w:val="auto"/>
              </w:rPr>
            </w:pPr>
          </w:p>
        </w:tc>
        <w:tc>
          <w:tcPr>
            <w:tcW w:w="314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80" w:type="dxa"/>
            <w:vAlign w:val="bottom"/>
            <w:tcBorders>
              <w:right w:val="single" w:sz="8" w:color="D9D9D9"/>
            </w:tcBorders>
          </w:tcPr>
          <w:p>
            <w:pPr>
              <w:spacing w:after="0"/>
              <w:rPr>
                <w:sz w:val="22"/>
                <w:szCs w:val="22"/>
                <w:color w:val="auto"/>
              </w:rPr>
            </w:pPr>
          </w:p>
        </w:tc>
        <w:tc>
          <w:tcPr>
            <w:tcW w:w="15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Withheld /</w:t>
            </w:r>
          </w:p>
        </w:tc>
        <w:tc>
          <w:tcPr>
            <w:tcW w:w="140" w:type="dxa"/>
            <w:vAlign w:val="bottom"/>
            <w:shd w:val="clear" w:color="auto" w:fill="D9D9D9"/>
          </w:tcPr>
          <w:p>
            <w:pPr>
              <w:spacing w:after="0"/>
              <w:rPr>
                <w:sz w:val="22"/>
                <w:szCs w:val="22"/>
                <w:color w:val="auto"/>
              </w:rPr>
            </w:pPr>
          </w:p>
        </w:tc>
        <w:tc>
          <w:tcPr>
            <w:tcW w:w="1480" w:type="dxa"/>
            <w:vAlign w:val="bottom"/>
            <w:gridSpan w:val="2"/>
            <w:shd w:val="clear" w:color="auto" w:fill="D9D9D9"/>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Broker</w:t>
            </w:r>
          </w:p>
        </w:tc>
        <w:tc>
          <w:tcPr>
            <w:tcW w:w="0" w:type="dxa"/>
            <w:vAlign w:val="bottom"/>
          </w:tcPr>
          <w:p>
            <w:pPr>
              <w:spacing w:after="0"/>
              <w:rPr>
                <w:sz w:val="1"/>
                <w:szCs w:val="1"/>
                <w:color w:val="auto"/>
              </w:rPr>
            </w:pPr>
          </w:p>
        </w:tc>
      </w:tr>
      <w:tr>
        <w:trPr>
          <w:trHeight w:val="250"/>
        </w:trPr>
        <w:tc>
          <w:tcPr>
            <w:tcW w:w="80" w:type="dxa"/>
            <w:vAlign w:val="bottom"/>
            <w:tcBorders>
              <w:bottom w:val="single" w:sz="8" w:color="D9D9D9"/>
            </w:tcBorders>
            <w:shd w:val="clear" w:color="auto" w:fill="D9D9D9"/>
          </w:tcPr>
          <w:p>
            <w:pPr>
              <w:spacing w:after="0"/>
              <w:rPr>
                <w:sz w:val="21"/>
                <w:szCs w:val="21"/>
                <w:color w:val="auto"/>
              </w:rPr>
            </w:pPr>
          </w:p>
        </w:tc>
        <w:tc>
          <w:tcPr>
            <w:tcW w:w="20" w:type="dxa"/>
            <w:vAlign w:val="bottom"/>
            <w:tcBorders>
              <w:bottom w:val="single" w:sz="8" w:color="auto"/>
            </w:tcBorders>
            <w:shd w:val="clear" w:color="auto" w:fill="D9D9D9"/>
          </w:tcPr>
          <w:p>
            <w:pPr>
              <w:spacing w:after="0"/>
              <w:rPr>
                <w:sz w:val="21"/>
                <w:szCs w:val="21"/>
                <w:color w:val="auto"/>
              </w:rPr>
            </w:pPr>
          </w:p>
        </w:tc>
        <w:tc>
          <w:tcPr>
            <w:tcW w:w="2680" w:type="dxa"/>
            <w:vAlign w:val="bottom"/>
            <w:tcBorders>
              <w:bottom w:val="single" w:sz="8" w:color="auto"/>
            </w:tcBorders>
            <w:gridSpan w:val="2"/>
            <w:shd w:val="clear" w:color="auto" w:fill="D9D9D9"/>
          </w:tcPr>
          <w:p>
            <w:pPr>
              <w:spacing w:after="0"/>
              <w:rPr>
                <w:sz w:val="20"/>
                <w:szCs w:val="20"/>
                <w:color w:val="auto"/>
              </w:rPr>
            </w:pPr>
            <w:r>
              <w:rPr>
                <w:rFonts w:ascii="Times New Roman" w:cs="Times New Roman" w:eastAsia="Times New Roman" w:hAnsi="Times New Roman"/>
                <w:sz w:val="20"/>
                <w:szCs w:val="20"/>
                <w:b w:val="1"/>
                <w:bCs w:val="1"/>
                <w:color w:val="auto"/>
              </w:rPr>
              <w:t>Proposal</w:t>
            </w:r>
          </w:p>
        </w:tc>
        <w:tc>
          <w:tcPr>
            <w:tcW w:w="40" w:type="dxa"/>
            <w:vAlign w:val="bottom"/>
            <w:tcBorders>
              <w:bottom w:val="single" w:sz="8" w:color="auto"/>
            </w:tcBorders>
            <w:shd w:val="clear" w:color="auto" w:fill="D9D9D9"/>
          </w:tcPr>
          <w:p>
            <w:pPr>
              <w:spacing w:after="0"/>
              <w:rPr>
                <w:sz w:val="21"/>
                <w:szCs w:val="21"/>
                <w:color w:val="auto"/>
              </w:rPr>
            </w:pPr>
          </w:p>
        </w:tc>
        <w:tc>
          <w:tcPr>
            <w:tcW w:w="140" w:type="dxa"/>
            <w:vAlign w:val="bottom"/>
            <w:tcBorders>
              <w:bottom w:val="single" w:sz="8" w:color="D9D9D9"/>
            </w:tcBorders>
            <w:shd w:val="clear" w:color="auto" w:fill="D9D9D9"/>
          </w:tcPr>
          <w:p>
            <w:pPr>
              <w:spacing w:after="0"/>
              <w:rPr>
                <w:sz w:val="21"/>
                <w:szCs w:val="21"/>
                <w:color w:val="auto"/>
              </w:rPr>
            </w:pPr>
          </w:p>
        </w:tc>
        <w:tc>
          <w:tcPr>
            <w:tcW w:w="40" w:type="dxa"/>
            <w:vAlign w:val="bottom"/>
            <w:tcBorders>
              <w:bottom w:val="single" w:sz="8" w:color="auto"/>
            </w:tcBorders>
            <w:shd w:val="clear" w:color="auto" w:fill="D9D9D9"/>
          </w:tcPr>
          <w:p>
            <w:pPr>
              <w:spacing w:after="0"/>
              <w:rPr>
                <w:sz w:val="21"/>
                <w:szCs w:val="21"/>
                <w:color w:val="auto"/>
              </w:rPr>
            </w:pPr>
          </w:p>
        </w:tc>
        <w:tc>
          <w:tcPr>
            <w:tcW w:w="3140" w:type="dxa"/>
            <w:vAlign w:val="bottom"/>
            <w:tcBorders>
              <w:bottom w:val="single" w:sz="8" w:color="auto"/>
            </w:tcBorders>
            <w:shd w:val="clear" w:color="auto" w:fill="D9D9D9"/>
          </w:tcPr>
          <w:p>
            <w:pPr>
              <w:ind w:left="900"/>
              <w:spacing w:after="0"/>
              <w:rPr>
                <w:sz w:val="20"/>
                <w:szCs w:val="20"/>
                <w:color w:val="auto"/>
              </w:rPr>
            </w:pPr>
            <w:r>
              <w:rPr>
                <w:rFonts w:ascii="Times New Roman" w:cs="Times New Roman" w:eastAsia="Times New Roman" w:hAnsi="Times New Roman"/>
                <w:sz w:val="20"/>
                <w:szCs w:val="20"/>
                <w:b w:val="1"/>
                <w:bCs w:val="1"/>
                <w:color w:val="auto"/>
              </w:rPr>
              <w:t>Votes Required</w:t>
            </w:r>
          </w:p>
        </w:tc>
        <w:tc>
          <w:tcPr>
            <w:tcW w:w="80" w:type="dxa"/>
            <w:vAlign w:val="bottom"/>
            <w:tcBorders>
              <w:bottom w:val="single" w:sz="8" w:color="D9D9D9"/>
            </w:tcBorders>
            <w:shd w:val="clear" w:color="auto" w:fill="D9D9D9"/>
          </w:tcPr>
          <w:p>
            <w:pPr>
              <w:spacing w:after="0"/>
              <w:rPr>
                <w:sz w:val="21"/>
                <w:szCs w:val="21"/>
                <w:color w:val="auto"/>
              </w:rPr>
            </w:pPr>
          </w:p>
        </w:tc>
        <w:tc>
          <w:tcPr>
            <w:tcW w:w="80" w:type="dxa"/>
            <w:vAlign w:val="bottom"/>
            <w:tcBorders>
              <w:right w:val="single" w:sz="8" w:color="D9D9D9"/>
            </w:tcBorders>
          </w:tcPr>
          <w:p>
            <w:pPr>
              <w:spacing w:after="0"/>
              <w:rPr>
                <w:sz w:val="21"/>
                <w:szCs w:val="21"/>
                <w:color w:val="auto"/>
              </w:rPr>
            </w:pPr>
          </w:p>
        </w:tc>
        <w:tc>
          <w:tcPr>
            <w:tcW w:w="156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Abstentions</w:t>
            </w:r>
          </w:p>
        </w:tc>
        <w:tc>
          <w:tcPr>
            <w:tcW w:w="140" w:type="dxa"/>
            <w:vAlign w:val="bottom"/>
            <w:tcBorders>
              <w:bottom w:val="single" w:sz="8" w:color="D9D9D9"/>
            </w:tcBorders>
            <w:shd w:val="clear" w:color="auto" w:fill="D9D9D9"/>
          </w:tcPr>
          <w:p>
            <w:pPr>
              <w:spacing w:after="0"/>
              <w:rPr>
                <w:sz w:val="21"/>
                <w:szCs w:val="21"/>
                <w:color w:val="auto"/>
              </w:rPr>
            </w:pPr>
          </w:p>
        </w:tc>
        <w:tc>
          <w:tcPr>
            <w:tcW w:w="140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Non-Votes</w:t>
            </w:r>
          </w:p>
        </w:tc>
        <w:tc>
          <w:tcPr>
            <w:tcW w:w="80" w:type="dxa"/>
            <w:vAlign w:val="bottom"/>
            <w:tcBorders>
              <w:bottom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2"/>
          </w:tcPr>
          <w:p>
            <w:pPr>
              <w:spacing w:after="0" w:line="220" w:lineRule="exact"/>
              <w:rPr>
                <w:sz w:val="20"/>
                <w:szCs w:val="20"/>
                <w:color w:val="auto"/>
              </w:rPr>
            </w:pPr>
            <w:r>
              <w:rPr>
                <w:rFonts w:ascii="Times New Roman" w:cs="Times New Roman" w:eastAsia="Times New Roman" w:hAnsi="Times New Roman"/>
                <w:sz w:val="22"/>
                <w:szCs w:val="22"/>
                <w:color w:val="auto"/>
              </w:rPr>
              <w:t>Proposal Four: Ratification of</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20" w:type="dxa"/>
            <w:vAlign w:val="bottom"/>
            <w:gridSpan w:val="2"/>
          </w:tcPr>
          <w:p>
            <w:pPr>
              <w:spacing w:after="0" w:line="220" w:lineRule="exact"/>
              <w:rPr>
                <w:sz w:val="20"/>
                <w:szCs w:val="20"/>
                <w:color w:val="auto"/>
              </w:rPr>
            </w:pPr>
            <w:r>
              <w:rPr>
                <w:rFonts w:ascii="Times New Roman" w:cs="Times New Roman" w:eastAsia="Times New Roman" w:hAnsi="Times New Roman"/>
                <w:sz w:val="22"/>
                <w:szCs w:val="22"/>
                <w:color w:val="auto"/>
              </w:rPr>
              <w:t>Affirmative vote of a majority of</w:t>
            </w:r>
          </w:p>
        </w:tc>
        <w:tc>
          <w:tcPr>
            <w:tcW w:w="80" w:type="dxa"/>
            <w:vAlign w:val="bottom"/>
          </w:tcPr>
          <w:p>
            <w:pPr>
              <w:spacing w:after="0"/>
              <w:rPr>
                <w:sz w:val="19"/>
                <w:szCs w:val="19"/>
                <w:color w:val="auto"/>
              </w:rPr>
            </w:pPr>
          </w:p>
        </w:tc>
        <w:tc>
          <w:tcPr>
            <w:tcW w:w="1560" w:type="dxa"/>
            <w:vAlign w:val="bottom"/>
          </w:tcPr>
          <w:p>
            <w:pPr>
              <w:jc w:val="center"/>
              <w:spacing w:after="0" w:line="220" w:lineRule="exact"/>
              <w:rPr>
                <w:sz w:val="20"/>
                <w:szCs w:val="20"/>
                <w:color w:val="auto"/>
              </w:rPr>
            </w:pPr>
            <w:r>
              <w:rPr>
                <w:rFonts w:ascii="Times New Roman" w:cs="Times New Roman" w:eastAsia="Times New Roman" w:hAnsi="Times New Roman"/>
                <w:sz w:val="22"/>
                <w:szCs w:val="22"/>
                <w:color w:val="auto"/>
              </w:rPr>
              <w:t>Abstentions will</w:t>
            </w:r>
          </w:p>
        </w:tc>
        <w:tc>
          <w:tcPr>
            <w:tcW w:w="140" w:type="dxa"/>
            <w:vAlign w:val="bottom"/>
          </w:tcPr>
          <w:p>
            <w:pPr>
              <w:spacing w:after="0"/>
              <w:rPr>
                <w:sz w:val="19"/>
                <w:szCs w:val="19"/>
                <w:color w:val="auto"/>
              </w:rPr>
            </w:pPr>
          </w:p>
        </w:tc>
        <w:tc>
          <w:tcPr>
            <w:tcW w:w="148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22"/>
                <w:szCs w:val="22"/>
                <w:color w:val="auto"/>
              </w:rPr>
              <w:t>We do not</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top w:val="single" w:sz="8" w:color="auto"/>
            </w:tcBorders>
          </w:tcPr>
          <w:p>
            <w:pPr>
              <w:spacing w:after="0" w:line="233" w:lineRule="exact"/>
              <w:rPr>
                <w:sz w:val="20"/>
                <w:szCs w:val="20"/>
                <w:color w:val="auto"/>
              </w:rPr>
            </w:pPr>
            <w:r>
              <w:rPr>
                <w:rFonts w:ascii="Times New Roman" w:cs="Times New Roman" w:eastAsia="Times New Roman" w:hAnsi="Times New Roman"/>
                <w:sz w:val="22"/>
                <w:szCs w:val="22"/>
                <w:color w:val="auto"/>
              </w:rPr>
              <w:t>Appointment</w:t>
            </w:r>
          </w:p>
        </w:tc>
        <w:tc>
          <w:tcPr>
            <w:tcW w:w="144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of Independent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color w:val="auto"/>
              </w:rPr>
              <w:t>the voting power of the shares</w:t>
            </w:r>
          </w:p>
        </w:tc>
        <w:tc>
          <w:tcPr>
            <w:tcW w:w="80" w:type="dxa"/>
            <w:vAlign w:val="bottom"/>
          </w:tcPr>
          <w:p>
            <w:pPr>
              <w:spacing w:after="0"/>
              <w:rPr>
                <w:sz w:val="20"/>
                <w:szCs w:val="20"/>
                <w:color w:val="auto"/>
              </w:rPr>
            </w:pPr>
          </w:p>
        </w:tc>
        <w:tc>
          <w:tcPr>
            <w:tcW w:w="1560" w:type="dxa"/>
            <w:vAlign w:val="bottom"/>
          </w:tcPr>
          <w:p>
            <w:pPr>
              <w:ind w:left="20"/>
              <w:spacing w:after="0" w:line="233" w:lineRule="exact"/>
              <w:rPr>
                <w:sz w:val="20"/>
                <w:szCs w:val="20"/>
                <w:color w:val="auto"/>
              </w:rPr>
            </w:pPr>
            <w:r>
              <w:rPr>
                <w:rFonts w:ascii="Times New Roman" w:cs="Times New Roman" w:eastAsia="Times New Roman" w:hAnsi="Times New Roman"/>
                <w:sz w:val="22"/>
                <w:szCs w:val="22"/>
                <w:color w:val="auto"/>
              </w:rPr>
              <w:t>have the effect</w:t>
            </w:r>
          </w:p>
        </w:tc>
        <w:tc>
          <w:tcPr>
            <w:tcW w:w="140" w:type="dxa"/>
            <w:vAlign w:val="bottom"/>
          </w:tcPr>
          <w:p>
            <w:pPr>
              <w:spacing w:after="0"/>
              <w:rPr>
                <w:sz w:val="20"/>
                <w:szCs w:val="20"/>
                <w:color w:val="auto"/>
              </w:rPr>
            </w:pPr>
          </w:p>
        </w:tc>
        <w:tc>
          <w:tcPr>
            <w:tcW w:w="1480" w:type="dxa"/>
            <w:vAlign w:val="bottom"/>
            <w:gridSpan w:val="2"/>
          </w:tcPr>
          <w:p>
            <w:pPr>
              <w:ind w:left="40"/>
              <w:spacing w:after="0" w:line="233" w:lineRule="exact"/>
              <w:rPr>
                <w:sz w:val="20"/>
                <w:szCs w:val="20"/>
                <w:color w:val="auto"/>
              </w:rPr>
            </w:pPr>
            <w:r>
              <w:rPr>
                <w:rFonts w:ascii="Times New Roman" w:cs="Times New Roman" w:eastAsia="Times New Roman" w:hAnsi="Times New Roman"/>
                <w:sz w:val="22"/>
                <w:szCs w:val="22"/>
                <w:color w:val="auto"/>
              </w:rPr>
              <w:t>expect any</w:t>
            </w:r>
          </w:p>
        </w:tc>
        <w:tc>
          <w:tcPr>
            <w:tcW w:w="0" w:type="dxa"/>
            <w:vAlign w:val="bottom"/>
          </w:tcPr>
          <w:p>
            <w:pPr>
              <w:spacing w:after="0"/>
              <w:rPr>
                <w:sz w:val="1"/>
                <w:szCs w:val="1"/>
                <w:color w:val="auto"/>
              </w:rPr>
            </w:pPr>
          </w:p>
        </w:tc>
      </w:tr>
      <w:tr>
        <w:trPr>
          <w:trHeight w:val="253"/>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Registered Public Accounting</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present or represented by proxy at</w:t>
            </w:r>
          </w:p>
        </w:tc>
        <w:tc>
          <w:tcPr>
            <w:tcW w:w="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of a vote against</w:t>
            </w: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broker non-</w:t>
            </w:r>
          </w:p>
        </w:tc>
        <w:tc>
          <w:tcPr>
            <w:tcW w:w="0" w:type="dxa"/>
            <w:vAlign w:val="bottom"/>
          </w:tcPr>
          <w:p>
            <w:pPr>
              <w:spacing w:after="0"/>
              <w:rPr>
                <w:sz w:val="1"/>
                <w:szCs w:val="1"/>
                <w:color w:val="auto"/>
              </w:rPr>
            </w:pPr>
          </w:p>
        </w:tc>
      </w:tr>
      <w:tr>
        <w:trPr>
          <w:trHeight w:val="246"/>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2"/>
          </w:tcPr>
          <w:p>
            <w:pPr>
              <w:spacing w:after="0" w:line="246" w:lineRule="exact"/>
              <w:rPr>
                <w:sz w:val="20"/>
                <w:szCs w:val="20"/>
                <w:color w:val="auto"/>
              </w:rPr>
            </w:pPr>
            <w:r>
              <w:rPr>
                <w:rFonts w:ascii="Times New Roman" w:cs="Times New Roman" w:eastAsia="Times New Roman" w:hAnsi="Times New Roman"/>
                <w:sz w:val="22"/>
                <w:szCs w:val="22"/>
                <w:color w:val="auto"/>
              </w:rPr>
              <w:t>Firm</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2"/>
          </w:tcPr>
          <w:p>
            <w:pPr>
              <w:spacing w:after="0" w:line="246" w:lineRule="exact"/>
              <w:rPr>
                <w:sz w:val="20"/>
                <w:szCs w:val="20"/>
                <w:color w:val="auto"/>
              </w:rPr>
            </w:pPr>
            <w:r>
              <w:rPr>
                <w:rFonts w:ascii="Times New Roman" w:cs="Times New Roman" w:eastAsia="Times New Roman" w:hAnsi="Times New Roman"/>
                <w:sz w:val="22"/>
                <w:szCs w:val="22"/>
                <w:color w:val="auto"/>
              </w:rPr>
              <w:t>the meeting and entitled to vote on</w:t>
            </w:r>
          </w:p>
        </w:tc>
        <w:tc>
          <w:tcPr>
            <w:tcW w:w="80" w:type="dxa"/>
            <w:vAlign w:val="bottom"/>
          </w:tcPr>
          <w:p>
            <w:pPr>
              <w:spacing w:after="0"/>
              <w:rPr>
                <w:sz w:val="21"/>
                <w:szCs w:val="21"/>
                <w:color w:val="auto"/>
              </w:rPr>
            </w:pPr>
          </w:p>
        </w:tc>
        <w:tc>
          <w:tcPr>
            <w:tcW w:w="1560" w:type="dxa"/>
            <w:vAlign w:val="bottom"/>
          </w:tcPr>
          <w:p>
            <w:pPr>
              <w:ind w:left="20"/>
              <w:spacing w:after="0" w:line="246" w:lineRule="exact"/>
              <w:rPr>
                <w:sz w:val="20"/>
                <w:szCs w:val="20"/>
                <w:color w:val="auto"/>
              </w:rPr>
            </w:pPr>
            <w:r>
              <w:rPr>
                <w:rFonts w:ascii="Times New Roman" w:cs="Times New Roman" w:eastAsia="Times New Roman" w:hAnsi="Times New Roman"/>
                <w:sz w:val="22"/>
                <w:szCs w:val="22"/>
                <w:color w:val="auto"/>
              </w:rPr>
              <w:t>the proposal.</w:t>
            </w:r>
          </w:p>
        </w:tc>
        <w:tc>
          <w:tcPr>
            <w:tcW w:w="140" w:type="dxa"/>
            <w:vAlign w:val="bottom"/>
          </w:tcPr>
          <w:p>
            <w:pPr>
              <w:spacing w:after="0"/>
              <w:rPr>
                <w:sz w:val="21"/>
                <w:szCs w:val="21"/>
                <w:color w:val="auto"/>
              </w:rPr>
            </w:pPr>
          </w:p>
        </w:tc>
        <w:tc>
          <w:tcPr>
            <w:tcW w:w="1480" w:type="dxa"/>
            <w:vAlign w:val="bottom"/>
            <w:gridSpan w:val="2"/>
          </w:tcPr>
          <w:p>
            <w:pPr>
              <w:ind w:left="40"/>
              <w:spacing w:after="0" w:line="246" w:lineRule="exact"/>
              <w:rPr>
                <w:sz w:val="20"/>
                <w:szCs w:val="20"/>
                <w:color w:val="auto"/>
              </w:rPr>
            </w:pPr>
            <w:r>
              <w:rPr>
                <w:rFonts w:ascii="Times New Roman" w:cs="Times New Roman" w:eastAsia="Times New Roman" w:hAnsi="Times New Roman"/>
                <w:sz w:val="22"/>
                <w:szCs w:val="22"/>
                <w:color w:val="auto"/>
              </w:rPr>
              <w:t>votes on this</w:t>
            </w:r>
          </w:p>
        </w:tc>
        <w:tc>
          <w:tcPr>
            <w:tcW w:w="0" w:type="dxa"/>
            <w:vAlign w:val="bottom"/>
          </w:tcPr>
          <w:p>
            <w:pPr>
              <w:spacing w:after="0"/>
              <w:rPr>
                <w:sz w:val="1"/>
                <w:szCs w:val="1"/>
                <w:color w:val="auto"/>
              </w:rPr>
            </w:pPr>
          </w:p>
        </w:tc>
      </w:tr>
      <w:tr>
        <w:trPr>
          <w:trHeight w:val="375"/>
        </w:trPr>
        <w:tc>
          <w:tcPr>
            <w:tcW w:w="2780" w:type="dxa"/>
            <w:vAlign w:val="bottom"/>
            <w:gridSpan w:val="4"/>
            <w:vMerge w:val="restart"/>
          </w:tcPr>
          <w:p>
            <w:pPr>
              <w:ind w:left="100"/>
              <w:spacing w:after="0"/>
              <w:rPr>
                <w:sz w:val="20"/>
                <w:szCs w:val="20"/>
                <w:color w:val="auto"/>
              </w:rPr>
            </w:pPr>
            <w:r>
              <w:rPr>
                <w:rFonts w:ascii="Times New Roman" w:cs="Times New Roman" w:eastAsia="Times New Roman" w:hAnsi="Times New Roman"/>
                <w:sz w:val="22"/>
                <w:szCs w:val="22"/>
                <w:color w:val="auto"/>
              </w:rPr>
              <w:t>________________________</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proposal.</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proposal.</w:t>
            </w:r>
            <w:r>
              <w:rPr>
                <w:rFonts w:ascii="Times New Roman" w:cs="Times New Roman" w:eastAsia="Times New Roman" w:hAnsi="Times New Roman"/>
                <w:sz w:val="28"/>
                <w:szCs w:val="28"/>
                <w:color w:val="auto"/>
                <w:vertAlign w:val="superscript"/>
              </w:rPr>
              <w:t>(4)</w:t>
            </w:r>
          </w:p>
        </w:tc>
        <w:tc>
          <w:tcPr>
            <w:tcW w:w="0" w:type="dxa"/>
            <w:vAlign w:val="bottom"/>
          </w:tcPr>
          <w:p>
            <w:pPr>
              <w:spacing w:after="0"/>
              <w:rPr>
                <w:sz w:val="1"/>
                <w:szCs w:val="1"/>
                <w:color w:val="auto"/>
              </w:rPr>
            </w:pPr>
          </w:p>
        </w:tc>
      </w:tr>
      <w:tr>
        <w:trPr>
          <w:trHeight w:val="180"/>
        </w:trPr>
        <w:tc>
          <w:tcPr>
            <w:tcW w:w="27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820" w:right="80" w:hanging="720"/>
        <w:spacing w:after="0" w:line="249" w:lineRule="auto"/>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our Corporate Governance Guidelines, in an uncontested election of directors, any nominee for director who receives a greater number of votes “withheld” from his or her election than votes “for” his or her election by stockholders present in person or by proxy at the Annual Meeting and entitled to vote in the election of directors is required to tender a written offer to resign from the Board of Directors within five business days of the certification of the stockholder vote by the Inspector of Election.</w:t>
      </w:r>
    </w:p>
    <w:p>
      <w:pPr>
        <w:spacing w:after="0" w:line="197" w:lineRule="exact"/>
        <w:rPr>
          <w:rFonts w:ascii="Times New Roman" w:cs="Times New Roman" w:eastAsia="Times New Roman" w:hAnsi="Times New Roman"/>
          <w:sz w:val="20"/>
          <w:szCs w:val="20"/>
          <w:color w:val="auto"/>
        </w:rPr>
      </w:pPr>
    </w:p>
    <w:p>
      <w:pPr>
        <w:ind w:left="820" w:right="20" w:hanging="720"/>
        <w:spacing w:after="0" w:line="277" w:lineRule="auto"/>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an advisory vote, the Compensation Committee and Board expect to take in account the outcome of this vote when considering future executive compensation.</w:t>
      </w:r>
    </w:p>
    <w:p>
      <w:pPr>
        <w:spacing w:after="0" w:line="159" w:lineRule="exact"/>
        <w:rPr>
          <w:rFonts w:ascii="Times New Roman" w:cs="Times New Roman" w:eastAsia="Times New Roman" w:hAnsi="Times New Roman"/>
          <w:sz w:val="20"/>
          <w:szCs w:val="20"/>
          <w:color w:val="auto"/>
        </w:rPr>
      </w:pPr>
    </w:p>
    <w:p>
      <w:pPr>
        <w:ind w:left="820" w:right="20" w:hanging="720"/>
        <w:spacing w:after="0" w:line="277" w:lineRule="auto"/>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an advisory vote, the Compensation Committee and Board expect to take in account the outcome of this vote when considering the frequency of future advisory votes on executive compensation.</w:t>
      </w:r>
    </w:p>
    <w:p>
      <w:pPr>
        <w:spacing w:after="0" w:line="159" w:lineRule="exact"/>
        <w:rPr>
          <w:rFonts w:ascii="Times New Roman" w:cs="Times New Roman" w:eastAsia="Times New Roman" w:hAnsi="Times New Roman"/>
          <w:sz w:val="20"/>
          <w:szCs w:val="20"/>
          <w:color w:val="auto"/>
        </w:rPr>
      </w:pPr>
    </w:p>
    <w:p>
      <w:pPr>
        <w:jc w:val="both"/>
        <w:ind w:left="820" w:right="20" w:hanging="720"/>
        <w:spacing w:after="0" w:line="258" w:lineRule="auto"/>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applicable NYSE rules, brokers and custodians may vote on a ratification of appointment of independent registered public accounting firm proposal in their discretion; and therefore, we do not expect any broker non-votes on this proposal.</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Other Business</w:t>
      </w:r>
    </w:p>
    <w:p>
      <w:pPr>
        <w:spacing w:after="0" w:line="243" w:lineRule="exact"/>
        <w:rPr>
          <w:sz w:val="20"/>
          <w:szCs w:val="20"/>
          <w:color w:val="auto"/>
        </w:rPr>
      </w:pPr>
    </w:p>
    <w:p>
      <w:pPr>
        <w:ind w:left="100" w:right="40"/>
        <w:spacing w:after="0" w:line="249" w:lineRule="auto"/>
        <w:rPr>
          <w:sz w:val="20"/>
          <w:szCs w:val="20"/>
          <w:color w:val="auto"/>
        </w:rPr>
      </w:pPr>
      <w:r>
        <w:rPr>
          <w:rFonts w:ascii="Times New Roman" w:cs="Times New Roman" w:eastAsia="Times New Roman" w:hAnsi="Times New Roman"/>
          <w:sz w:val="22"/>
          <w:szCs w:val="22"/>
          <w:color w:val="auto"/>
        </w:rPr>
        <w:t>Our management does not intend to present other items of business and knows of no items of business that are likely to be brought before the Annual Meeting, except those described in this proxy statement. However, if any other matters should properly come before the Annual Meeting, the persons named on the proxy card will have discretionary authority to vote such proxy in accordance with their best judgment on the matters.</w:t>
      </w:r>
    </w:p>
    <w:p>
      <w:pPr>
        <w:spacing w:after="0" w:line="1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Procedures at the Annual Meeting</w:t>
      </w:r>
    </w:p>
    <w:p>
      <w:pPr>
        <w:spacing w:after="0" w:line="244" w:lineRule="exact"/>
        <w:rPr>
          <w:sz w:val="20"/>
          <w:szCs w:val="20"/>
          <w:color w:val="auto"/>
        </w:rPr>
      </w:pPr>
    </w:p>
    <w:p>
      <w:pPr>
        <w:ind w:left="100" w:right="40"/>
        <w:spacing w:after="0" w:line="247" w:lineRule="auto"/>
        <w:rPr>
          <w:sz w:val="20"/>
          <w:szCs w:val="20"/>
          <w:color w:val="auto"/>
        </w:rPr>
      </w:pPr>
      <w:r>
        <w:rPr>
          <w:rFonts w:ascii="Times New Roman" w:cs="Times New Roman" w:eastAsia="Times New Roman" w:hAnsi="Times New Roman"/>
          <w:sz w:val="22"/>
          <w:szCs w:val="22"/>
          <w:color w:val="auto"/>
        </w:rPr>
        <w:t>The presiding officer at the Annual Meeting will determine how business at the meeting will be conducted. Only matters brought before the Annual Meeting in accordance with our Bylaws will be considered. Only a natural person present at the Annual Meeting who is either one of our stockholders, or is acting on behalf of one of our stockholders, may make a motion or second a motion. A person acting on behalf of a stockholder must present a written statement executed by the stockholder or the duly-authorized representative of the stockholder on whose behalf the person purports to act.</w:t>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Householding of Annual Meeting Materials</w:t>
      </w:r>
    </w:p>
    <w:p>
      <w:pPr>
        <w:spacing w:after="0" w:line="244" w:lineRule="exact"/>
        <w:rPr>
          <w:sz w:val="20"/>
          <w:szCs w:val="20"/>
          <w:color w:val="auto"/>
        </w:rPr>
      </w:pPr>
    </w:p>
    <w:p>
      <w:pPr>
        <w:ind w:left="100" w:right="20"/>
        <w:spacing w:after="0" w:line="258" w:lineRule="auto"/>
        <w:rPr>
          <w:sz w:val="20"/>
          <w:szCs w:val="20"/>
          <w:color w:val="auto"/>
        </w:rPr>
      </w:pPr>
      <w:r>
        <w:rPr>
          <w:rFonts w:ascii="Times New Roman" w:cs="Times New Roman" w:eastAsia="Times New Roman" w:hAnsi="Times New Roman"/>
          <w:sz w:val="21"/>
          <w:szCs w:val="21"/>
          <w:color w:val="auto"/>
        </w:rPr>
        <w:t>Some banks, brokers and other nominee record holders may be participating in the practice of “householding” proxy statements, annual reports and the Notice of Internet Availability of Proxy Materials. This means that only one proxy statement, Annual Report to Stockholders or Notice of Internet Availability of Proxy Materials may have been sent to multiple stockholders in each household, unless contrary instructions have been given. We will promptly deliver any of these documents to any stockholder upon written or oral request to our Stockholder Information Department, Northern Technologies International Corporation, 4201 Woodland Road, Circle Pines, Minnesota 55014, telephone: (763) 225-6637. Any stockholder who wants to receive separate copies of this proxy statement,</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18</w:t>
      </w:r>
    </w:p>
    <w:p>
      <w:pPr>
        <w:sectPr>
          <w:pgSz w:w="12240" w:h="15840" w:orient="portrait"/>
          <w:cols w:equalWidth="0" w:num="1">
            <w:col w:w="9480"/>
          </w:cols>
          <w:pgMar w:left="1340" w:top="1415" w:right="1420" w:bottom="178" w:gutter="0" w:footer="0" w:header="0"/>
        </w:sectPr>
      </w:pPr>
    </w:p>
    <w:bookmarkStart w:id="25" w:name="page26"/>
    <w:bookmarkEnd w:id="25"/>
    <w:p>
      <w:pPr>
        <w:ind w:right="100"/>
        <w:spacing w:after="0" w:line="252" w:lineRule="auto"/>
        <w:rPr>
          <w:sz w:val="20"/>
          <w:szCs w:val="20"/>
          <w:color w:val="auto"/>
        </w:rPr>
      </w:pPr>
      <w:r>
        <w:rPr>
          <w:rFonts w:ascii="Times New Roman" w:cs="Times New Roman" w:eastAsia="Times New Roman" w:hAnsi="Times New Roman"/>
          <w:sz w:val="22"/>
          <w:szCs w:val="22"/>
          <w:color w:val="auto"/>
        </w:rPr>
        <w:t>our Annual Report to Stockholders or the Notice of Internet Availability of Proxy Materials in the future, or any stockholder who is receiving multiple copies and would like to receive only one copy per household, should contact the stockholder’s bank, broker or other nominee record holder, or the stockholder may contact us at the above address and telephone number.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Proxy Solicitation Costs</w:t>
      </w:r>
    </w:p>
    <w:p>
      <w:pPr>
        <w:spacing w:after="0" w:line="24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color w:val="auto"/>
        </w:rPr>
        <w:t>The cost of soliciting proxies, including the preparation, assembly, electronic availability and mailing of proxies and soliciting material, as well as the cost of making available or forwarding this material to the beneficial owners of our common stock, will be borne by NTIC. Our directors, officers and regular employees may, without compensation other than their regular compensation, solicit proxies by telephone, e-mail, facsimile or personal conversation. We may reimburse brokerage firms and others for expenses in making available or forwarding solicitation materials to the beneficial owners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2240" w:h="15840" w:orient="portrait"/>
          <w:cols w:equalWidth="0" w:num="1">
            <w:col w:w="9360"/>
          </w:cols>
          <w:pgMar w:left="1440" w:top="1417" w:right="1440" w:bottom="178" w:gutter="0" w:footer="0" w:header="0"/>
        </w:sectPr>
      </w:pPr>
    </w:p>
    <w:bookmarkStart w:id="26" w:name="page27"/>
    <w:bookmarkEnd w:id="26"/>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PROPOSAL ONE—ELECTION OF DIRECTORS</w:t>
      </w:r>
    </w:p>
    <w:p>
      <w:pPr>
        <w:spacing w:after="0" w:line="3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Number of Directors</w:t>
      </w:r>
    </w:p>
    <w:p>
      <w:pPr>
        <w:spacing w:after="0" w:line="243" w:lineRule="exact"/>
        <w:rPr>
          <w:sz w:val="20"/>
          <w:szCs w:val="20"/>
          <w:color w:val="auto"/>
        </w:rPr>
      </w:pPr>
    </w:p>
    <w:p>
      <w:pPr>
        <w:jc w:val="both"/>
        <w:ind w:left="180" w:right="400"/>
        <w:spacing w:after="0" w:line="259" w:lineRule="auto"/>
        <w:rPr>
          <w:sz w:val="20"/>
          <w:szCs w:val="20"/>
          <w:color w:val="auto"/>
        </w:rPr>
      </w:pPr>
      <w:r>
        <w:rPr>
          <w:rFonts w:ascii="Times New Roman" w:cs="Times New Roman" w:eastAsia="Times New Roman" w:hAnsi="Times New Roman"/>
          <w:sz w:val="22"/>
          <w:szCs w:val="22"/>
          <w:color w:val="auto"/>
        </w:rPr>
        <w:t>Our Third Amended and Restated Bylaws provide that the Board of Directors will consist of that number of directors as may be determined by the Board of Directors or by the stockholders at an annual meeting. The Board of Directors has fixed the number of directors at eight.</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Nominees for Director</w:t>
      </w:r>
    </w:p>
    <w:p>
      <w:pPr>
        <w:spacing w:after="0" w:line="244" w:lineRule="exact"/>
        <w:rPr>
          <w:sz w:val="20"/>
          <w:szCs w:val="20"/>
          <w:color w:val="auto"/>
        </w:rPr>
      </w:pPr>
    </w:p>
    <w:p>
      <w:pPr>
        <w:ind w:left="180" w:right="560"/>
        <w:spacing w:after="0" w:line="258" w:lineRule="auto"/>
        <w:rPr>
          <w:sz w:val="20"/>
          <w:szCs w:val="20"/>
          <w:color w:val="auto"/>
        </w:rPr>
      </w:pPr>
      <w:r>
        <w:rPr>
          <w:rFonts w:ascii="Times New Roman" w:cs="Times New Roman" w:eastAsia="Times New Roman" w:hAnsi="Times New Roman"/>
          <w:sz w:val="22"/>
          <w:szCs w:val="22"/>
          <w:color w:val="auto"/>
        </w:rPr>
        <w:t>The Board of Directors has nominated the following eight individuals to serve as our directors until the next annual meeting of stockholders or until their successors are elected and qualified. All nominees named below are current members of the Board of Directors.</w:t>
      </w:r>
    </w:p>
    <w:p>
      <w:pPr>
        <w:spacing w:after="0" w:line="182"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240" w:type="dxa"/>
            <w:vAlign w:val="bottom"/>
          </w:tcPr>
          <w:p>
            <w:pPr>
              <w:spacing w:after="0"/>
              <w:rPr>
                <w:sz w:val="20"/>
                <w:szCs w:val="20"/>
                <w:color w:val="auto"/>
              </w:rPr>
            </w:pPr>
            <w:r>
              <w:rPr>
                <w:rFonts w:ascii="Arial" w:cs="Arial" w:eastAsia="Arial" w:hAnsi="Arial"/>
                <w:sz w:val="20"/>
                <w:szCs w:val="20"/>
                <w:color w:val="auto"/>
              </w:rPr>
              <w:t>x</w:t>
            </w:r>
          </w:p>
        </w:tc>
        <w:tc>
          <w:tcPr>
            <w:tcW w:w="30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Nancy E. Calderon</w:t>
            </w:r>
          </w:p>
        </w:tc>
        <w:tc>
          <w:tcPr>
            <w:tcW w:w="1320" w:type="dxa"/>
            <w:vAlign w:val="bottom"/>
          </w:tcPr>
          <w:p>
            <w:pPr>
              <w:ind w:left="1100"/>
              <w:spacing w:after="0"/>
              <w:rPr>
                <w:sz w:val="20"/>
                <w:szCs w:val="20"/>
                <w:color w:val="auto"/>
              </w:rPr>
            </w:pPr>
            <w:r>
              <w:rPr>
                <w:rFonts w:ascii="Arial" w:cs="Arial" w:eastAsia="Arial" w:hAnsi="Arial"/>
                <w:sz w:val="20"/>
                <w:szCs w:val="20"/>
                <w:color w:val="auto"/>
              </w:rPr>
              <w:t>x</w:t>
            </w:r>
          </w:p>
        </w:tc>
        <w:tc>
          <w:tcPr>
            <w:tcW w:w="27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Ramani Narayan, Ph.D.</w:t>
            </w:r>
          </w:p>
        </w:tc>
      </w:tr>
      <w:tr>
        <w:trPr>
          <w:trHeight w:val="253"/>
        </w:trPr>
        <w:tc>
          <w:tcPr>
            <w:tcW w:w="240" w:type="dxa"/>
            <w:vAlign w:val="bottom"/>
          </w:tcPr>
          <w:p>
            <w:pPr>
              <w:spacing w:after="0"/>
              <w:rPr>
                <w:sz w:val="20"/>
                <w:szCs w:val="20"/>
                <w:color w:val="auto"/>
              </w:rPr>
            </w:pPr>
            <w:r>
              <w:rPr>
                <w:rFonts w:ascii="Arial" w:cs="Arial" w:eastAsia="Arial" w:hAnsi="Arial"/>
                <w:sz w:val="20"/>
                <w:szCs w:val="20"/>
                <w:color w:val="auto"/>
              </w:rPr>
              <w:t>x</w:t>
            </w:r>
          </w:p>
        </w:tc>
        <w:tc>
          <w:tcPr>
            <w:tcW w:w="30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Sarah E. Kemp</w:t>
            </w:r>
          </w:p>
        </w:tc>
        <w:tc>
          <w:tcPr>
            <w:tcW w:w="1320" w:type="dxa"/>
            <w:vAlign w:val="bottom"/>
          </w:tcPr>
          <w:p>
            <w:pPr>
              <w:ind w:left="1100"/>
              <w:spacing w:after="0"/>
              <w:rPr>
                <w:sz w:val="20"/>
                <w:szCs w:val="20"/>
                <w:color w:val="auto"/>
              </w:rPr>
            </w:pPr>
            <w:r>
              <w:rPr>
                <w:rFonts w:ascii="Arial" w:cs="Arial" w:eastAsia="Arial" w:hAnsi="Arial"/>
                <w:sz w:val="20"/>
                <w:szCs w:val="20"/>
                <w:color w:val="auto"/>
              </w:rPr>
              <w:t>x</w:t>
            </w:r>
          </w:p>
        </w:tc>
        <w:tc>
          <w:tcPr>
            <w:tcW w:w="27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Richard J. Nigon</w:t>
            </w:r>
          </w:p>
        </w:tc>
      </w:tr>
      <w:tr>
        <w:trPr>
          <w:trHeight w:val="252"/>
        </w:trPr>
        <w:tc>
          <w:tcPr>
            <w:tcW w:w="240" w:type="dxa"/>
            <w:vAlign w:val="bottom"/>
          </w:tcPr>
          <w:p>
            <w:pPr>
              <w:spacing w:after="0"/>
              <w:rPr>
                <w:sz w:val="20"/>
                <w:szCs w:val="20"/>
                <w:color w:val="auto"/>
              </w:rPr>
            </w:pPr>
            <w:r>
              <w:rPr>
                <w:rFonts w:ascii="Arial" w:cs="Arial" w:eastAsia="Arial" w:hAnsi="Arial"/>
                <w:sz w:val="20"/>
                <w:szCs w:val="20"/>
                <w:color w:val="auto"/>
              </w:rPr>
              <w:t>x</w:t>
            </w:r>
          </w:p>
        </w:tc>
        <w:tc>
          <w:tcPr>
            <w:tcW w:w="30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Sunggyu Lee, Ph.D.</w:t>
            </w:r>
          </w:p>
        </w:tc>
        <w:tc>
          <w:tcPr>
            <w:tcW w:w="1320" w:type="dxa"/>
            <w:vAlign w:val="bottom"/>
          </w:tcPr>
          <w:p>
            <w:pPr>
              <w:ind w:left="1100"/>
              <w:spacing w:after="0"/>
              <w:rPr>
                <w:sz w:val="20"/>
                <w:szCs w:val="20"/>
                <w:color w:val="auto"/>
              </w:rPr>
            </w:pPr>
            <w:r>
              <w:rPr>
                <w:rFonts w:ascii="Arial" w:cs="Arial" w:eastAsia="Arial" w:hAnsi="Arial"/>
                <w:sz w:val="20"/>
                <w:szCs w:val="20"/>
                <w:color w:val="auto"/>
              </w:rPr>
              <w:t>x</w:t>
            </w:r>
          </w:p>
        </w:tc>
        <w:tc>
          <w:tcPr>
            <w:tcW w:w="27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Cristina Pinho</w:t>
            </w:r>
          </w:p>
        </w:tc>
      </w:tr>
      <w:tr>
        <w:trPr>
          <w:trHeight w:val="294"/>
        </w:trPr>
        <w:tc>
          <w:tcPr>
            <w:tcW w:w="240" w:type="dxa"/>
            <w:vAlign w:val="bottom"/>
          </w:tcPr>
          <w:p>
            <w:pPr>
              <w:spacing w:after="0"/>
              <w:rPr>
                <w:sz w:val="20"/>
                <w:szCs w:val="20"/>
                <w:color w:val="auto"/>
              </w:rPr>
            </w:pPr>
            <w:r>
              <w:rPr>
                <w:rFonts w:ascii="Arial" w:cs="Arial" w:eastAsia="Arial" w:hAnsi="Arial"/>
                <w:sz w:val="20"/>
                <w:szCs w:val="20"/>
                <w:color w:val="auto"/>
              </w:rPr>
              <w:t>x</w:t>
            </w:r>
          </w:p>
        </w:tc>
        <w:tc>
          <w:tcPr>
            <w:tcW w:w="30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 Patrick Lynch</w:t>
            </w:r>
          </w:p>
        </w:tc>
        <w:tc>
          <w:tcPr>
            <w:tcW w:w="1320" w:type="dxa"/>
            <w:vAlign w:val="bottom"/>
          </w:tcPr>
          <w:p>
            <w:pPr>
              <w:ind w:left="1100"/>
              <w:spacing w:after="0"/>
              <w:rPr>
                <w:sz w:val="20"/>
                <w:szCs w:val="20"/>
                <w:color w:val="auto"/>
              </w:rPr>
            </w:pPr>
            <w:r>
              <w:rPr>
                <w:rFonts w:ascii="Arial" w:cs="Arial" w:eastAsia="Arial" w:hAnsi="Arial"/>
                <w:sz w:val="20"/>
                <w:szCs w:val="20"/>
                <w:color w:val="auto"/>
              </w:rPr>
              <w:t>x</w:t>
            </w:r>
          </w:p>
        </w:tc>
        <w:tc>
          <w:tcPr>
            <w:tcW w:w="27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Konstantin von Falkenhausen</w:t>
            </w:r>
          </w:p>
        </w:tc>
      </w:tr>
    </w:tbl>
    <w:p>
      <w:pPr>
        <w:spacing w:after="0" w:line="200" w:lineRule="exact"/>
        <w:rPr>
          <w:sz w:val="20"/>
          <w:szCs w:val="20"/>
          <w:color w:val="auto"/>
        </w:rPr>
      </w:pPr>
    </w:p>
    <w:p>
      <w:pPr>
        <w:ind w:left="180" w:right="320"/>
        <w:spacing w:after="0" w:line="247" w:lineRule="auto"/>
        <w:rPr>
          <w:sz w:val="20"/>
          <w:szCs w:val="20"/>
          <w:color w:val="auto"/>
        </w:rPr>
      </w:pPr>
      <w:r>
        <w:rPr>
          <w:rFonts w:ascii="Times New Roman" w:cs="Times New Roman" w:eastAsia="Times New Roman" w:hAnsi="Times New Roman"/>
          <w:sz w:val="22"/>
          <w:szCs w:val="22"/>
          <w:color w:val="auto"/>
        </w:rPr>
        <w:t>Proxies can only be voted for the number of persons named as nominees in this proxy statement, which is eight. If prior to the Annual Meeting, the Board of Directors should learn that any nominee will be unable to serve for any reason, the proxies that otherwise would have been voted for this nominee will be voted for a substitute nominee as selected by the Board. Alternatively, the proxies, at the Board’s discretion, may be voted for that fewer number of nominees as results from the inability of any nominee to serve. The Board of Directors has no reason to believe that any of the nominees will be unable to serve.</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Information about Current Directors and Board Nominees</w:t>
      </w:r>
    </w:p>
    <w:p>
      <w:pPr>
        <w:spacing w:after="0" w:line="244" w:lineRule="exact"/>
        <w:rPr>
          <w:sz w:val="20"/>
          <w:szCs w:val="20"/>
          <w:color w:val="auto"/>
        </w:rPr>
      </w:pPr>
    </w:p>
    <w:p>
      <w:pPr>
        <w:jc w:val="both"/>
        <w:ind w:left="180" w:right="560"/>
        <w:spacing w:after="0" w:line="259" w:lineRule="auto"/>
        <w:rPr>
          <w:sz w:val="20"/>
          <w:szCs w:val="20"/>
          <w:color w:val="auto"/>
        </w:rPr>
      </w:pPr>
      <w:r>
        <w:rPr>
          <w:rFonts w:ascii="Times New Roman" w:cs="Times New Roman" w:eastAsia="Times New Roman" w:hAnsi="Times New Roman"/>
          <w:sz w:val="22"/>
          <w:szCs w:val="22"/>
          <w:color w:val="auto"/>
        </w:rPr>
        <w:t>The following table sets forth the name, age and principal occupation of each current director and each individual who has been nominated by the Board of Directors to serve as a director of NTIC, as well as how long each individual has served as a director of NTIC.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shd w:val="clear" w:color="auto" w:fill="D9D9D9"/>
          </w:tcPr>
          <w:p>
            <w:pPr>
              <w:spacing w:after="0"/>
              <w:rPr>
                <w:sz w:val="19"/>
                <w:szCs w:val="19"/>
                <w:color w:val="auto"/>
              </w:rPr>
            </w:pPr>
          </w:p>
        </w:tc>
        <w:tc>
          <w:tcPr>
            <w:tcW w:w="306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48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476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60" w:type="dxa"/>
            <w:vAlign w:val="bottom"/>
            <w:tcBorders>
              <w:right w:val="single" w:sz="8" w:color="D9D9D9"/>
            </w:tcBorders>
          </w:tcPr>
          <w:p>
            <w:pPr>
              <w:spacing w:after="0"/>
              <w:rPr>
                <w:sz w:val="19"/>
                <w:szCs w:val="19"/>
                <w:color w:val="auto"/>
              </w:rPr>
            </w:pPr>
          </w:p>
        </w:tc>
        <w:tc>
          <w:tcPr>
            <w:tcW w:w="9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highlight w:val="lightGray"/>
              </w:rPr>
              <w:t>Director</w:t>
            </w:r>
          </w:p>
        </w:tc>
        <w:tc>
          <w:tcPr>
            <w:tcW w:w="8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 w:type="dxa"/>
            <w:vAlign w:val="bottom"/>
            <w:tcBorders>
              <w:bottom w:val="single" w:sz="8" w:color="D9D9D9"/>
            </w:tcBorders>
            <w:shd w:val="clear" w:color="auto" w:fill="D9D9D9"/>
          </w:tcPr>
          <w:p>
            <w:pPr>
              <w:spacing w:after="0"/>
              <w:rPr>
                <w:sz w:val="21"/>
                <w:szCs w:val="21"/>
                <w:color w:val="auto"/>
              </w:rPr>
            </w:pPr>
          </w:p>
        </w:tc>
        <w:tc>
          <w:tcPr>
            <w:tcW w:w="306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20" w:type="dxa"/>
            <w:vAlign w:val="bottom"/>
            <w:tcBorders>
              <w:bottom w:val="single" w:sz="8" w:color="auto"/>
            </w:tcBorders>
            <w:shd w:val="clear" w:color="auto" w:fill="D9D9D9"/>
          </w:tcPr>
          <w:p>
            <w:pPr>
              <w:spacing w:after="0"/>
              <w:rPr>
                <w:sz w:val="21"/>
                <w:szCs w:val="21"/>
                <w:color w:val="auto"/>
              </w:rPr>
            </w:pPr>
          </w:p>
        </w:tc>
        <w:tc>
          <w:tcPr>
            <w:tcW w:w="160" w:type="dxa"/>
            <w:vAlign w:val="bottom"/>
            <w:tcBorders>
              <w:bottom w:val="single" w:sz="8" w:color="D9D9D9"/>
            </w:tcBorders>
            <w:shd w:val="clear" w:color="auto" w:fill="D9D9D9"/>
          </w:tcPr>
          <w:p>
            <w:pPr>
              <w:spacing w:after="0"/>
              <w:rPr>
                <w:sz w:val="21"/>
                <w:szCs w:val="21"/>
                <w:color w:val="auto"/>
              </w:rPr>
            </w:pPr>
          </w:p>
        </w:tc>
        <w:tc>
          <w:tcPr>
            <w:tcW w:w="480" w:type="dxa"/>
            <w:vAlign w:val="bottom"/>
            <w:tcBorders>
              <w:bottom w:val="single" w:sz="8" w:color="auto"/>
            </w:tcBorders>
            <w:shd w:val="clear" w:color="auto" w:fill="D9D9D9"/>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highlight w:val="lightGray"/>
              </w:rPr>
              <w:t>Age</w:t>
            </w:r>
          </w:p>
        </w:tc>
        <w:tc>
          <w:tcPr>
            <w:tcW w:w="140" w:type="dxa"/>
            <w:vAlign w:val="bottom"/>
            <w:tcBorders>
              <w:bottom w:val="single" w:sz="8" w:color="D9D9D9"/>
            </w:tcBorders>
            <w:shd w:val="clear" w:color="auto" w:fill="D9D9D9"/>
          </w:tcPr>
          <w:p>
            <w:pPr>
              <w:spacing w:after="0"/>
              <w:rPr>
                <w:sz w:val="21"/>
                <w:szCs w:val="21"/>
                <w:color w:val="auto"/>
              </w:rPr>
            </w:pPr>
          </w:p>
        </w:tc>
        <w:tc>
          <w:tcPr>
            <w:tcW w:w="4760" w:type="dxa"/>
            <w:vAlign w:val="bottom"/>
            <w:tcBorders>
              <w:bottom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20"/>
                <w:szCs w:val="20"/>
                <w:b w:val="1"/>
                <w:bCs w:val="1"/>
                <w:color w:val="auto"/>
              </w:rPr>
              <w:t>Principal Occupation</w:t>
            </w:r>
          </w:p>
        </w:tc>
        <w:tc>
          <w:tcPr>
            <w:tcW w:w="80" w:type="dxa"/>
            <w:vAlign w:val="bottom"/>
            <w:tcBorders>
              <w:bottom w:val="single" w:sz="8" w:color="D9D9D9"/>
            </w:tcBorders>
            <w:shd w:val="clear" w:color="auto" w:fill="D9D9D9"/>
          </w:tcPr>
          <w:p>
            <w:pPr>
              <w:spacing w:after="0"/>
              <w:rPr>
                <w:sz w:val="21"/>
                <w:szCs w:val="21"/>
                <w:color w:val="auto"/>
              </w:rPr>
            </w:pPr>
          </w:p>
        </w:tc>
        <w:tc>
          <w:tcPr>
            <w:tcW w:w="60" w:type="dxa"/>
            <w:vAlign w:val="bottom"/>
            <w:tcBorders>
              <w:right w:val="single" w:sz="8" w:color="D9D9D9"/>
            </w:tcBorders>
          </w:tcPr>
          <w:p>
            <w:pPr>
              <w:spacing w:after="0"/>
              <w:rPr>
                <w:sz w:val="21"/>
                <w:szCs w:val="21"/>
                <w:color w:val="auto"/>
              </w:rPr>
            </w:pPr>
          </w:p>
        </w:tc>
        <w:tc>
          <w:tcPr>
            <w:tcW w:w="90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Since</w:t>
            </w:r>
          </w:p>
        </w:tc>
        <w:tc>
          <w:tcPr>
            <w:tcW w:w="80" w:type="dxa"/>
            <w:vAlign w:val="bottom"/>
            <w:tcBorders>
              <w:bottom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060" w:type="dxa"/>
            <w:vAlign w:val="bottom"/>
          </w:tcPr>
          <w:p>
            <w:pPr>
              <w:ind w:left="20"/>
              <w:spacing w:after="0" w:line="214" w:lineRule="exact"/>
              <w:rPr>
                <w:sz w:val="20"/>
                <w:szCs w:val="20"/>
                <w:color w:val="auto"/>
              </w:rPr>
            </w:pPr>
            <w:r>
              <w:rPr>
                <w:rFonts w:ascii="Times New Roman" w:cs="Times New Roman" w:eastAsia="Times New Roman" w:hAnsi="Times New Roman"/>
                <w:sz w:val="19"/>
                <w:szCs w:val="19"/>
                <w:color w:val="auto"/>
              </w:rPr>
              <w:t>Nancy E. Calderon</w:t>
            </w:r>
            <w:r>
              <w:rPr>
                <w:rFonts w:ascii="Times New Roman" w:cs="Times New Roman" w:eastAsia="Times New Roman" w:hAnsi="Times New Roman"/>
                <w:sz w:val="24"/>
                <w:szCs w:val="24"/>
                <w:color w:val="auto"/>
                <w:vertAlign w:val="superscript"/>
              </w:rPr>
              <w:t>(1)(2)</w:t>
            </w:r>
          </w:p>
        </w:tc>
        <w:tc>
          <w:tcPr>
            <w:tcW w:w="660" w:type="dxa"/>
            <w:vAlign w:val="bottom"/>
            <w:gridSpan w:val="3"/>
          </w:tcPr>
          <w:p>
            <w:pPr>
              <w:jc w:val="right"/>
              <w:ind w:right="40"/>
              <w:spacing w:after="0" w:line="214" w:lineRule="exact"/>
              <w:rPr>
                <w:sz w:val="20"/>
                <w:szCs w:val="20"/>
                <w:color w:val="auto"/>
              </w:rPr>
            </w:pPr>
            <w:r>
              <w:rPr>
                <w:rFonts w:ascii="Times New Roman" w:cs="Times New Roman" w:eastAsia="Times New Roman" w:hAnsi="Times New Roman"/>
                <w:sz w:val="22"/>
                <w:szCs w:val="22"/>
                <w:color w:val="auto"/>
              </w:rPr>
              <w:t>66</w:t>
            </w:r>
          </w:p>
        </w:tc>
        <w:tc>
          <w:tcPr>
            <w:tcW w:w="140" w:type="dxa"/>
            <w:vAlign w:val="bottom"/>
          </w:tcPr>
          <w:p>
            <w:pPr>
              <w:spacing w:after="0"/>
              <w:rPr>
                <w:sz w:val="18"/>
                <w:szCs w:val="18"/>
                <w:color w:val="auto"/>
              </w:rPr>
            </w:pPr>
          </w:p>
        </w:tc>
        <w:tc>
          <w:tcPr>
            <w:tcW w:w="4840" w:type="dxa"/>
            <w:vAlign w:val="bottom"/>
            <w:gridSpan w:val="2"/>
          </w:tcPr>
          <w:p>
            <w:pPr>
              <w:ind w:left="40"/>
              <w:spacing w:after="0" w:line="214" w:lineRule="exact"/>
              <w:rPr>
                <w:sz w:val="20"/>
                <w:szCs w:val="20"/>
                <w:color w:val="auto"/>
              </w:rPr>
            </w:pPr>
            <w:r>
              <w:rPr>
                <w:rFonts w:ascii="Times New Roman" w:cs="Times New Roman" w:eastAsia="Times New Roman" w:hAnsi="Times New Roman"/>
                <w:sz w:val="22"/>
                <w:szCs w:val="22"/>
                <w:color w:val="auto"/>
              </w:rPr>
              <w:t>Former Partner of KPMG LLP</w:t>
            </w:r>
          </w:p>
        </w:tc>
        <w:tc>
          <w:tcPr>
            <w:tcW w:w="60" w:type="dxa"/>
            <w:vAlign w:val="bottom"/>
          </w:tcPr>
          <w:p>
            <w:pPr>
              <w:spacing w:after="0"/>
              <w:rPr>
                <w:sz w:val="18"/>
                <w:szCs w:val="18"/>
                <w:color w:val="auto"/>
              </w:rPr>
            </w:pPr>
          </w:p>
        </w:tc>
        <w:tc>
          <w:tcPr>
            <w:tcW w:w="900" w:type="dxa"/>
            <w:vAlign w:val="bottom"/>
          </w:tcPr>
          <w:p>
            <w:pPr>
              <w:jc w:val="center"/>
              <w:spacing w:after="0" w:line="214" w:lineRule="exact"/>
              <w:rPr>
                <w:sz w:val="20"/>
                <w:szCs w:val="20"/>
                <w:color w:val="auto"/>
              </w:rPr>
            </w:pPr>
            <w:r>
              <w:rPr>
                <w:rFonts w:ascii="Times New Roman" w:cs="Times New Roman" w:eastAsia="Times New Roman" w:hAnsi="Times New Roman"/>
                <w:sz w:val="22"/>
                <w:szCs w:val="22"/>
                <w:color w:val="auto"/>
                <w:w w:val="99"/>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80" w:type="dxa"/>
            <w:vAlign w:val="bottom"/>
          </w:tcPr>
          <w:p>
            <w:pPr>
              <w:spacing w:after="0"/>
              <w:rPr>
                <w:sz w:val="22"/>
                <w:szCs w:val="22"/>
                <w:color w:val="auto"/>
              </w:rPr>
            </w:pPr>
          </w:p>
        </w:tc>
        <w:tc>
          <w:tcPr>
            <w:tcW w:w="3060" w:type="dxa"/>
            <w:vAlign w:val="bottom"/>
          </w:tcPr>
          <w:p>
            <w:pPr>
              <w:ind w:left="20"/>
              <w:spacing w:after="0" w:line="259" w:lineRule="exact"/>
              <w:rPr>
                <w:sz w:val="20"/>
                <w:szCs w:val="20"/>
                <w:color w:val="auto"/>
              </w:rPr>
            </w:pPr>
            <w:r>
              <w:rPr>
                <w:rFonts w:ascii="Times New Roman" w:cs="Times New Roman" w:eastAsia="Times New Roman" w:hAnsi="Times New Roman"/>
                <w:sz w:val="22"/>
                <w:szCs w:val="22"/>
                <w:color w:val="auto"/>
              </w:rPr>
              <w:t>Sarah E. Kemp</w:t>
            </w:r>
            <w:r>
              <w:rPr>
                <w:rFonts w:ascii="Times New Roman" w:cs="Times New Roman" w:eastAsia="Times New Roman" w:hAnsi="Times New Roman"/>
                <w:sz w:val="28"/>
                <w:szCs w:val="28"/>
                <w:color w:val="auto"/>
                <w:vertAlign w:val="superscript"/>
              </w:rPr>
              <w:t>(3)</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59</w:t>
            </w:r>
          </w:p>
        </w:tc>
        <w:tc>
          <w:tcPr>
            <w:tcW w:w="140" w:type="dxa"/>
            <w:vAlign w:val="bottom"/>
          </w:tcPr>
          <w:p>
            <w:pPr>
              <w:spacing w:after="0"/>
              <w:rPr>
                <w:sz w:val="22"/>
                <w:szCs w:val="22"/>
                <w:color w:val="auto"/>
              </w:rPr>
            </w:pPr>
          </w:p>
        </w:tc>
        <w:tc>
          <w:tcPr>
            <w:tcW w:w="4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Vice President, International Government Affairs of</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rPr>
              <w:t>2019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80" w:type="dxa"/>
            <w:vAlign w:val="bottom"/>
          </w:tcPr>
          <w:p>
            <w:pPr>
              <w:spacing w:after="0"/>
              <w:rPr>
                <w:sz w:val="22"/>
                <w:szCs w:val="22"/>
                <w:color w:val="auto"/>
              </w:rPr>
            </w:pPr>
          </w:p>
        </w:tc>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Sunggyu Lee, Ph.D.</w:t>
            </w:r>
            <w:r>
              <w:rPr>
                <w:rFonts w:ascii="Times New Roman" w:cs="Times New Roman" w:eastAsia="Times New Roman" w:hAnsi="Times New Roman"/>
                <w:sz w:val="28"/>
                <w:szCs w:val="28"/>
                <w:color w:val="auto"/>
                <w:vertAlign w:val="superscript"/>
              </w:rPr>
              <w:t>(3)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Intel Corporation</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80" w:type="dxa"/>
            <w:vAlign w:val="bottom"/>
          </w:tcPr>
          <w:p>
            <w:pPr>
              <w:spacing w:after="0"/>
              <w:rPr>
                <w:sz w:val="22"/>
                <w:szCs w:val="22"/>
                <w:color w:val="auto"/>
              </w:rPr>
            </w:pPr>
          </w:p>
        </w:tc>
        <w:tc>
          <w:tcPr>
            <w:tcW w:w="3060" w:type="dxa"/>
            <w:vAlign w:val="bottom"/>
            <w:vMerge w:val="continue"/>
          </w:tcPr>
          <w:p>
            <w:pPr>
              <w:spacing w:after="0"/>
              <w:rPr>
                <w:sz w:val="22"/>
                <w:szCs w:val="22"/>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73</w:t>
            </w:r>
          </w:p>
        </w:tc>
        <w:tc>
          <w:tcPr>
            <w:tcW w:w="140" w:type="dxa"/>
            <w:vAlign w:val="bottom"/>
          </w:tcPr>
          <w:p>
            <w:pPr>
              <w:spacing w:after="0"/>
              <w:rPr>
                <w:sz w:val="22"/>
                <w:szCs w:val="22"/>
                <w:color w:val="auto"/>
              </w:rPr>
            </w:pPr>
          </w:p>
        </w:tc>
        <w:tc>
          <w:tcPr>
            <w:tcW w:w="4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Chief Technologist of Chemtech Innovators LLC</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80" w:type="dxa"/>
            <w:vAlign w:val="bottom"/>
          </w:tcPr>
          <w:p>
            <w:pPr>
              <w:spacing w:after="0"/>
              <w:rPr>
                <w:sz w:val="22"/>
                <w:szCs w:val="22"/>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 Patrick Lynch</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58</w:t>
            </w:r>
          </w:p>
        </w:tc>
        <w:tc>
          <w:tcPr>
            <w:tcW w:w="140" w:type="dxa"/>
            <w:vAlign w:val="bottom"/>
          </w:tcPr>
          <w:p>
            <w:pPr>
              <w:spacing w:after="0"/>
              <w:rPr>
                <w:sz w:val="22"/>
                <w:szCs w:val="22"/>
                <w:color w:val="auto"/>
              </w:rPr>
            </w:pPr>
          </w:p>
        </w:tc>
        <w:tc>
          <w:tcPr>
            <w:tcW w:w="4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President and Chief Executive Officer of NTIC</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80" w:type="dxa"/>
            <w:vAlign w:val="bottom"/>
          </w:tcPr>
          <w:p>
            <w:pPr>
              <w:spacing w:after="0"/>
              <w:rPr>
                <w:sz w:val="22"/>
                <w:szCs w:val="22"/>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Ramani Narayan, Ph.D.</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76</w:t>
            </w:r>
          </w:p>
        </w:tc>
        <w:tc>
          <w:tcPr>
            <w:tcW w:w="140" w:type="dxa"/>
            <w:vAlign w:val="bottom"/>
          </w:tcPr>
          <w:p>
            <w:pPr>
              <w:spacing w:after="0"/>
              <w:rPr>
                <w:sz w:val="22"/>
                <w:szCs w:val="22"/>
                <w:color w:val="auto"/>
              </w:rPr>
            </w:pPr>
          </w:p>
        </w:tc>
        <w:tc>
          <w:tcPr>
            <w:tcW w:w="4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Distinguished Professor in Department of Chemical</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Engineering &amp; Materials Science at Michigan State</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80" w:type="dxa"/>
            <w:vAlign w:val="bottom"/>
          </w:tcPr>
          <w:p>
            <w:pPr>
              <w:spacing w:after="0"/>
              <w:rPr>
                <w:sz w:val="22"/>
                <w:szCs w:val="22"/>
                <w:color w:val="auto"/>
              </w:rPr>
            </w:pPr>
          </w:p>
        </w:tc>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Richard J. Nigon</w:t>
            </w:r>
            <w:r>
              <w:rPr>
                <w:rFonts w:ascii="Times New Roman" w:cs="Times New Roman" w:eastAsia="Times New Roman" w:hAnsi="Times New Roman"/>
                <w:sz w:val="28"/>
                <w:szCs w:val="28"/>
                <w:color w:val="auto"/>
                <w:vertAlign w:val="superscript"/>
              </w:rPr>
              <w:t>(1)(2)(3)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University</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80" w:type="dxa"/>
            <w:vAlign w:val="bottom"/>
          </w:tcPr>
          <w:p>
            <w:pPr>
              <w:spacing w:after="0"/>
              <w:rPr>
                <w:sz w:val="21"/>
                <w:szCs w:val="21"/>
                <w:color w:val="auto"/>
              </w:rPr>
            </w:pPr>
          </w:p>
        </w:tc>
        <w:tc>
          <w:tcPr>
            <w:tcW w:w="3060" w:type="dxa"/>
            <w:vAlign w:val="bottom"/>
            <w:vMerge w:val="continue"/>
          </w:tcPr>
          <w:p>
            <w:pPr>
              <w:spacing w:after="0"/>
              <w:rPr>
                <w:sz w:val="21"/>
                <w:szCs w:val="21"/>
                <w:color w:val="auto"/>
              </w:rPr>
            </w:pPr>
          </w:p>
        </w:tc>
        <w:tc>
          <w:tcPr>
            <w:tcW w:w="660" w:type="dxa"/>
            <w:vAlign w:val="bottom"/>
            <w:gridSpan w:val="3"/>
          </w:tcPr>
          <w:p>
            <w:pPr>
              <w:jc w:val="right"/>
              <w:ind w:right="40"/>
              <w:spacing w:after="0" w:line="246" w:lineRule="exact"/>
              <w:rPr>
                <w:sz w:val="20"/>
                <w:szCs w:val="20"/>
                <w:color w:val="auto"/>
              </w:rPr>
            </w:pPr>
            <w:r>
              <w:rPr>
                <w:rFonts w:ascii="Times New Roman" w:cs="Times New Roman" w:eastAsia="Times New Roman" w:hAnsi="Times New Roman"/>
                <w:sz w:val="22"/>
                <w:szCs w:val="22"/>
                <w:color w:val="auto"/>
              </w:rPr>
              <w:t>77</w:t>
            </w:r>
          </w:p>
        </w:tc>
        <w:tc>
          <w:tcPr>
            <w:tcW w:w="140" w:type="dxa"/>
            <w:vAlign w:val="bottom"/>
          </w:tcPr>
          <w:p>
            <w:pPr>
              <w:spacing w:after="0"/>
              <w:rPr>
                <w:sz w:val="21"/>
                <w:szCs w:val="21"/>
                <w:color w:val="auto"/>
              </w:rPr>
            </w:pPr>
          </w:p>
        </w:tc>
        <w:tc>
          <w:tcPr>
            <w:tcW w:w="4840" w:type="dxa"/>
            <w:vAlign w:val="bottom"/>
            <w:gridSpan w:val="2"/>
          </w:tcPr>
          <w:p>
            <w:pPr>
              <w:ind w:left="40"/>
              <w:spacing w:after="0" w:line="246" w:lineRule="exact"/>
              <w:rPr>
                <w:sz w:val="20"/>
                <w:szCs w:val="20"/>
                <w:color w:val="auto"/>
              </w:rPr>
            </w:pPr>
            <w:r>
              <w:rPr>
                <w:rFonts w:ascii="Times New Roman" w:cs="Times New Roman" w:eastAsia="Times New Roman" w:hAnsi="Times New Roman"/>
                <w:sz w:val="22"/>
                <w:szCs w:val="22"/>
                <w:color w:val="auto"/>
              </w:rPr>
              <w:t>Senior Vice President of Cedar Point Capital, Inc.</w:t>
            </w:r>
          </w:p>
        </w:tc>
        <w:tc>
          <w:tcPr>
            <w:tcW w:w="960" w:type="dxa"/>
            <w:vAlign w:val="bottom"/>
            <w:gridSpan w:val="2"/>
          </w:tcPr>
          <w:p>
            <w:pPr>
              <w:jc w:val="center"/>
              <w:spacing w:after="0" w:line="246" w:lineRule="exact"/>
              <w:rPr>
                <w:sz w:val="20"/>
                <w:szCs w:val="20"/>
                <w:color w:val="auto"/>
              </w:rPr>
            </w:pPr>
            <w:r>
              <w:rPr>
                <w:rFonts w:ascii="Times New Roman" w:cs="Times New Roman" w:eastAsia="Times New Roman" w:hAnsi="Times New Roman"/>
                <w:sz w:val="22"/>
                <w:szCs w:val="22"/>
                <w:color w:val="auto"/>
                <w:w w:val="99"/>
              </w:rPr>
              <w:t>2010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80" w:type="dxa"/>
            <w:vAlign w:val="bottom"/>
          </w:tcPr>
          <w:p>
            <w:pPr>
              <w:spacing w:after="0"/>
              <w:rPr>
                <w:sz w:val="22"/>
                <w:szCs w:val="22"/>
                <w:color w:val="auto"/>
              </w:rPr>
            </w:pPr>
          </w:p>
        </w:tc>
        <w:tc>
          <w:tcPr>
            <w:tcW w:w="3060" w:type="dxa"/>
            <w:vAlign w:val="bottom"/>
          </w:tcPr>
          <w:p>
            <w:pPr>
              <w:ind w:left="20"/>
              <w:spacing w:after="0" w:line="253" w:lineRule="exact"/>
              <w:rPr>
                <w:sz w:val="20"/>
                <w:szCs w:val="20"/>
                <w:color w:val="auto"/>
              </w:rPr>
            </w:pPr>
            <w:r>
              <w:rPr>
                <w:rFonts w:ascii="Times New Roman" w:cs="Times New Roman" w:eastAsia="Times New Roman" w:hAnsi="Times New Roman"/>
                <w:sz w:val="22"/>
                <w:szCs w:val="22"/>
                <w:color w:val="auto"/>
              </w:rPr>
              <w:t>Cristina Pinho</w:t>
            </w:r>
            <w:r>
              <w:rPr>
                <w:rFonts w:ascii="Times New Roman" w:cs="Times New Roman" w:eastAsia="Times New Roman" w:hAnsi="Times New Roman"/>
                <w:sz w:val="28"/>
                <w:szCs w:val="28"/>
                <w:color w:val="auto"/>
                <w:vertAlign w:val="superscript"/>
              </w:rPr>
              <w:t>(2)</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67</w:t>
            </w:r>
          </w:p>
        </w:tc>
        <w:tc>
          <w:tcPr>
            <w:tcW w:w="140" w:type="dxa"/>
            <w:vAlign w:val="bottom"/>
          </w:tcPr>
          <w:p>
            <w:pPr>
              <w:spacing w:after="0"/>
              <w:rPr>
                <w:sz w:val="22"/>
                <w:szCs w:val="22"/>
                <w:color w:val="auto"/>
              </w:rPr>
            </w:pPr>
          </w:p>
        </w:tc>
        <w:tc>
          <w:tcPr>
            <w:tcW w:w="4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Chair of the Board of Instituto Luísa Pinho Sartori</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2023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3060" w:type="dxa"/>
            <w:vAlign w:val="bottom"/>
          </w:tcPr>
          <w:p>
            <w:pPr>
              <w:ind w:left="20"/>
              <w:spacing w:after="0" w:line="261" w:lineRule="exact"/>
              <w:rPr>
                <w:sz w:val="20"/>
                <w:szCs w:val="20"/>
                <w:color w:val="auto"/>
              </w:rPr>
            </w:pPr>
            <w:r>
              <w:rPr>
                <w:rFonts w:ascii="Times New Roman" w:cs="Times New Roman" w:eastAsia="Times New Roman" w:hAnsi="Times New Roman"/>
                <w:sz w:val="22"/>
                <w:szCs w:val="22"/>
                <w:color w:val="auto"/>
                <w:w w:val="98"/>
              </w:rPr>
              <w:t>Konstantin von Falkenhausen</w:t>
            </w:r>
            <w:r>
              <w:rPr>
                <w:rFonts w:ascii="Times New Roman" w:cs="Times New Roman" w:eastAsia="Times New Roman" w:hAnsi="Times New Roman"/>
                <w:sz w:val="28"/>
                <w:szCs w:val="28"/>
                <w:color w:val="auto"/>
                <w:w w:val="98"/>
                <w:vertAlign w:val="superscript"/>
              </w:rPr>
              <w:t>(1)(2)</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58</w:t>
            </w:r>
          </w:p>
        </w:tc>
        <w:tc>
          <w:tcPr>
            <w:tcW w:w="140" w:type="dxa"/>
            <w:vAlign w:val="bottom"/>
          </w:tcPr>
          <w:p>
            <w:pPr>
              <w:spacing w:after="0"/>
              <w:rPr>
                <w:sz w:val="22"/>
                <w:szCs w:val="22"/>
                <w:color w:val="auto"/>
              </w:rPr>
            </w:pPr>
          </w:p>
        </w:tc>
        <w:tc>
          <w:tcPr>
            <w:tcW w:w="4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Partner of B Capital Partners AG</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2012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140" w:type="dxa"/>
            <w:vAlign w:val="bottom"/>
            <w:gridSpan w:val="2"/>
          </w:tcPr>
          <w:p>
            <w:pPr>
              <w:jc w:val="right"/>
              <w:ind w:right="93"/>
              <w:spacing w:after="0"/>
              <w:rPr>
                <w:sz w:val="20"/>
                <w:szCs w:val="20"/>
                <w:color w:val="auto"/>
              </w:rPr>
            </w:pPr>
            <w:r>
              <w:rPr>
                <w:rFonts w:ascii="Times New Roman" w:cs="Times New Roman" w:eastAsia="Times New Roman" w:hAnsi="Times New Roman"/>
                <w:sz w:val="22"/>
                <w:szCs w:val="22"/>
                <w:color w:val="auto"/>
              </w:rPr>
              <w:t>_________________________</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00" w:hanging="720"/>
        <w:spacing w:after="0"/>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Audit Committee</w:t>
      </w:r>
    </w:p>
    <w:p>
      <w:pPr>
        <w:ind w:left="900" w:hanging="720"/>
        <w:spacing w:after="0"/>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Nominating and Corporate Governance Committee</w:t>
      </w:r>
    </w:p>
    <w:p>
      <w:pPr>
        <w:ind w:left="900" w:hanging="720"/>
        <w:spacing w:after="0"/>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20</w:t>
      </w:r>
    </w:p>
    <w:p>
      <w:pPr>
        <w:sectPr>
          <w:pgSz w:w="12240" w:h="15840" w:orient="portrait"/>
          <w:cols w:equalWidth="0" w:num="1">
            <w:col w:w="9820"/>
          </w:cols>
          <w:pgMar w:left="1260" w:top="1413" w:right="1160" w:bottom="178"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Additional Information about Current Directors and Board Nominees</w:t>
      </w:r>
    </w:p>
    <w:p>
      <w:pPr>
        <w:spacing w:after="0" w:line="24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2"/>
          <w:szCs w:val="22"/>
          <w:color w:val="auto"/>
        </w:rPr>
        <w:t>The following paragraphs provide information about each current director and nominee for director, including all positions he or she holds, his or her principal occupation and business experience for the past five years, and the names of other publicly-held companies of which the director or nominee currently serves as a director or has served as a director during the past five years. We believe that all of our directors and nominees display personal and professional integrity; satisfactory levels of education and/or business experience; broad-based business acumen; an appropriate level of understanding of our business and its industry and other industries relevant to our business; the ability and willingness to devote adequate time to the work of the Board of Directors and its committees; a fit of skills and personality with those of our other directors that helps build a board that is effective, collegial and responsive to the needs of NTIC; strategic thinking and a willingness to share ideas; a diversity of experiences, expertise and background; and the ability to represent the interests of all of our stockholders. The information presented below regarding each director and nominee also sets forth specific experience, qualifications, attributes and skills that led the Board of Directors to the conclusion that such individual should serve as a director in light of our business and structure.</w:t>
      </w:r>
    </w:p>
    <w:p>
      <w:pPr>
        <w:spacing w:after="0" w:line="21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Nancy E. Calderon </w:t>
      </w:r>
      <w:r>
        <w:rPr>
          <w:rFonts w:ascii="Times New Roman" w:cs="Times New Roman" w:eastAsia="Times New Roman" w:hAnsi="Times New Roman"/>
          <w:sz w:val="22"/>
          <w:szCs w:val="22"/>
          <w:color w:val="auto"/>
        </w:rPr>
        <w:t>has been a director of NTIC since October 2019. Ms. Calderon is a CPA and retired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KPMG LLP in September 2019 after a distinguished 33-year career. Until her retirement, Nancy served as Global Lead Partner for a Fortune 40 Technology company, managing a global team of over 500 professionals in more than 50 countries, a position she held since July 2012, senior partner of KPMG’s Board Leadership Center from its inception in 2015, and as a director of KPMG’s Global Delivery Center in India and its related holding companies since September 2011. Previously, she was KPMG’s Americas Chief Administrative Officer and U.S. National Partner in Charge, Operations from July 2008 to June 2012. Ms. Calderon has sat on a number of KPMG committees, including the Americas Region Management Committee, Enterprise Risk Management, Privacy, Pension Steering and Investment, Social Media and Knowledge Management. She currently serves on the board of directors of Belden Inc. We believe Ms. Calderon’s qualifications to sit on the Board of Directors include her extensive financial accounting experience with KPMG and her current and prior experience on boards of directors, including, in particular, her experience serving on the audit committees of Arcimoto, Inc.; Belden, Inc.; KPMG’s Global Delivery Center; Women Corporate Directors Foundation and the New York YMCA. Ms. Calderon received a Bachelor of Science from UC Berkeley’s Haas Business School and a Master of Science from Golden Gate University.</w:t>
      </w:r>
    </w:p>
    <w:p>
      <w:pPr>
        <w:spacing w:after="0" w:line="20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Sarah E. Kemp </w:t>
      </w:r>
      <w:r>
        <w:rPr>
          <w:rFonts w:ascii="Times New Roman" w:cs="Times New Roman" w:eastAsia="Times New Roman" w:hAnsi="Times New Roman"/>
          <w:sz w:val="22"/>
          <w:szCs w:val="22"/>
          <w:color w:val="auto"/>
        </w:rPr>
        <w:t>has been a director of NTIC since October 2019. Ms. Kemp is currently the Vice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President of International Government Affairs at Intel Corporation, a design and developer of central processing units and related solutions for third party customers, a role she assumed in February 2022. Previously, she was the Associate Vice President at Organon, a global biopharmaceutical company, where she led Global Women’s Health Policy and ESG, from April 2021 to February 2022. Before that,</w:t>
      </w:r>
    </w:p>
    <w:p>
      <w:pPr>
        <w:ind w:right="20"/>
        <w:spacing w:after="0"/>
        <w:rPr>
          <w:sz w:val="20"/>
          <w:szCs w:val="20"/>
          <w:color w:val="auto"/>
        </w:rPr>
      </w:pPr>
      <w:r>
        <w:rPr>
          <w:rFonts w:ascii="Times New Roman" w:cs="Times New Roman" w:eastAsia="Times New Roman" w:hAnsi="Times New Roman"/>
          <w:sz w:val="22"/>
          <w:szCs w:val="22"/>
          <w:color w:val="auto"/>
        </w:rPr>
        <w:t>Ms. Kemp held various leadership positions at Merck, a pharmaceutical company, including leading Policy Communication and Population Health for emerging markets from November 2020 to April 2021 and serving as Executive Director for Public Policy and Commercial Strategies in Asia Pacific from July 2019 to October 2020. Ms. Kemp has significant government experience, having been the Deputy Under Secretary for the International Trade Administration at the U.S. Department of Commerce from February 2017 to July 2019 where she managed a substantial budget and workforce. She also served as the Minister Counselor for Commercial Affairs at the U.S. Embassy in Beijing, advising on trade and investment strategies in China. Her earlier career includes roles as a Foreign Commercial Service Officer with postings in China, Vietnam, Hong Kong and Bangkok, and she began her career as a Presidential Management Fellow. Ms. Kemp has been active on various boards, including Concordia International School in Hanoi and Women Corporate Directors in Vietnam and Beijing. She is an advisor to Indiana University’s Manufacturing Policy Initiative and a board member of the Center for International Private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2240" w:h="15840" w:orient="portrait"/>
          <w:cols w:equalWidth="0" w:num="1">
            <w:col w:w="9360"/>
          </w:cols>
          <w:pgMar w:left="1440" w:top="1413" w:right="1440" w:bottom="178" w:gutter="0" w:footer="0" w:header="0"/>
        </w:sectPr>
      </w:pPr>
    </w:p>
    <w:bookmarkStart w:id="28" w:name="page29"/>
    <w:bookmarkEnd w:id="28"/>
    <w:p>
      <w:pPr>
        <w:ind w:right="360"/>
        <w:spacing w:after="0" w:line="264" w:lineRule="auto"/>
        <w:rPr>
          <w:sz w:val="20"/>
          <w:szCs w:val="20"/>
          <w:color w:val="auto"/>
        </w:rPr>
      </w:pPr>
      <w:r>
        <w:rPr>
          <w:rFonts w:ascii="Times New Roman" w:cs="Times New Roman" w:eastAsia="Times New Roman" w:hAnsi="Times New Roman"/>
          <w:sz w:val="21"/>
          <w:szCs w:val="21"/>
          <w:color w:val="auto"/>
        </w:rPr>
        <w:t>Enterprise. We believe Ms. Kemp’s qualifications to sit on the Board of Directors include her deep expertise in international commerce, especially in the Asia Pacific and Greater China regions, coupled with her experience in international and public affairs. She holds a Master of Business Administration from the Chinese University of Hong Kong, a Master of Public Administration from Columbia University, and a Bachelor of Arts degree in Physiological-Anthropology from Hamilton College.</w:t>
      </w:r>
    </w:p>
    <w:p>
      <w:pPr>
        <w:spacing w:after="0" w:line="17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Sunggyu Lee, Ph.D. </w:t>
      </w:r>
      <w:r>
        <w:rPr>
          <w:rFonts w:ascii="Times New Roman" w:cs="Times New Roman" w:eastAsia="Times New Roman" w:hAnsi="Times New Roman"/>
          <w:sz w:val="22"/>
          <w:szCs w:val="22"/>
          <w:color w:val="auto"/>
        </w:rPr>
        <w:t>has been a director of NTIC since January 2004. Dr. Lee is Chief Technologist,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Chemtech Innovators LLC, Akron, Ohio. Previously, he held positions of Russ Ohio Research Scholar and Professor of Chemical and Biomolecular Engineering, Ohio University, Athens, Ohio from 2010 to 2020, Professor of Chemical and Biological Engineering, Missouri University of Science and Technology, Rolla, Missouri from 2005 to 2010, C.W. LaPierre Professor and Chairman of Chemical Engineering at University of Missouri-Columbia from 1997 to 2005, and Robert Iredell Professor and Head of Chemical Engineering Department at the University of Akron, Akron, Ohio from 1988 to 1996. He has authored 12 books and over 550 archival publications and received 35 U.S. patents in a variety of chemical and polymer processes and products. He is currently serving as Editor of Encyclopedia of Chemical Processing, Taylor &amp; Francis, New York, New York and also as Book Series Editor of Green Chemistry and Chemical Engineering, CRC Press, Boca Raton, Florida. Throughout his career, he has served as consultant and technical advisor to a number of national and international companies in the fields of polymers, petrochemicals and energy. He received his Ph.D. from Case Western Reserve University, Cleveland, Ohio in 1980. We believe Dr. Lee’s qualifications to sit on the Board of Directors include his significant technical and industrial expertise with chemical and polymer processes and products. Such expertise is particularly helpful with respect to assessing and operating NTIC’s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industrial business.</w:t>
      </w:r>
    </w:p>
    <w:p>
      <w:pPr>
        <w:spacing w:after="0" w:line="207"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2"/>
          <w:szCs w:val="22"/>
          <w:i w:val="1"/>
          <w:iCs w:val="1"/>
          <w:color w:val="auto"/>
        </w:rPr>
        <w:t>G. Patrick Lynch</w:t>
      </w:r>
      <w:r>
        <w:rPr>
          <w:rFonts w:ascii="Times New Roman" w:cs="Times New Roman" w:eastAsia="Times New Roman" w:hAnsi="Times New Roman"/>
          <w:sz w:val="22"/>
          <w:szCs w:val="22"/>
          <w:color w:val="auto"/>
        </w:rPr>
        <w:t>, an employee of NTIC since 1995, has been President since July 2005 and Chief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Officer since January 2006 and has served as a director of NTIC since February 2004.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which is a significant stockholder of NTIC. Prior to joining NTIC, Mr. Lynch held positions in sales management for Fuji Electric Co., Ltd. in Tokyo, Japan, and programming project management for BMW AG in Munich, Germany. Mr. Lynch received a Master of Business Administration degree from the University of Michigan Ross School of Business. We believe</w:t>
      </w:r>
    </w:p>
    <w:p>
      <w:pPr>
        <w:spacing w:after="0" w:line="3"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22"/>
          <w:szCs w:val="22"/>
          <w:color w:val="auto"/>
        </w:rPr>
        <w:t>Mr. Lynch’s qualifications to sit on the Board of Directors include his depth of knowledge of NTIC and its day-to-day operations in light of his position as Chief Executive Officer of NTIC, as well as his affiliation with a significant stockholder of NTIC, which the Board of Directors believes generally helps align management’s interests with those of our stockholders.</w:t>
      </w:r>
    </w:p>
    <w:p>
      <w:pPr>
        <w:spacing w:after="0" w:line="19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2"/>
          <w:szCs w:val="22"/>
          <w:i w:val="1"/>
          <w:iCs w:val="1"/>
          <w:color w:val="auto"/>
        </w:rPr>
        <w:t xml:space="preserve">Ramani Narayan, Ph.D. </w:t>
      </w:r>
      <w:r>
        <w:rPr>
          <w:rFonts w:ascii="Times New Roman" w:cs="Times New Roman" w:eastAsia="Times New Roman" w:hAnsi="Times New Roman"/>
          <w:sz w:val="22"/>
          <w:szCs w:val="22"/>
          <w:color w:val="auto"/>
        </w:rPr>
        <w:t>has been a director of NTIC since November 2004. He is a Distinguished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Professor at Michigan State University in the Department of Chemical Engineering &amp; Materials Science, where he has 200+ refereed publications in leading journals to his credit, 19 patents, edited three books and one expert dossier in the area of bio-based polymeric materials. His research encompasses design and engineering of sustainable, biobased products, biodegradable plastics and polymers, biofiber reinforced composites, reactive extrusion polymerization and processing, studies in plastic end-of-life options like biodegradation and composting. He conducts carbon footprint calculations for plastics and products. He also performs LCA (Life Cycle Assessment) for reporting a product’s environmental footprint. He serves as Scientific Chair of the Biodegradable Products Institute (BPI), North America. He served on the Technical Advisory Board of Tate &amp; Lyle. He served on the Board of Directors of ASTM International, an international standard setting organization and was the founding Chair of the committee on Environmentally Degradable Plastics and Biobased Products (D20.96) and the Plastics Terminology Committee (D20.92). Dr. Narayan is also the technical expert for the United States on ISO (International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2240" w:h="15840" w:orient="portrait"/>
          <w:cols w:equalWidth="0" w:num="1">
            <w:col w:w="9360"/>
          </w:cols>
          <w:pgMar w:left="1440" w:top="1417" w:right="1440" w:bottom="178" w:gutter="0" w:footer="0" w:header="0"/>
        </w:sectPr>
      </w:pPr>
    </w:p>
    <w:bookmarkStart w:id="29" w:name="page30"/>
    <w:bookmarkEnd w:id="29"/>
    <w:p>
      <w:pPr>
        <w:ind w:right="40"/>
        <w:spacing w:after="0" w:line="244" w:lineRule="auto"/>
        <w:rPr>
          <w:sz w:val="20"/>
          <w:szCs w:val="20"/>
          <w:color w:val="auto"/>
        </w:rPr>
      </w:pPr>
      <w:r>
        <w:rPr>
          <w:rFonts w:ascii="Times New Roman" w:cs="Times New Roman" w:eastAsia="Times New Roman" w:hAnsi="Times New Roman"/>
          <w:sz w:val="22"/>
          <w:szCs w:val="22"/>
          <w:color w:val="auto"/>
        </w:rPr>
        <w:t>Standards Organization) TC 61 on Plastics—specifically for Terminology, Biobased and Biodegradable Plastics. He has won numerous awards, including the Named MSU University Distinguished Professor in 2007; the Governors University Award for commercialization excellence; Michigan State University Distinguished Faculty Award, 2006, 2005 Withrow Distinguished Scholar award, Fulbright Distinguished Lectureship Chair in Science &amp; Technology Management &amp; Commercialization (University of Lisbon; Portugal); First recipient of the William N. Findley Award, The James Hammer Memorial Lifetime Achievement Award, and Research and Commercialization Award sponsored by ICI Americas, Inc. &amp; the National Corn Growers Association. We believe Dr. Narayan’s qualifications to sit on the Board of Directors include his significant technical expertise in the bioplastics area which has been helpful to NTIC’s management in assessing and operating NTIC’s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bioplastics business.</w:t>
      </w:r>
    </w:p>
    <w:p>
      <w:pPr>
        <w:spacing w:after="0" w:line="12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Richard J. Nigon </w:t>
      </w:r>
      <w:r>
        <w:rPr>
          <w:rFonts w:ascii="Times New Roman" w:cs="Times New Roman" w:eastAsia="Times New Roman" w:hAnsi="Times New Roman"/>
          <w:sz w:val="22"/>
          <w:szCs w:val="22"/>
          <w:color w:val="auto"/>
        </w:rPr>
        <w:t>has been a director of NTIC since February 2010 and non-executive Chairman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Board since November 2012. Mr. Nigon is the Senior Vice President of Cedar Point Capital, Inc., a private company that raises capital for early stage companies. From February 2001 until May 2007, Mr. Nigon was a Director of Equity Corporate Finance for Miller Johnson Steichen Kinnard (MJSK), a privately held investment firm. In December 2006, MJSK was acquired by Stifel Nicolaus, and Mr. Nigon was a Managing Director of Private Placements at Stifel Nicolaus. From February 2000 to February 2001, Mr. Nigon served as the Chief Financial Officer of Dantis, Inc., a web hosting company. Prior to joining Dantis, Mr. Nigon was employed by Ernst &amp; Young, LLP from 1970 to 2000, where he served as a partner from 1981 to 2000. While at Ernst &amp; Young, Mr. Nigon served as the Director of Ernst &amp; Young’s Twin Cities Entrepreneurial Services Group and was the coordinating partner on several publicly-traded companies in the consumer retailing and manufacturing sectors. In addition to NTIC, Mr. Nigon also serves on the board of directors of Celcuity Inc. and as chairperson of its audit committee and serves on the board of directors of a number of privately-held companies. Mr. Nigon previously served on the board of directors of Tactile Systems Technology, Inc., Virtual Radiologic Corporation and Vascular Solutions, Inc. until its acquisition by Teleflex Incorporated in February 2017. Through his</w:t>
      </w:r>
    </w:p>
    <w:p>
      <w:pPr>
        <w:ind w:right="60"/>
        <w:spacing w:after="0" w:line="241" w:lineRule="auto"/>
        <w:rPr>
          <w:sz w:val="20"/>
          <w:szCs w:val="20"/>
          <w:color w:val="auto"/>
        </w:rPr>
      </w:pPr>
      <w:r>
        <w:rPr>
          <w:rFonts w:ascii="Times New Roman" w:cs="Times New Roman" w:eastAsia="Times New Roman" w:hAnsi="Times New Roman"/>
          <w:sz w:val="22"/>
          <w:szCs w:val="22"/>
          <w:color w:val="auto"/>
        </w:rPr>
        <w:t>30 years of service at Ernst &amp; Young, LLP, Mr. Nigon brings to NTIC’s Board of Directors, and in particular the Audit Committee, extensive public accounting and auditing experience. The Board believes Mr. Nigon’s strong background in financial controls and reporting, financial management, financial analysis and SEC reporting requirements is critical to the Board’s oversight responsibilities. In addition, his strategic planning expertise and other experiences gained through his management and leadership roles at private investment firms that have invested in early stage companies, is helpful to the Board in assessing and operating NTIC’s newer businesses.</w:t>
      </w:r>
    </w:p>
    <w:p>
      <w:pPr>
        <w:spacing w:after="0" w:line="20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2"/>
          <w:szCs w:val="22"/>
          <w:i w:val="1"/>
          <w:iCs w:val="1"/>
          <w:color w:val="auto"/>
        </w:rPr>
        <w:t xml:space="preserve">Cristina Pinho </w:t>
      </w:r>
      <w:r>
        <w:rPr>
          <w:rFonts w:ascii="Times New Roman" w:cs="Times New Roman" w:eastAsia="Times New Roman" w:hAnsi="Times New Roman"/>
          <w:sz w:val="22"/>
          <w:szCs w:val="22"/>
          <w:color w:val="auto"/>
        </w:rPr>
        <w:t>has been a director of NTIC since January 2023. Ms. Pinho is Chair of the Board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Instituto Luísa Pinho Sartori, a nonprofit organization in Brazil whose mission is to support and incentivize conservationists and biologists to work on environmental protection, a position she has held since April 2015. Ms. Pinho served as an independent board director of Ocyan, a private company, from August 2020 to April 2024. Ms. Pinho is a member of a sounding board of Shell Brazil, a position she has held since June 2023. From November 2019 to January 2022, she served as Corporate Executive Director at Brazilian Petroleum and Gas Institute, a nonprofit organization in Brazil, formed by major oil and gas producers in Brazil and petroleum products service companies. From January 2019 to November 2019, Ms. Pinho served as Undersecretary of Energy, Petroleum and Gas at Rio de Janeiro State. From 2012 to 2015, she served as Executive Manager of E&amp;P Services and Logistics for Petrobras. We believe</w:t>
      </w:r>
    </w:p>
    <w:p>
      <w:pPr>
        <w:ind w:right="80"/>
        <w:spacing w:after="0" w:line="241" w:lineRule="auto"/>
        <w:rPr>
          <w:sz w:val="20"/>
          <w:szCs w:val="20"/>
          <w:color w:val="auto"/>
        </w:rPr>
      </w:pPr>
      <w:r>
        <w:rPr>
          <w:rFonts w:ascii="Times New Roman" w:cs="Times New Roman" w:eastAsia="Times New Roman" w:hAnsi="Times New Roman"/>
          <w:sz w:val="22"/>
          <w:szCs w:val="22"/>
          <w:color w:val="auto"/>
        </w:rPr>
        <w:t>Ms. Pinho’s qualifications to sit on the Board of Directors include her extensive experience in the oil and gas industry in Brazil and her extensive experience in ESG matters. Ms. Pinho received an ESG Competent Boards Certificate in 2021 and is a graduate of the Columbia Senior Executive Program at the Columbia Business School and also received a Digital Strategy for Business degree from the Columbia Business School in 2018. She has also received an MBA CoppeAd UFRJ; Senior Strategic Management, MBA Fundação Getúlio Vargas, Business and Strategic Management and a Mechanical Engineering degree from the Universidade Federal do Rio de Janeiro.</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2240" w:h="15840" w:orient="portrait"/>
          <w:cols w:equalWidth="0" w:num="1">
            <w:col w:w="9360"/>
          </w:cols>
          <w:pgMar w:left="1440" w:top="1417" w:right="1440" w:bottom="178" w:gutter="0" w:footer="0" w:header="0"/>
        </w:sectPr>
      </w:pPr>
    </w:p>
    <w:bookmarkStart w:id="30" w:name="page31"/>
    <w:bookmarkEnd w:id="30"/>
    <w:p>
      <w:pPr>
        <w:ind w:right="20"/>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Konstantin von Falkenhausen </w:t>
      </w:r>
      <w:r>
        <w:rPr>
          <w:rFonts w:ascii="Times New Roman" w:cs="Times New Roman" w:eastAsia="Times New Roman" w:hAnsi="Times New Roman"/>
          <w:sz w:val="22"/>
          <w:szCs w:val="22"/>
          <w:color w:val="auto"/>
        </w:rPr>
        <w:t>has been a director of NTIC since November 2012. Mr. von Falkenhausen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currently a Partner of B Capital Partners AG, an independent investment advisory boutique focused on infrastructure, public private partnerships and clean energy. In this capacity, since April 2018, Mr. von Falkenhausen has been a Director of the general partner of the B Capital Energy Transition Infrastructure Fund SICAV-SIF, an investment fund registered with the Luxembourg financial authorities CSSF. From February 2004 to March 2008, Mr. von Falkenhausen served as a Partner of capiton AG, a private equity firm located in Berlin, Germany. From March 2003 to February 2004, he served as interim Chief Financial Officer of Neon Products GmbH, a privately held neon lighting company. From May 1999 to February 2003, Mr. von Falkenhausen served as an investment manager of West Private Equity Ltd. and an investment director of its German affiliate West Private Capital GmbH. Prior to May 1999, Mr. von Falkenhausen served in several positions with BankBoston Robertson Stephens International Ltd., an investment banking firm. Mr. von Falkenhausen is a citizen of Germany. He has a Master’s degree in economics (lic. oec) from the University of Fribourg (Switzerland) and a Master of Business Administration degree from the University of Chicago. We believe Mr. von Falkenhausen’s qualifications to sit on the Board of Directors include his experience with several private investment and equity firms that have invested in early stage companies, which the Board believes is helpful in assessing and operating NTIC’s newer businesses, and his financial expertise, which the Board believes is helpful in analyzing NTIC’s financial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2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22"/>
          <w:szCs w:val="22"/>
          <w:color w:val="auto"/>
        </w:rPr>
        <w:t xml:space="preserve">The Board of Directors unanimously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election of all of the eight nominees named above.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171450</wp:posOffset>
                </wp:positionV>
                <wp:extent cx="595503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5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3.5pt" to="468.45pt,13.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168275</wp:posOffset>
                </wp:positionV>
                <wp:extent cx="0" cy="40703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70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3.25pt" to="-0.1999pt,45.3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5946140</wp:posOffset>
                </wp:positionH>
                <wp:positionV relativeFrom="paragraph">
                  <wp:posOffset>168275</wp:posOffset>
                </wp:positionV>
                <wp:extent cx="0" cy="40703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7035"/>
                        </a:xfrm>
                        <a:prstGeom prst="line">
                          <a:avLst/>
                        </a:prstGeom>
                        <a:solidFill>
                          <a:srgbClr val="FFFFFF"/>
                        </a:solidFill>
                        <a:ln w="6094">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2pt,13.25pt" to="468.2pt,45.3pt" o:allowincell="f" strokecolor="#000000" strokeweight="0.4798pt"/>
            </w:pict>
          </mc:Fallback>
        </mc:AlternateContent>
      </w:r>
    </w:p>
    <w:p>
      <w:pPr>
        <w:spacing w:after="0" w:line="256" w:lineRule="exact"/>
        <w:rPr>
          <w:sz w:val="20"/>
          <w:szCs w:val="20"/>
          <w:color w:val="auto"/>
        </w:rPr>
      </w:pPr>
    </w:p>
    <w:p>
      <w:pPr>
        <w:ind w:left="320"/>
        <w:spacing w:after="0"/>
        <w:tabs>
          <w:tab w:leader="none" w:pos="8680" w:val="left"/>
        </w:tabs>
        <w:rPr>
          <w:sz w:val="20"/>
          <w:szCs w:val="20"/>
          <w:color w:val="auto"/>
        </w:rPr>
      </w:pPr>
      <w:r>
        <w:rPr>
          <w:rFonts w:ascii="Times New Roman" w:cs="Times New Roman" w:eastAsia="Times New Roman" w:hAnsi="Times New Roman"/>
          <w:sz w:val="24"/>
          <w:szCs w:val="24"/>
          <w:b w:val="1"/>
          <w:bCs w:val="1"/>
          <w:color w:val="auto"/>
        </w:rPr>
        <w:t>The Board of Directors Recommends a Vote FOR Each Nominee for Director</w:t>
      </w:r>
      <w:r>
        <w:rPr>
          <w:sz w:val="20"/>
          <w:szCs w:val="20"/>
          <w:color w:val="auto"/>
        </w:rPr>
        <w:tab/>
      </w:r>
      <w:r>
        <w:rPr>
          <w:rFonts w:ascii="Wingdings" w:cs="Wingdings" w:eastAsia="Wingdings" w:hAnsi="Wingdings"/>
          <w:sz w:val="56"/>
          <w:szCs w:val="56"/>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2540</wp:posOffset>
                </wp:positionV>
                <wp:extent cx="595503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5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0.2pt" to="468.45pt,0.2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2240" w:h="15840" w:orient="portrait"/>
          <w:cols w:equalWidth="0" w:num="1">
            <w:col w:w="9360"/>
          </w:cols>
          <w:pgMar w:left="1440" w:top="1417" w:right="1440" w:bottom="178"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2"/>
          <w:szCs w:val="22"/>
          <w:b w:val="1"/>
          <w:bCs w:val="1"/>
          <w:color w:val="auto"/>
        </w:rPr>
        <w:t>PROPOSAL TWO—ADVISORY VOTE ON EXECUTIVE COMPENSATION</w:t>
      </w:r>
    </w:p>
    <w:p>
      <w:pPr>
        <w:spacing w:after="0" w:line="24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4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Board of Directors is providing stockholders with an advisory vote on executive compensation pursuant to the Dodd-Frank Wall Street Consumer Protection Act (the “Dodd-Frank Act”) and Section 14A of the Securities Exchange Act of 1934, as amended (the “Exchange Act”). This advisory vote, commonly known as a “say-on-pay” vote, is a non-binding vote on the compensation paid to our named executive officers as set forth in the “</w:t>
      </w:r>
      <w:r>
        <w:rPr>
          <w:rFonts w:ascii="Times New Roman" w:cs="Times New Roman" w:eastAsia="Times New Roman" w:hAnsi="Times New Roman"/>
          <w:sz w:val="22"/>
          <w:szCs w:val="22"/>
          <w:i w:val="1"/>
          <w:iCs w:val="1"/>
          <w:color w:val="auto"/>
        </w:rPr>
        <w:t>Executive Compensation</w:t>
      </w:r>
      <w:r>
        <w:rPr>
          <w:rFonts w:ascii="Times New Roman" w:cs="Times New Roman" w:eastAsia="Times New Roman" w:hAnsi="Times New Roman"/>
          <w:sz w:val="22"/>
          <w:szCs w:val="22"/>
          <w:color w:val="auto"/>
        </w:rPr>
        <w:t>” section of this proxy statement beginning on page 51. At the 2025 Annual Meeting of Stockholders held on January 17, 2025, approximately 93% of the votes cast by our stockholders were in favor of our say-on-pay vote. The Compensation Committee generally believes that such results affirmed stockholder support of our approach to executive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Why You Should Vote in Favor of Our Say-on-Pay Vote</w:t>
      </w:r>
    </w:p>
    <w:p>
      <w:pPr>
        <w:spacing w:after="0" w:line="243"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22"/>
          <w:szCs w:val="22"/>
          <w:color w:val="auto"/>
        </w:rPr>
        <w:t>Our executive compensation program is generally designed to attract, retain, motivate and reward highly qualified and talented executive officers. The underlying core principles of our executive compensation program are:</w:t>
      </w:r>
    </w:p>
    <w:p>
      <w:pPr>
        <w:spacing w:after="0" w:line="196" w:lineRule="exact"/>
        <w:rPr>
          <w:sz w:val="20"/>
          <w:szCs w:val="20"/>
          <w:color w:val="auto"/>
        </w:rPr>
      </w:pPr>
    </w:p>
    <w:p>
      <w:pPr>
        <w:ind w:left="1080" w:hanging="360"/>
        <w:spacing w:after="0"/>
        <w:tabs>
          <w:tab w:leader="none" w:pos="108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22"/>
          <w:szCs w:val="22"/>
          <w:color w:val="auto"/>
        </w:rPr>
        <w:t>To align the interests of our executives with those of our stockholders;</w:t>
      </w:r>
    </w:p>
    <w:p>
      <w:pPr>
        <w:spacing w:after="0" w:line="134" w:lineRule="exact"/>
        <w:rPr>
          <w:rFonts w:ascii="Arial" w:cs="Arial" w:eastAsia="Arial" w:hAnsi="Arial"/>
          <w:sz w:val="22"/>
          <w:szCs w:val="22"/>
          <w:color w:val="auto"/>
        </w:rPr>
      </w:pPr>
    </w:p>
    <w:p>
      <w:pPr>
        <w:ind w:left="1080" w:hanging="360"/>
        <w:spacing w:after="0"/>
        <w:tabs>
          <w:tab w:leader="none" w:pos="108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22"/>
          <w:szCs w:val="22"/>
          <w:color w:val="auto"/>
        </w:rPr>
        <w:t>Integrate compensation with our business plans and strategic goals;</w:t>
      </w:r>
    </w:p>
    <w:p>
      <w:pPr>
        <w:spacing w:after="0" w:line="134" w:lineRule="exact"/>
        <w:rPr>
          <w:rFonts w:ascii="Arial" w:cs="Arial" w:eastAsia="Arial" w:hAnsi="Arial"/>
          <w:sz w:val="22"/>
          <w:szCs w:val="22"/>
          <w:color w:val="auto"/>
        </w:rPr>
      </w:pPr>
    </w:p>
    <w:p>
      <w:pPr>
        <w:ind w:left="1080" w:hanging="360"/>
        <w:spacing w:after="0"/>
        <w:tabs>
          <w:tab w:leader="none" w:pos="108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22"/>
          <w:szCs w:val="22"/>
          <w:color w:val="auto"/>
        </w:rPr>
        <w:t>Link amount of compensation to both company and individual performance goals; and</w:t>
      </w:r>
    </w:p>
    <w:p>
      <w:pPr>
        <w:spacing w:after="0" w:line="134" w:lineRule="exact"/>
        <w:rPr>
          <w:rFonts w:ascii="Arial" w:cs="Arial" w:eastAsia="Arial" w:hAnsi="Arial"/>
          <w:sz w:val="22"/>
          <w:szCs w:val="22"/>
          <w:color w:val="auto"/>
        </w:rPr>
      </w:pPr>
    </w:p>
    <w:p>
      <w:pPr>
        <w:ind w:left="1080" w:hanging="360"/>
        <w:spacing w:after="0"/>
        <w:tabs>
          <w:tab w:leader="none" w:pos="108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22"/>
          <w:szCs w:val="22"/>
          <w:color w:val="auto"/>
        </w:rPr>
        <w:t>Provide fair and competitive compensation opportunities that attract and retain executives.</w:t>
      </w:r>
    </w:p>
    <w:p>
      <w:pPr>
        <w:spacing w:after="0" w:line="239" w:lineRule="exact"/>
        <w:rPr>
          <w:sz w:val="20"/>
          <w:szCs w:val="20"/>
          <w:color w:val="auto"/>
        </w:rPr>
      </w:pPr>
    </w:p>
    <w:p>
      <w:pPr>
        <w:jc w:val="both"/>
        <w:ind w:right="240"/>
        <w:spacing w:after="0" w:line="277"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i w:val="1"/>
          <w:iCs w:val="1"/>
          <w:color w:val="auto"/>
        </w:rPr>
        <w:t>Executive Compensation</w:t>
      </w:r>
      <w:r>
        <w:rPr>
          <w:rFonts w:ascii="Times New Roman" w:cs="Times New Roman" w:eastAsia="Times New Roman" w:hAnsi="Times New Roman"/>
          <w:sz w:val="21"/>
          <w:szCs w:val="21"/>
          <w:color w:val="auto"/>
        </w:rPr>
        <w:t>” section of this proxy statement, which begins on page 51, describes our executive compensation program and the executive compensation decisions made by the Compensation Committee and Board of Directors for fiscal 2025 in more detail. Important considerations include:</w:t>
      </w:r>
    </w:p>
    <w:p>
      <w:pPr>
        <w:spacing w:after="0" w:line="178" w:lineRule="exact"/>
        <w:rPr>
          <w:sz w:val="20"/>
          <w:szCs w:val="20"/>
          <w:color w:val="auto"/>
        </w:rPr>
      </w:pPr>
    </w:p>
    <w:p>
      <w:pPr>
        <w:ind w:left="1080" w:right="80" w:hanging="361"/>
        <w:spacing w:after="0" w:line="259" w:lineRule="auto"/>
        <w:tabs>
          <w:tab w:leader="none" w:pos="108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22"/>
          <w:szCs w:val="22"/>
          <w:color w:val="auto"/>
        </w:rPr>
        <w:t>A significant portion of the compensation paid or awarded to our named executive officers in fiscal 2025 was “performance-based” or “at-risk” compensation that is tied directly to the achievement of financial and other performance goals or long-term stock price performance.</w:t>
      </w:r>
    </w:p>
    <w:p>
      <w:pPr>
        <w:spacing w:after="0" w:line="75" w:lineRule="exact"/>
        <w:rPr>
          <w:rFonts w:ascii="Arial" w:cs="Arial" w:eastAsia="Arial" w:hAnsi="Arial"/>
          <w:sz w:val="22"/>
          <w:szCs w:val="22"/>
          <w:color w:val="auto"/>
        </w:rPr>
      </w:pPr>
    </w:p>
    <w:p>
      <w:pPr>
        <w:ind w:left="1080" w:hanging="361"/>
        <w:spacing w:after="0" w:line="249" w:lineRule="auto"/>
        <w:tabs>
          <w:tab w:leader="none" w:pos="108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22"/>
          <w:szCs w:val="22"/>
          <w:color w:val="auto"/>
        </w:rPr>
        <w:t>Equity-based compensation granted to our named executive officers is in the form of stock options and aligns the long-term interests of our executives with the long-term interests of our stockholders. In response to a concern raised by one of our stockholders, stock options granted to our executives now vest annually over a three-year period as opposed to a one-year period.</w:t>
      </w:r>
    </w:p>
    <w:p>
      <w:pPr>
        <w:spacing w:after="0" w:line="87" w:lineRule="exact"/>
        <w:rPr>
          <w:rFonts w:ascii="Arial" w:cs="Arial" w:eastAsia="Arial" w:hAnsi="Arial"/>
          <w:sz w:val="22"/>
          <w:szCs w:val="22"/>
          <w:color w:val="auto"/>
        </w:rPr>
      </w:pPr>
    </w:p>
    <w:p>
      <w:pPr>
        <w:ind w:left="1080" w:right="640" w:hanging="361"/>
        <w:spacing w:after="0" w:line="277" w:lineRule="auto"/>
        <w:tabs>
          <w:tab w:leader="none" w:pos="108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22"/>
          <w:szCs w:val="22"/>
          <w:color w:val="auto"/>
        </w:rPr>
        <w:t>Our executive officers receive only modest perquisites and have modest severance and change-in-control arrangements.</w:t>
      </w:r>
    </w:p>
    <w:p>
      <w:pPr>
        <w:spacing w:after="0" w:line="56" w:lineRule="exact"/>
        <w:rPr>
          <w:rFonts w:ascii="Arial" w:cs="Arial" w:eastAsia="Arial" w:hAnsi="Arial"/>
          <w:sz w:val="22"/>
          <w:szCs w:val="22"/>
          <w:color w:val="auto"/>
        </w:rPr>
      </w:pPr>
    </w:p>
    <w:p>
      <w:pPr>
        <w:ind w:left="1080" w:hanging="361"/>
        <w:spacing w:after="0"/>
        <w:tabs>
          <w:tab w:leader="none" w:pos="108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22"/>
          <w:szCs w:val="22"/>
          <w:color w:val="auto"/>
        </w:rPr>
        <w:t>We have adopted a robust, Nasdaq-compliant clawback policy.</w:t>
      </w:r>
    </w:p>
    <w:p>
      <w:pPr>
        <w:spacing w:after="0" w:line="134" w:lineRule="exact"/>
        <w:rPr>
          <w:rFonts w:ascii="Arial" w:cs="Arial" w:eastAsia="Arial" w:hAnsi="Arial"/>
          <w:sz w:val="22"/>
          <w:szCs w:val="22"/>
          <w:color w:val="auto"/>
        </w:rPr>
      </w:pPr>
    </w:p>
    <w:p>
      <w:pPr>
        <w:ind w:left="1080" w:hanging="361"/>
        <w:spacing w:after="0"/>
        <w:tabs>
          <w:tab w:leader="none" w:pos="108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22"/>
          <w:szCs w:val="22"/>
          <w:color w:val="auto"/>
        </w:rPr>
        <w:t>We do not provide any tax “gross-up”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2240" w:h="15840" w:orient="portrait"/>
          <w:cols w:equalWidth="0" w:num="1">
            <w:col w:w="9360"/>
          </w:cols>
          <w:pgMar w:left="1440" w:top="1413" w:right="1440" w:bottom="178" w:gutter="0" w:footer="0" w:header="0"/>
        </w:sectPr>
      </w:pPr>
    </w:p>
    <w:bookmarkStart w:id="32" w:name="page33"/>
    <w:bookmarkEnd w:id="32"/>
    <w:p>
      <w:pPr>
        <w:jc w:val="both"/>
        <w:ind w:right="20"/>
        <w:spacing w:after="0" w:line="252" w:lineRule="auto"/>
        <w:rPr>
          <w:sz w:val="20"/>
          <w:szCs w:val="20"/>
          <w:color w:val="auto"/>
        </w:rPr>
      </w:pPr>
      <w:r>
        <w:rPr>
          <w:rFonts w:ascii="Times New Roman" w:cs="Times New Roman" w:eastAsia="Times New Roman" w:hAnsi="Times New Roman"/>
          <w:sz w:val="22"/>
          <w:szCs w:val="22"/>
          <w:color w:val="auto"/>
        </w:rPr>
        <w:t>We believe that our executive compensation program is competitive, focused on pay for performance, and strongly aligned with the long-term interests of our stockholders. The Compensation Committee believes that executive compensation for fiscal 2025 was reasonable, appropriate, and justified by the performance of the Company and the result of a carefully considered approach.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Proposed Resolution</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2"/>
          <w:szCs w:val="22"/>
          <w:color w:val="auto"/>
        </w:rPr>
        <w:t>The Board of Directors recommends that our stockholders vote in favor of the say-on-pay vote as set forth in the following resolution:</w:t>
      </w:r>
    </w:p>
    <w:p>
      <w:pPr>
        <w:spacing w:after="0" w:line="156" w:lineRule="exact"/>
        <w:rPr>
          <w:sz w:val="20"/>
          <w:szCs w:val="20"/>
          <w:color w:val="auto"/>
        </w:rPr>
      </w:pPr>
    </w:p>
    <w:p>
      <w:pPr>
        <w:ind w:right="140" w:firstLine="720"/>
        <w:spacing w:after="0" w:line="282" w:lineRule="auto"/>
        <w:rPr>
          <w:sz w:val="20"/>
          <w:szCs w:val="20"/>
          <w:color w:val="auto"/>
        </w:rPr>
      </w:pPr>
      <w:r>
        <w:rPr>
          <w:rFonts w:ascii="Times New Roman" w:cs="Times New Roman" w:eastAsia="Times New Roman" w:hAnsi="Times New Roman"/>
          <w:sz w:val="22"/>
          <w:szCs w:val="22"/>
          <w:b w:val="1"/>
          <w:bCs w:val="1"/>
          <w:color w:val="auto"/>
        </w:rPr>
        <w:t>RESOLVED</w:t>
      </w:r>
      <w:r>
        <w:rPr>
          <w:rFonts w:ascii="Times New Roman" w:cs="Times New Roman" w:eastAsia="Times New Roman" w:hAnsi="Times New Roman"/>
          <w:sz w:val="22"/>
          <w:szCs w:val="22"/>
          <w:color w:val="auto"/>
        </w:rPr>
        <w:t>, that our stockholders approve, on an advisory basis, the compensation paid to 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named executive officers, as disclosed in this proxy statement.</w:t>
      </w:r>
    </w:p>
    <w:p>
      <w:pPr>
        <w:spacing w:after="0" w:line="15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Stockholders are not ultimately voting to approve or disapprove the recommendation of the Board of Directors. As this is an advisory vote, the outcome of the vote is not binding on us with respect to future executive compensation decisions, including those relating to our named executive officers, or otherwise. The Compensation Committee and Board of Directors expect to take into account the outcome of this advisory vote when considering future executive compensation decisions.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Next Say-on-Pay Vote</w:t>
      </w:r>
    </w:p>
    <w:p>
      <w:pPr>
        <w:spacing w:after="0" w:line="24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2"/>
          <w:szCs w:val="22"/>
          <w:color w:val="auto"/>
        </w:rPr>
        <w:t>We expect to conduct a say-on-pay vote on an annual basis, with the next say- on-pay vote to occur at our 2027 Annual Meeting of Stockholders. We are also conducting a frequency of say -on -pay vote this year. See “Proposal Three—Advisory Vote on the Frequency of Future Advisory Votes on Executive Compensation.” Since a frequency of say- on-pay vote must be conducted every six years, we expect to conduct the next frequency of say-on-pay vote at our 2032 Annual Meeting of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24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22"/>
          <w:szCs w:val="22"/>
          <w:color w:val="auto"/>
        </w:rPr>
        <w:t xml:space="preserve">The Board of Directors unanimously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approval, on an advisory basis, of the compensation paid to our named executive officers, as disclosed in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170815</wp:posOffset>
                </wp:positionV>
                <wp:extent cx="595503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5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3.45pt" to="468.45pt,13.4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167640</wp:posOffset>
                </wp:positionV>
                <wp:extent cx="0" cy="40767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767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3.2pt" to="-0.1999pt,45.3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5946140</wp:posOffset>
                </wp:positionH>
                <wp:positionV relativeFrom="paragraph">
                  <wp:posOffset>167640</wp:posOffset>
                </wp:positionV>
                <wp:extent cx="0" cy="40767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7670"/>
                        </a:xfrm>
                        <a:prstGeom prst="line">
                          <a:avLst/>
                        </a:prstGeom>
                        <a:solidFill>
                          <a:srgbClr val="FFFFFF"/>
                        </a:solidFill>
                        <a:ln w="6094">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2pt,13.2pt" to="468.2pt,45.3pt" o:allowincell="f" strokecolor="#000000" strokeweight="0.4798pt"/>
            </w:pict>
          </mc:Fallback>
        </mc:AlternateContent>
      </w:r>
    </w:p>
    <w:p>
      <w:pPr>
        <w:spacing w:after="0" w:line="256" w:lineRule="exact"/>
        <w:rPr>
          <w:sz w:val="20"/>
          <w:szCs w:val="20"/>
          <w:color w:val="auto"/>
        </w:rPr>
      </w:pPr>
    </w:p>
    <w:p>
      <w:pPr>
        <w:ind w:left="1000"/>
        <w:spacing w:after="0"/>
        <w:tabs>
          <w:tab w:leader="none" w:pos="8680" w:val="left"/>
        </w:tabs>
        <w:rPr>
          <w:sz w:val="20"/>
          <w:szCs w:val="20"/>
          <w:color w:val="auto"/>
        </w:rPr>
      </w:pPr>
      <w:r>
        <w:rPr>
          <w:rFonts w:ascii="Times New Roman" w:cs="Times New Roman" w:eastAsia="Times New Roman" w:hAnsi="Times New Roman"/>
          <w:sz w:val="24"/>
          <w:szCs w:val="24"/>
          <w:b w:val="1"/>
          <w:bCs w:val="1"/>
          <w:color w:val="auto"/>
        </w:rPr>
        <w:t>The Board of Directors Recommends a Vote FOR Proposal Two</w:t>
      </w:r>
      <w:r>
        <w:rPr>
          <w:sz w:val="20"/>
          <w:szCs w:val="20"/>
          <w:color w:val="auto"/>
        </w:rPr>
        <w:tab/>
      </w:r>
      <w:r>
        <w:rPr>
          <w:rFonts w:ascii="Wingdings" w:cs="Wingdings" w:eastAsia="Wingdings" w:hAnsi="Wingdings"/>
          <w:sz w:val="56"/>
          <w:szCs w:val="56"/>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2540</wp:posOffset>
                </wp:positionV>
                <wp:extent cx="595503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5030" cy="4763"/>
                        </a:xfrm>
                        <a:prstGeom prst="line">
                          <a:avLst/>
                        </a:prstGeom>
                        <a:solidFill>
                          <a:srgbClr val="FFFFFF"/>
                        </a:solidFill>
                        <a:ln w="6094">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0.2pt" to="468.45pt,0.2pt" o:allowincell="f" strokecolor="#000000" strokeweight="0.479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2240" w:h="15840" w:orient="portrait"/>
          <w:cols w:equalWidth="0" w:num="1">
            <w:col w:w="9360"/>
          </w:cols>
          <w:pgMar w:left="1440" w:top="1417" w:right="1440" w:bottom="178" w:gutter="0" w:footer="0" w:header="0"/>
        </w:sectPr>
      </w:pPr>
    </w:p>
    <w:bookmarkStart w:id="33" w:name="page34"/>
    <w:bookmarkEnd w:id="33"/>
    <w:p>
      <w:pPr>
        <w:jc w:val="center"/>
        <w:spacing w:after="0" w:line="288" w:lineRule="auto"/>
        <w:rPr>
          <w:sz w:val="20"/>
          <w:szCs w:val="20"/>
          <w:color w:val="auto"/>
        </w:rPr>
      </w:pPr>
      <w:r>
        <w:rPr>
          <w:rFonts w:ascii="Times New Roman" w:cs="Times New Roman" w:eastAsia="Times New Roman" w:hAnsi="Times New Roman"/>
          <w:sz w:val="22"/>
          <w:szCs w:val="22"/>
          <w:b w:val="1"/>
          <w:bCs w:val="1"/>
          <w:color w:val="auto"/>
        </w:rPr>
        <w:t>PROPOSAL THREE—ADVISORY VOTE ON THE FREQUENCY OF FUTURE ADVISORY VOTES ON EXECUTIVE COMPENSATION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43"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2"/>
          <w:szCs w:val="22"/>
          <w:color w:val="auto"/>
        </w:rPr>
        <w:t>The Board of Directors is providing our stockholders with an advisory vote on the frequency of future advisory votes on executive compensation, or say-on-pay votes, such as that provided for in Proposal Two—Advisory Vote on Executive Compensation. This non-binding advisory vote is required to be conducted every six years under Section 14A of the Exchange Act and pursuant to the Dodd-Frank Act. Our last frequency of say-on-pay vote was held at our 2020 Annual Meeting of Stockholders, at which stockholders voted in favor of an annual say-on-pay vote. The next required advisory vote on the frequency of future stockholder advisory votes on executive compensation will occur no later than the 2032 Annual Meeting of Stockholders.</w:t>
      </w:r>
    </w:p>
    <w:p>
      <w:pPr>
        <w:spacing w:after="0" w:line="19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2"/>
          <w:szCs w:val="22"/>
          <w:color w:val="auto"/>
        </w:rPr>
        <w:t>Stockholders may indicate whether they prefer that we hold a say-on-pay vote every one year, two years, or three years, or they may abstain from this vote.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Reasons for an Annual Say-on-Pay Vote Recommendation</w:t>
      </w:r>
    </w:p>
    <w:p>
      <w:pPr>
        <w:spacing w:after="0" w:line="24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After careful consideration, the Board of Directors, upon recommendation of the Compensation Committee, has determined that holding a say-on-pay vote every year remains the best approach for NTIC and our stockholders, and recommends that stockholders vote for future advisory votes on executive compensation to occur every one year. In making this recommendation, the Board continues to believe that an annual say-on-pay vote is the most appropriate policy for our stockholders and NTIC at this time. Although we recognize the potential benefits of having less frequent say-on-pay votes, we understand that an annual say-on-pay vote is currently the standard desired by many stockholders.</w:t>
      </w:r>
    </w:p>
    <w:p>
      <w:pPr>
        <w:spacing w:after="0" w:line="19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2"/>
          <w:szCs w:val="22"/>
          <w:color w:val="auto"/>
        </w:rPr>
        <w:t>In addition, while our executive compensation program is designed to promote a long-term connection between pay and performance, the Board of Directors recognizes that executive compensation decisions are made annually and that an annual say-on-pay vote:</w:t>
      </w:r>
    </w:p>
    <w:p>
      <w:pPr>
        <w:spacing w:after="0" w:line="196" w:lineRule="exact"/>
        <w:rPr>
          <w:sz w:val="20"/>
          <w:szCs w:val="20"/>
          <w:color w:val="auto"/>
        </w:rPr>
      </w:pPr>
    </w:p>
    <w:p>
      <w:pPr>
        <w:ind w:left="720" w:hanging="360"/>
        <w:spacing w:after="0"/>
        <w:tabs>
          <w:tab w:leader="none" w:pos="72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Aligns with our annual review of core elements of our executive compensation program;</w:t>
      </w:r>
    </w:p>
    <w:p>
      <w:pPr>
        <w:spacing w:after="0" w:line="254" w:lineRule="exact"/>
        <w:rPr>
          <w:rFonts w:ascii="Arial" w:cs="Arial" w:eastAsia="Arial" w:hAnsi="Arial"/>
          <w:sz w:val="22"/>
          <w:szCs w:val="22"/>
          <w:color w:val="auto"/>
        </w:rPr>
      </w:pPr>
    </w:p>
    <w:p>
      <w:pPr>
        <w:ind w:left="720" w:right="260" w:hanging="360"/>
        <w:spacing w:after="0" w:line="277" w:lineRule="auto"/>
        <w:tabs>
          <w:tab w:leader="none" w:pos="72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22"/>
          <w:szCs w:val="22"/>
          <w:color w:val="auto"/>
        </w:rPr>
        <w:t>Allows stockholders to provide timely, direct input on our executive compensation philosophy, policies, and practices as disclosed in our proxy statement each year; and</w:t>
      </w:r>
    </w:p>
    <w:p>
      <w:pPr>
        <w:spacing w:after="0" w:line="175" w:lineRule="exact"/>
        <w:rPr>
          <w:rFonts w:ascii="Arial" w:cs="Arial" w:eastAsia="Arial" w:hAnsi="Arial"/>
          <w:sz w:val="22"/>
          <w:szCs w:val="22"/>
          <w:color w:val="auto"/>
        </w:rPr>
      </w:pPr>
    </w:p>
    <w:p>
      <w:pPr>
        <w:jc w:val="both"/>
        <w:ind w:left="720" w:right="20" w:hanging="360"/>
        <w:spacing w:after="0" w:line="302" w:lineRule="auto"/>
        <w:tabs>
          <w:tab w:leader="none" w:pos="7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21"/>
          <w:szCs w:val="21"/>
          <w:color w:val="auto"/>
        </w:rPr>
        <w:t>Is consistent with our practice of seeking input and engaging in dialogue with our stockholders on corporate governance matters and our executive compensation philosophy, policies and practices.</w:t>
      </w:r>
    </w:p>
    <w:p>
      <w:pPr>
        <w:spacing w:after="0" w:line="138"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2"/>
          <w:szCs w:val="22"/>
          <w:color w:val="auto"/>
        </w:rPr>
        <w:t>Stockholders are not voting to approve or disapprove the Board of Directors’ recommendation. Instead, stockholders may indicate their preference regarding the frequency of future say-on-pay votes by selecting every one year, two years or three years. Stockholders that do not have a preference regarding the frequency of future say-on-pay votes may abstain from voting on the proposal.</w:t>
      </w:r>
    </w:p>
    <w:p>
      <w:pPr>
        <w:spacing w:after="0" w:line="18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2"/>
          <w:szCs w:val="22"/>
          <w:color w:val="auto"/>
        </w:rPr>
        <w:t>As this is an advisory vote, the outcome of the vote is not binding on us, and the Compensation Committee and the Board of Directors may decide that it is in the best interests of NTIC and our stockholders to hold a say-on-pay vote more or less frequently than the preference receiving the highest number of votes of our stockholders. However, the Compensation Committee and the Board of Directors value the opinions expressed by our stockholders in their vote on this proposal and expect to take into account the outcome of this vote when considering the frequency of future advisory votes on executive compensation.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2240" w:h="15840" w:orient="portrait"/>
          <w:cols w:equalWidth="0" w:num="1">
            <w:col w:w="9360"/>
          </w:cols>
          <w:pgMar w:left="1440" w:top="1413" w:right="1440" w:bottom="178"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24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 xml:space="preserve">The Board of Directors unanimously recommends that our stockholders vote for a frequency of every </w:t>
      </w:r>
      <w:r>
        <w:rPr>
          <w:rFonts w:ascii="Times New Roman" w:cs="Times New Roman" w:eastAsia="Times New Roman" w:hAnsi="Times New Roman"/>
          <w:sz w:val="22"/>
          <w:szCs w:val="22"/>
          <w:b w:val="1"/>
          <w:bCs w:val="1"/>
          <w:color w:val="auto"/>
        </w:rPr>
        <w:t>ONE YEAR</w:t>
      </w:r>
      <w:r>
        <w:rPr>
          <w:rFonts w:ascii="Times New Roman" w:cs="Times New Roman" w:eastAsia="Times New Roman" w:hAnsi="Times New Roman"/>
          <w:sz w:val="22"/>
          <w:szCs w:val="22"/>
          <w:color w:val="auto"/>
        </w:rPr>
        <w:t>, on an advisory basis, for future advisory votes on executive compensation, or say-on-pay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188595</wp:posOffset>
                </wp:positionV>
                <wp:extent cx="595503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503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4.85pt" to="468.45pt,14.8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185420</wp:posOffset>
                </wp:positionV>
                <wp:extent cx="0" cy="40703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70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4.6pt" to="-0.1999pt,46.6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5946140</wp:posOffset>
                </wp:positionH>
                <wp:positionV relativeFrom="paragraph">
                  <wp:posOffset>185420</wp:posOffset>
                </wp:positionV>
                <wp:extent cx="0" cy="40703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7035"/>
                        </a:xfrm>
                        <a:prstGeom prst="line">
                          <a:avLst/>
                        </a:prstGeom>
                        <a:solidFill>
                          <a:srgbClr val="FFFFFF"/>
                        </a:solidFill>
                        <a:ln w="6094">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2pt,14.6pt" to="468.2pt,46.65pt" o:allowincell="f" strokecolor="#000000" strokeweight="0.4798pt"/>
            </w:pict>
          </mc:Fallback>
        </mc:AlternateContent>
      </w:r>
    </w:p>
    <w:p>
      <w:pPr>
        <w:spacing w:after="0" w:line="283" w:lineRule="exact"/>
        <w:rPr>
          <w:sz w:val="20"/>
          <w:szCs w:val="20"/>
          <w:color w:val="auto"/>
        </w:rPr>
      </w:pPr>
    </w:p>
    <w:p>
      <w:pPr>
        <w:ind w:left="240"/>
        <w:spacing w:after="0"/>
        <w:tabs>
          <w:tab w:leader="none" w:pos="8680" w:val="left"/>
        </w:tabs>
        <w:rPr>
          <w:sz w:val="20"/>
          <w:szCs w:val="20"/>
          <w:color w:val="auto"/>
        </w:rPr>
      </w:pPr>
      <w:r>
        <w:rPr>
          <w:rFonts w:ascii="Times New Roman" w:cs="Times New Roman" w:eastAsia="Times New Roman" w:hAnsi="Times New Roman"/>
          <w:sz w:val="24"/>
          <w:szCs w:val="24"/>
          <w:b w:val="1"/>
          <w:bCs w:val="1"/>
          <w:color w:val="auto"/>
        </w:rPr>
        <w:t>The Board of Directors Recommends a Vote of ONE YEAR for Proposal Three</w:t>
      </w:r>
      <w:r>
        <w:rPr>
          <w:sz w:val="20"/>
          <w:szCs w:val="20"/>
          <w:color w:val="auto"/>
        </w:rPr>
        <w:tab/>
      </w:r>
      <w:r>
        <w:rPr>
          <w:rFonts w:ascii="Wingdings" w:cs="Wingdings" w:eastAsia="Wingdings" w:hAnsi="Wingdings"/>
          <w:sz w:val="56"/>
          <w:szCs w:val="56"/>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2540</wp:posOffset>
                </wp:positionV>
                <wp:extent cx="595503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5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0.2pt" to="468.45pt,0.2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2240" w:h="15840" w:orient="portrait"/>
          <w:cols w:equalWidth="0" w:num="1">
            <w:col w:w="9360"/>
          </w:cols>
          <w:pgMar w:left="1440" w:top="1413" w:right="1440" w:bottom="178" w:gutter="0" w:footer="0" w:header="0"/>
        </w:sectPr>
      </w:pPr>
    </w:p>
    <w:bookmarkStart w:id="35" w:name="page36"/>
    <w:bookmarkEnd w:id="35"/>
    <w:p>
      <w:pPr>
        <w:ind w:left="1580" w:right="1580" w:firstLine="18"/>
        <w:spacing w:after="0" w:line="269" w:lineRule="auto"/>
        <w:rPr>
          <w:sz w:val="20"/>
          <w:szCs w:val="20"/>
          <w:color w:val="auto"/>
        </w:rPr>
      </w:pPr>
      <w:r>
        <w:rPr>
          <w:rFonts w:ascii="Times New Roman" w:cs="Times New Roman" w:eastAsia="Times New Roman" w:hAnsi="Times New Roman"/>
          <w:sz w:val="21"/>
          <w:szCs w:val="21"/>
          <w:b w:val="1"/>
          <w:bCs w:val="1"/>
          <w:color w:val="auto"/>
        </w:rPr>
        <w:t>PROPOSAL FOUR—RATIFICATION OF APPOINTMENT OF INDEPENDENT REGISTERED PUBLIC ACCOUNTING FIRM</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Appointment of Independent Registered Public Accounting Firm</w:t>
      </w:r>
    </w:p>
    <w:p>
      <w:pPr>
        <w:spacing w:after="0" w:line="244"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2"/>
          <w:szCs w:val="22"/>
          <w:color w:val="auto"/>
        </w:rPr>
        <w:t>The Audit Committee of the Board of Directors appoints our independent registered public accounting firm. In this regard, the Audit Committee evaluates the qualifications, performance and independence of our independent registered public accounting firm and determines whether to re-engage our current independent registered public accounting firm. As part of its evaluation, the Audit Committee considers, among other factors, the quality and efficiency of the services provided by the firm, including the performance, technical expertise, and industry knowledge of the lead audit partner and the audit team assigned to our account; the overall strength and reputation of the firm; its global capabilities relative to our business; and its knowledge of our operations. Additionally, the Audit Committee considers the impact of a change of independent registered public accounting firm. Upon consideration of these and other factors, the Audit Committee believes the appointment of Baker Tilly US, LLP (“Baker Tilly”) as our independent registered public accounting firm for the fiscal year ending August 31, 2026, is in the best interests of NTIC and its stockholders. Baker Tilly has served as our independent registered public accounting firm since 2004.</w:t>
      </w:r>
    </w:p>
    <w:p>
      <w:pPr>
        <w:spacing w:after="0" w:line="20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Although it is not required to do so, the Board of Directors is asking our stockholders to ratify the Audit Committee’s appointment of Baker Tilly as a matter of good corporate governance. If our stockholders do not ratify the appointment of Baker Tilly, another independent registered public accounting firm will be considered by the Audit Committee. Even if the appointment is ratified by our stockholders, the Audit Committee in its discretion may change the appointment at any time during the year, if it determines that such a change would be in the best interests of NTIC and our stockholders.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Representatives of Baker Tilly will be present at the Annual Meeting to respond to appropriate questions.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They also will have the opportunity to make a statement if they wish to do so.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Audit, Audit-Related, Tax and Other Fees</w:t>
      </w:r>
    </w:p>
    <w:p>
      <w:pPr>
        <w:spacing w:after="0" w:line="244"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2"/>
          <w:szCs w:val="22"/>
          <w:color w:val="auto"/>
        </w:rPr>
        <w:t>The following table presents the aggregate fees billed to us by Baker Tilly for the fiscal years ended August 31, 2025, and August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shd w:val="clear" w:color="auto" w:fill="D9D9D9"/>
          </w:tcPr>
          <w:p>
            <w:pPr>
              <w:spacing w:after="0"/>
              <w:rPr>
                <w:sz w:val="19"/>
                <w:szCs w:val="19"/>
                <w:color w:val="auto"/>
              </w:rPr>
            </w:pPr>
          </w:p>
        </w:tc>
        <w:tc>
          <w:tcPr>
            <w:tcW w:w="1540" w:type="dxa"/>
            <w:vAlign w:val="bottom"/>
            <w:shd w:val="clear" w:color="auto" w:fill="D9D9D9"/>
          </w:tcPr>
          <w:p>
            <w:pPr>
              <w:spacing w:after="0"/>
              <w:rPr>
                <w:sz w:val="19"/>
                <w:szCs w:val="19"/>
                <w:color w:val="auto"/>
              </w:rPr>
            </w:pPr>
          </w:p>
        </w:tc>
        <w:tc>
          <w:tcPr>
            <w:tcW w:w="60" w:type="dxa"/>
            <w:vAlign w:val="bottom"/>
            <w:tcBorders>
              <w:right w:val="single" w:sz="8" w:color="D9D9D9"/>
            </w:tcBorders>
          </w:tcPr>
          <w:p>
            <w:pPr>
              <w:spacing w:after="0"/>
              <w:rPr>
                <w:sz w:val="19"/>
                <w:szCs w:val="19"/>
                <w:color w:val="auto"/>
              </w:rPr>
            </w:pPr>
          </w:p>
        </w:tc>
        <w:tc>
          <w:tcPr>
            <w:tcW w:w="740" w:type="dxa"/>
            <w:vAlign w:val="bottom"/>
            <w:shd w:val="clear" w:color="auto" w:fill="D9D9D9"/>
          </w:tcPr>
          <w:p>
            <w:pPr>
              <w:spacing w:after="0"/>
              <w:rPr>
                <w:sz w:val="19"/>
                <w:szCs w:val="19"/>
                <w:color w:val="auto"/>
              </w:rPr>
            </w:pPr>
          </w:p>
        </w:tc>
        <w:tc>
          <w:tcPr>
            <w:tcW w:w="2500" w:type="dxa"/>
            <w:vAlign w:val="bottom"/>
            <w:gridSpan w:val="3"/>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Aggregate Amount Billed by</w:t>
            </w:r>
          </w:p>
        </w:tc>
        <w:tc>
          <w:tcPr>
            <w:tcW w:w="76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r>
      <w:tr>
        <w:trPr>
          <w:trHeight w:val="250"/>
        </w:trPr>
        <w:tc>
          <w:tcPr>
            <w:tcW w:w="3600" w:type="dxa"/>
            <w:vAlign w:val="bottom"/>
            <w:tcBorders>
              <w:bottom w:val="single" w:sz="8" w:color="D9D9D9"/>
            </w:tcBorders>
            <w:shd w:val="clear" w:color="auto" w:fill="D9D9D9"/>
          </w:tcPr>
          <w:p>
            <w:pPr>
              <w:spacing w:after="0"/>
              <w:rPr>
                <w:sz w:val="21"/>
                <w:szCs w:val="21"/>
                <w:color w:val="auto"/>
              </w:rPr>
            </w:pPr>
          </w:p>
        </w:tc>
        <w:tc>
          <w:tcPr>
            <w:tcW w:w="1540" w:type="dxa"/>
            <w:vAlign w:val="bottom"/>
            <w:tcBorders>
              <w:bottom w:val="single" w:sz="8" w:color="D9D9D9"/>
            </w:tcBorders>
            <w:shd w:val="clear" w:color="auto" w:fill="D9D9D9"/>
          </w:tcPr>
          <w:p>
            <w:pPr>
              <w:spacing w:after="0"/>
              <w:rPr>
                <w:sz w:val="21"/>
                <w:szCs w:val="21"/>
                <w:color w:val="auto"/>
              </w:rPr>
            </w:pPr>
          </w:p>
        </w:tc>
        <w:tc>
          <w:tcPr>
            <w:tcW w:w="60" w:type="dxa"/>
            <w:vAlign w:val="bottom"/>
            <w:tcBorders>
              <w:right w:val="single" w:sz="8" w:color="D9D9D9"/>
            </w:tcBorders>
          </w:tcPr>
          <w:p>
            <w:pPr>
              <w:spacing w:after="0"/>
              <w:rPr>
                <w:sz w:val="21"/>
                <w:szCs w:val="21"/>
                <w:color w:val="auto"/>
              </w:rPr>
            </w:pPr>
          </w:p>
        </w:tc>
        <w:tc>
          <w:tcPr>
            <w:tcW w:w="740" w:type="dxa"/>
            <w:vAlign w:val="bottom"/>
            <w:tcBorders>
              <w:bottom w:val="single" w:sz="8" w:color="auto"/>
            </w:tcBorders>
            <w:shd w:val="clear" w:color="auto" w:fill="D9D9D9"/>
          </w:tcPr>
          <w:p>
            <w:pPr>
              <w:spacing w:after="0"/>
              <w:rPr>
                <w:sz w:val="21"/>
                <w:szCs w:val="21"/>
                <w:color w:val="auto"/>
              </w:rPr>
            </w:pPr>
          </w:p>
        </w:tc>
        <w:tc>
          <w:tcPr>
            <w:tcW w:w="2500" w:type="dxa"/>
            <w:vAlign w:val="bottom"/>
            <w:tcBorders>
              <w:bottom w:val="single" w:sz="8" w:color="auto"/>
            </w:tcBorders>
            <w:gridSpan w:val="3"/>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Baker Tilly ($)</w:t>
            </w:r>
          </w:p>
        </w:tc>
        <w:tc>
          <w:tcPr>
            <w:tcW w:w="760" w:type="dxa"/>
            <w:vAlign w:val="bottom"/>
            <w:tcBorders>
              <w:bottom w:val="single" w:sz="8" w:color="auto"/>
            </w:tcBorders>
            <w:shd w:val="clear" w:color="auto" w:fill="D9D9D9"/>
          </w:tcPr>
          <w:p>
            <w:pPr>
              <w:spacing w:after="0"/>
              <w:rPr>
                <w:sz w:val="21"/>
                <w:szCs w:val="21"/>
                <w:color w:val="auto"/>
              </w:rPr>
            </w:pPr>
          </w:p>
        </w:tc>
        <w:tc>
          <w:tcPr>
            <w:tcW w:w="80" w:type="dxa"/>
            <w:vAlign w:val="bottom"/>
            <w:tcBorders>
              <w:bottom w:val="single" w:sz="8" w:color="D9D9D9"/>
            </w:tcBorders>
            <w:shd w:val="clear" w:color="auto" w:fill="D9D9D9"/>
          </w:tcPr>
          <w:p>
            <w:pPr>
              <w:spacing w:after="0"/>
              <w:rPr>
                <w:sz w:val="21"/>
                <w:szCs w:val="21"/>
                <w:color w:val="auto"/>
              </w:rPr>
            </w:pPr>
          </w:p>
        </w:tc>
      </w:tr>
      <w:tr>
        <w:trPr>
          <w:trHeight w:val="231"/>
        </w:trPr>
        <w:tc>
          <w:tcPr>
            <w:tcW w:w="3600" w:type="dxa"/>
            <w:vAlign w:val="bottom"/>
            <w:tcBorders>
              <w:bottom w:val="single" w:sz="8" w:color="D9D9D9"/>
            </w:tcBorders>
            <w:shd w:val="clear" w:color="auto" w:fill="D9D9D9"/>
          </w:tcPr>
          <w:p>
            <w:pPr>
              <w:spacing w:after="0"/>
              <w:rPr>
                <w:sz w:val="20"/>
                <w:szCs w:val="20"/>
                <w:color w:val="auto"/>
              </w:rPr>
            </w:pPr>
          </w:p>
        </w:tc>
        <w:tc>
          <w:tcPr>
            <w:tcW w:w="1540" w:type="dxa"/>
            <w:vAlign w:val="bottom"/>
            <w:tcBorders>
              <w:bottom w:val="single" w:sz="8" w:color="D9D9D9"/>
            </w:tcBorders>
            <w:shd w:val="clear" w:color="auto" w:fill="D9D9D9"/>
          </w:tcPr>
          <w:p>
            <w:pPr>
              <w:spacing w:after="0"/>
              <w:rPr>
                <w:sz w:val="20"/>
                <w:szCs w:val="20"/>
                <w:color w:val="auto"/>
              </w:rPr>
            </w:pPr>
          </w:p>
        </w:tc>
        <w:tc>
          <w:tcPr>
            <w:tcW w:w="60" w:type="dxa"/>
            <w:vAlign w:val="bottom"/>
            <w:tcBorders>
              <w:right w:val="single" w:sz="8" w:color="D9D9D9"/>
            </w:tcBorders>
          </w:tcPr>
          <w:p>
            <w:pPr>
              <w:spacing w:after="0"/>
              <w:rPr>
                <w:sz w:val="20"/>
                <w:szCs w:val="20"/>
                <w:color w:val="auto"/>
              </w:rPr>
            </w:pPr>
          </w:p>
        </w:tc>
        <w:tc>
          <w:tcPr>
            <w:tcW w:w="2020" w:type="dxa"/>
            <w:vAlign w:val="bottom"/>
            <w:tcBorders>
              <w:bottom w:val="single" w:sz="8" w:color="auto"/>
            </w:tcBorders>
            <w:gridSpan w:val="2"/>
            <w:shd w:val="clear" w:color="auto" w:fill="D9D9D9"/>
          </w:tcPr>
          <w:p>
            <w:pPr>
              <w:jc w:val="right"/>
              <w:ind w:right="433"/>
              <w:spacing w:after="0"/>
              <w:rPr>
                <w:sz w:val="20"/>
                <w:szCs w:val="20"/>
                <w:color w:val="auto"/>
              </w:rPr>
            </w:pPr>
            <w:r>
              <w:rPr>
                <w:rFonts w:ascii="Times New Roman" w:cs="Times New Roman" w:eastAsia="Times New Roman" w:hAnsi="Times New Roman"/>
                <w:sz w:val="20"/>
                <w:szCs w:val="20"/>
                <w:b w:val="1"/>
                <w:bCs w:val="1"/>
                <w:color w:val="auto"/>
              </w:rPr>
              <w:t>Fiscal 2025</w:t>
            </w:r>
          </w:p>
        </w:tc>
        <w:tc>
          <w:tcPr>
            <w:tcW w:w="140" w:type="dxa"/>
            <w:vAlign w:val="bottom"/>
            <w:tcBorders>
              <w:bottom w:val="single" w:sz="8" w:color="D9D9D9"/>
            </w:tcBorders>
            <w:shd w:val="clear" w:color="auto" w:fill="D9D9D9"/>
          </w:tcPr>
          <w:p>
            <w:pPr>
              <w:spacing w:after="0"/>
              <w:rPr>
                <w:sz w:val="20"/>
                <w:szCs w:val="20"/>
                <w:color w:val="auto"/>
              </w:rPr>
            </w:pPr>
          </w:p>
        </w:tc>
        <w:tc>
          <w:tcPr>
            <w:tcW w:w="1840" w:type="dxa"/>
            <w:vAlign w:val="bottom"/>
            <w:tcBorders>
              <w:bottom w:val="single" w:sz="8" w:color="auto"/>
            </w:tcBorders>
            <w:gridSpan w:val="2"/>
            <w:shd w:val="clear" w:color="auto" w:fill="D9D9D9"/>
          </w:tcPr>
          <w:p>
            <w:pPr>
              <w:ind w:left="440"/>
              <w:spacing w:after="0"/>
              <w:rPr>
                <w:sz w:val="20"/>
                <w:szCs w:val="20"/>
                <w:color w:val="auto"/>
              </w:rPr>
            </w:pPr>
            <w:r>
              <w:rPr>
                <w:rFonts w:ascii="Times New Roman" w:cs="Times New Roman" w:eastAsia="Times New Roman" w:hAnsi="Times New Roman"/>
                <w:sz w:val="20"/>
                <w:szCs w:val="20"/>
                <w:b w:val="1"/>
                <w:bCs w:val="1"/>
                <w:color w:val="auto"/>
              </w:rPr>
              <w:t>Fiscal 2024</w:t>
            </w:r>
          </w:p>
        </w:tc>
        <w:tc>
          <w:tcPr>
            <w:tcW w:w="80" w:type="dxa"/>
            <w:vAlign w:val="bottom"/>
            <w:tcBorders>
              <w:bottom w:val="single" w:sz="8" w:color="D9D9D9"/>
            </w:tcBorders>
            <w:shd w:val="clear" w:color="auto" w:fill="D9D9D9"/>
          </w:tcPr>
          <w:p>
            <w:pPr>
              <w:spacing w:after="0"/>
              <w:rPr>
                <w:sz w:val="20"/>
                <w:szCs w:val="20"/>
                <w:color w:val="auto"/>
              </w:rPr>
            </w:pPr>
          </w:p>
        </w:tc>
      </w:tr>
      <w:tr>
        <w:trPr>
          <w:trHeight w:val="222"/>
        </w:trPr>
        <w:tc>
          <w:tcPr>
            <w:tcW w:w="5200" w:type="dxa"/>
            <w:vAlign w:val="bottom"/>
            <w:gridSpan w:val="3"/>
          </w:tcPr>
          <w:p>
            <w:pPr>
              <w:ind w:left="100"/>
              <w:spacing w:after="0" w:line="222" w:lineRule="exact"/>
              <w:rPr>
                <w:sz w:val="20"/>
                <w:szCs w:val="20"/>
                <w:color w:val="auto"/>
              </w:rPr>
            </w:pPr>
            <w:r>
              <w:rPr>
                <w:rFonts w:ascii="Times New Roman" w:cs="Times New Roman" w:eastAsia="Times New Roman" w:hAnsi="Times New Roman"/>
                <w:sz w:val="22"/>
                <w:szCs w:val="22"/>
                <w:color w:val="auto"/>
              </w:rPr>
              <w:t>Audit Fees</w:t>
            </w:r>
            <w:r>
              <w:rPr>
                <w:rFonts w:ascii="Times New Roman" w:cs="Times New Roman" w:eastAsia="Times New Roman" w:hAnsi="Times New Roman"/>
                <w:sz w:val="12"/>
                <w:szCs w:val="12"/>
                <w:color w:val="auto"/>
              </w:rPr>
              <w:t>(1)</w:t>
            </w:r>
            <w:r>
              <w:rPr>
                <w:rFonts w:ascii="Times New Roman" w:cs="Times New Roman" w:eastAsia="Times New Roman" w:hAnsi="Times New Roman"/>
                <w:sz w:val="22"/>
                <w:szCs w:val="22"/>
                <w:color w:val="auto"/>
              </w:rPr>
              <w:t xml:space="preserve"> .........................................................</w:t>
            </w:r>
          </w:p>
        </w:tc>
        <w:tc>
          <w:tcPr>
            <w:tcW w:w="740" w:type="dxa"/>
            <w:vAlign w:val="bottom"/>
          </w:tcPr>
          <w:p>
            <w:pPr>
              <w:jc w:val="right"/>
              <w:spacing w:after="0" w:line="222"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spacing w:after="0" w:line="222" w:lineRule="exact"/>
              <w:rPr>
                <w:sz w:val="20"/>
                <w:szCs w:val="20"/>
                <w:color w:val="auto"/>
              </w:rPr>
            </w:pPr>
            <w:r>
              <w:rPr>
                <w:rFonts w:ascii="Times New Roman" w:cs="Times New Roman" w:eastAsia="Times New Roman" w:hAnsi="Times New Roman"/>
                <w:sz w:val="22"/>
                <w:szCs w:val="22"/>
                <w:color w:val="auto"/>
              </w:rPr>
              <w:t>894,000</w:t>
            </w:r>
          </w:p>
        </w:tc>
        <w:tc>
          <w:tcPr>
            <w:tcW w:w="1220" w:type="dxa"/>
            <w:vAlign w:val="bottom"/>
            <w:gridSpan w:val="2"/>
          </w:tcPr>
          <w:p>
            <w:pPr>
              <w:ind w:left="560"/>
              <w:spacing w:after="0" w:line="222"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spacing w:after="0" w:line="222" w:lineRule="exact"/>
              <w:rPr>
                <w:sz w:val="20"/>
                <w:szCs w:val="20"/>
                <w:color w:val="auto"/>
              </w:rPr>
            </w:pPr>
            <w:r>
              <w:rPr>
                <w:rFonts w:ascii="Times New Roman" w:cs="Times New Roman" w:eastAsia="Times New Roman" w:hAnsi="Times New Roman"/>
                <w:sz w:val="22"/>
                <w:szCs w:val="22"/>
                <w:color w:val="auto"/>
                <w:w w:val="97"/>
              </w:rPr>
              <w:t>704,006</w:t>
            </w:r>
          </w:p>
        </w:tc>
        <w:tc>
          <w:tcPr>
            <w:tcW w:w="80" w:type="dxa"/>
            <w:vAlign w:val="bottom"/>
          </w:tcPr>
          <w:p>
            <w:pPr>
              <w:spacing w:after="0"/>
              <w:rPr>
                <w:sz w:val="19"/>
                <w:szCs w:val="19"/>
                <w:color w:val="auto"/>
              </w:rPr>
            </w:pPr>
          </w:p>
        </w:tc>
      </w:tr>
      <w:tr>
        <w:trPr>
          <w:trHeight w:val="261"/>
        </w:trPr>
        <w:tc>
          <w:tcPr>
            <w:tcW w:w="5200" w:type="dxa"/>
            <w:vAlign w:val="bottom"/>
            <w:gridSpan w:val="3"/>
          </w:tcPr>
          <w:p>
            <w:pPr>
              <w:ind w:left="100"/>
              <w:spacing w:after="0" w:line="261" w:lineRule="exact"/>
              <w:rPr>
                <w:sz w:val="20"/>
                <w:szCs w:val="20"/>
                <w:color w:val="auto"/>
              </w:rPr>
            </w:pPr>
            <w:r>
              <w:rPr>
                <w:rFonts w:ascii="Times New Roman" w:cs="Times New Roman" w:eastAsia="Times New Roman" w:hAnsi="Times New Roman"/>
                <w:sz w:val="22"/>
                <w:szCs w:val="22"/>
                <w:color w:val="auto"/>
              </w:rPr>
              <w:t>Audit-Related Fees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w:t>
            </w:r>
          </w:p>
        </w:tc>
        <w:tc>
          <w:tcPr>
            <w:tcW w:w="7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r>
      <w:tr>
        <w:trPr>
          <w:trHeight w:val="253"/>
        </w:trPr>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Tax Fees ...............................................................</w:t>
            </w:r>
          </w:p>
        </w:tc>
        <w:tc>
          <w:tcPr>
            <w:tcW w:w="7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r>
      <w:tr>
        <w:trPr>
          <w:trHeight w:val="294"/>
        </w:trPr>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All Other Fees ......................................................</w:t>
            </w:r>
          </w:p>
        </w:tc>
        <w:tc>
          <w:tcPr>
            <w:tcW w:w="7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r>
      <w:tr>
        <w:trPr>
          <w:trHeight w:val="191"/>
        </w:trPr>
        <w:tc>
          <w:tcPr>
            <w:tcW w:w="3600" w:type="dxa"/>
            <w:vAlign w:val="bottom"/>
            <w:tcBorders>
              <w:bottom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231" w:lineRule="exact"/>
        <w:rPr>
          <w:sz w:val="20"/>
          <w:szCs w:val="20"/>
          <w:color w:val="auto"/>
        </w:rPr>
      </w:pPr>
    </w:p>
    <w:p>
      <w:pPr>
        <w:ind w:left="720" w:right="120" w:hanging="720"/>
        <w:spacing w:after="0" w:line="259"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fees consisted of the audit of our annual financial statements by year, review of financial statements included in our quarterly reports on Form 10-Q and other services normally provided in connection with statutory and regulatory filings or engagements.</w:t>
      </w:r>
    </w:p>
    <w:p>
      <w:pPr>
        <w:spacing w:after="0" w:line="186"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Audit-related fees represent fees for services relating to registration statement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2240" w:h="15840" w:orient="portrait"/>
          <w:cols w:equalWidth="0" w:num="1">
            <w:col w:w="9360"/>
          </w:cols>
          <w:pgMar w:left="1440" w:top="1413" w:right="1440" w:bottom="178"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Audit Committee Pre-Approval Policies and Procedures</w:t>
      </w:r>
    </w:p>
    <w:p>
      <w:pPr>
        <w:spacing w:after="0" w:line="24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All services rendered by Baker Tilly to NTIC were permissible under applicable laws and regulations and all services provided to NTIC, other than de minimis non-audit services allowed under applicable law, were approved in advance by the Audit Committee. The Audit Committee has not adopted any formal pre-approval policies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2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 xml:space="preserve">The Board of Directors unanimously recommends that stockholders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ratification of the appointment of Baker Tilly as our independent registered public accounting firm for the fiscal year ending August 31,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184785</wp:posOffset>
                </wp:positionV>
                <wp:extent cx="595503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5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4.55pt" to="468.45pt,14.5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181610</wp:posOffset>
                </wp:positionV>
                <wp:extent cx="0" cy="40703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70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4.3pt" to="-0.1999pt,46.3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5946140</wp:posOffset>
                </wp:positionH>
                <wp:positionV relativeFrom="paragraph">
                  <wp:posOffset>181610</wp:posOffset>
                </wp:positionV>
                <wp:extent cx="0" cy="40703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7035"/>
                        </a:xfrm>
                        <a:prstGeom prst="line">
                          <a:avLst/>
                        </a:prstGeom>
                        <a:solidFill>
                          <a:srgbClr val="FFFFFF"/>
                        </a:solidFill>
                        <a:ln w="6094">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2pt,14.3pt" to="468.2pt,46.35pt" o:allowincell="f" strokecolor="#000000" strokeweight="0.4798pt"/>
            </w:pict>
          </mc:Fallback>
        </mc:AlternateContent>
      </w:r>
    </w:p>
    <w:p>
      <w:pPr>
        <w:spacing w:after="0" w:line="277" w:lineRule="exact"/>
        <w:rPr>
          <w:sz w:val="20"/>
          <w:szCs w:val="20"/>
          <w:color w:val="auto"/>
        </w:rPr>
      </w:pPr>
    </w:p>
    <w:p>
      <w:pPr>
        <w:ind w:left="980"/>
        <w:spacing w:after="0"/>
        <w:tabs>
          <w:tab w:leader="none" w:pos="8680" w:val="left"/>
        </w:tabs>
        <w:rPr>
          <w:sz w:val="20"/>
          <w:szCs w:val="20"/>
          <w:color w:val="auto"/>
        </w:rPr>
      </w:pPr>
      <w:r>
        <w:rPr>
          <w:rFonts w:ascii="Times New Roman" w:cs="Times New Roman" w:eastAsia="Times New Roman" w:hAnsi="Times New Roman"/>
          <w:sz w:val="24"/>
          <w:szCs w:val="24"/>
          <w:b w:val="1"/>
          <w:bCs w:val="1"/>
          <w:color w:val="auto"/>
        </w:rPr>
        <w:t>The Board of Directors Recommends a Vote FOR Proposal Four</w:t>
      </w:r>
      <w:r>
        <w:rPr>
          <w:sz w:val="20"/>
          <w:szCs w:val="20"/>
          <w:color w:val="auto"/>
        </w:rPr>
        <w:tab/>
      </w:r>
      <w:r>
        <w:rPr>
          <w:rFonts w:ascii="Wingdings" w:cs="Wingdings" w:eastAsia="Wingdings" w:hAnsi="Wingdings"/>
          <w:sz w:val="56"/>
          <w:szCs w:val="56"/>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2540</wp:posOffset>
                </wp:positionV>
                <wp:extent cx="595503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503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0.2pt" to="468.45pt,0.2pt" o:allowincell="f" strokecolor="#000000" strokeweight="0.480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2240" w:h="15840" w:orient="portrait"/>
          <w:cols w:equalWidth="0" w:num="1">
            <w:col w:w="9360"/>
          </w:cols>
          <w:pgMar w:left="1440" w:top="1413" w:right="1440" w:bottom="178"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2"/>
          <w:szCs w:val="22"/>
          <w:b w:val="1"/>
          <w:bCs w:val="1"/>
          <w:color w:val="auto"/>
        </w:rPr>
        <w:t>STOCK OWNERSHIP</w:t>
      </w:r>
    </w:p>
    <w:p>
      <w:pPr>
        <w:spacing w:after="0" w:line="24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Beneficial Ownership of Significant Stockholders and Management</w:t>
      </w:r>
    </w:p>
    <w:p>
      <w:pPr>
        <w:spacing w:after="0" w:line="243"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2"/>
          <w:szCs w:val="22"/>
          <w:color w:val="auto"/>
        </w:rPr>
        <w:t>The following table sets forth information known to us with respect to the beneficial ownership of our common stock as of November 18, 2025, the record date for the Annual Meeting, for:</w:t>
      </w:r>
    </w:p>
    <w:p>
      <w:pPr>
        <w:spacing w:after="0" w:line="176" w:lineRule="exact"/>
        <w:rPr>
          <w:sz w:val="20"/>
          <w:szCs w:val="20"/>
          <w:color w:val="auto"/>
        </w:rPr>
      </w:pPr>
    </w:p>
    <w:p>
      <w:pPr>
        <w:ind w:left="1080" w:right="20" w:hanging="360"/>
        <w:spacing w:after="0" w:line="258" w:lineRule="auto"/>
        <w:tabs>
          <w:tab w:leader="none" w:pos="108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22"/>
          <w:szCs w:val="22"/>
          <w:color w:val="auto"/>
        </w:rPr>
        <w:t>each person known by us to beneficially own more than five percent of the outstanding shares of our common stock;</w:t>
      </w:r>
    </w:p>
    <w:p>
      <w:pPr>
        <w:spacing w:after="0" w:line="1" w:lineRule="exact"/>
        <w:rPr>
          <w:rFonts w:ascii="Arial" w:cs="Arial" w:eastAsia="Arial" w:hAnsi="Arial"/>
          <w:sz w:val="22"/>
          <w:szCs w:val="22"/>
          <w:color w:val="auto"/>
        </w:rPr>
      </w:pPr>
    </w:p>
    <w:p>
      <w:pPr>
        <w:ind w:left="1080" w:hanging="360"/>
        <w:spacing w:after="0"/>
        <w:tabs>
          <w:tab w:leader="none" w:pos="108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22"/>
          <w:szCs w:val="22"/>
          <w:color w:val="auto"/>
        </w:rPr>
        <w:t>each of our directors and director nominees;</w:t>
      </w:r>
    </w:p>
    <w:p>
      <w:pPr>
        <w:spacing w:after="0" w:line="14" w:lineRule="exact"/>
        <w:rPr>
          <w:rFonts w:ascii="Arial" w:cs="Arial" w:eastAsia="Arial" w:hAnsi="Arial"/>
          <w:sz w:val="22"/>
          <w:szCs w:val="22"/>
          <w:color w:val="auto"/>
        </w:rPr>
      </w:pPr>
    </w:p>
    <w:p>
      <w:pPr>
        <w:ind w:left="1080" w:right="220" w:hanging="360"/>
        <w:spacing w:after="0" w:line="247" w:lineRule="auto"/>
        <w:tabs>
          <w:tab w:leader="none" w:pos="108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22"/>
          <w:szCs w:val="22"/>
          <w:color w:val="auto"/>
        </w:rPr>
        <w:t>each of the executive officers named in the Summary Compensation Table included later in this proxy statement under “</w:t>
      </w:r>
      <w:r>
        <w:rPr>
          <w:rFonts w:ascii="Times New Roman" w:cs="Times New Roman" w:eastAsia="Times New Roman" w:hAnsi="Times New Roman"/>
          <w:sz w:val="22"/>
          <w:szCs w:val="22"/>
          <w:i w:val="1"/>
          <w:iCs w:val="1"/>
          <w:color w:val="auto"/>
        </w:rPr>
        <w:t>Executive Compensation</w:t>
      </w:r>
      <w:r>
        <w:rPr>
          <w:rFonts w:ascii="Times New Roman" w:cs="Times New Roman" w:eastAsia="Times New Roman" w:hAnsi="Times New Roman"/>
          <w:sz w:val="22"/>
          <w:szCs w:val="22"/>
          <w:color w:val="auto"/>
        </w:rPr>
        <w:t>”; and</w:t>
      </w:r>
    </w:p>
    <w:p>
      <w:pPr>
        <w:ind w:left="1080" w:hanging="360"/>
        <w:spacing w:after="0"/>
        <w:tabs>
          <w:tab w:leader="none" w:pos="108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22"/>
          <w:szCs w:val="22"/>
          <w:color w:val="auto"/>
        </w:rPr>
        <w:t>all of our current directors, director nominees, and executive officers as a group.</w:t>
      </w:r>
    </w:p>
    <w:p>
      <w:pPr>
        <w:spacing w:after="0" w:line="21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number of shares beneficially owned by a person includes shares subject to options held by that person that are currently exercisable or that become exercisable within 60 days of November 18, 2025. While some of the persons named in the table below hold restricted stock units, none of these restricted stock units vest or become issuable within 60 days of November 18, 2025. Percentage calculations assume, for each person and group, that all shares that may be acquired by such person or group pursuant to options currently exercisable or that become exercisable within 60 days of November 18, 2025 are outstanding for the purpose of computing the percentage of common stock owned by such person or group. However, such unissued shares of common stock described above are not deemed to be outstanding for calculating the percentage of common stock owned by any other person.</w:t>
      </w:r>
    </w:p>
    <w:p>
      <w:pPr>
        <w:spacing w:after="0" w:line="2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2"/>
          <w:szCs w:val="22"/>
          <w:color w:val="auto"/>
        </w:rPr>
        <w:t>Except as otherwise indicated, the persons in the table below have sole voting and investment power with respect to all shares of common stock shown as beneficially owned by them, subject to community property laws where applicable and subject to the information contained in the notes to the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shd w:val="clear" w:color="auto" w:fill="D9D9D9"/>
          </w:tcPr>
          <w:p>
            <w:pPr>
              <w:spacing w:after="0"/>
              <w:rPr>
                <w:sz w:val="19"/>
                <w:szCs w:val="19"/>
                <w:color w:val="auto"/>
              </w:rPr>
            </w:pPr>
          </w:p>
        </w:tc>
        <w:tc>
          <w:tcPr>
            <w:tcW w:w="144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470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5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Amount and</w:t>
            </w:r>
          </w:p>
        </w:tc>
        <w:tc>
          <w:tcPr>
            <w:tcW w:w="160" w:type="dxa"/>
            <w:vAlign w:val="bottom"/>
            <w:shd w:val="clear" w:color="auto" w:fill="D9D9D9"/>
          </w:tcPr>
          <w:p>
            <w:pPr>
              <w:spacing w:after="0"/>
              <w:rPr>
                <w:sz w:val="19"/>
                <w:szCs w:val="19"/>
                <w:color w:val="auto"/>
              </w:rPr>
            </w:pPr>
          </w:p>
        </w:tc>
        <w:tc>
          <w:tcPr>
            <w:tcW w:w="10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r>
      <w:tr>
        <w:trPr>
          <w:trHeight w:val="254"/>
        </w:trPr>
        <w:tc>
          <w:tcPr>
            <w:tcW w:w="80" w:type="dxa"/>
            <w:vAlign w:val="bottom"/>
            <w:shd w:val="clear" w:color="auto" w:fill="D9D9D9"/>
          </w:tcPr>
          <w:p>
            <w:pPr>
              <w:spacing w:after="0"/>
              <w:rPr>
                <w:sz w:val="22"/>
                <w:szCs w:val="22"/>
                <w:color w:val="auto"/>
              </w:rPr>
            </w:pPr>
          </w:p>
        </w:tc>
        <w:tc>
          <w:tcPr>
            <w:tcW w:w="1440" w:type="dxa"/>
            <w:vAlign w:val="bottom"/>
            <w:shd w:val="clear" w:color="auto" w:fill="D9D9D9"/>
          </w:tcPr>
          <w:p>
            <w:pPr>
              <w:spacing w:after="0"/>
              <w:rPr>
                <w:sz w:val="22"/>
                <w:szCs w:val="22"/>
                <w:color w:val="auto"/>
              </w:rPr>
            </w:pPr>
          </w:p>
        </w:tc>
        <w:tc>
          <w:tcPr>
            <w:tcW w:w="20" w:type="dxa"/>
            <w:vAlign w:val="bottom"/>
            <w:shd w:val="clear" w:color="auto" w:fill="D9D9D9"/>
          </w:tcPr>
          <w:p>
            <w:pPr>
              <w:spacing w:after="0"/>
              <w:rPr>
                <w:sz w:val="22"/>
                <w:szCs w:val="22"/>
                <w:color w:val="auto"/>
              </w:rPr>
            </w:pPr>
          </w:p>
        </w:tc>
        <w:tc>
          <w:tcPr>
            <w:tcW w:w="160" w:type="dxa"/>
            <w:vAlign w:val="bottom"/>
            <w:shd w:val="clear" w:color="auto" w:fill="D9D9D9"/>
          </w:tcPr>
          <w:p>
            <w:pPr>
              <w:spacing w:after="0"/>
              <w:rPr>
                <w:sz w:val="22"/>
                <w:szCs w:val="22"/>
                <w:color w:val="auto"/>
              </w:rPr>
            </w:pPr>
          </w:p>
        </w:tc>
        <w:tc>
          <w:tcPr>
            <w:tcW w:w="470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15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Nature of</w:t>
            </w:r>
          </w:p>
        </w:tc>
        <w:tc>
          <w:tcPr>
            <w:tcW w:w="160" w:type="dxa"/>
            <w:vAlign w:val="bottom"/>
            <w:shd w:val="clear" w:color="auto" w:fill="D9D9D9"/>
          </w:tcPr>
          <w:p>
            <w:pPr>
              <w:spacing w:after="0"/>
              <w:rPr>
                <w:sz w:val="22"/>
                <w:szCs w:val="22"/>
                <w:color w:val="auto"/>
              </w:rPr>
            </w:pPr>
          </w:p>
        </w:tc>
        <w:tc>
          <w:tcPr>
            <w:tcW w:w="102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r>
      <w:tr>
        <w:trPr>
          <w:trHeight w:val="229"/>
        </w:trPr>
        <w:tc>
          <w:tcPr>
            <w:tcW w:w="80" w:type="dxa"/>
            <w:vAlign w:val="bottom"/>
            <w:shd w:val="clear" w:color="auto" w:fill="D9D9D9"/>
          </w:tcPr>
          <w:p>
            <w:pPr>
              <w:spacing w:after="0"/>
              <w:rPr>
                <w:sz w:val="19"/>
                <w:szCs w:val="19"/>
                <w:color w:val="auto"/>
              </w:rPr>
            </w:pPr>
          </w:p>
        </w:tc>
        <w:tc>
          <w:tcPr>
            <w:tcW w:w="144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470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5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Beneficial</w:t>
            </w:r>
          </w:p>
        </w:tc>
        <w:tc>
          <w:tcPr>
            <w:tcW w:w="160" w:type="dxa"/>
            <w:vAlign w:val="bottom"/>
            <w:shd w:val="clear" w:color="auto" w:fill="D9D9D9"/>
          </w:tcPr>
          <w:p>
            <w:pPr>
              <w:spacing w:after="0"/>
              <w:rPr>
                <w:sz w:val="19"/>
                <w:szCs w:val="19"/>
                <w:color w:val="auto"/>
              </w:rPr>
            </w:pPr>
          </w:p>
        </w:tc>
        <w:tc>
          <w:tcPr>
            <w:tcW w:w="10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Percent of</w:t>
            </w:r>
          </w:p>
        </w:tc>
        <w:tc>
          <w:tcPr>
            <w:tcW w:w="80" w:type="dxa"/>
            <w:vAlign w:val="bottom"/>
            <w:shd w:val="clear" w:color="auto" w:fill="D9D9D9"/>
          </w:tcPr>
          <w:p>
            <w:pPr>
              <w:spacing w:after="0"/>
              <w:rPr>
                <w:sz w:val="19"/>
                <w:szCs w:val="19"/>
                <w:color w:val="auto"/>
              </w:rPr>
            </w:pPr>
          </w:p>
        </w:tc>
      </w:tr>
      <w:tr>
        <w:trPr>
          <w:trHeight w:val="250"/>
        </w:trPr>
        <w:tc>
          <w:tcPr>
            <w:tcW w:w="80" w:type="dxa"/>
            <w:vAlign w:val="bottom"/>
            <w:tcBorders>
              <w:bottom w:val="single" w:sz="8" w:color="D9D9D9"/>
            </w:tcBorders>
            <w:shd w:val="clear" w:color="auto" w:fill="D9D9D9"/>
          </w:tcPr>
          <w:p>
            <w:pPr>
              <w:spacing w:after="0"/>
              <w:rPr>
                <w:sz w:val="21"/>
                <w:szCs w:val="21"/>
                <w:color w:val="auto"/>
              </w:rPr>
            </w:pPr>
          </w:p>
        </w:tc>
        <w:tc>
          <w:tcPr>
            <w:tcW w:w="1440" w:type="dxa"/>
            <w:vAlign w:val="bottom"/>
            <w:tcBorders>
              <w:bottom w:val="single" w:sz="8" w:color="auto"/>
            </w:tcBorders>
            <w:shd w:val="clear" w:color="auto" w:fill="D9D9D9"/>
          </w:tcPr>
          <w:p>
            <w:pPr>
              <w:ind w:left="160"/>
              <w:spacing w:after="0"/>
              <w:rPr>
                <w:sz w:val="20"/>
                <w:szCs w:val="20"/>
                <w:color w:val="auto"/>
              </w:rPr>
            </w:pPr>
            <w:r>
              <w:rPr>
                <w:rFonts w:ascii="Times New Roman" w:cs="Times New Roman" w:eastAsia="Times New Roman" w:hAnsi="Times New Roman"/>
                <w:sz w:val="20"/>
                <w:szCs w:val="20"/>
                <w:b w:val="1"/>
                <w:bCs w:val="1"/>
                <w:color w:val="auto"/>
              </w:rPr>
              <w:t>Title of Class</w:t>
            </w:r>
          </w:p>
        </w:tc>
        <w:tc>
          <w:tcPr>
            <w:tcW w:w="20" w:type="dxa"/>
            <w:vAlign w:val="bottom"/>
            <w:tcBorders>
              <w:bottom w:val="single" w:sz="8" w:color="auto"/>
            </w:tcBorders>
            <w:shd w:val="clear" w:color="auto" w:fill="D9D9D9"/>
          </w:tcPr>
          <w:p>
            <w:pPr>
              <w:spacing w:after="0"/>
              <w:rPr>
                <w:sz w:val="21"/>
                <w:szCs w:val="21"/>
                <w:color w:val="auto"/>
              </w:rPr>
            </w:pPr>
          </w:p>
        </w:tc>
        <w:tc>
          <w:tcPr>
            <w:tcW w:w="160" w:type="dxa"/>
            <w:vAlign w:val="bottom"/>
            <w:tcBorders>
              <w:bottom w:val="single" w:sz="8" w:color="D9D9D9"/>
            </w:tcBorders>
            <w:shd w:val="clear" w:color="auto" w:fill="D9D9D9"/>
          </w:tcPr>
          <w:p>
            <w:pPr>
              <w:spacing w:after="0"/>
              <w:rPr>
                <w:sz w:val="21"/>
                <w:szCs w:val="21"/>
                <w:color w:val="auto"/>
              </w:rPr>
            </w:pPr>
          </w:p>
        </w:tc>
        <w:tc>
          <w:tcPr>
            <w:tcW w:w="4700" w:type="dxa"/>
            <w:vAlign w:val="bottom"/>
            <w:tcBorders>
              <w:bottom w:val="single" w:sz="8" w:color="auto"/>
            </w:tcBorders>
            <w:shd w:val="clear" w:color="auto" w:fill="D9D9D9"/>
          </w:tcPr>
          <w:p>
            <w:pPr>
              <w:ind w:left="20"/>
              <w:spacing w:after="0" w:line="250" w:lineRule="exact"/>
              <w:rPr>
                <w:sz w:val="20"/>
                <w:szCs w:val="20"/>
                <w:color w:val="auto"/>
              </w:rPr>
            </w:pPr>
            <w:r>
              <w:rPr>
                <w:rFonts w:ascii="Times New Roman" w:cs="Times New Roman" w:eastAsia="Times New Roman" w:hAnsi="Times New Roman"/>
                <w:sz w:val="20"/>
                <w:szCs w:val="20"/>
                <w:b w:val="1"/>
                <w:bCs w:val="1"/>
                <w:color w:val="auto"/>
              </w:rPr>
              <w:t>Name and Address of Beneficial Owner</w:t>
            </w:r>
            <w:r>
              <w:rPr>
                <w:rFonts w:ascii="Times New Roman" w:cs="Times New Roman" w:eastAsia="Times New Roman" w:hAnsi="Times New Roman"/>
                <w:sz w:val="25"/>
                <w:szCs w:val="25"/>
                <w:b w:val="1"/>
                <w:bCs w:val="1"/>
                <w:color w:val="auto"/>
                <w:vertAlign w:val="superscript"/>
              </w:rPr>
              <w:t>(1)</w:t>
            </w:r>
          </w:p>
        </w:tc>
        <w:tc>
          <w:tcPr>
            <w:tcW w:w="80" w:type="dxa"/>
            <w:vAlign w:val="bottom"/>
            <w:tcBorders>
              <w:bottom w:val="single" w:sz="8" w:color="D9D9D9"/>
            </w:tcBorders>
            <w:shd w:val="clear" w:color="auto" w:fill="D9D9D9"/>
          </w:tcPr>
          <w:p>
            <w:pPr>
              <w:spacing w:after="0"/>
              <w:rPr>
                <w:sz w:val="21"/>
                <w:szCs w:val="21"/>
                <w:color w:val="auto"/>
              </w:rPr>
            </w:pPr>
          </w:p>
        </w:tc>
        <w:tc>
          <w:tcPr>
            <w:tcW w:w="80" w:type="dxa"/>
            <w:vAlign w:val="bottom"/>
            <w:tcBorders>
              <w:bottom w:val="single" w:sz="8" w:color="D9D9D9"/>
            </w:tcBorders>
            <w:shd w:val="clear" w:color="auto" w:fill="D9D9D9"/>
          </w:tcPr>
          <w:p>
            <w:pPr>
              <w:spacing w:after="0"/>
              <w:rPr>
                <w:sz w:val="21"/>
                <w:szCs w:val="21"/>
                <w:color w:val="auto"/>
              </w:rPr>
            </w:pPr>
          </w:p>
        </w:tc>
        <w:tc>
          <w:tcPr>
            <w:tcW w:w="1520" w:type="dxa"/>
            <w:vAlign w:val="bottom"/>
            <w:tcBorders>
              <w:bottom w:val="single" w:sz="8" w:color="auto"/>
            </w:tcBorders>
            <w:shd w:val="clear" w:color="auto" w:fill="D9D9D9"/>
          </w:tcPr>
          <w:p>
            <w:pPr>
              <w:jc w:val="center"/>
              <w:spacing w:after="0" w:line="250" w:lineRule="exact"/>
              <w:rPr>
                <w:sz w:val="20"/>
                <w:szCs w:val="20"/>
                <w:color w:val="auto"/>
              </w:rPr>
            </w:pPr>
            <w:r>
              <w:rPr>
                <w:rFonts w:ascii="Times New Roman" w:cs="Times New Roman" w:eastAsia="Times New Roman" w:hAnsi="Times New Roman"/>
                <w:sz w:val="20"/>
                <w:szCs w:val="20"/>
                <w:b w:val="1"/>
                <w:bCs w:val="1"/>
                <w:color w:val="auto"/>
                <w:w w:val="96"/>
              </w:rPr>
              <w:t>Ownership</w:t>
            </w:r>
            <w:r>
              <w:rPr>
                <w:rFonts w:ascii="Times New Roman" w:cs="Times New Roman" w:eastAsia="Times New Roman" w:hAnsi="Times New Roman"/>
                <w:sz w:val="25"/>
                <w:szCs w:val="25"/>
                <w:b w:val="1"/>
                <w:bCs w:val="1"/>
                <w:color w:val="auto"/>
                <w:w w:val="96"/>
                <w:vertAlign w:val="superscript"/>
              </w:rPr>
              <w:t>(2)</w:t>
            </w:r>
          </w:p>
        </w:tc>
        <w:tc>
          <w:tcPr>
            <w:tcW w:w="160" w:type="dxa"/>
            <w:vAlign w:val="bottom"/>
            <w:tcBorders>
              <w:bottom w:val="single" w:sz="8" w:color="D9D9D9"/>
            </w:tcBorders>
            <w:shd w:val="clear" w:color="auto" w:fill="D9D9D9"/>
          </w:tcPr>
          <w:p>
            <w:pPr>
              <w:spacing w:after="0"/>
              <w:rPr>
                <w:sz w:val="21"/>
                <w:szCs w:val="21"/>
                <w:color w:val="auto"/>
              </w:rPr>
            </w:pPr>
          </w:p>
        </w:tc>
        <w:tc>
          <w:tcPr>
            <w:tcW w:w="102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Class</w:t>
            </w:r>
          </w:p>
        </w:tc>
        <w:tc>
          <w:tcPr>
            <w:tcW w:w="80" w:type="dxa"/>
            <w:vAlign w:val="bottom"/>
            <w:tcBorders>
              <w:bottom w:val="single" w:sz="8" w:color="D9D9D9"/>
            </w:tcBorders>
            <w:shd w:val="clear" w:color="auto" w:fill="D9D9D9"/>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6400" w:type="dxa"/>
            <w:vAlign w:val="bottom"/>
            <w:gridSpan w:val="5"/>
          </w:tcPr>
          <w:p>
            <w:pPr>
              <w:ind w:left="20"/>
              <w:spacing w:after="0" w:line="222" w:lineRule="exact"/>
              <w:rPr>
                <w:sz w:val="20"/>
                <w:szCs w:val="20"/>
                <w:color w:val="auto"/>
              </w:rPr>
            </w:pPr>
            <w:r>
              <w:rPr>
                <w:rFonts w:ascii="Times New Roman" w:cs="Times New Roman" w:eastAsia="Times New Roman" w:hAnsi="Times New Roman"/>
                <w:sz w:val="22"/>
                <w:szCs w:val="22"/>
                <w:b w:val="1"/>
                <w:bCs w:val="1"/>
                <w:color w:val="auto"/>
              </w:rPr>
              <w:t>Directors, Director Nominees, and Officers:</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2"/>
        </w:trPr>
        <w:tc>
          <w:tcPr>
            <w:tcW w:w="80" w:type="dxa"/>
            <w:vAlign w:val="bottom"/>
          </w:tcPr>
          <w:p>
            <w:pPr>
              <w:spacing w:after="0"/>
              <w:rPr>
                <w:sz w:val="21"/>
                <w:szCs w:val="21"/>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Nancy E. Calderon</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59,483</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Sarah E. Kemp</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61,012</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2"/>
                <w:szCs w:val="22"/>
                <w:color w:val="auto"/>
              </w:rPr>
            </w:pPr>
          </w:p>
        </w:tc>
      </w:tr>
      <w:tr>
        <w:trPr>
          <w:trHeight w:val="246"/>
        </w:trPr>
        <w:tc>
          <w:tcPr>
            <w:tcW w:w="80" w:type="dxa"/>
            <w:vAlign w:val="bottom"/>
          </w:tcPr>
          <w:p>
            <w:pPr>
              <w:spacing w:after="0"/>
              <w:rPr>
                <w:sz w:val="21"/>
                <w:szCs w:val="21"/>
                <w:color w:val="auto"/>
              </w:rPr>
            </w:pPr>
          </w:p>
        </w:tc>
        <w:tc>
          <w:tcPr>
            <w:tcW w:w="1440" w:type="dxa"/>
            <w:vAlign w:val="bottom"/>
          </w:tcPr>
          <w:p>
            <w:pPr>
              <w:ind w:left="20"/>
              <w:spacing w:after="0" w:line="246" w:lineRule="exact"/>
              <w:rPr>
                <w:sz w:val="20"/>
                <w:szCs w:val="20"/>
                <w:color w:val="auto"/>
              </w:rPr>
            </w:pPr>
            <w:r>
              <w:rPr>
                <w:rFonts w:ascii="Times New Roman" w:cs="Times New Roman" w:eastAsia="Times New Roman" w:hAnsi="Times New Roman"/>
                <w:sz w:val="22"/>
                <w:szCs w:val="22"/>
                <w:color w:val="auto"/>
              </w:rPr>
              <w:t>Common Stock</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gridSpan w:val="2"/>
          </w:tcPr>
          <w:p>
            <w:pPr>
              <w:ind w:left="20"/>
              <w:spacing w:after="0" w:line="246" w:lineRule="exact"/>
              <w:rPr>
                <w:sz w:val="20"/>
                <w:szCs w:val="20"/>
                <w:color w:val="auto"/>
              </w:rPr>
            </w:pPr>
            <w:r>
              <w:rPr>
                <w:rFonts w:ascii="Times New Roman" w:cs="Times New Roman" w:eastAsia="Times New Roman" w:hAnsi="Times New Roman"/>
                <w:sz w:val="22"/>
                <w:szCs w:val="22"/>
                <w:color w:val="auto"/>
              </w:rPr>
              <w:t>Sunggyu Lee, Ph.D.</w:t>
            </w:r>
          </w:p>
        </w:tc>
        <w:tc>
          <w:tcPr>
            <w:tcW w:w="160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22"/>
                <w:szCs w:val="22"/>
                <w:color w:val="auto"/>
              </w:rPr>
              <w:t>33,392</w:t>
            </w:r>
          </w:p>
        </w:tc>
        <w:tc>
          <w:tcPr>
            <w:tcW w:w="1180" w:type="dxa"/>
            <w:vAlign w:val="bottom"/>
            <w:gridSpan w:val="2"/>
          </w:tcPr>
          <w:p>
            <w:pPr>
              <w:jc w:val="center"/>
              <w:ind w:left="50"/>
              <w:spacing w:after="0" w:line="246" w:lineRule="exact"/>
              <w:rPr>
                <w:sz w:val="20"/>
                <w:szCs w:val="20"/>
                <w:color w:val="auto"/>
              </w:rPr>
            </w:pPr>
            <w:r>
              <w:rPr>
                <w:rFonts w:ascii="Times New Roman" w:cs="Times New Roman" w:eastAsia="Times New Roman" w:hAnsi="Times New Roman"/>
                <w:sz w:val="22"/>
                <w:szCs w:val="22"/>
                <w:color w:val="auto"/>
                <w:w w:val="90"/>
              </w:rPr>
              <w:t>*</w:t>
            </w:r>
          </w:p>
        </w:tc>
        <w:tc>
          <w:tcPr>
            <w:tcW w:w="80" w:type="dxa"/>
            <w:vAlign w:val="bottom"/>
          </w:tcPr>
          <w:p>
            <w:pPr>
              <w:spacing w:after="0"/>
              <w:rPr>
                <w:sz w:val="21"/>
                <w:szCs w:val="21"/>
                <w:color w:val="auto"/>
              </w:rPr>
            </w:pPr>
          </w:p>
        </w:tc>
      </w:tr>
      <w:tr>
        <w:trPr>
          <w:trHeight w:val="261"/>
        </w:trPr>
        <w:tc>
          <w:tcPr>
            <w:tcW w:w="8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780" w:type="dxa"/>
            <w:vAlign w:val="bottom"/>
            <w:gridSpan w:val="2"/>
          </w:tcPr>
          <w:p>
            <w:pPr>
              <w:ind w:left="20"/>
              <w:spacing w:after="0" w:line="261" w:lineRule="exact"/>
              <w:rPr>
                <w:sz w:val="20"/>
                <w:szCs w:val="20"/>
                <w:color w:val="auto"/>
              </w:rPr>
            </w:pPr>
            <w:r>
              <w:rPr>
                <w:rFonts w:ascii="Times New Roman" w:cs="Times New Roman" w:eastAsia="Times New Roman" w:hAnsi="Times New Roman"/>
                <w:sz w:val="22"/>
                <w:szCs w:val="22"/>
                <w:color w:val="auto"/>
              </w:rPr>
              <w:t>G. Patrick Lynch</w:t>
            </w:r>
            <w:r>
              <w:rPr>
                <w:rFonts w:ascii="Times New Roman" w:cs="Times New Roman" w:eastAsia="Times New Roman" w:hAnsi="Times New Roman"/>
                <w:sz w:val="28"/>
                <w:szCs w:val="28"/>
                <w:color w:val="auto"/>
                <w:vertAlign w:val="superscript"/>
              </w:rPr>
              <w:t>(3)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1,622,647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16.6%</w:t>
            </w: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Ramani Narayan, Ph.D.</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149,241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Richard J. Nigon</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147,351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8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Cristina Pinho</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19,203</w:t>
            </w:r>
          </w:p>
        </w:tc>
        <w:tc>
          <w:tcPr>
            <w:tcW w:w="1180" w:type="dxa"/>
            <w:vAlign w:val="bottom"/>
            <w:gridSpan w:val="2"/>
          </w:tcPr>
          <w:p>
            <w:pPr>
              <w:jc w:val="center"/>
              <w:ind w:left="50"/>
              <w:spacing w:after="0"/>
              <w:rPr>
                <w:sz w:val="20"/>
                <w:szCs w:val="20"/>
                <w:color w:val="auto"/>
              </w:rPr>
            </w:pPr>
            <w:r>
              <w:rPr>
                <w:rFonts w:ascii="Times New Roman" w:cs="Times New Roman" w:eastAsia="Times New Roman" w:hAnsi="Times New Roman"/>
                <w:sz w:val="22"/>
                <w:szCs w:val="22"/>
                <w:color w:val="auto"/>
                <w:w w:val="90"/>
              </w:rPr>
              <w:t>*</w:t>
            </w:r>
          </w:p>
        </w:tc>
        <w:tc>
          <w:tcPr>
            <w:tcW w:w="80" w:type="dxa"/>
            <w:vAlign w:val="bottom"/>
          </w:tcPr>
          <w:p>
            <w:pPr>
              <w:spacing w:after="0"/>
              <w:rPr>
                <w:sz w:val="21"/>
                <w:szCs w:val="21"/>
                <w:color w:val="auto"/>
              </w:rPr>
            </w:pPr>
          </w:p>
        </w:tc>
      </w:tr>
      <w:tr>
        <w:trPr>
          <w:trHeight w:val="246"/>
        </w:trPr>
        <w:tc>
          <w:tcPr>
            <w:tcW w:w="80" w:type="dxa"/>
            <w:vAlign w:val="bottom"/>
          </w:tcPr>
          <w:p>
            <w:pPr>
              <w:spacing w:after="0"/>
              <w:rPr>
                <w:sz w:val="21"/>
                <w:szCs w:val="21"/>
                <w:color w:val="auto"/>
              </w:rPr>
            </w:pPr>
          </w:p>
        </w:tc>
        <w:tc>
          <w:tcPr>
            <w:tcW w:w="1440" w:type="dxa"/>
            <w:vAlign w:val="bottom"/>
          </w:tcPr>
          <w:p>
            <w:pPr>
              <w:ind w:left="20"/>
              <w:spacing w:after="0" w:line="246" w:lineRule="exact"/>
              <w:rPr>
                <w:sz w:val="20"/>
                <w:szCs w:val="20"/>
                <w:color w:val="auto"/>
              </w:rPr>
            </w:pPr>
            <w:r>
              <w:rPr>
                <w:rFonts w:ascii="Times New Roman" w:cs="Times New Roman" w:eastAsia="Times New Roman" w:hAnsi="Times New Roman"/>
                <w:sz w:val="22"/>
                <w:szCs w:val="22"/>
                <w:color w:val="auto"/>
              </w:rPr>
              <w:t>Common Stock</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gridSpan w:val="2"/>
          </w:tcPr>
          <w:p>
            <w:pPr>
              <w:ind w:left="20"/>
              <w:spacing w:after="0" w:line="246" w:lineRule="exact"/>
              <w:rPr>
                <w:sz w:val="20"/>
                <w:szCs w:val="20"/>
                <w:color w:val="auto"/>
              </w:rPr>
            </w:pPr>
            <w:r>
              <w:rPr>
                <w:rFonts w:ascii="Times New Roman" w:cs="Times New Roman" w:eastAsia="Times New Roman" w:hAnsi="Times New Roman"/>
                <w:sz w:val="22"/>
                <w:szCs w:val="22"/>
                <w:color w:val="auto"/>
              </w:rPr>
              <w:t>Konstantin von Falkenhausen</w:t>
            </w:r>
          </w:p>
        </w:tc>
        <w:tc>
          <w:tcPr>
            <w:tcW w:w="160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22"/>
                <w:szCs w:val="22"/>
                <w:color w:val="auto"/>
              </w:rPr>
              <w:t>104,460</w:t>
            </w:r>
          </w:p>
        </w:tc>
        <w:tc>
          <w:tcPr>
            <w:tcW w:w="1180" w:type="dxa"/>
            <w:vAlign w:val="bottom"/>
            <w:gridSpan w:val="2"/>
          </w:tcPr>
          <w:p>
            <w:pPr>
              <w:jc w:val="center"/>
              <w:ind w:left="50"/>
              <w:spacing w:after="0" w:line="246" w:lineRule="exact"/>
              <w:rPr>
                <w:sz w:val="20"/>
                <w:szCs w:val="20"/>
                <w:color w:val="auto"/>
              </w:rPr>
            </w:pPr>
            <w:r>
              <w:rPr>
                <w:rFonts w:ascii="Times New Roman" w:cs="Times New Roman" w:eastAsia="Times New Roman" w:hAnsi="Times New Roman"/>
                <w:sz w:val="22"/>
                <w:szCs w:val="22"/>
                <w:color w:val="auto"/>
                <w:w w:val="90"/>
              </w:rPr>
              <w:t>*</w:t>
            </w:r>
          </w:p>
        </w:tc>
        <w:tc>
          <w:tcPr>
            <w:tcW w:w="80" w:type="dxa"/>
            <w:vAlign w:val="bottom"/>
          </w:tcPr>
          <w:p>
            <w:pPr>
              <w:spacing w:after="0"/>
              <w:rPr>
                <w:sz w:val="21"/>
                <w:szCs w:val="21"/>
                <w:color w:val="auto"/>
              </w:rPr>
            </w:pPr>
          </w:p>
        </w:tc>
      </w:tr>
      <w:tr>
        <w:trPr>
          <w:trHeight w:val="261"/>
        </w:trPr>
        <w:tc>
          <w:tcPr>
            <w:tcW w:w="8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780" w:type="dxa"/>
            <w:vAlign w:val="bottom"/>
            <w:gridSpan w:val="2"/>
          </w:tcPr>
          <w:p>
            <w:pPr>
              <w:ind w:left="20"/>
              <w:spacing w:after="0" w:line="261" w:lineRule="exact"/>
              <w:rPr>
                <w:sz w:val="20"/>
                <w:szCs w:val="20"/>
                <w:color w:val="auto"/>
              </w:rPr>
            </w:pPr>
            <w:r>
              <w:rPr>
                <w:rFonts w:ascii="Times New Roman" w:cs="Times New Roman" w:eastAsia="Times New Roman" w:hAnsi="Times New Roman"/>
                <w:sz w:val="22"/>
                <w:szCs w:val="22"/>
                <w:color w:val="auto"/>
              </w:rPr>
              <w:t>Matthew C. Wolsfeld</w:t>
            </w:r>
            <w:r>
              <w:rPr>
                <w:rFonts w:ascii="Times New Roman" w:cs="Times New Roman" w:eastAsia="Times New Roman" w:hAnsi="Times New Roman"/>
                <w:sz w:val="28"/>
                <w:szCs w:val="28"/>
                <w:color w:val="auto"/>
                <w:vertAlign w:val="superscript"/>
              </w:rPr>
              <w:t>(4)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400,363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80" w:type="dxa"/>
            <w:vAlign w:val="bottom"/>
          </w:tcPr>
          <w:p>
            <w:pPr>
              <w:spacing w:after="0"/>
              <w:rPr>
                <w:sz w:val="22"/>
                <w:szCs w:val="22"/>
                <w:color w:val="auto"/>
              </w:rPr>
            </w:pPr>
          </w:p>
        </w:tc>
      </w:tr>
      <w:tr>
        <w:trPr>
          <w:trHeight w:val="246"/>
        </w:trPr>
        <w:tc>
          <w:tcPr>
            <w:tcW w:w="80" w:type="dxa"/>
            <w:vAlign w:val="bottom"/>
          </w:tcPr>
          <w:p>
            <w:pPr>
              <w:spacing w:after="0"/>
              <w:rPr>
                <w:sz w:val="21"/>
                <w:szCs w:val="21"/>
                <w:color w:val="auto"/>
              </w:rPr>
            </w:pPr>
          </w:p>
        </w:tc>
        <w:tc>
          <w:tcPr>
            <w:tcW w:w="1440" w:type="dxa"/>
            <w:vAlign w:val="bottom"/>
          </w:tcPr>
          <w:p>
            <w:pPr>
              <w:ind w:left="20"/>
              <w:spacing w:after="0" w:line="246" w:lineRule="exact"/>
              <w:rPr>
                <w:sz w:val="20"/>
                <w:szCs w:val="20"/>
                <w:color w:val="auto"/>
              </w:rPr>
            </w:pPr>
            <w:r>
              <w:rPr>
                <w:rFonts w:ascii="Times New Roman" w:cs="Times New Roman" w:eastAsia="Times New Roman" w:hAnsi="Times New Roman"/>
                <w:sz w:val="22"/>
                <w:szCs w:val="22"/>
                <w:color w:val="auto"/>
              </w:rPr>
              <w:t>Common Stock</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gridSpan w:val="2"/>
          </w:tcPr>
          <w:p>
            <w:pPr>
              <w:ind w:left="20"/>
              <w:spacing w:after="0" w:line="246" w:lineRule="exact"/>
              <w:rPr>
                <w:sz w:val="20"/>
                <w:szCs w:val="20"/>
                <w:color w:val="auto"/>
              </w:rPr>
            </w:pPr>
            <w:r>
              <w:rPr>
                <w:rFonts w:ascii="Times New Roman" w:cs="Times New Roman" w:eastAsia="Times New Roman" w:hAnsi="Times New Roman"/>
                <w:sz w:val="22"/>
                <w:szCs w:val="22"/>
                <w:color w:val="auto"/>
              </w:rPr>
              <w:t>All directors, director nominees, and executive</w:t>
            </w: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75"/>
        </w:trPr>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officers as a group (9 persons)</w:t>
            </w:r>
            <w:r>
              <w:rPr>
                <w:rFonts w:ascii="Times New Roman" w:cs="Times New Roman" w:eastAsia="Times New Roman" w:hAnsi="Times New Roman"/>
                <w:sz w:val="28"/>
                <w:szCs w:val="28"/>
                <w:color w:val="auto"/>
                <w:vertAlign w:val="superscript"/>
              </w:rPr>
              <w:t>(5)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2,597,152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24.9%</w:t>
            </w:r>
          </w:p>
        </w:tc>
        <w:tc>
          <w:tcPr>
            <w:tcW w:w="80" w:type="dxa"/>
            <w:vAlign w:val="bottom"/>
          </w:tcPr>
          <w:p>
            <w:pPr>
              <w:spacing w:after="0"/>
              <w:rPr>
                <w:sz w:val="24"/>
                <w:szCs w:val="24"/>
                <w:color w:val="auto"/>
              </w:rPr>
            </w:pPr>
          </w:p>
        </w:tc>
      </w:tr>
      <w:tr>
        <w:trPr>
          <w:trHeight w:val="384"/>
        </w:trPr>
        <w:tc>
          <w:tcPr>
            <w:tcW w:w="80" w:type="dxa"/>
            <w:vAlign w:val="bottom"/>
          </w:tcPr>
          <w:p>
            <w:pPr>
              <w:spacing w:after="0"/>
              <w:rPr>
                <w:sz w:val="24"/>
                <w:szCs w:val="24"/>
                <w:color w:val="auto"/>
              </w:rPr>
            </w:pPr>
          </w:p>
        </w:tc>
        <w:tc>
          <w:tcPr>
            <w:tcW w:w="6400" w:type="dxa"/>
            <w:vAlign w:val="bottom"/>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Significant Beneficial Owners:</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1"/>
        </w:trPr>
        <w:tc>
          <w:tcPr>
            <w:tcW w:w="8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780" w:type="dxa"/>
            <w:vAlign w:val="bottom"/>
            <w:gridSpan w:val="2"/>
          </w:tcPr>
          <w:p>
            <w:pPr>
              <w:ind w:left="20"/>
              <w:spacing w:after="0" w:line="261" w:lineRule="exact"/>
              <w:rPr>
                <w:sz w:val="20"/>
                <w:szCs w:val="20"/>
                <w:color w:val="auto"/>
              </w:rPr>
            </w:pPr>
            <w:r>
              <w:rPr>
                <w:rFonts w:ascii="Times New Roman" w:cs="Times New Roman" w:eastAsia="Times New Roman" w:hAnsi="Times New Roman"/>
                <w:sz w:val="22"/>
                <w:szCs w:val="22"/>
                <w:color w:val="auto"/>
              </w:rPr>
              <w:t>Inter Alia Holding Company</w:t>
            </w:r>
            <w:r>
              <w:rPr>
                <w:rFonts w:ascii="Times New Roman" w:cs="Times New Roman" w:eastAsia="Times New Roman" w:hAnsi="Times New Roman"/>
                <w:sz w:val="28"/>
                <w:szCs w:val="28"/>
                <w:color w:val="auto"/>
                <w:vertAlign w:val="superscript"/>
              </w:rPr>
              <w:t>(6)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1,203,334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12.7%</w:t>
            </w: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23205 Mercantile Road</w:t>
            </w: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94"/>
        </w:trPr>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Beachwood, Ohio 44122</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68"/>
        </w:trPr>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80" w:type="dxa"/>
            <w:vAlign w:val="bottom"/>
            <w:gridSpan w:val="3"/>
          </w:tcPr>
          <w:p>
            <w:pPr>
              <w:jc w:val="right"/>
              <w:ind w:right="1491"/>
              <w:spacing w:after="0"/>
              <w:rPr>
                <w:sz w:val="20"/>
                <w:szCs w:val="20"/>
                <w:color w:val="auto"/>
              </w:rPr>
            </w:pPr>
            <w:r>
              <w:rPr>
                <w:rFonts w:ascii="Times New Roman" w:cs="Times New Roman" w:eastAsia="Times New Roman" w:hAnsi="Times New Roman"/>
                <w:sz w:val="22"/>
                <w:szCs w:val="22"/>
                <w:color w:val="auto"/>
              </w:rPr>
              <w:t>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2240" w:h="15840" w:orient="portrait"/>
          <w:cols w:equalWidth="0" w:num="1">
            <w:col w:w="9360"/>
          </w:cols>
          <w:pgMar w:left="1440" w:top="1413" w:right="1440" w:bottom="137" w:gutter="0" w:footer="0" w:header="0"/>
        </w:sectPr>
      </w:pPr>
    </w:p>
    <w:bookmarkStart w:id="38" w:name="page39"/>
    <w:bookmarkEnd w:id="38"/>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80" w:type="dxa"/>
            <w:vAlign w:val="bottom"/>
            <w:shd w:val="clear" w:color="auto" w:fill="D9D9D9"/>
          </w:tcPr>
          <w:p>
            <w:pPr>
              <w:spacing w:after="0"/>
              <w:rPr>
                <w:sz w:val="19"/>
                <w:szCs w:val="19"/>
                <w:color w:val="auto"/>
              </w:rPr>
            </w:pPr>
          </w:p>
        </w:tc>
        <w:tc>
          <w:tcPr>
            <w:tcW w:w="14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470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80" w:type="dxa"/>
            <w:vAlign w:val="bottom"/>
            <w:tcBorders>
              <w:right w:val="single" w:sz="8" w:color="D9D9D9"/>
            </w:tcBorders>
          </w:tcPr>
          <w:p>
            <w:pPr>
              <w:spacing w:after="0"/>
              <w:rPr>
                <w:sz w:val="19"/>
                <w:szCs w:val="19"/>
                <w:color w:val="auto"/>
              </w:rPr>
            </w:pPr>
          </w:p>
        </w:tc>
        <w:tc>
          <w:tcPr>
            <w:tcW w:w="15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Amount and</w:t>
            </w:r>
          </w:p>
        </w:tc>
        <w:tc>
          <w:tcPr>
            <w:tcW w:w="160" w:type="dxa"/>
            <w:vAlign w:val="bottom"/>
            <w:shd w:val="clear" w:color="auto" w:fill="D9D9D9"/>
          </w:tcPr>
          <w:p>
            <w:pPr>
              <w:spacing w:after="0"/>
              <w:rPr>
                <w:sz w:val="19"/>
                <w:szCs w:val="19"/>
                <w:color w:val="auto"/>
              </w:rPr>
            </w:pPr>
          </w:p>
        </w:tc>
        <w:tc>
          <w:tcPr>
            <w:tcW w:w="10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r>
      <w:tr>
        <w:trPr>
          <w:trHeight w:val="254"/>
        </w:trPr>
        <w:tc>
          <w:tcPr>
            <w:tcW w:w="80" w:type="dxa"/>
            <w:vAlign w:val="bottom"/>
            <w:shd w:val="clear" w:color="auto" w:fill="D9D9D9"/>
          </w:tcPr>
          <w:p>
            <w:pPr>
              <w:spacing w:after="0"/>
              <w:rPr>
                <w:sz w:val="22"/>
                <w:szCs w:val="22"/>
                <w:color w:val="auto"/>
              </w:rPr>
            </w:pPr>
          </w:p>
        </w:tc>
        <w:tc>
          <w:tcPr>
            <w:tcW w:w="1460" w:type="dxa"/>
            <w:vAlign w:val="bottom"/>
            <w:shd w:val="clear" w:color="auto" w:fill="D9D9D9"/>
          </w:tcPr>
          <w:p>
            <w:pPr>
              <w:spacing w:after="0"/>
              <w:rPr>
                <w:sz w:val="22"/>
                <w:szCs w:val="22"/>
                <w:color w:val="auto"/>
              </w:rPr>
            </w:pPr>
          </w:p>
        </w:tc>
        <w:tc>
          <w:tcPr>
            <w:tcW w:w="160" w:type="dxa"/>
            <w:vAlign w:val="bottom"/>
            <w:shd w:val="clear" w:color="auto" w:fill="D9D9D9"/>
          </w:tcPr>
          <w:p>
            <w:pPr>
              <w:spacing w:after="0"/>
              <w:rPr>
                <w:sz w:val="22"/>
                <w:szCs w:val="22"/>
                <w:color w:val="auto"/>
              </w:rPr>
            </w:pPr>
          </w:p>
        </w:tc>
        <w:tc>
          <w:tcPr>
            <w:tcW w:w="470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80" w:type="dxa"/>
            <w:vAlign w:val="bottom"/>
            <w:tcBorders>
              <w:right w:val="single" w:sz="8" w:color="D9D9D9"/>
            </w:tcBorders>
          </w:tcPr>
          <w:p>
            <w:pPr>
              <w:spacing w:after="0"/>
              <w:rPr>
                <w:sz w:val="22"/>
                <w:szCs w:val="22"/>
                <w:color w:val="auto"/>
              </w:rPr>
            </w:pPr>
          </w:p>
        </w:tc>
        <w:tc>
          <w:tcPr>
            <w:tcW w:w="15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Nature of</w:t>
            </w:r>
          </w:p>
        </w:tc>
        <w:tc>
          <w:tcPr>
            <w:tcW w:w="160" w:type="dxa"/>
            <w:vAlign w:val="bottom"/>
            <w:shd w:val="clear" w:color="auto" w:fill="D9D9D9"/>
          </w:tcPr>
          <w:p>
            <w:pPr>
              <w:spacing w:after="0"/>
              <w:rPr>
                <w:sz w:val="22"/>
                <w:szCs w:val="22"/>
                <w:color w:val="auto"/>
              </w:rPr>
            </w:pPr>
          </w:p>
        </w:tc>
        <w:tc>
          <w:tcPr>
            <w:tcW w:w="102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r>
      <w:tr>
        <w:trPr>
          <w:trHeight w:val="230"/>
        </w:trPr>
        <w:tc>
          <w:tcPr>
            <w:tcW w:w="80" w:type="dxa"/>
            <w:vAlign w:val="bottom"/>
            <w:shd w:val="clear" w:color="auto" w:fill="D9D9D9"/>
          </w:tcPr>
          <w:p>
            <w:pPr>
              <w:spacing w:after="0"/>
              <w:rPr>
                <w:sz w:val="20"/>
                <w:szCs w:val="20"/>
                <w:color w:val="auto"/>
              </w:rPr>
            </w:pPr>
          </w:p>
        </w:tc>
        <w:tc>
          <w:tcPr>
            <w:tcW w:w="146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470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80" w:type="dxa"/>
            <w:vAlign w:val="bottom"/>
            <w:tcBorders>
              <w:right w:val="single" w:sz="8" w:color="D9D9D9"/>
            </w:tcBorders>
          </w:tcPr>
          <w:p>
            <w:pPr>
              <w:spacing w:after="0"/>
              <w:rPr>
                <w:sz w:val="20"/>
                <w:szCs w:val="20"/>
                <w:color w:val="auto"/>
              </w:rPr>
            </w:pPr>
          </w:p>
        </w:tc>
        <w:tc>
          <w:tcPr>
            <w:tcW w:w="15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Beneficial</w:t>
            </w:r>
          </w:p>
        </w:tc>
        <w:tc>
          <w:tcPr>
            <w:tcW w:w="160" w:type="dxa"/>
            <w:vAlign w:val="bottom"/>
            <w:shd w:val="clear" w:color="auto" w:fill="D9D9D9"/>
          </w:tcPr>
          <w:p>
            <w:pPr>
              <w:spacing w:after="0"/>
              <w:rPr>
                <w:sz w:val="20"/>
                <w:szCs w:val="20"/>
                <w:color w:val="auto"/>
              </w:rPr>
            </w:pPr>
          </w:p>
        </w:tc>
        <w:tc>
          <w:tcPr>
            <w:tcW w:w="10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Percent of</w:t>
            </w:r>
          </w:p>
        </w:tc>
        <w:tc>
          <w:tcPr>
            <w:tcW w:w="80" w:type="dxa"/>
            <w:vAlign w:val="bottom"/>
            <w:shd w:val="clear" w:color="auto" w:fill="D9D9D9"/>
          </w:tcPr>
          <w:p>
            <w:pPr>
              <w:spacing w:after="0"/>
              <w:rPr>
                <w:sz w:val="20"/>
                <w:szCs w:val="20"/>
                <w:color w:val="auto"/>
              </w:rPr>
            </w:pPr>
          </w:p>
        </w:tc>
      </w:tr>
      <w:tr>
        <w:trPr>
          <w:trHeight w:val="250"/>
        </w:trPr>
        <w:tc>
          <w:tcPr>
            <w:tcW w:w="80" w:type="dxa"/>
            <w:vAlign w:val="bottom"/>
            <w:tcBorders>
              <w:bottom w:val="single" w:sz="8" w:color="D9D9D9"/>
            </w:tcBorders>
            <w:shd w:val="clear" w:color="auto" w:fill="D9D9D9"/>
          </w:tcPr>
          <w:p>
            <w:pPr>
              <w:spacing w:after="0"/>
              <w:rPr>
                <w:sz w:val="21"/>
                <w:szCs w:val="21"/>
                <w:color w:val="auto"/>
              </w:rPr>
            </w:pPr>
          </w:p>
        </w:tc>
        <w:tc>
          <w:tcPr>
            <w:tcW w:w="146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Title of Class</w:t>
            </w:r>
          </w:p>
        </w:tc>
        <w:tc>
          <w:tcPr>
            <w:tcW w:w="160" w:type="dxa"/>
            <w:vAlign w:val="bottom"/>
            <w:tcBorders>
              <w:bottom w:val="single" w:sz="8" w:color="D9D9D9"/>
            </w:tcBorders>
            <w:shd w:val="clear" w:color="auto" w:fill="D9D9D9"/>
          </w:tcPr>
          <w:p>
            <w:pPr>
              <w:spacing w:after="0"/>
              <w:rPr>
                <w:sz w:val="21"/>
                <w:szCs w:val="21"/>
                <w:color w:val="auto"/>
              </w:rPr>
            </w:pPr>
          </w:p>
        </w:tc>
        <w:tc>
          <w:tcPr>
            <w:tcW w:w="4700" w:type="dxa"/>
            <w:vAlign w:val="bottom"/>
            <w:tcBorders>
              <w:bottom w:val="single" w:sz="8" w:color="auto"/>
            </w:tcBorders>
            <w:shd w:val="clear" w:color="auto" w:fill="D9D9D9"/>
          </w:tcPr>
          <w:p>
            <w:pPr>
              <w:ind w:left="20"/>
              <w:spacing w:after="0" w:line="250" w:lineRule="exact"/>
              <w:rPr>
                <w:sz w:val="20"/>
                <w:szCs w:val="20"/>
                <w:color w:val="auto"/>
              </w:rPr>
            </w:pPr>
            <w:r>
              <w:rPr>
                <w:rFonts w:ascii="Times New Roman" w:cs="Times New Roman" w:eastAsia="Times New Roman" w:hAnsi="Times New Roman"/>
                <w:sz w:val="20"/>
                <w:szCs w:val="20"/>
                <w:b w:val="1"/>
                <w:bCs w:val="1"/>
                <w:color w:val="auto"/>
              </w:rPr>
              <w:t>Name and Address of Beneficial Owner</w:t>
            </w:r>
            <w:r>
              <w:rPr>
                <w:rFonts w:ascii="Times New Roman" w:cs="Times New Roman" w:eastAsia="Times New Roman" w:hAnsi="Times New Roman"/>
                <w:sz w:val="25"/>
                <w:szCs w:val="25"/>
                <w:b w:val="1"/>
                <w:bCs w:val="1"/>
                <w:color w:val="auto"/>
                <w:vertAlign w:val="superscript"/>
              </w:rPr>
              <w:t>(1)</w:t>
            </w:r>
          </w:p>
        </w:tc>
        <w:tc>
          <w:tcPr>
            <w:tcW w:w="80" w:type="dxa"/>
            <w:vAlign w:val="bottom"/>
            <w:tcBorders>
              <w:bottom w:val="single" w:sz="8" w:color="D9D9D9"/>
            </w:tcBorders>
            <w:shd w:val="clear" w:color="auto" w:fill="D9D9D9"/>
          </w:tcPr>
          <w:p>
            <w:pPr>
              <w:spacing w:after="0"/>
              <w:rPr>
                <w:sz w:val="21"/>
                <w:szCs w:val="21"/>
                <w:color w:val="auto"/>
              </w:rPr>
            </w:pPr>
          </w:p>
        </w:tc>
        <w:tc>
          <w:tcPr>
            <w:tcW w:w="80" w:type="dxa"/>
            <w:vAlign w:val="bottom"/>
            <w:tcBorders>
              <w:right w:val="single" w:sz="8" w:color="D9D9D9"/>
            </w:tcBorders>
          </w:tcPr>
          <w:p>
            <w:pPr>
              <w:spacing w:after="0"/>
              <w:rPr>
                <w:sz w:val="21"/>
                <w:szCs w:val="21"/>
                <w:color w:val="auto"/>
              </w:rPr>
            </w:pPr>
          </w:p>
        </w:tc>
        <w:tc>
          <w:tcPr>
            <w:tcW w:w="1520" w:type="dxa"/>
            <w:vAlign w:val="bottom"/>
            <w:tcBorders>
              <w:bottom w:val="single" w:sz="8" w:color="auto"/>
            </w:tcBorders>
            <w:shd w:val="clear" w:color="auto" w:fill="D9D9D9"/>
          </w:tcPr>
          <w:p>
            <w:pPr>
              <w:jc w:val="center"/>
              <w:spacing w:after="0" w:line="250" w:lineRule="exact"/>
              <w:rPr>
                <w:sz w:val="20"/>
                <w:szCs w:val="20"/>
                <w:color w:val="auto"/>
              </w:rPr>
            </w:pPr>
            <w:r>
              <w:rPr>
                <w:rFonts w:ascii="Times New Roman" w:cs="Times New Roman" w:eastAsia="Times New Roman" w:hAnsi="Times New Roman"/>
                <w:sz w:val="20"/>
                <w:szCs w:val="20"/>
                <w:b w:val="1"/>
                <w:bCs w:val="1"/>
                <w:color w:val="auto"/>
                <w:w w:val="96"/>
              </w:rPr>
              <w:t>Ownership</w:t>
            </w:r>
            <w:r>
              <w:rPr>
                <w:rFonts w:ascii="Times New Roman" w:cs="Times New Roman" w:eastAsia="Times New Roman" w:hAnsi="Times New Roman"/>
                <w:sz w:val="25"/>
                <w:szCs w:val="25"/>
                <w:b w:val="1"/>
                <w:bCs w:val="1"/>
                <w:color w:val="auto"/>
                <w:w w:val="96"/>
                <w:vertAlign w:val="superscript"/>
              </w:rPr>
              <w:t>(2)</w:t>
            </w:r>
          </w:p>
        </w:tc>
        <w:tc>
          <w:tcPr>
            <w:tcW w:w="160" w:type="dxa"/>
            <w:vAlign w:val="bottom"/>
            <w:tcBorders>
              <w:bottom w:val="single" w:sz="8" w:color="D9D9D9"/>
            </w:tcBorders>
            <w:shd w:val="clear" w:color="auto" w:fill="D9D9D9"/>
          </w:tcPr>
          <w:p>
            <w:pPr>
              <w:spacing w:after="0"/>
              <w:rPr>
                <w:sz w:val="21"/>
                <w:szCs w:val="21"/>
                <w:color w:val="auto"/>
              </w:rPr>
            </w:pPr>
          </w:p>
        </w:tc>
        <w:tc>
          <w:tcPr>
            <w:tcW w:w="102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Class</w:t>
            </w:r>
          </w:p>
        </w:tc>
        <w:tc>
          <w:tcPr>
            <w:tcW w:w="80" w:type="dxa"/>
            <w:vAlign w:val="bottom"/>
            <w:tcBorders>
              <w:bottom w:val="single" w:sz="8" w:color="D9D9D9"/>
            </w:tcBorders>
            <w:shd w:val="clear" w:color="auto" w:fill="D9D9D9"/>
          </w:tcPr>
          <w:p>
            <w:pPr>
              <w:spacing w:after="0"/>
              <w:rPr>
                <w:sz w:val="21"/>
                <w:szCs w:val="21"/>
                <w:color w:val="auto"/>
              </w:rPr>
            </w:pPr>
          </w:p>
        </w:tc>
      </w:tr>
      <w:tr>
        <w:trPr>
          <w:trHeight w:val="213"/>
        </w:trPr>
        <w:tc>
          <w:tcPr>
            <w:tcW w:w="80" w:type="dxa"/>
            <w:vAlign w:val="bottom"/>
          </w:tcPr>
          <w:p>
            <w:pPr>
              <w:spacing w:after="0"/>
              <w:rPr>
                <w:sz w:val="18"/>
                <w:szCs w:val="18"/>
                <w:color w:val="auto"/>
              </w:rPr>
            </w:pPr>
          </w:p>
        </w:tc>
        <w:tc>
          <w:tcPr>
            <w:tcW w:w="1460" w:type="dxa"/>
            <w:vAlign w:val="bottom"/>
          </w:tcPr>
          <w:p>
            <w:pPr>
              <w:jc w:val="center"/>
              <w:spacing w:after="0" w:line="212" w:lineRule="exact"/>
              <w:rPr>
                <w:sz w:val="20"/>
                <w:szCs w:val="20"/>
                <w:color w:val="auto"/>
              </w:rPr>
            </w:pPr>
            <w:r>
              <w:rPr>
                <w:rFonts w:ascii="Times New Roman" w:cs="Times New Roman" w:eastAsia="Times New Roman" w:hAnsi="Times New Roman"/>
                <w:sz w:val="22"/>
                <w:szCs w:val="22"/>
                <w:color w:val="auto"/>
              </w:rPr>
              <w:t>Common Stock</w:t>
            </w:r>
          </w:p>
        </w:tc>
        <w:tc>
          <w:tcPr>
            <w:tcW w:w="160" w:type="dxa"/>
            <w:vAlign w:val="bottom"/>
          </w:tcPr>
          <w:p>
            <w:pPr>
              <w:spacing w:after="0"/>
              <w:rPr>
                <w:sz w:val="18"/>
                <w:szCs w:val="18"/>
                <w:color w:val="auto"/>
              </w:rPr>
            </w:pPr>
          </w:p>
        </w:tc>
        <w:tc>
          <w:tcPr>
            <w:tcW w:w="478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9"/>
                <w:szCs w:val="19"/>
                <w:color w:val="auto"/>
              </w:rPr>
              <w:t>Needham Investment Management L.L.C.</w:t>
            </w:r>
            <w:r>
              <w:rPr>
                <w:rFonts w:ascii="Times New Roman" w:cs="Times New Roman" w:eastAsia="Times New Roman" w:hAnsi="Times New Roman"/>
                <w:sz w:val="24"/>
                <w:szCs w:val="24"/>
                <w:color w:val="auto"/>
                <w:vertAlign w:val="superscript"/>
              </w:rPr>
              <w:t>(7)</w:t>
            </w:r>
          </w:p>
        </w:tc>
        <w:tc>
          <w:tcPr>
            <w:tcW w:w="80" w:type="dxa"/>
            <w:vAlign w:val="bottom"/>
          </w:tcPr>
          <w:p>
            <w:pPr>
              <w:spacing w:after="0"/>
              <w:rPr>
                <w:sz w:val="18"/>
                <w:szCs w:val="18"/>
                <w:color w:val="auto"/>
              </w:rPr>
            </w:pPr>
          </w:p>
        </w:tc>
        <w:tc>
          <w:tcPr>
            <w:tcW w:w="1520" w:type="dxa"/>
            <w:vAlign w:val="bottom"/>
          </w:tcPr>
          <w:p>
            <w:pPr>
              <w:jc w:val="right"/>
              <w:spacing w:after="0" w:line="212" w:lineRule="exact"/>
              <w:rPr>
                <w:sz w:val="20"/>
                <w:szCs w:val="20"/>
                <w:color w:val="auto"/>
              </w:rPr>
            </w:pPr>
            <w:r>
              <w:rPr>
                <w:rFonts w:ascii="Times New Roman" w:cs="Times New Roman" w:eastAsia="Times New Roman" w:hAnsi="Times New Roman"/>
                <w:sz w:val="22"/>
                <w:szCs w:val="22"/>
                <w:color w:val="auto"/>
              </w:rPr>
              <w:t>640,000</w:t>
            </w:r>
          </w:p>
        </w:tc>
        <w:tc>
          <w:tcPr>
            <w:tcW w:w="11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2"/>
                <w:szCs w:val="22"/>
                <w:color w:val="auto"/>
              </w:rPr>
              <w:t>6.8%</w:t>
            </w:r>
          </w:p>
        </w:tc>
        <w:tc>
          <w:tcPr>
            <w:tcW w:w="80" w:type="dxa"/>
            <w:vAlign w:val="bottom"/>
          </w:tcPr>
          <w:p>
            <w:pPr>
              <w:spacing w:after="0"/>
              <w:rPr>
                <w:sz w:val="18"/>
                <w:szCs w:val="18"/>
                <w:color w:val="auto"/>
              </w:rPr>
            </w:pPr>
          </w:p>
        </w:tc>
      </w:tr>
      <w:tr>
        <w:trPr>
          <w:trHeight w:val="261"/>
        </w:trPr>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780" w:type="dxa"/>
            <w:vAlign w:val="bottom"/>
            <w:gridSpan w:val="2"/>
          </w:tcPr>
          <w:p>
            <w:pPr>
              <w:ind w:left="20"/>
              <w:spacing w:after="0" w:line="261" w:lineRule="exact"/>
              <w:rPr>
                <w:sz w:val="20"/>
                <w:szCs w:val="20"/>
                <w:color w:val="auto"/>
              </w:rPr>
            </w:pPr>
            <w:r>
              <w:rPr>
                <w:rFonts w:ascii="Times New Roman" w:cs="Times New Roman" w:eastAsia="Times New Roman" w:hAnsi="Times New Roman"/>
                <w:sz w:val="22"/>
                <w:szCs w:val="22"/>
                <w:color w:val="auto"/>
              </w:rPr>
              <w:t>250 Park Avenue,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85"/>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New York, New York 10117-1099</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ind w:left="1"/>
        <w:spacing w:after="0"/>
        <w:rPr>
          <w:sz w:val="20"/>
          <w:szCs w:val="20"/>
          <w:color w:val="auto"/>
        </w:rPr>
      </w:pPr>
      <w:r>
        <w:rPr>
          <w:rFonts w:ascii="Times New Roman" w:cs="Times New Roman" w:eastAsia="Times New Roman" w:hAnsi="Times New Roman"/>
          <w:sz w:val="22"/>
          <w:szCs w:val="22"/>
          <w:color w:val="auto"/>
        </w:rPr>
        <w:t>__________________________</w:t>
      </w:r>
    </w:p>
    <w:p>
      <w:pPr>
        <w:ind w:left="361" w:hanging="360"/>
        <w:spacing w:after="0"/>
        <w:tabs>
          <w:tab w:leader="none" w:pos="36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beneficial ownership of less than one percent.</w:t>
      </w:r>
    </w:p>
    <w:p>
      <w:pPr>
        <w:spacing w:after="0" w:line="211" w:lineRule="exact"/>
        <w:rPr>
          <w:sz w:val="20"/>
          <w:szCs w:val="20"/>
          <w:color w:val="auto"/>
        </w:rPr>
      </w:pPr>
    </w:p>
    <w:p>
      <w:pPr>
        <w:ind w:left="721" w:right="420" w:hanging="720"/>
        <w:spacing w:after="0" w:line="305" w:lineRule="auto"/>
        <w:tabs>
          <w:tab w:leader="none" w:pos="721"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business address for each of the directors, director nominees, and officers of NTIC is c/o Northern Technologies International Corporation, 4201 Woodland Road, Circle Pines, Minnesota 55014.</w:t>
      </w:r>
    </w:p>
    <w:p>
      <w:pPr>
        <w:spacing w:after="0" w:line="144" w:lineRule="exact"/>
        <w:rPr>
          <w:rFonts w:ascii="Times New Roman" w:cs="Times New Roman" w:eastAsia="Times New Roman" w:hAnsi="Times New Roman"/>
          <w:sz w:val="19"/>
          <w:szCs w:val="19"/>
          <w:color w:val="auto"/>
        </w:rPr>
      </w:pPr>
    </w:p>
    <w:p>
      <w:pPr>
        <w:ind w:left="721" w:right="60" w:hanging="720"/>
        <w:spacing w:after="0" w:line="278"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for the persons listed below the following shares of common stock subject to options held by such persons that are currently exercisable or become exercisable within 60 days of November 18, 2025:</w:t>
      </w:r>
    </w:p>
    <w:p>
      <w:pPr>
        <w:spacing w:after="0" w:line="163" w:lineRule="exact"/>
        <w:rPr>
          <w:sz w:val="20"/>
          <w:szCs w:val="20"/>
          <w:color w:val="auto"/>
        </w:rPr>
      </w:pPr>
    </w:p>
    <w:tbl>
      <w:tblPr>
        <w:tblLayout w:type="fixed"/>
        <w:tblInd w:w="641" w:type="dxa"/>
        <w:tblCellMar>
          <w:top w:w="0" w:type="dxa"/>
          <w:left w:w="0" w:type="dxa"/>
          <w:bottom w:w="0" w:type="dxa"/>
          <w:right w:w="0" w:type="dxa"/>
        </w:tblCellMar>
      </w:tblPr>
      <w:tr>
        <w:trPr>
          <w:trHeight w:val="230"/>
        </w:trPr>
        <w:tc>
          <w:tcPr>
            <w:tcW w:w="60" w:type="dxa"/>
            <w:vAlign w:val="bottom"/>
            <w:shd w:val="clear" w:color="auto" w:fill="D9D9D9"/>
          </w:tcPr>
          <w:p>
            <w:pPr>
              <w:spacing w:after="0"/>
              <w:rPr>
                <w:sz w:val="19"/>
                <w:szCs w:val="19"/>
                <w:color w:val="auto"/>
              </w:rPr>
            </w:pPr>
          </w:p>
        </w:tc>
        <w:tc>
          <w:tcPr>
            <w:tcW w:w="578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2260" w:type="dxa"/>
            <w:vAlign w:val="bottom"/>
            <w:gridSpan w:val="2"/>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Shares of Common Stock</w:t>
            </w:r>
          </w:p>
        </w:tc>
      </w:tr>
      <w:tr>
        <w:trPr>
          <w:trHeight w:val="230"/>
        </w:trPr>
        <w:tc>
          <w:tcPr>
            <w:tcW w:w="60" w:type="dxa"/>
            <w:vAlign w:val="bottom"/>
            <w:shd w:val="clear" w:color="auto" w:fill="D9D9D9"/>
          </w:tcPr>
          <w:p>
            <w:pPr>
              <w:spacing w:after="0"/>
              <w:rPr>
                <w:sz w:val="20"/>
                <w:szCs w:val="20"/>
                <w:color w:val="auto"/>
              </w:rPr>
            </w:pPr>
          </w:p>
        </w:tc>
        <w:tc>
          <w:tcPr>
            <w:tcW w:w="578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2260" w:type="dxa"/>
            <w:vAlign w:val="bottom"/>
            <w:gridSpan w:val="2"/>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Underlying</w:t>
            </w:r>
          </w:p>
        </w:tc>
      </w:tr>
      <w:tr>
        <w:trPr>
          <w:trHeight w:val="273"/>
        </w:trPr>
        <w:tc>
          <w:tcPr>
            <w:tcW w:w="60" w:type="dxa"/>
            <w:vAlign w:val="bottom"/>
            <w:tcBorders>
              <w:bottom w:val="single" w:sz="8" w:color="D9D9D9"/>
            </w:tcBorders>
            <w:shd w:val="clear" w:color="auto" w:fill="D9D9D9"/>
          </w:tcPr>
          <w:p>
            <w:pPr>
              <w:spacing w:after="0"/>
              <w:rPr>
                <w:sz w:val="23"/>
                <w:szCs w:val="23"/>
                <w:color w:val="auto"/>
              </w:rPr>
            </w:pPr>
          </w:p>
        </w:tc>
        <w:tc>
          <w:tcPr>
            <w:tcW w:w="5780" w:type="dxa"/>
            <w:vAlign w:val="bottom"/>
            <w:tcBorders>
              <w:bottom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80" w:type="dxa"/>
            <w:vAlign w:val="bottom"/>
            <w:tcBorders>
              <w:bottom w:val="single" w:sz="8" w:color="D9D9D9"/>
            </w:tcBorders>
            <w:shd w:val="clear" w:color="auto" w:fill="D9D9D9"/>
          </w:tcPr>
          <w:p>
            <w:pPr>
              <w:spacing w:after="0"/>
              <w:rPr>
                <w:sz w:val="23"/>
                <w:szCs w:val="23"/>
                <w:color w:val="auto"/>
              </w:rPr>
            </w:pPr>
          </w:p>
        </w:tc>
        <w:tc>
          <w:tcPr>
            <w:tcW w:w="2260" w:type="dxa"/>
            <w:vAlign w:val="bottom"/>
            <w:tcBorders>
              <w:bottom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Stock Options</w:t>
            </w:r>
          </w:p>
        </w:tc>
      </w:tr>
      <w:tr>
        <w:trPr>
          <w:trHeight w:val="201"/>
        </w:trPr>
        <w:tc>
          <w:tcPr>
            <w:tcW w:w="60" w:type="dxa"/>
            <w:vAlign w:val="bottom"/>
          </w:tcPr>
          <w:p>
            <w:pPr>
              <w:spacing w:after="0"/>
              <w:rPr>
                <w:sz w:val="17"/>
                <w:szCs w:val="17"/>
                <w:color w:val="auto"/>
              </w:rPr>
            </w:pPr>
          </w:p>
        </w:tc>
        <w:tc>
          <w:tcPr>
            <w:tcW w:w="5780" w:type="dxa"/>
            <w:vAlign w:val="bottom"/>
          </w:tcPr>
          <w:p>
            <w:pPr>
              <w:ind w:left="40"/>
              <w:spacing w:after="0" w:line="201" w:lineRule="exact"/>
              <w:rPr>
                <w:sz w:val="20"/>
                <w:szCs w:val="20"/>
                <w:color w:val="auto"/>
              </w:rPr>
            </w:pPr>
            <w:r>
              <w:rPr>
                <w:rFonts w:ascii="Times New Roman" w:cs="Times New Roman" w:eastAsia="Times New Roman" w:hAnsi="Times New Roman"/>
                <w:sz w:val="20"/>
                <w:szCs w:val="20"/>
                <w:b w:val="1"/>
                <w:bCs w:val="1"/>
                <w:color w:val="auto"/>
              </w:rPr>
              <w:t>Directors and Director Nominees</w:t>
            </w:r>
          </w:p>
        </w:tc>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0" w:type="dxa"/>
            <w:vAlign w:val="bottom"/>
          </w:tcPr>
          <w:p>
            <w:pPr>
              <w:spacing w:after="0"/>
              <w:rPr>
                <w:sz w:val="20"/>
                <w:szCs w:val="20"/>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Nancy E. Calderon .................................................................................</w:t>
            </w:r>
          </w:p>
        </w:tc>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51,481</w:t>
            </w:r>
          </w:p>
        </w:tc>
        <w:tc>
          <w:tcPr>
            <w:tcW w:w="60" w:type="dxa"/>
            <w:vAlign w:val="bottom"/>
          </w:tcPr>
          <w:p>
            <w:pPr>
              <w:spacing w:after="0"/>
              <w:rPr>
                <w:sz w:val="20"/>
                <w:szCs w:val="20"/>
                <w:color w:val="auto"/>
              </w:rPr>
            </w:pPr>
          </w:p>
        </w:tc>
      </w:tr>
      <w:tr>
        <w:trPr>
          <w:trHeight w:val="230"/>
        </w:trPr>
        <w:tc>
          <w:tcPr>
            <w:tcW w:w="60" w:type="dxa"/>
            <w:vAlign w:val="bottom"/>
          </w:tcPr>
          <w:p>
            <w:pPr>
              <w:spacing w:after="0"/>
              <w:rPr>
                <w:sz w:val="20"/>
                <w:szCs w:val="20"/>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Sarah E. Kemp .......................................................................................</w:t>
            </w:r>
          </w:p>
        </w:tc>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51,481</w:t>
            </w:r>
          </w:p>
        </w:tc>
        <w:tc>
          <w:tcPr>
            <w:tcW w:w="60" w:type="dxa"/>
            <w:vAlign w:val="bottom"/>
          </w:tcPr>
          <w:p>
            <w:pPr>
              <w:spacing w:after="0"/>
              <w:rPr>
                <w:sz w:val="20"/>
                <w:szCs w:val="20"/>
                <w:color w:val="auto"/>
              </w:rPr>
            </w:pPr>
          </w:p>
        </w:tc>
      </w:tr>
      <w:tr>
        <w:trPr>
          <w:trHeight w:val="229"/>
        </w:trPr>
        <w:tc>
          <w:tcPr>
            <w:tcW w:w="60" w:type="dxa"/>
            <w:vAlign w:val="bottom"/>
          </w:tcPr>
          <w:p>
            <w:pPr>
              <w:spacing w:after="0"/>
              <w:rPr>
                <w:sz w:val="19"/>
                <w:szCs w:val="19"/>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Sunggyu Lee, Ph.D. ...............................................................................</w:t>
            </w:r>
          </w:p>
        </w:tc>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30,073</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 Patrick Lynch ....................................................................................</w:t>
            </w:r>
          </w:p>
        </w:tc>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314,029</w:t>
            </w:r>
          </w:p>
        </w:tc>
        <w:tc>
          <w:tcPr>
            <w:tcW w:w="60" w:type="dxa"/>
            <w:vAlign w:val="bottom"/>
          </w:tcPr>
          <w:p>
            <w:pPr>
              <w:spacing w:after="0"/>
              <w:rPr>
                <w:sz w:val="20"/>
                <w:szCs w:val="20"/>
                <w:color w:val="auto"/>
              </w:rPr>
            </w:pPr>
          </w:p>
        </w:tc>
      </w:tr>
      <w:tr>
        <w:trPr>
          <w:trHeight w:val="230"/>
        </w:trPr>
        <w:tc>
          <w:tcPr>
            <w:tcW w:w="60" w:type="dxa"/>
            <w:vAlign w:val="bottom"/>
          </w:tcPr>
          <w:p>
            <w:pPr>
              <w:spacing w:after="0"/>
              <w:rPr>
                <w:sz w:val="20"/>
                <w:szCs w:val="20"/>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Ramani Narayan, Ph.D...........................................................................</w:t>
            </w:r>
          </w:p>
        </w:tc>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42,478</w:t>
            </w:r>
          </w:p>
        </w:tc>
        <w:tc>
          <w:tcPr>
            <w:tcW w:w="60" w:type="dxa"/>
            <w:vAlign w:val="bottom"/>
          </w:tcPr>
          <w:p>
            <w:pPr>
              <w:spacing w:after="0"/>
              <w:rPr>
                <w:sz w:val="20"/>
                <w:szCs w:val="20"/>
                <w:color w:val="auto"/>
              </w:rPr>
            </w:pPr>
          </w:p>
        </w:tc>
      </w:tr>
      <w:tr>
        <w:trPr>
          <w:trHeight w:val="229"/>
        </w:trPr>
        <w:tc>
          <w:tcPr>
            <w:tcW w:w="60" w:type="dxa"/>
            <w:vAlign w:val="bottom"/>
          </w:tcPr>
          <w:p>
            <w:pPr>
              <w:spacing w:after="0"/>
              <w:rPr>
                <w:sz w:val="19"/>
                <w:szCs w:val="19"/>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Richard J. Nigon ....................................................................................</w:t>
            </w:r>
          </w:p>
        </w:tc>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108,289</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Cristina Pinho ........................................................................................</w:t>
            </w:r>
          </w:p>
        </w:tc>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15,432</w:t>
            </w:r>
          </w:p>
        </w:tc>
        <w:tc>
          <w:tcPr>
            <w:tcW w:w="60" w:type="dxa"/>
            <w:vAlign w:val="bottom"/>
          </w:tcPr>
          <w:p>
            <w:pPr>
              <w:spacing w:after="0"/>
              <w:rPr>
                <w:sz w:val="20"/>
                <w:szCs w:val="20"/>
                <w:color w:val="auto"/>
              </w:rPr>
            </w:pPr>
          </w:p>
        </w:tc>
      </w:tr>
      <w:tr>
        <w:trPr>
          <w:trHeight w:val="226"/>
        </w:trPr>
        <w:tc>
          <w:tcPr>
            <w:tcW w:w="60" w:type="dxa"/>
            <w:vAlign w:val="bottom"/>
          </w:tcPr>
          <w:p>
            <w:pPr>
              <w:spacing w:after="0"/>
              <w:rPr>
                <w:sz w:val="19"/>
                <w:szCs w:val="19"/>
                <w:color w:val="auto"/>
              </w:rPr>
            </w:pPr>
          </w:p>
        </w:tc>
        <w:tc>
          <w:tcPr>
            <w:tcW w:w="578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auto"/>
              </w:rPr>
              <w:t>Konstantin von Falkenhausen ................................................................</w:t>
            </w:r>
          </w:p>
        </w:tc>
        <w:tc>
          <w:tcPr>
            <w:tcW w:w="2280" w:type="dxa"/>
            <w:vAlign w:val="bottom"/>
            <w:gridSpan w:val="2"/>
          </w:tcPr>
          <w:p>
            <w:pPr>
              <w:jc w:val="right"/>
              <w:ind w:right="740"/>
              <w:spacing w:after="0" w:line="227" w:lineRule="exact"/>
              <w:rPr>
                <w:sz w:val="20"/>
                <w:szCs w:val="20"/>
                <w:color w:val="auto"/>
              </w:rPr>
            </w:pPr>
            <w:r>
              <w:rPr>
                <w:rFonts w:ascii="Times New Roman" w:cs="Times New Roman" w:eastAsia="Times New Roman" w:hAnsi="Times New Roman"/>
                <w:sz w:val="20"/>
                <w:szCs w:val="20"/>
                <w:color w:val="auto"/>
              </w:rPr>
              <w:t>86,241</w:t>
            </w:r>
          </w:p>
        </w:tc>
        <w:tc>
          <w:tcPr>
            <w:tcW w:w="60" w:type="dxa"/>
            <w:vAlign w:val="bottom"/>
          </w:tcPr>
          <w:p>
            <w:pPr>
              <w:spacing w:after="0"/>
              <w:rPr>
                <w:sz w:val="19"/>
                <w:szCs w:val="19"/>
                <w:color w:val="auto"/>
              </w:rPr>
            </w:pPr>
          </w:p>
        </w:tc>
      </w:tr>
      <w:tr>
        <w:trPr>
          <w:trHeight w:val="233"/>
        </w:trPr>
        <w:tc>
          <w:tcPr>
            <w:tcW w:w="60" w:type="dxa"/>
            <w:vAlign w:val="bottom"/>
          </w:tcPr>
          <w:p>
            <w:pPr>
              <w:spacing w:after="0"/>
              <w:rPr>
                <w:sz w:val="20"/>
                <w:szCs w:val="20"/>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Named Executive Officers</w:t>
            </w: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0" w:type="dxa"/>
            <w:vAlign w:val="bottom"/>
          </w:tcPr>
          <w:p>
            <w:pPr>
              <w:spacing w:after="0"/>
              <w:rPr>
                <w:sz w:val="20"/>
                <w:szCs w:val="20"/>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G. Patrick Lynch ......................................................................................</w:t>
            </w:r>
          </w:p>
        </w:tc>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315,029</w:t>
            </w:r>
          </w:p>
        </w:tc>
        <w:tc>
          <w:tcPr>
            <w:tcW w:w="60" w:type="dxa"/>
            <w:vAlign w:val="bottom"/>
          </w:tcPr>
          <w:p>
            <w:pPr>
              <w:spacing w:after="0"/>
              <w:rPr>
                <w:sz w:val="20"/>
                <w:szCs w:val="20"/>
                <w:color w:val="auto"/>
              </w:rPr>
            </w:pPr>
          </w:p>
        </w:tc>
      </w:tr>
      <w:tr>
        <w:trPr>
          <w:trHeight w:val="267"/>
        </w:trPr>
        <w:tc>
          <w:tcPr>
            <w:tcW w:w="60" w:type="dxa"/>
            <w:vAlign w:val="bottom"/>
          </w:tcPr>
          <w:p>
            <w:pPr>
              <w:spacing w:after="0"/>
              <w:rPr>
                <w:sz w:val="23"/>
                <w:szCs w:val="23"/>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Matthew C. Wolsfeld ...............................................................................</w:t>
            </w:r>
          </w:p>
        </w:tc>
        <w:tc>
          <w:tcPr>
            <w:tcW w:w="228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232,107</w:t>
            </w:r>
          </w:p>
        </w:tc>
        <w:tc>
          <w:tcPr>
            <w:tcW w:w="60" w:type="dxa"/>
            <w:vAlign w:val="bottom"/>
          </w:tcPr>
          <w:p>
            <w:pPr>
              <w:spacing w:after="0"/>
              <w:rPr>
                <w:sz w:val="23"/>
                <w:szCs w:val="23"/>
                <w:color w:val="auto"/>
              </w:rPr>
            </w:pPr>
          </w:p>
        </w:tc>
      </w:tr>
      <w:tr>
        <w:trPr>
          <w:trHeight w:val="203"/>
        </w:trPr>
        <w:tc>
          <w:tcPr>
            <w:tcW w:w="60" w:type="dxa"/>
            <w:vAlign w:val="bottom"/>
          </w:tcPr>
          <w:p>
            <w:pPr>
              <w:spacing w:after="0"/>
              <w:rPr>
                <w:sz w:val="17"/>
                <w:szCs w:val="17"/>
                <w:color w:val="auto"/>
              </w:rPr>
            </w:pPr>
          </w:p>
        </w:tc>
        <w:tc>
          <w:tcPr>
            <w:tcW w:w="5780" w:type="dxa"/>
            <w:vAlign w:val="bottom"/>
          </w:tcPr>
          <w:p>
            <w:pPr>
              <w:ind w:left="40"/>
              <w:spacing w:after="0" w:line="203" w:lineRule="exact"/>
              <w:rPr>
                <w:sz w:val="20"/>
                <w:szCs w:val="20"/>
                <w:color w:val="auto"/>
              </w:rPr>
            </w:pPr>
            <w:r>
              <w:rPr>
                <w:rFonts w:ascii="Times New Roman" w:cs="Times New Roman" w:eastAsia="Times New Roman" w:hAnsi="Times New Roman"/>
                <w:sz w:val="20"/>
                <w:szCs w:val="20"/>
                <w:color w:val="auto"/>
              </w:rPr>
              <w:t>All current directors, director nominees, and executive officers as a</w:t>
            </w:r>
          </w:p>
        </w:tc>
        <w:tc>
          <w:tcPr>
            <w:tcW w:w="8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79"/>
        </w:trPr>
        <w:tc>
          <w:tcPr>
            <w:tcW w:w="6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group (9 persons) ..................................................................................</w:t>
            </w:r>
          </w:p>
        </w:tc>
        <w:tc>
          <w:tcPr>
            <w:tcW w:w="80" w:type="dxa"/>
            <w:vAlign w:val="bottom"/>
          </w:tcPr>
          <w:p>
            <w:pPr>
              <w:spacing w:after="0"/>
              <w:rPr>
                <w:sz w:val="24"/>
                <w:szCs w:val="24"/>
                <w:color w:val="auto"/>
              </w:rPr>
            </w:pPr>
          </w:p>
        </w:tc>
        <w:tc>
          <w:tcPr>
            <w:tcW w:w="22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20"/>
                <w:szCs w:val="20"/>
                <w:color w:val="auto"/>
              </w:rPr>
              <w:t>931,611</w:t>
            </w:r>
          </w:p>
        </w:tc>
        <w:tc>
          <w:tcPr>
            <w:tcW w:w="60" w:type="dxa"/>
            <w:vAlign w:val="bottom"/>
          </w:tcPr>
          <w:p>
            <w:pPr>
              <w:spacing w:after="0"/>
              <w:rPr>
                <w:sz w:val="24"/>
                <w:szCs w:val="24"/>
                <w:color w:val="auto"/>
              </w:rPr>
            </w:pPr>
          </w:p>
        </w:tc>
      </w:tr>
    </w:tbl>
    <w:p>
      <w:pPr>
        <w:spacing w:after="0" w:line="222" w:lineRule="exact"/>
        <w:rPr>
          <w:sz w:val="20"/>
          <w:szCs w:val="20"/>
          <w:color w:val="auto"/>
        </w:rPr>
      </w:pPr>
    </w:p>
    <w:p>
      <w:pPr>
        <w:ind w:left="721" w:hanging="720"/>
        <w:spacing w:after="0"/>
        <w:tabs>
          <w:tab w:leader="none" w:pos="72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1,203,334 shares held by Inter Alia Holding Company. See note (6) below.</w:t>
      </w:r>
    </w:p>
    <w:p>
      <w:pPr>
        <w:spacing w:after="0" w:line="239" w:lineRule="exact"/>
        <w:rPr>
          <w:rFonts w:ascii="Times New Roman" w:cs="Times New Roman" w:eastAsia="Times New Roman" w:hAnsi="Times New Roman"/>
          <w:sz w:val="20"/>
          <w:szCs w:val="20"/>
          <w:color w:val="auto"/>
        </w:rPr>
      </w:pPr>
    </w:p>
    <w:p>
      <w:pPr>
        <w:ind w:left="721" w:hanging="720"/>
        <w:spacing w:after="0"/>
        <w:tabs>
          <w:tab w:leader="none" w:pos="72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shares are held in a joint tenant account with Matthew C. Wolsfeld’s spouse.</w:t>
      </w:r>
    </w:p>
    <w:p>
      <w:pPr>
        <w:spacing w:after="0" w:line="240" w:lineRule="exact"/>
        <w:rPr>
          <w:rFonts w:ascii="Times New Roman" w:cs="Times New Roman" w:eastAsia="Times New Roman" w:hAnsi="Times New Roman"/>
          <w:sz w:val="20"/>
          <w:szCs w:val="20"/>
          <w:color w:val="auto"/>
        </w:rPr>
      </w:pPr>
    </w:p>
    <w:p>
      <w:pPr>
        <w:ind w:left="721" w:right="260" w:hanging="720"/>
        <w:spacing w:after="0" w:line="254" w:lineRule="auto"/>
        <w:tabs>
          <w:tab w:leader="none" w:pos="72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beneficially owned by all current directors, director nominees, and executive officers as a group includes 1,203,334 shares held of record by Inter Alia Holding Company. See notes (3) above and</w:t>
      </w:r>
    </w:p>
    <w:p>
      <w:pPr>
        <w:ind w:left="721"/>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below.</w:t>
      </w:r>
    </w:p>
    <w:p>
      <w:pPr>
        <w:spacing w:after="0" w:line="212" w:lineRule="exact"/>
        <w:rPr>
          <w:rFonts w:ascii="Times New Roman" w:cs="Times New Roman" w:eastAsia="Times New Roman" w:hAnsi="Times New Roman"/>
          <w:sz w:val="20"/>
          <w:szCs w:val="20"/>
          <w:color w:val="auto"/>
        </w:rPr>
      </w:pPr>
    </w:p>
    <w:p>
      <w:pPr>
        <w:ind w:left="721" w:right="20" w:hanging="720"/>
        <w:spacing w:after="0" w:line="258"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According to a Schedule 13D/A filed with the SEC on September 4, 2024, Inter Alia Holding Company is an entity of which G. Patrick Lynch, our President and Chief Executive Officer, is a stockholder. G. Patrick Lynch shares voting and dispositive power over such shares with two other members of his family.</w:t>
      </w:r>
    </w:p>
    <w:p>
      <w:pPr>
        <w:spacing w:after="0" w:line="188" w:lineRule="exact"/>
        <w:rPr>
          <w:rFonts w:ascii="Times New Roman" w:cs="Times New Roman" w:eastAsia="Times New Roman" w:hAnsi="Times New Roman"/>
          <w:sz w:val="20"/>
          <w:szCs w:val="20"/>
          <w:color w:val="auto"/>
        </w:rPr>
      </w:pPr>
    </w:p>
    <w:p>
      <w:pPr>
        <w:ind w:left="721" w:right="20" w:hanging="721"/>
        <w:spacing w:after="0" w:line="249"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According to a Schedule 13G/A filed with the SEC on November 13, 2025, Needham Investment Management L.L.C. shares voting and dispositive power over 640,000 shares with Needham Asset Management, LLC, Needham Aggressive Growth Fund and George A. Needham. Needham Investment Management L.L.C. is the relevant entity for which each of Needham Asset Management, LLC and George A. Needham may be considered a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2240" w:h="15840" w:orient="portrait"/>
          <w:cols w:equalWidth="0" w:num="1">
            <w:col w:w="9361"/>
          </w:cols>
          <w:pgMar w:left="1439" w:top="1415" w:right="1440" w:bottom="178" w:gutter="0" w:footer="0" w:header="0"/>
        </w:sectPr>
      </w:pPr>
    </w:p>
    <w:bookmarkStart w:id="39" w:name="page40"/>
    <w:bookmarkEnd w:id="39"/>
    <w:p>
      <w:pPr>
        <w:ind w:left="120"/>
        <w:spacing w:after="0"/>
        <w:rPr>
          <w:sz w:val="20"/>
          <w:szCs w:val="20"/>
          <w:color w:val="auto"/>
        </w:rPr>
      </w:pPr>
      <w:r>
        <w:rPr>
          <w:rFonts w:ascii="Times New Roman" w:cs="Times New Roman" w:eastAsia="Times New Roman" w:hAnsi="Times New Roman"/>
          <w:sz w:val="22"/>
          <w:szCs w:val="22"/>
          <w:b w:val="1"/>
          <w:bCs w:val="1"/>
          <w:color w:val="auto"/>
        </w:rPr>
        <w:t>Stock Ownership Guidelines</w:t>
      </w:r>
    </w:p>
    <w:p>
      <w:pPr>
        <w:spacing w:after="0" w:line="244" w:lineRule="exact"/>
        <w:rPr>
          <w:sz w:val="20"/>
          <w:szCs w:val="20"/>
          <w:color w:val="auto"/>
        </w:rPr>
      </w:pPr>
    </w:p>
    <w:p>
      <w:pPr>
        <w:jc w:val="both"/>
        <w:ind w:left="120" w:right="420"/>
        <w:spacing w:after="0" w:line="258" w:lineRule="auto"/>
        <w:rPr>
          <w:sz w:val="20"/>
          <w:szCs w:val="20"/>
          <w:color w:val="auto"/>
        </w:rPr>
      </w:pPr>
      <w:r>
        <w:rPr>
          <w:rFonts w:ascii="Times New Roman" w:cs="Times New Roman" w:eastAsia="Times New Roman" w:hAnsi="Times New Roman"/>
          <w:sz w:val="22"/>
          <w:szCs w:val="22"/>
          <w:color w:val="auto"/>
        </w:rPr>
        <w:t>We maintain stock ownership guidelines that are intended to further align the interests of our directors and executive officers with those of our stockholders. The stock ownership guidelines for our directors and executive officers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4780" w:type="dxa"/>
            <w:vAlign w:val="bottom"/>
            <w:tcBorders>
              <w:bottom w:val="single" w:sz="8" w:color="auto"/>
            </w:tcBorders>
            <w:shd w:val="clear" w:color="auto" w:fill="D9D9D9"/>
          </w:tcPr>
          <w:p>
            <w:pPr>
              <w:ind w:left="2000"/>
              <w:spacing w:after="0"/>
              <w:rPr>
                <w:sz w:val="20"/>
                <w:szCs w:val="20"/>
                <w:color w:val="auto"/>
              </w:rPr>
            </w:pPr>
            <w:r>
              <w:rPr>
                <w:rFonts w:ascii="Times New Roman" w:cs="Times New Roman" w:eastAsia="Times New Roman" w:hAnsi="Times New Roman"/>
                <w:sz w:val="22"/>
                <w:szCs w:val="22"/>
                <w:b w:val="1"/>
                <w:bCs w:val="1"/>
                <w:color w:val="auto"/>
              </w:rPr>
              <w:t>Position</w:t>
            </w:r>
          </w:p>
        </w:tc>
        <w:tc>
          <w:tcPr>
            <w:tcW w:w="478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rPr>
              <w:t>Guideline</w:t>
            </w:r>
          </w:p>
        </w:tc>
      </w:tr>
      <w:tr>
        <w:trPr>
          <w:trHeight w:val="243"/>
        </w:trPr>
        <w:tc>
          <w:tcPr>
            <w:tcW w:w="20" w:type="dxa"/>
            <w:vAlign w:val="bottom"/>
          </w:tcPr>
          <w:p>
            <w:pPr>
              <w:spacing w:after="0"/>
              <w:rPr>
                <w:sz w:val="21"/>
                <w:szCs w:val="21"/>
                <w:color w:val="auto"/>
              </w:rPr>
            </w:pPr>
          </w:p>
        </w:tc>
        <w:tc>
          <w:tcPr>
            <w:tcW w:w="4780" w:type="dxa"/>
            <w:vAlign w:val="bottom"/>
            <w:tcBorders>
              <w:bottom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Non-Employee Director</w:t>
            </w:r>
          </w:p>
        </w:tc>
        <w:tc>
          <w:tcPr>
            <w:tcW w:w="47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rPr>
              <w:t>3x annual cash retainer</w:t>
            </w:r>
          </w:p>
        </w:tc>
      </w:tr>
      <w:tr>
        <w:trPr>
          <w:trHeight w:val="243"/>
        </w:trPr>
        <w:tc>
          <w:tcPr>
            <w:tcW w:w="20" w:type="dxa"/>
            <w:vAlign w:val="bottom"/>
          </w:tcPr>
          <w:p>
            <w:pPr>
              <w:spacing w:after="0"/>
              <w:rPr>
                <w:sz w:val="21"/>
                <w:szCs w:val="21"/>
                <w:color w:val="auto"/>
              </w:rPr>
            </w:pPr>
          </w:p>
        </w:tc>
        <w:tc>
          <w:tcPr>
            <w:tcW w:w="4780" w:type="dxa"/>
            <w:vAlign w:val="bottom"/>
            <w:tcBorders>
              <w:bottom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Chief Executive Officer</w:t>
            </w:r>
          </w:p>
        </w:tc>
        <w:tc>
          <w:tcPr>
            <w:tcW w:w="47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6x annual base salary</w:t>
            </w:r>
          </w:p>
        </w:tc>
      </w:tr>
      <w:tr>
        <w:trPr>
          <w:trHeight w:val="244"/>
        </w:trPr>
        <w:tc>
          <w:tcPr>
            <w:tcW w:w="20" w:type="dxa"/>
            <w:vAlign w:val="bottom"/>
            <w:tcBorders>
              <w:bottom w:val="single" w:sz="8" w:color="auto"/>
            </w:tcBorders>
          </w:tcPr>
          <w:p>
            <w:pPr>
              <w:spacing w:after="0"/>
              <w:rPr>
                <w:sz w:val="21"/>
                <w:szCs w:val="21"/>
                <w:color w:val="auto"/>
              </w:rPr>
            </w:pPr>
          </w:p>
        </w:tc>
        <w:tc>
          <w:tcPr>
            <w:tcW w:w="4780" w:type="dxa"/>
            <w:vAlign w:val="bottom"/>
            <w:tcBorders>
              <w:bottom w:val="single" w:sz="8" w:color="auto"/>
            </w:tcBorders>
          </w:tcPr>
          <w:p>
            <w:pPr>
              <w:ind w:left="100"/>
              <w:spacing w:after="0" w:line="244" w:lineRule="exact"/>
              <w:rPr>
                <w:sz w:val="20"/>
                <w:szCs w:val="20"/>
                <w:color w:val="auto"/>
              </w:rPr>
            </w:pPr>
            <w:r>
              <w:rPr>
                <w:rFonts w:ascii="Times New Roman" w:cs="Times New Roman" w:eastAsia="Times New Roman" w:hAnsi="Times New Roman"/>
                <w:sz w:val="22"/>
                <w:szCs w:val="22"/>
                <w:color w:val="auto"/>
              </w:rPr>
              <w:t>Other Executive Officers</w:t>
            </w:r>
          </w:p>
        </w:tc>
        <w:tc>
          <w:tcPr>
            <w:tcW w:w="47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color w:val="auto"/>
                <w:w w:val="99"/>
              </w:rPr>
              <w:t>3x annual base salary</w:t>
            </w:r>
          </w:p>
        </w:tc>
      </w:tr>
    </w:tbl>
    <w:p>
      <w:pPr>
        <w:spacing w:after="0" w:line="230" w:lineRule="exact"/>
        <w:rPr>
          <w:sz w:val="20"/>
          <w:szCs w:val="20"/>
          <w:color w:val="auto"/>
        </w:rPr>
      </w:pPr>
    </w:p>
    <w:p>
      <w:pPr>
        <w:ind w:left="120" w:right="120"/>
        <w:spacing w:after="0" w:line="249" w:lineRule="auto"/>
        <w:rPr>
          <w:sz w:val="20"/>
          <w:szCs w:val="20"/>
          <w:color w:val="auto"/>
        </w:rPr>
      </w:pPr>
      <w:r>
        <w:rPr>
          <w:rFonts w:ascii="Times New Roman" w:cs="Times New Roman" w:eastAsia="Times New Roman" w:hAnsi="Times New Roman"/>
          <w:sz w:val="22"/>
          <w:szCs w:val="22"/>
          <w:color w:val="auto"/>
        </w:rPr>
        <w:t>Each director and executive officer has five years from the establishment of these guidelines in November 2021 and, thereafter, from the date of appointment or hire or, if the ownership multiple has increased during such director’s or executive’s tenure, five years from the date established in connection with such increase to reach his or her ownership targets. Both our Chief Executive Officer and Chief Financial Officer are in compliance with these guidelines, as are most of our longer serving directors.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Securities Authorized for Issuance Under Equity Compensation Plans</w:t>
      </w:r>
    </w:p>
    <w:p>
      <w:pPr>
        <w:spacing w:after="0" w:line="243" w:lineRule="exact"/>
        <w:rPr>
          <w:sz w:val="20"/>
          <w:szCs w:val="20"/>
          <w:color w:val="auto"/>
        </w:rPr>
      </w:pPr>
    </w:p>
    <w:p>
      <w:pPr>
        <w:ind w:left="120" w:right="180"/>
        <w:spacing w:after="0" w:line="247" w:lineRule="auto"/>
        <w:rPr>
          <w:sz w:val="20"/>
          <w:szCs w:val="20"/>
          <w:color w:val="auto"/>
        </w:rPr>
      </w:pPr>
      <w:r>
        <w:rPr>
          <w:rFonts w:ascii="Times New Roman" w:cs="Times New Roman" w:eastAsia="Times New Roman" w:hAnsi="Times New Roman"/>
          <w:sz w:val="22"/>
          <w:szCs w:val="22"/>
          <w:color w:val="auto"/>
        </w:rPr>
        <w:t>The table below summarizes outstanding options and other awards under NTIC’s equity compensation plans as of August 31, 2025. NTIC’s equity compensation plans as of August 31, 2025 were the Northern Technologies International Corporation 2024 Stock Incentive Plan, the Northern Technologies International Corporation Amended and Restated 2019 Stock Incentive Plan, the Northern Technologies International Corporation Amended and Restated 2007 Stock Incentive Plan, and the Northern Technologies International Corporation Employee Stock Purchase Plan.</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Except for automatic annual grants of $50,000 in options to purchase shares of NTIC common stock, or</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restricted stock units (“RSUs”) if so elected, to NTIC’s directors in consideration for their services as</w:t>
      </w:r>
    </w:p>
    <w:p>
      <w:pPr>
        <w:ind w:left="120"/>
        <w:spacing w:after="0"/>
        <w:rPr>
          <w:sz w:val="20"/>
          <w:szCs w:val="20"/>
          <w:color w:val="auto"/>
        </w:rPr>
      </w:pPr>
      <w:r>
        <w:rPr>
          <w:rFonts w:ascii="Times New Roman" w:cs="Times New Roman" w:eastAsia="Times New Roman" w:hAnsi="Times New Roman"/>
          <w:sz w:val="22"/>
          <w:szCs w:val="22"/>
          <w:color w:val="auto"/>
        </w:rPr>
        <w:t>directors of NTIC and an automatic annual grant of $10,000 in options to purchase shares of NTIC</w:t>
      </w:r>
    </w:p>
    <w:p>
      <w:pPr>
        <w:ind w:left="120"/>
        <w:spacing w:after="0"/>
        <w:rPr>
          <w:sz w:val="20"/>
          <w:szCs w:val="20"/>
          <w:color w:val="auto"/>
        </w:rPr>
      </w:pPr>
      <w:r>
        <w:rPr>
          <w:rFonts w:ascii="Times New Roman" w:cs="Times New Roman" w:eastAsia="Times New Roman" w:hAnsi="Times New Roman"/>
          <w:sz w:val="22"/>
          <w:szCs w:val="22"/>
          <w:color w:val="auto"/>
        </w:rPr>
        <w:t>common stock, or RSUs if so elected, to NTIC’s Chairman of the Board in consideration for his services</w:t>
      </w:r>
    </w:p>
    <w:p>
      <w:pPr>
        <w:ind w:left="120"/>
        <w:spacing w:after="0"/>
        <w:rPr>
          <w:sz w:val="20"/>
          <w:szCs w:val="20"/>
          <w:color w:val="auto"/>
        </w:rPr>
      </w:pPr>
      <w:r>
        <w:rPr>
          <w:rFonts w:ascii="Times New Roman" w:cs="Times New Roman" w:eastAsia="Times New Roman" w:hAnsi="Times New Roman"/>
          <w:sz w:val="22"/>
          <w:szCs w:val="22"/>
          <w:color w:val="auto"/>
        </w:rPr>
        <w:t>as Chairman, in each case on the first day of each fiscal year, and automatic initial pro rata grants of</w:t>
      </w:r>
    </w:p>
    <w:p>
      <w:pPr>
        <w:ind w:left="120"/>
        <w:spacing w:after="0"/>
        <w:rPr>
          <w:sz w:val="20"/>
          <w:szCs w:val="20"/>
          <w:color w:val="auto"/>
        </w:rPr>
      </w:pPr>
      <w:r>
        <w:rPr>
          <w:rFonts w:ascii="Times New Roman" w:cs="Times New Roman" w:eastAsia="Times New Roman" w:hAnsi="Times New Roman"/>
          <w:sz w:val="22"/>
          <w:szCs w:val="22"/>
          <w:color w:val="auto"/>
        </w:rPr>
        <w:t>$50,000 in options to purchase shares of NTIC common stock to NTIC’s new directors in consideration</w:t>
      </w:r>
    </w:p>
    <w:p>
      <w:pPr>
        <w:ind w:left="120"/>
        <w:spacing w:after="0"/>
        <w:rPr>
          <w:sz w:val="20"/>
          <w:szCs w:val="20"/>
          <w:color w:val="auto"/>
        </w:rPr>
      </w:pPr>
      <w:r>
        <w:rPr>
          <w:rFonts w:ascii="Times New Roman" w:cs="Times New Roman" w:eastAsia="Times New Roman" w:hAnsi="Times New Roman"/>
          <w:sz w:val="22"/>
          <w:szCs w:val="22"/>
          <w:color w:val="auto"/>
        </w:rPr>
        <w:t>for their services as directors of NTIC on the first date of their appointment as directors, options and other</w:t>
      </w:r>
    </w:p>
    <w:p>
      <w:pPr>
        <w:ind w:left="120"/>
        <w:spacing w:after="0"/>
        <w:rPr>
          <w:sz w:val="20"/>
          <w:szCs w:val="20"/>
          <w:color w:val="auto"/>
        </w:rPr>
      </w:pPr>
      <w:r>
        <w:rPr>
          <w:rFonts w:ascii="Times New Roman" w:cs="Times New Roman" w:eastAsia="Times New Roman" w:hAnsi="Times New Roman"/>
          <w:sz w:val="22"/>
          <w:szCs w:val="22"/>
          <w:color w:val="auto"/>
        </w:rPr>
        <w:t>awards granted in the future under the Northern Technologies International Corporation 2024 Stock</w:t>
      </w:r>
    </w:p>
    <w:p>
      <w:pPr>
        <w:ind w:left="120"/>
        <w:spacing w:after="0"/>
        <w:rPr>
          <w:sz w:val="20"/>
          <w:szCs w:val="20"/>
          <w:color w:val="auto"/>
        </w:rPr>
      </w:pPr>
      <w:r>
        <w:rPr>
          <w:rFonts w:ascii="Times New Roman" w:cs="Times New Roman" w:eastAsia="Times New Roman" w:hAnsi="Times New Roman"/>
          <w:sz w:val="22"/>
          <w:szCs w:val="22"/>
          <w:color w:val="auto"/>
        </w:rPr>
        <w:t>Incentive Plan are within the discretion of the Board of Directors and the Compensation Committee of the</w:t>
      </w:r>
    </w:p>
    <w:p>
      <w:pPr>
        <w:ind w:left="120"/>
        <w:spacing w:after="0"/>
        <w:rPr>
          <w:sz w:val="20"/>
          <w:szCs w:val="20"/>
          <w:color w:val="auto"/>
        </w:rPr>
      </w:pPr>
      <w:r>
        <w:rPr>
          <w:rFonts w:ascii="Times New Roman" w:cs="Times New Roman" w:eastAsia="Times New Roman" w:hAnsi="Times New Roman"/>
          <w:sz w:val="22"/>
          <w:szCs w:val="22"/>
          <w:color w:val="auto"/>
        </w:rPr>
        <w:t>Board of Directors and, therefore, cannot be ascertained at this time. No future grants of options, RSUs or</w:t>
      </w:r>
    </w:p>
    <w:p>
      <w:pPr>
        <w:ind w:left="120"/>
        <w:spacing w:after="0"/>
        <w:rPr>
          <w:sz w:val="20"/>
          <w:szCs w:val="20"/>
          <w:color w:val="auto"/>
        </w:rPr>
      </w:pPr>
      <w:r>
        <w:rPr>
          <w:rFonts w:ascii="Times New Roman" w:cs="Times New Roman" w:eastAsia="Times New Roman" w:hAnsi="Times New Roman"/>
          <w:sz w:val="22"/>
          <w:szCs w:val="22"/>
          <w:color w:val="auto"/>
        </w:rPr>
        <w:t>other stock awards will be made under the Northern Technologies International Corporation Amended</w:t>
      </w:r>
    </w:p>
    <w:p>
      <w:pPr>
        <w:ind w:left="120"/>
        <w:spacing w:after="0"/>
        <w:rPr>
          <w:sz w:val="20"/>
          <w:szCs w:val="20"/>
          <w:color w:val="auto"/>
        </w:rPr>
      </w:pPr>
      <w:r>
        <w:rPr>
          <w:rFonts w:ascii="Times New Roman" w:cs="Times New Roman" w:eastAsia="Times New Roman" w:hAnsi="Times New Roman"/>
          <w:sz w:val="22"/>
          <w:szCs w:val="22"/>
          <w:color w:val="auto"/>
        </w:rPr>
        <w:t>and Restated 2019 Stock Incentive Plan or the Northern Technologies International Corporation Amended</w:t>
      </w:r>
    </w:p>
    <w:p>
      <w:pPr>
        <w:ind w:left="120"/>
        <w:spacing w:after="0"/>
        <w:rPr>
          <w:sz w:val="20"/>
          <w:szCs w:val="20"/>
          <w:color w:val="auto"/>
        </w:rPr>
      </w:pPr>
      <w:r>
        <w:rPr>
          <w:rFonts w:ascii="Times New Roman" w:cs="Times New Roman" w:eastAsia="Times New Roman" w:hAnsi="Times New Roman"/>
          <w:sz w:val="22"/>
          <w:szCs w:val="22"/>
          <w:color w:val="auto"/>
        </w:rPr>
        <w:t>and Restated 2007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2240" w:h="15840" w:orient="portrait"/>
          <w:cols w:equalWidth="0" w:num="1">
            <w:col w:w="9580"/>
          </w:cols>
          <w:pgMar w:left="1320" w:top="1413" w:right="1340" w:bottom="178"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6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w:t>
            </w:r>
          </w:p>
        </w:tc>
        <w:tc>
          <w:tcPr>
            <w:tcW w:w="1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 Issued Upon Exercise</w:t>
            </w:r>
          </w:p>
        </w:tc>
        <w:tc>
          <w:tcPr>
            <w:tcW w:w="1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6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Outstanding Options,</w:t>
            </w:r>
          </w:p>
        </w:tc>
        <w:tc>
          <w:tcPr>
            <w:tcW w:w="1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246"/>
        </w:trPr>
        <w:tc>
          <w:tcPr>
            <w:tcW w:w="80" w:type="dxa"/>
            <w:vAlign w:val="bottom"/>
          </w:tcPr>
          <w:p>
            <w:pPr>
              <w:spacing w:after="0"/>
              <w:rPr>
                <w:sz w:val="21"/>
                <w:szCs w:val="21"/>
                <w:color w:val="auto"/>
              </w:rPr>
            </w:pPr>
          </w:p>
        </w:tc>
        <w:tc>
          <w:tcPr>
            <w:tcW w:w="26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60" w:type="dxa"/>
            <w:vAlign w:val="bottom"/>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160" w:type="dxa"/>
            <w:vAlign w:val="bottom"/>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60" w:type="dxa"/>
            <w:vAlign w:val="bottom"/>
          </w:tcPr>
          <w:p>
            <w:pPr>
              <w:spacing w:after="0"/>
              <w:rPr>
                <w:sz w:val="21"/>
                <w:szCs w:val="21"/>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reflected in column (a))</w:t>
            </w: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2160" w:type="dxa"/>
            <w:vAlign w:val="bottom"/>
            <w:gridSpan w:val="2"/>
            <w:vMerge w:val="restart"/>
          </w:tcPr>
          <w:p>
            <w:pPr>
              <w:jc w:val="center"/>
              <w:ind w:right="306"/>
              <w:spacing w:after="0"/>
              <w:rPr>
                <w:sz w:val="20"/>
                <w:szCs w:val="20"/>
                <w:color w:val="auto"/>
              </w:rPr>
            </w:pPr>
            <w:r>
              <w:rPr>
                <w:rFonts w:ascii="Times New Roman" w:cs="Times New Roman" w:eastAsia="Times New Roman" w:hAnsi="Times New Roman"/>
                <w:sz w:val="22"/>
                <w:szCs w:val="22"/>
                <w:color w:val="auto"/>
              </w:rPr>
              <w:t>1,934,451</w:t>
            </w:r>
            <w:r>
              <w:rPr>
                <w:rFonts w:ascii="Times New Roman" w:cs="Times New Roman" w:eastAsia="Times New Roman" w:hAnsi="Times New Roman"/>
                <w:sz w:val="28"/>
                <w:szCs w:val="28"/>
                <w:color w:val="auto"/>
                <w:vertAlign w:val="superscript"/>
              </w:rPr>
              <w:t>1)(2)</w:t>
            </w:r>
          </w:p>
        </w:tc>
        <w:tc>
          <w:tcPr>
            <w:tcW w:w="198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22"/>
                <w:szCs w:val="22"/>
                <w:color w:val="auto"/>
                <w:w w:val="92"/>
              </w:rPr>
              <w:t>$11.86</w:t>
            </w:r>
            <w:r>
              <w:rPr>
                <w:rFonts w:ascii="Times New Roman" w:cs="Times New Roman" w:eastAsia="Times New Roman" w:hAnsi="Times New Roman"/>
                <w:sz w:val="28"/>
                <w:szCs w:val="28"/>
                <w:color w:val="auto"/>
                <w:w w:val="92"/>
                <w:vertAlign w:val="superscript"/>
              </w:rPr>
              <w:t>(3)</w:t>
            </w:r>
          </w:p>
        </w:tc>
        <w:tc>
          <w:tcPr>
            <w:tcW w:w="244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22"/>
                <w:szCs w:val="22"/>
                <w:color w:val="auto"/>
                <w:w w:val="94"/>
              </w:rPr>
              <w:t>811,144</w:t>
            </w:r>
            <w:r>
              <w:rPr>
                <w:rFonts w:ascii="Times New Roman" w:cs="Times New Roman" w:eastAsia="Times New Roman" w:hAnsi="Times New Roman"/>
                <w:sz w:val="28"/>
                <w:szCs w:val="28"/>
                <w:color w:val="auto"/>
                <w:w w:val="94"/>
                <w:vertAlign w:val="superscript"/>
              </w:rPr>
              <w:t>(4)</w:t>
            </w:r>
          </w:p>
        </w:tc>
        <w:tc>
          <w:tcPr>
            <w:tcW w:w="0" w:type="dxa"/>
            <w:vAlign w:val="bottom"/>
          </w:tcPr>
          <w:p>
            <w:pPr>
              <w:spacing w:after="0"/>
              <w:rPr>
                <w:sz w:val="1"/>
                <w:szCs w:val="1"/>
                <w:color w:val="auto"/>
              </w:rPr>
            </w:pPr>
          </w:p>
        </w:tc>
      </w:tr>
      <w:tr>
        <w:trPr>
          <w:trHeight w:val="316"/>
        </w:trPr>
        <w:tc>
          <w:tcPr>
            <w:tcW w:w="80" w:type="dxa"/>
            <w:vAlign w:val="bottom"/>
          </w:tcPr>
          <w:p>
            <w:pPr>
              <w:spacing w:after="0"/>
              <w:rPr>
                <w:sz w:val="24"/>
                <w:szCs w:val="24"/>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160" w:type="dxa"/>
            <w:vAlign w:val="bottom"/>
            <w:gridSpan w:val="2"/>
            <w:vMerge w:val="continue"/>
          </w:tcPr>
          <w:p>
            <w:pPr>
              <w:spacing w:after="0"/>
              <w:rPr>
                <w:sz w:val="24"/>
                <w:szCs w:val="24"/>
                <w:color w:val="auto"/>
              </w:rPr>
            </w:pPr>
          </w:p>
        </w:tc>
        <w:tc>
          <w:tcPr>
            <w:tcW w:w="1980" w:type="dxa"/>
            <w:vAlign w:val="bottom"/>
            <w:gridSpan w:val="2"/>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160" w:type="dxa"/>
            <w:vAlign w:val="bottom"/>
          </w:tcPr>
          <w:p>
            <w:pPr>
              <w:spacing w:after="0"/>
              <w:rPr>
                <w:sz w:val="24"/>
                <w:szCs w:val="24"/>
                <w:color w:val="auto"/>
              </w:rPr>
            </w:pPr>
          </w:p>
        </w:tc>
        <w:tc>
          <w:tcPr>
            <w:tcW w:w="2000" w:type="dxa"/>
            <w:vAlign w:val="bottom"/>
            <w:vMerge w:val="restart"/>
          </w:tcPr>
          <w:p>
            <w:pPr>
              <w:ind w:left="94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4"/>
                <w:szCs w:val="24"/>
                <w:color w:val="auto"/>
              </w:rPr>
            </w:pP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4"/>
                <w:szCs w:val="24"/>
                <w:color w:val="auto"/>
              </w:rPr>
            </w:pPr>
          </w:p>
        </w:tc>
        <w:tc>
          <w:tcPr>
            <w:tcW w:w="22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60" w:type="dxa"/>
            <w:vAlign w:val="bottom"/>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6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2000" w:type="dxa"/>
            <w:vAlign w:val="bottom"/>
          </w:tcPr>
          <w:p>
            <w:pPr>
              <w:jc w:val="center"/>
              <w:ind w:right="286"/>
              <w:spacing w:after="0" w:line="221" w:lineRule="exact"/>
              <w:rPr>
                <w:sz w:val="20"/>
                <w:szCs w:val="20"/>
                <w:color w:val="auto"/>
              </w:rPr>
            </w:pPr>
            <w:r>
              <w:rPr>
                <w:rFonts w:ascii="Times New Roman" w:cs="Times New Roman" w:eastAsia="Times New Roman" w:hAnsi="Times New Roman"/>
                <w:sz w:val="20"/>
                <w:szCs w:val="20"/>
                <w:color w:val="auto"/>
              </w:rPr>
              <w:t>1,934,451</w:t>
            </w:r>
            <w:r>
              <w:rPr>
                <w:rFonts w:ascii="Times New Roman" w:cs="Times New Roman" w:eastAsia="Times New Roman" w:hAnsi="Times New Roman"/>
                <w:sz w:val="25"/>
                <w:szCs w:val="25"/>
                <w:color w:val="auto"/>
                <w:vertAlign w:val="superscript"/>
              </w:rPr>
              <w:t>(1)(2)</w:t>
            </w:r>
          </w:p>
        </w:tc>
        <w:tc>
          <w:tcPr>
            <w:tcW w:w="160" w:type="dxa"/>
            <w:vAlign w:val="bottom"/>
          </w:tcPr>
          <w:p>
            <w:pPr>
              <w:spacing w:after="0"/>
              <w:rPr>
                <w:sz w:val="19"/>
                <w:szCs w:val="19"/>
                <w:color w:val="auto"/>
              </w:rPr>
            </w:pPr>
          </w:p>
        </w:tc>
        <w:tc>
          <w:tcPr>
            <w:tcW w:w="182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color w:val="auto"/>
              </w:rPr>
              <w:t>$11.86</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19"/>
                <w:szCs w:val="19"/>
                <w:color w:val="auto"/>
              </w:rPr>
            </w:pPr>
          </w:p>
        </w:tc>
        <w:tc>
          <w:tcPr>
            <w:tcW w:w="228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color w:val="auto"/>
              </w:rPr>
              <w:t>811,144</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94"/>
        </w:trPr>
        <w:tc>
          <w:tcPr>
            <w:tcW w:w="2720" w:type="dxa"/>
            <w:vAlign w:val="bottom"/>
            <w:gridSpan w:val="2"/>
          </w:tcPr>
          <w:p>
            <w:pPr>
              <w:jc w:val="right"/>
              <w:ind w:right="210"/>
              <w:spacing w:after="0"/>
              <w:rPr>
                <w:sz w:val="20"/>
                <w:szCs w:val="20"/>
                <w:color w:val="auto"/>
              </w:rPr>
            </w:pPr>
            <w:r>
              <w:rPr>
                <w:rFonts w:ascii="Times New Roman" w:cs="Times New Roman" w:eastAsia="Times New Roman" w:hAnsi="Times New Roman"/>
                <w:sz w:val="22"/>
                <w:szCs w:val="22"/>
                <w:color w:val="auto"/>
                <w:w w:val="99"/>
              </w:rPr>
              <w:t>______________________</w:t>
            </w: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20" w:right="20" w:hanging="720"/>
        <w:spacing w:after="0" w:line="245"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includes 290,533 shares of NTIC common stock issuable upon the exercise of stock options outstanding as of August 31, 2025 under the Northern Technologies International Corporation Amended and Restated 2007 Stock Incentive Plan, 1,387,415 shares of NTIC common stock issuable upon the exercise of stock options outstanding as of August 31, 2025 under the Northern Technologies International Corporation Amended and Restated 2019 Stock Incentive Plan, and 245,190 shares of NTIC common stock issuable upon the exercise of stock options and 11,313 shares of NTIC common stock issuable upon the vesting and settlement of restricted stock units outstanding as of August 31, 2025 under the Northern Technologies International Corporation 2024 Stock Incentive Plan.</w:t>
      </w:r>
    </w:p>
    <w:p>
      <w:pPr>
        <w:spacing w:after="0" w:line="201" w:lineRule="exact"/>
        <w:rPr>
          <w:rFonts w:ascii="Times New Roman" w:cs="Times New Roman" w:eastAsia="Times New Roman" w:hAnsi="Times New Roman"/>
          <w:sz w:val="20"/>
          <w:szCs w:val="20"/>
          <w:color w:val="auto"/>
        </w:rPr>
      </w:pPr>
    </w:p>
    <w:p>
      <w:pPr>
        <w:ind w:left="720" w:hanging="720"/>
        <w:spacing w:after="0" w:line="247"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28th or 29th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00" w:lineRule="exact"/>
        <w:rPr>
          <w:rFonts w:ascii="Times New Roman" w:cs="Times New Roman" w:eastAsia="Times New Roman" w:hAnsi="Times New Roman"/>
          <w:sz w:val="20"/>
          <w:szCs w:val="20"/>
          <w:color w:val="auto"/>
        </w:rPr>
      </w:pPr>
    </w:p>
    <w:p>
      <w:pPr>
        <w:ind w:left="720" w:right="80" w:hanging="720"/>
        <w:spacing w:after="0" w:line="259"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included in the weighted-average exercise price calculation are 11,313 restricted stock units granted under the Northern Technologies International Corporation 2024 Stock Incentive Plan since such restricted stock units do not have an exercise price.</w:t>
      </w:r>
    </w:p>
    <w:p>
      <w:pPr>
        <w:spacing w:after="0" w:line="185" w:lineRule="exact"/>
        <w:rPr>
          <w:rFonts w:ascii="Times New Roman" w:cs="Times New Roman" w:eastAsia="Times New Roman" w:hAnsi="Times New Roman"/>
          <w:sz w:val="20"/>
          <w:szCs w:val="20"/>
          <w:color w:val="auto"/>
        </w:rPr>
      </w:pPr>
    </w:p>
    <w:p>
      <w:pPr>
        <w:ind w:left="720" w:right="240" w:hanging="720"/>
        <w:spacing w:after="0" w:line="252"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includes 763,273 shares available as of August 31, 2025 for future issuance under Northern Technologies International Corporation 2024 Stock Incentive Plan and 47,871 shares available at August 31, 2025 for future issuance under the Northern Technologies International Corporation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2240" w:h="15840" w:orient="portrait"/>
          <w:cols w:equalWidth="0" w:num="1">
            <w:col w:w="9360"/>
          </w:cols>
          <w:pgMar w:left="1440" w:top="1419" w:right="1440" w:bottom="178" w:gutter="0" w:footer="0" w:header="0"/>
        </w:sectPr>
      </w:pPr>
    </w:p>
    <w:bookmarkStart w:id="41" w:name="page42"/>
    <w:bookmarkEnd w:id="41"/>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CORPORATE GOVERNANCE</w:t>
      </w:r>
    </w:p>
    <w:p>
      <w:pPr>
        <w:spacing w:after="0" w:line="3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Governance Best Practices</w:t>
      </w:r>
    </w:p>
    <w:p>
      <w:pPr>
        <w:spacing w:after="0" w:line="243" w:lineRule="exact"/>
        <w:rPr>
          <w:sz w:val="20"/>
          <w:szCs w:val="20"/>
          <w:color w:val="auto"/>
        </w:rPr>
      </w:pPr>
    </w:p>
    <w:p>
      <w:pPr>
        <w:ind w:left="120" w:right="140" w:firstLine="720"/>
        <w:spacing w:after="0" w:line="278" w:lineRule="auto"/>
        <w:rPr>
          <w:sz w:val="20"/>
          <w:szCs w:val="20"/>
          <w:color w:val="auto"/>
        </w:rPr>
      </w:pPr>
      <w:r>
        <w:rPr>
          <w:rFonts w:ascii="Times New Roman" w:cs="Times New Roman" w:eastAsia="Times New Roman" w:hAnsi="Times New Roman"/>
          <w:sz w:val="22"/>
          <w:szCs w:val="22"/>
          <w:color w:val="auto"/>
        </w:rPr>
        <w:t>We maintain several corporate governance best practices, which are designed to promote actions that benefit our stockholders and create a framework for our decision-making.</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304"/>
        </w:trPr>
        <w:tc>
          <w:tcPr>
            <w:tcW w:w="41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Annual election of all directors</w:t>
            </w: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All directors are elected annually for a one-year term.</w:t>
            </w:r>
          </w:p>
        </w:tc>
      </w:tr>
      <w:tr>
        <w:trPr>
          <w:trHeight w:val="96"/>
        </w:trPr>
        <w:tc>
          <w:tcPr>
            <w:tcW w:w="4120" w:type="dxa"/>
            <w:vAlign w:val="bottom"/>
            <w:tcBorders>
              <w:bottom w:val="single" w:sz="8" w:color="808080"/>
            </w:tcBorders>
          </w:tcPr>
          <w:p>
            <w:pPr>
              <w:spacing w:after="0"/>
              <w:rPr>
                <w:sz w:val="8"/>
                <w:szCs w:val="8"/>
                <w:color w:val="auto"/>
              </w:rPr>
            </w:pPr>
          </w:p>
        </w:tc>
        <w:tc>
          <w:tcPr>
            <w:tcW w:w="5220" w:type="dxa"/>
            <w:vAlign w:val="bottom"/>
            <w:tcBorders>
              <w:bottom w:val="single" w:sz="8" w:color="808080"/>
            </w:tcBorders>
          </w:tcPr>
          <w:p>
            <w:pPr>
              <w:spacing w:after="0"/>
              <w:rPr>
                <w:sz w:val="8"/>
                <w:szCs w:val="8"/>
                <w:color w:val="auto"/>
              </w:rPr>
            </w:pPr>
          </w:p>
        </w:tc>
      </w:tr>
      <w:tr>
        <w:trPr>
          <w:trHeight w:val="220"/>
        </w:trPr>
        <w:tc>
          <w:tcPr>
            <w:tcW w:w="4120" w:type="dxa"/>
            <w:vAlign w:val="bottom"/>
          </w:tcPr>
          <w:p>
            <w:pPr>
              <w:ind w:left="100"/>
              <w:spacing w:after="0" w:line="220" w:lineRule="exact"/>
              <w:rPr>
                <w:sz w:val="20"/>
                <w:szCs w:val="20"/>
                <w:color w:val="auto"/>
              </w:rPr>
            </w:pPr>
            <w:r>
              <w:rPr>
                <w:rFonts w:ascii="Times New Roman" w:cs="Times New Roman" w:eastAsia="Times New Roman" w:hAnsi="Times New Roman"/>
                <w:sz w:val="22"/>
                <w:szCs w:val="22"/>
                <w:b w:val="1"/>
                <w:bCs w:val="1"/>
                <w:color w:val="auto"/>
              </w:rPr>
              <w:t>“Plurality plus” vote standard for</w:t>
            </w:r>
          </w:p>
        </w:tc>
        <w:tc>
          <w:tcPr>
            <w:tcW w:w="5220" w:type="dxa"/>
            <w:vAlign w:val="bottom"/>
          </w:tcPr>
          <w:p>
            <w:pPr>
              <w:ind w:left="120"/>
              <w:spacing w:after="0" w:line="220" w:lineRule="exact"/>
              <w:rPr>
                <w:sz w:val="20"/>
                <w:szCs w:val="20"/>
                <w:color w:val="auto"/>
              </w:rPr>
            </w:pPr>
            <w:r>
              <w:rPr>
                <w:rFonts w:ascii="Times New Roman" w:cs="Times New Roman" w:eastAsia="Times New Roman" w:hAnsi="Times New Roman"/>
                <w:sz w:val="21"/>
                <w:szCs w:val="21"/>
                <w:color w:val="auto"/>
              </w:rPr>
              <w:t>In an uncontested election, any director nominee who</w:t>
            </w:r>
          </w:p>
        </w:tc>
      </w:tr>
      <w:tr>
        <w:trPr>
          <w:trHeight w:val="241"/>
        </w:trPr>
        <w:tc>
          <w:tcPr>
            <w:tcW w:w="4120" w:type="dxa"/>
            <w:vAlign w:val="bottom"/>
          </w:tcPr>
          <w:p>
            <w:pPr>
              <w:ind w:left="100"/>
              <w:spacing w:after="0" w:line="241" w:lineRule="exact"/>
              <w:rPr>
                <w:sz w:val="20"/>
                <w:szCs w:val="20"/>
                <w:color w:val="auto"/>
              </w:rPr>
            </w:pPr>
            <w:r>
              <w:rPr>
                <w:rFonts w:ascii="Times New Roman" w:cs="Times New Roman" w:eastAsia="Times New Roman" w:hAnsi="Times New Roman"/>
                <w:sz w:val="22"/>
                <w:szCs w:val="22"/>
                <w:b w:val="1"/>
                <w:bCs w:val="1"/>
                <w:color w:val="auto"/>
              </w:rPr>
              <w:t>uncontested director elections, with a</w:t>
            </w: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receives a greater number of votes “withheld” from his or</w:t>
            </w:r>
          </w:p>
        </w:tc>
      </w:tr>
      <w:tr>
        <w:trPr>
          <w:trHeight w:val="249"/>
        </w:trPr>
        <w:tc>
          <w:tcPr>
            <w:tcW w:w="4120" w:type="dxa"/>
            <w:vAlign w:val="bottom"/>
          </w:tcPr>
          <w:p>
            <w:pPr>
              <w:ind w:left="100"/>
              <w:spacing w:after="0" w:line="249" w:lineRule="exact"/>
              <w:rPr>
                <w:sz w:val="20"/>
                <w:szCs w:val="20"/>
                <w:color w:val="auto"/>
              </w:rPr>
            </w:pPr>
            <w:r>
              <w:rPr>
                <w:rFonts w:ascii="Times New Roman" w:cs="Times New Roman" w:eastAsia="Times New Roman" w:hAnsi="Times New Roman"/>
                <w:sz w:val="22"/>
                <w:szCs w:val="22"/>
                <w:b w:val="1"/>
                <w:bCs w:val="1"/>
                <w:color w:val="auto"/>
              </w:rPr>
              <w:t>director resignation policy</w:t>
            </w: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her election than votes “for” is required to tender a written</w:t>
            </w:r>
          </w:p>
        </w:tc>
      </w:tr>
      <w:tr>
        <w:trPr>
          <w:trHeight w:val="281"/>
        </w:trPr>
        <w:tc>
          <w:tcPr>
            <w:tcW w:w="4120" w:type="dxa"/>
            <w:vAlign w:val="bottom"/>
          </w:tcPr>
          <w:p>
            <w:pPr>
              <w:spacing w:after="0"/>
              <w:rPr>
                <w:sz w:val="24"/>
                <w:szCs w:val="24"/>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offer to resign from the Board.</w:t>
            </w:r>
          </w:p>
        </w:tc>
      </w:tr>
      <w:tr>
        <w:trPr>
          <w:trHeight w:val="93"/>
        </w:trPr>
        <w:tc>
          <w:tcPr>
            <w:tcW w:w="4120" w:type="dxa"/>
            <w:vAlign w:val="bottom"/>
            <w:tcBorders>
              <w:bottom w:val="single" w:sz="8" w:color="808080"/>
            </w:tcBorders>
          </w:tcPr>
          <w:p>
            <w:pPr>
              <w:spacing w:after="0"/>
              <w:rPr>
                <w:sz w:val="8"/>
                <w:szCs w:val="8"/>
                <w:color w:val="auto"/>
              </w:rPr>
            </w:pPr>
          </w:p>
        </w:tc>
        <w:tc>
          <w:tcPr>
            <w:tcW w:w="5220" w:type="dxa"/>
            <w:vAlign w:val="bottom"/>
            <w:tcBorders>
              <w:bottom w:val="single" w:sz="8" w:color="808080"/>
            </w:tcBorders>
          </w:tcPr>
          <w:p>
            <w:pPr>
              <w:spacing w:after="0"/>
              <w:rPr>
                <w:sz w:val="8"/>
                <w:szCs w:val="8"/>
                <w:color w:val="auto"/>
              </w:rPr>
            </w:pPr>
          </w:p>
        </w:tc>
      </w:tr>
      <w:tr>
        <w:trPr>
          <w:trHeight w:val="303"/>
        </w:trPr>
        <w:tc>
          <w:tcPr>
            <w:tcW w:w="41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75% of our directors are independent</w:t>
            </w: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Six of the eight directors on our Board are independent.</w:t>
            </w:r>
          </w:p>
        </w:tc>
      </w:tr>
      <w:tr>
        <w:trPr>
          <w:trHeight w:val="71"/>
        </w:trPr>
        <w:tc>
          <w:tcPr>
            <w:tcW w:w="4120" w:type="dxa"/>
            <w:vAlign w:val="bottom"/>
            <w:tcBorders>
              <w:bottom w:val="single" w:sz="8" w:color="808080"/>
            </w:tcBorders>
          </w:tcPr>
          <w:p>
            <w:pPr>
              <w:spacing w:after="0"/>
              <w:rPr>
                <w:sz w:val="6"/>
                <w:szCs w:val="6"/>
                <w:color w:val="auto"/>
              </w:rPr>
            </w:pPr>
          </w:p>
        </w:tc>
        <w:tc>
          <w:tcPr>
            <w:tcW w:w="5220" w:type="dxa"/>
            <w:vAlign w:val="bottom"/>
            <w:tcBorders>
              <w:bottom w:val="single" w:sz="8" w:color="808080"/>
            </w:tcBorders>
          </w:tcPr>
          <w:p>
            <w:pPr>
              <w:spacing w:after="0"/>
              <w:rPr>
                <w:sz w:val="6"/>
                <w:szCs w:val="6"/>
                <w:color w:val="auto"/>
              </w:rPr>
            </w:pPr>
          </w:p>
        </w:tc>
      </w:tr>
      <w:tr>
        <w:trPr>
          <w:trHeight w:val="220"/>
        </w:trPr>
        <w:tc>
          <w:tcPr>
            <w:tcW w:w="4120" w:type="dxa"/>
            <w:vAlign w:val="bottom"/>
          </w:tcPr>
          <w:p>
            <w:pPr>
              <w:ind w:left="100"/>
              <w:spacing w:after="0" w:line="220" w:lineRule="exact"/>
              <w:rPr>
                <w:sz w:val="20"/>
                <w:szCs w:val="20"/>
                <w:color w:val="auto"/>
              </w:rPr>
            </w:pPr>
            <w:r>
              <w:rPr>
                <w:rFonts w:ascii="Times New Roman" w:cs="Times New Roman" w:eastAsia="Times New Roman" w:hAnsi="Times New Roman"/>
                <w:sz w:val="22"/>
                <w:szCs w:val="22"/>
                <w:b w:val="1"/>
                <w:bCs w:val="1"/>
                <w:color w:val="auto"/>
              </w:rPr>
              <w:t>Annual Board and committee evaluations</w:t>
            </w:r>
          </w:p>
        </w:tc>
        <w:tc>
          <w:tcPr>
            <w:tcW w:w="5220" w:type="dxa"/>
            <w:vAlign w:val="bottom"/>
          </w:tcPr>
          <w:p>
            <w:pPr>
              <w:ind w:left="120"/>
              <w:spacing w:after="0" w:line="220" w:lineRule="exact"/>
              <w:rPr>
                <w:sz w:val="20"/>
                <w:szCs w:val="20"/>
                <w:color w:val="auto"/>
              </w:rPr>
            </w:pPr>
            <w:r>
              <w:rPr>
                <w:rFonts w:ascii="Times New Roman" w:cs="Times New Roman" w:eastAsia="Times New Roman" w:hAnsi="Times New Roman"/>
                <w:sz w:val="21"/>
                <w:szCs w:val="21"/>
                <w:color w:val="auto"/>
              </w:rPr>
              <w:t>It is our practice to conduct annual Board and committees</w:t>
            </w:r>
          </w:p>
        </w:tc>
      </w:tr>
      <w:tr>
        <w:trPr>
          <w:trHeight w:val="281"/>
        </w:trPr>
        <w:tc>
          <w:tcPr>
            <w:tcW w:w="4120" w:type="dxa"/>
            <w:vAlign w:val="bottom"/>
          </w:tcPr>
          <w:p>
            <w:pPr>
              <w:spacing w:after="0"/>
              <w:rPr>
                <w:sz w:val="24"/>
                <w:szCs w:val="24"/>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performance self-evaluations.</w:t>
            </w:r>
          </w:p>
        </w:tc>
      </w:tr>
      <w:tr>
        <w:trPr>
          <w:trHeight w:val="102"/>
        </w:trPr>
        <w:tc>
          <w:tcPr>
            <w:tcW w:w="4120" w:type="dxa"/>
            <w:vAlign w:val="bottom"/>
            <w:tcBorders>
              <w:bottom w:val="single" w:sz="8" w:color="808080"/>
            </w:tcBorders>
          </w:tcPr>
          <w:p>
            <w:pPr>
              <w:spacing w:after="0"/>
              <w:rPr>
                <w:sz w:val="8"/>
                <w:szCs w:val="8"/>
                <w:color w:val="auto"/>
              </w:rPr>
            </w:pPr>
          </w:p>
        </w:tc>
        <w:tc>
          <w:tcPr>
            <w:tcW w:w="5220" w:type="dxa"/>
            <w:vAlign w:val="bottom"/>
            <w:tcBorders>
              <w:bottom w:val="single" w:sz="8" w:color="808080"/>
            </w:tcBorders>
          </w:tcPr>
          <w:p>
            <w:pPr>
              <w:spacing w:after="0"/>
              <w:rPr>
                <w:sz w:val="8"/>
                <w:szCs w:val="8"/>
                <w:color w:val="auto"/>
              </w:rPr>
            </w:pPr>
          </w:p>
        </w:tc>
      </w:tr>
      <w:tr>
        <w:trPr>
          <w:trHeight w:val="220"/>
        </w:trPr>
        <w:tc>
          <w:tcPr>
            <w:tcW w:w="4120" w:type="dxa"/>
            <w:vAlign w:val="bottom"/>
          </w:tcPr>
          <w:p>
            <w:pPr>
              <w:ind w:left="100"/>
              <w:spacing w:after="0" w:line="220" w:lineRule="exact"/>
              <w:rPr>
                <w:sz w:val="20"/>
                <w:szCs w:val="20"/>
                <w:color w:val="auto"/>
              </w:rPr>
            </w:pPr>
            <w:r>
              <w:rPr>
                <w:rFonts w:ascii="Times New Roman" w:cs="Times New Roman" w:eastAsia="Times New Roman" w:hAnsi="Times New Roman"/>
                <w:sz w:val="22"/>
                <w:szCs w:val="22"/>
                <w:b w:val="1"/>
                <w:bCs w:val="1"/>
                <w:color w:val="auto"/>
              </w:rPr>
              <w:t>No poison pill</w:t>
            </w:r>
          </w:p>
        </w:tc>
        <w:tc>
          <w:tcPr>
            <w:tcW w:w="5220" w:type="dxa"/>
            <w:vAlign w:val="bottom"/>
          </w:tcPr>
          <w:p>
            <w:pPr>
              <w:ind w:left="120"/>
              <w:spacing w:after="0" w:line="220" w:lineRule="exact"/>
              <w:rPr>
                <w:sz w:val="20"/>
                <w:szCs w:val="20"/>
                <w:color w:val="auto"/>
              </w:rPr>
            </w:pPr>
            <w:r>
              <w:rPr>
                <w:rFonts w:ascii="Times New Roman" w:cs="Times New Roman" w:eastAsia="Times New Roman" w:hAnsi="Times New Roman"/>
                <w:sz w:val="21"/>
                <w:szCs w:val="21"/>
                <w:color w:val="auto"/>
              </w:rPr>
              <w:t>We believe that not having a poison pill benefits our</w:t>
            </w:r>
          </w:p>
        </w:tc>
      </w:tr>
      <w:tr>
        <w:trPr>
          <w:trHeight w:val="241"/>
        </w:trPr>
        <w:tc>
          <w:tcPr>
            <w:tcW w:w="412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stockholders by not discouraging takeover attempts that</w:t>
            </w:r>
          </w:p>
        </w:tc>
      </w:tr>
      <w:tr>
        <w:trPr>
          <w:trHeight w:val="281"/>
        </w:trPr>
        <w:tc>
          <w:tcPr>
            <w:tcW w:w="4120" w:type="dxa"/>
            <w:vAlign w:val="bottom"/>
          </w:tcPr>
          <w:p>
            <w:pPr>
              <w:spacing w:after="0"/>
              <w:rPr>
                <w:sz w:val="24"/>
                <w:szCs w:val="24"/>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may increase value for our stockholders.</w:t>
            </w:r>
          </w:p>
        </w:tc>
      </w:tr>
      <w:tr>
        <w:trPr>
          <w:trHeight w:val="102"/>
        </w:trPr>
        <w:tc>
          <w:tcPr>
            <w:tcW w:w="4120" w:type="dxa"/>
            <w:vAlign w:val="bottom"/>
            <w:tcBorders>
              <w:bottom w:val="single" w:sz="8" w:color="808080"/>
            </w:tcBorders>
          </w:tcPr>
          <w:p>
            <w:pPr>
              <w:spacing w:after="0"/>
              <w:rPr>
                <w:sz w:val="8"/>
                <w:szCs w:val="8"/>
                <w:color w:val="auto"/>
              </w:rPr>
            </w:pPr>
          </w:p>
        </w:tc>
        <w:tc>
          <w:tcPr>
            <w:tcW w:w="5220" w:type="dxa"/>
            <w:vAlign w:val="bottom"/>
            <w:tcBorders>
              <w:bottom w:val="single" w:sz="8" w:color="808080"/>
            </w:tcBorders>
          </w:tcPr>
          <w:p>
            <w:pPr>
              <w:spacing w:after="0"/>
              <w:rPr>
                <w:sz w:val="8"/>
                <w:szCs w:val="8"/>
                <w:color w:val="auto"/>
              </w:rPr>
            </w:pPr>
          </w:p>
        </w:tc>
      </w:tr>
      <w:tr>
        <w:trPr>
          <w:trHeight w:val="220"/>
        </w:trPr>
        <w:tc>
          <w:tcPr>
            <w:tcW w:w="4120" w:type="dxa"/>
            <w:vAlign w:val="bottom"/>
          </w:tcPr>
          <w:p>
            <w:pPr>
              <w:ind w:left="100"/>
              <w:spacing w:after="0" w:line="220" w:lineRule="exact"/>
              <w:rPr>
                <w:sz w:val="20"/>
                <w:szCs w:val="20"/>
                <w:color w:val="auto"/>
              </w:rPr>
            </w:pPr>
            <w:r>
              <w:rPr>
                <w:rFonts w:ascii="Times New Roman" w:cs="Times New Roman" w:eastAsia="Times New Roman" w:hAnsi="Times New Roman"/>
                <w:sz w:val="22"/>
                <w:szCs w:val="22"/>
                <w:b w:val="1"/>
                <w:bCs w:val="1"/>
                <w:color w:val="auto"/>
              </w:rPr>
              <w:t>Board oversight of ESG initiatives</w:t>
            </w:r>
          </w:p>
        </w:tc>
        <w:tc>
          <w:tcPr>
            <w:tcW w:w="5220" w:type="dxa"/>
            <w:vAlign w:val="bottom"/>
          </w:tcPr>
          <w:p>
            <w:pPr>
              <w:ind w:left="120"/>
              <w:spacing w:after="0" w:line="220" w:lineRule="exact"/>
              <w:rPr>
                <w:sz w:val="20"/>
                <w:szCs w:val="20"/>
                <w:color w:val="auto"/>
              </w:rPr>
            </w:pPr>
            <w:r>
              <w:rPr>
                <w:rFonts w:ascii="Times New Roman" w:cs="Times New Roman" w:eastAsia="Times New Roman" w:hAnsi="Times New Roman"/>
                <w:sz w:val="21"/>
                <w:szCs w:val="21"/>
                <w:color w:val="auto"/>
              </w:rPr>
              <w:t>The Nominating and Corporate Governance Committee</w:t>
            </w:r>
          </w:p>
        </w:tc>
      </w:tr>
      <w:tr>
        <w:trPr>
          <w:trHeight w:val="242"/>
        </w:trPr>
        <w:tc>
          <w:tcPr>
            <w:tcW w:w="4120" w:type="dxa"/>
            <w:vAlign w:val="bottom"/>
          </w:tcPr>
          <w:p>
            <w:pPr>
              <w:spacing w:after="0"/>
              <w:rPr>
                <w:sz w:val="21"/>
                <w:szCs w:val="21"/>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has oversight authority over our ESG initiatives and</w:t>
            </w:r>
          </w:p>
        </w:tc>
      </w:tr>
      <w:tr>
        <w:trPr>
          <w:trHeight w:val="281"/>
        </w:trPr>
        <w:tc>
          <w:tcPr>
            <w:tcW w:w="4120" w:type="dxa"/>
            <w:vAlign w:val="bottom"/>
          </w:tcPr>
          <w:p>
            <w:pPr>
              <w:spacing w:after="0"/>
              <w:rPr>
                <w:sz w:val="24"/>
                <w:szCs w:val="24"/>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coordinates with our other Board committees.</w:t>
            </w:r>
          </w:p>
        </w:tc>
      </w:tr>
      <w:tr>
        <w:trPr>
          <w:trHeight w:val="102"/>
        </w:trPr>
        <w:tc>
          <w:tcPr>
            <w:tcW w:w="4120" w:type="dxa"/>
            <w:vAlign w:val="bottom"/>
            <w:tcBorders>
              <w:bottom w:val="single" w:sz="8" w:color="808080"/>
            </w:tcBorders>
          </w:tcPr>
          <w:p>
            <w:pPr>
              <w:spacing w:after="0"/>
              <w:rPr>
                <w:sz w:val="8"/>
                <w:szCs w:val="8"/>
                <w:color w:val="auto"/>
              </w:rPr>
            </w:pPr>
          </w:p>
        </w:tc>
        <w:tc>
          <w:tcPr>
            <w:tcW w:w="5220" w:type="dxa"/>
            <w:vAlign w:val="bottom"/>
            <w:tcBorders>
              <w:bottom w:val="single" w:sz="8" w:color="808080"/>
            </w:tcBorders>
          </w:tcPr>
          <w:p>
            <w:pPr>
              <w:spacing w:after="0"/>
              <w:rPr>
                <w:sz w:val="8"/>
                <w:szCs w:val="8"/>
                <w:color w:val="auto"/>
              </w:rPr>
            </w:pPr>
          </w:p>
        </w:tc>
      </w:tr>
      <w:tr>
        <w:trPr>
          <w:trHeight w:val="220"/>
        </w:trPr>
        <w:tc>
          <w:tcPr>
            <w:tcW w:w="4120" w:type="dxa"/>
            <w:vAlign w:val="bottom"/>
          </w:tcPr>
          <w:p>
            <w:pPr>
              <w:ind w:left="100"/>
              <w:spacing w:after="0" w:line="220" w:lineRule="exact"/>
              <w:rPr>
                <w:sz w:val="20"/>
                <w:szCs w:val="20"/>
                <w:color w:val="auto"/>
              </w:rPr>
            </w:pPr>
            <w:r>
              <w:rPr>
                <w:rFonts w:ascii="Times New Roman" w:cs="Times New Roman" w:eastAsia="Times New Roman" w:hAnsi="Times New Roman"/>
                <w:sz w:val="22"/>
                <w:szCs w:val="22"/>
                <w:b w:val="1"/>
                <w:bCs w:val="1"/>
                <w:color w:val="auto"/>
              </w:rPr>
              <w:t>Robust stockholder outreach program</w:t>
            </w:r>
          </w:p>
        </w:tc>
        <w:tc>
          <w:tcPr>
            <w:tcW w:w="5220" w:type="dxa"/>
            <w:vAlign w:val="bottom"/>
          </w:tcPr>
          <w:p>
            <w:pPr>
              <w:ind w:left="120"/>
              <w:spacing w:after="0" w:line="220" w:lineRule="exact"/>
              <w:rPr>
                <w:sz w:val="20"/>
                <w:szCs w:val="20"/>
                <w:color w:val="auto"/>
              </w:rPr>
            </w:pPr>
            <w:r>
              <w:rPr>
                <w:rFonts w:ascii="Times New Roman" w:cs="Times New Roman" w:eastAsia="Times New Roman" w:hAnsi="Times New Roman"/>
                <w:sz w:val="21"/>
                <w:szCs w:val="21"/>
                <w:color w:val="auto"/>
              </w:rPr>
              <w:t>Each year, our executives hold meetings to seek</w:t>
            </w:r>
          </w:p>
        </w:tc>
      </w:tr>
      <w:tr>
        <w:trPr>
          <w:trHeight w:val="241"/>
        </w:trPr>
        <w:tc>
          <w:tcPr>
            <w:tcW w:w="412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stockholder input and strive to take actions that reflect the</w:t>
            </w:r>
          </w:p>
        </w:tc>
      </w:tr>
      <w:tr>
        <w:trPr>
          <w:trHeight w:val="281"/>
        </w:trPr>
        <w:tc>
          <w:tcPr>
            <w:tcW w:w="4120" w:type="dxa"/>
            <w:vAlign w:val="bottom"/>
          </w:tcPr>
          <w:p>
            <w:pPr>
              <w:spacing w:after="0"/>
              <w:rPr>
                <w:sz w:val="24"/>
                <w:szCs w:val="24"/>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input received.</w:t>
            </w:r>
          </w:p>
        </w:tc>
      </w:tr>
      <w:tr>
        <w:trPr>
          <w:trHeight w:val="101"/>
        </w:trPr>
        <w:tc>
          <w:tcPr>
            <w:tcW w:w="4120" w:type="dxa"/>
            <w:vAlign w:val="bottom"/>
            <w:tcBorders>
              <w:bottom w:val="single" w:sz="8" w:color="808080"/>
            </w:tcBorders>
          </w:tcPr>
          <w:p>
            <w:pPr>
              <w:spacing w:after="0"/>
              <w:rPr>
                <w:sz w:val="8"/>
                <w:szCs w:val="8"/>
                <w:color w:val="auto"/>
              </w:rPr>
            </w:pPr>
          </w:p>
        </w:tc>
        <w:tc>
          <w:tcPr>
            <w:tcW w:w="5220" w:type="dxa"/>
            <w:vAlign w:val="bottom"/>
            <w:tcBorders>
              <w:bottom w:val="single" w:sz="8" w:color="808080"/>
            </w:tcBorders>
          </w:tcPr>
          <w:p>
            <w:pPr>
              <w:spacing w:after="0"/>
              <w:rPr>
                <w:sz w:val="8"/>
                <w:szCs w:val="8"/>
                <w:color w:val="auto"/>
              </w:rPr>
            </w:pPr>
          </w:p>
        </w:tc>
      </w:tr>
      <w:tr>
        <w:trPr>
          <w:trHeight w:val="220"/>
        </w:trPr>
        <w:tc>
          <w:tcPr>
            <w:tcW w:w="4120" w:type="dxa"/>
            <w:vAlign w:val="bottom"/>
          </w:tcPr>
          <w:p>
            <w:pPr>
              <w:ind w:left="100"/>
              <w:spacing w:after="0" w:line="220" w:lineRule="exact"/>
              <w:rPr>
                <w:sz w:val="20"/>
                <w:szCs w:val="20"/>
                <w:color w:val="auto"/>
              </w:rPr>
            </w:pPr>
            <w:r>
              <w:rPr>
                <w:rFonts w:ascii="Times New Roman" w:cs="Times New Roman" w:eastAsia="Times New Roman" w:hAnsi="Times New Roman"/>
                <w:sz w:val="22"/>
                <w:szCs w:val="22"/>
                <w:b w:val="1"/>
                <w:bCs w:val="1"/>
                <w:color w:val="auto"/>
              </w:rPr>
              <w:t>Annual say-on-pay vote</w:t>
            </w:r>
          </w:p>
        </w:tc>
        <w:tc>
          <w:tcPr>
            <w:tcW w:w="5220" w:type="dxa"/>
            <w:vAlign w:val="bottom"/>
          </w:tcPr>
          <w:p>
            <w:pPr>
              <w:ind w:left="120"/>
              <w:spacing w:after="0" w:line="220" w:lineRule="exact"/>
              <w:rPr>
                <w:sz w:val="20"/>
                <w:szCs w:val="20"/>
                <w:color w:val="auto"/>
              </w:rPr>
            </w:pPr>
            <w:r>
              <w:rPr>
                <w:rFonts w:ascii="Times New Roman" w:cs="Times New Roman" w:eastAsia="Times New Roman" w:hAnsi="Times New Roman"/>
                <w:sz w:val="21"/>
                <w:szCs w:val="21"/>
                <w:color w:val="auto"/>
              </w:rPr>
              <w:t>Our Board recommended, and our stockholders voted in</w:t>
            </w:r>
          </w:p>
        </w:tc>
      </w:tr>
      <w:tr>
        <w:trPr>
          <w:trHeight w:val="241"/>
        </w:trPr>
        <w:tc>
          <w:tcPr>
            <w:tcW w:w="412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favor of, an annual advisory stockholder vote on executive</w:t>
            </w:r>
          </w:p>
        </w:tc>
      </w:tr>
      <w:tr>
        <w:trPr>
          <w:trHeight w:val="281"/>
        </w:trPr>
        <w:tc>
          <w:tcPr>
            <w:tcW w:w="4120" w:type="dxa"/>
            <w:vAlign w:val="bottom"/>
          </w:tcPr>
          <w:p>
            <w:pPr>
              <w:spacing w:after="0"/>
              <w:rPr>
                <w:sz w:val="24"/>
                <w:szCs w:val="24"/>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compensation.</w:t>
            </w:r>
          </w:p>
        </w:tc>
      </w:tr>
    </w:tbl>
    <w:p>
      <w:pPr>
        <w:spacing w:after="0" w:line="95" w:lineRule="exact"/>
        <w:rPr>
          <w:sz w:val="20"/>
          <w:szCs w:val="20"/>
          <w:color w:val="auto"/>
        </w:rPr>
      </w:pPr>
    </w:p>
    <w:p>
      <w:pPr>
        <w:sectPr>
          <w:pgSz w:w="12240" w:h="15840" w:orient="portrait"/>
          <w:cols w:equalWidth="0" w:num="1">
            <w:col w:w="9480"/>
          </w:cols>
          <w:pgMar w:left="1320" w:top="1413" w:right="1440" w:bottom="178" w:gutter="0" w:footer="0" w:header="0"/>
        </w:sectPr>
      </w:pPr>
    </w:p>
    <w:p>
      <w:pPr>
        <w:ind w:left="120"/>
        <w:spacing w:after="0" w:line="288" w:lineRule="auto"/>
        <w:rPr>
          <w:sz w:val="20"/>
          <w:szCs w:val="20"/>
          <w:color w:val="auto"/>
        </w:rPr>
      </w:pPr>
      <w:r>
        <w:rPr>
          <w:rFonts w:ascii="Times New Roman" w:cs="Times New Roman" w:eastAsia="Times New Roman" w:hAnsi="Times New Roman"/>
          <w:sz w:val="22"/>
          <w:szCs w:val="22"/>
          <w:b w:val="1"/>
          <w:bCs w:val="1"/>
          <w:color w:val="auto"/>
        </w:rPr>
        <w:t>Officer and director stock ownership requirements</w:t>
      </w:r>
    </w:p>
    <w:p>
      <w:pPr>
        <w:spacing w:after="0" w:line="20" w:lineRule="exact"/>
        <w:rPr>
          <w:sz w:val="20"/>
          <w:szCs w:val="20"/>
          <w:color w:val="auto"/>
        </w:rPr>
      </w:pPr>
      <w:r>
        <w:rPr>
          <w:sz w:val="20"/>
          <w:szCs w:val="20"/>
          <w:color w:val="auto"/>
        </w:rPr>
        <w:br w:type="column"/>
      </w:r>
    </w:p>
    <w:p>
      <w:pPr>
        <w:ind w:right="360"/>
        <w:spacing w:after="0" w:line="259" w:lineRule="auto"/>
        <w:rPr>
          <w:sz w:val="20"/>
          <w:szCs w:val="20"/>
          <w:color w:val="auto"/>
        </w:rPr>
      </w:pPr>
      <w:r>
        <w:rPr>
          <w:rFonts w:ascii="Times New Roman" w:cs="Times New Roman" w:eastAsia="Times New Roman" w:hAnsi="Times New Roman"/>
          <w:sz w:val="21"/>
          <w:szCs w:val="21"/>
          <w:color w:val="auto"/>
        </w:rPr>
        <w:t>We have stock ownership guidelines for our directors and officers that require maintenance of a specified level of ownership based on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-2697480</wp:posOffset>
                </wp:positionH>
                <wp:positionV relativeFrom="paragraph">
                  <wp:posOffset>-488315</wp:posOffset>
                </wp:positionV>
                <wp:extent cx="593725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0" cy="4763"/>
                        </a:xfrm>
                        <a:prstGeom prst="line">
                          <a:avLst/>
                        </a:prstGeom>
                        <a:solidFill>
                          <a:srgbClr val="FFFFFF"/>
                        </a:solidFill>
                        <a:ln w="12191">
                          <a:solidFill>
                            <a:srgbClr val="80808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3999pt,-38.4499pt" to="255.1pt,-38.4499pt" o:allowincell="f" strokecolor="#808080" strokeweight="0.9599pt"/>
            </w:pict>
          </mc:Fallback>
        </mc:AlternateContent>
      </w:r>
    </w:p>
    <w:p>
      <w:pPr>
        <w:spacing w:after="0" w:line="65" w:lineRule="exact"/>
        <w:rPr>
          <w:sz w:val="20"/>
          <w:szCs w:val="20"/>
          <w:color w:val="auto"/>
        </w:rPr>
      </w:pPr>
    </w:p>
    <w:p>
      <w:pPr>
        <w:sectPr>
          <w:pgSz w:w="12240" w:h="15840" w:orient="portrait"/>
          <w:cols w:equalWidth="0" w:num="2">
            <w:col w:w="3600" w:space="660"/>
            <w:col w:w="5220"/>
          </w:cols>
          <w:pgMar w:left="1320" w:top="1413" w:right="1440" w:bottom="178"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3800" w:type="dxa"/>
            <w:vAlign w:val="bottom"/>
            <w:tcBorders>
              <w:top w:val="single" w:sz="8" w:color="808080"/>
            </w:tcBorders>
          </w:tcPr>
          <w:p>
            <w:pPr>
              <w:ind w:left="100"/>
              <w:spacing w:after="0" w:line="240" w:lineRule="exact"/>
              <w:rPr>
                <w:sz w:val="20"/>
                <w:szCs w:val="20"/>
                <w:color w:val="auto"/>
              </w:rPr>
            </w:pPr>
            <w:r>
              <w:rPr>
                <w:rFonts w:ascii="Times New Roman" w:cs="Times New Roman" w:eastAsia="Times New Roman" w:hAnsi="Times New Roman"/>
                <w:sz w:val="22"/>
                <w:szCs w:val="22"/>
                <w:b w:val="1"/>
                <w:bCs w:val="1"/>
                <w:color w:val="auto"/>
              </w:rPr>
              <w:t>Hedging and pledging prohibitions</w:t>
            </w:r>
          </w:p>
        </w:tc>
        <w:tc>
          <w:tcPr>
            <w:tcW w:w="5540" w:type="dxa"/>
            <w:vAlign w:val="bottom"/>
            <w:tcBorders>
              <w:top w:val="single" w:sz="8" w:color="808080"/>
            </w:tcBorders>
          </w:tcPr>
          <w:p>
            <w:pPr>
              <w:ind w:left="440"/>
              <w:spacing w:after="0" w:line="240" w:lineRule="exact"/>
              <w:rPr>
                <w:sz w:val="20"/>
                <w:szCs w:val="20"/>
                <w:color w:val="auto"/>
              </w:rPr>
            </w:pPr>
            <w:r>
              <w:rPr>
                <w:rFonts w:ascii="Times New Roman" w:cs="Times New Roman" w:eastAsia="Times New Roman" w:hAnsi="Times New Roman"/>
                <w:sz w:val="21"/>
                <w:szCs w:val="21"/>
                <w:color w:val="auto"/>
              </w:rPr>
              <w:t>We prohibit our executives from engaging in any hedging</w:t>
            </w:r>
          </w:p>
        </w:tc>
      </w:t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5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transactions, short sales, transactions in publicly traded</w:t>
            </w:r>
          </w:p>
        </w:tc>
      </w:t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5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options, such as puts, calls and other derivatives, short-</w:t>
            </w:r>
          </w:p>
        </w:tc>
      </w:tr>
      <w:tr>
        <w:trPr>
          <w:trHeight w:val="281"/>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5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term trading and pledging our securities.</w:t>
            </w:r>
          </w:p>
        </w:tc>
      </w:tr>
      <w:tr>
        <w:trPr>
          <w:trHeight w:val="103"/>
        </w:trPr>
        <w:tc>
          <w:tcPr>
            <w:tcW w:w="20" w:type="dxa"/>
            <w:vAlign w:val="bottom"/>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5540" w:type="dxa"/>
            <w:vAlign w:val="bottom"/>
            <w:tcBorders>
              <w:bottom w:val="single" w:sz="8" w:color="808080"/>
            </w:tcBorders>
          </w:tcPr>
          <w:p>
            <w:pPr>
              <w:spacing w:after="0"/>
              <w:rPr>
                <w:sz w:val="8"/>
                <w:szCs w:val="8"/>
                <w:color w:val="auto"/>
              </w:rPr>
            </w:pPr>
          </w:p>
        </w:tc>
      </w:tr>
      <w:tr>
        <w:trPr>
          <w:trHeight w:val="219"/>
        </w:trPr>
        <w:tc>
          <w:tcPr>
            <w:tcW w:w="20" w:type="dxa"/>
            <w:vAlign w:val="bottom"/>
          </w:tcPr>
          <w:p>
            <w:pPr>
              <w:spacing w:after="0"/>
              <w:rPr>
                <w:sz w:val="19"/>
                <w:szCs w:val="19"/>
                <w:color w:val="auto"/>
              </w:rPr>
            </w:pPr>
          </w:p>
        </w:tc>
        <w:tc>
          <w:tcPr>
            <w:tcW w:w="3800" w:type="dxa"/>
            <w:vAlign w:val="bottom"/>
          </w:tcPr>
          <w:p>
            <w:pPr>
              <w:ind w:left="100"/>
              <w:spacing w:after="0" w:line="219" w:lineRule="exact"/>
              <w:rPr>
                <w:sz w:val="20"/>
                <w:szCs w:val="20"/>
                <w:color w:val="auto"/>
              </w:rPr>
            </w:pPr>
            <w:r>
              <w:rPr>
                <w:rFonts w:ascii="Times New Roman" w:cs="Times New Roman" w:eastAsia="Times New Roman" w:hAnsi="Times New Roman"/>
                <w:sz w:val="22"/>
                <w:szCs w:val="22"/>
                <w:b w:val="1"/>
                <w:bCs w:val="1"/>
                <w:color w:val="auto"/>
              </w:rPr>
              <w:t>Robust clawback policy</w:t>
            </w:r>
          </w:p>
        </w:tc>
        <w:tc>
          <w:tcPr>
            <w:tcW w:w="5540" w:type="dxa"/>
            <w:vAlign w:val="bottom"/>
          </w:tcPr>
          <w:p>
            <w:pPr>
              <w:ind w:left="440"/>
              <w:spacing w:after="0" w:line="219" w:lineRule="exact"/>
              <w:rPr>
                <w:sz w:val="20"/>
                <w:szCs w:val="20"/>
                <w:color w:val="auto"/>
              </w:rPr>
            </w:pPr>
            <w:r>
              <w:rPr>
                <w:rFonts w:ascii="Times New Roman" w:cs="Times New Roman" w:eastAsia="Times New Roman" w:hAnsi="Times New Roman"/>
                <w:sz w:val="21"/>
                <w:szCs w:val="21"/>
                <w:color w:val="auto"/>
              </w:rPr>
              <w:t>We maintain a robust, Nasdaq-compliant clawback policy</w:t>
            </w:r>
          </w:p>
        </w:tc>
      </w:tr>
      <w:tr>
        <w:trPr>
          <w:trHeight w:val="242"/>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55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which applies not only to financial restatements, but also if</w:t>
            </w:r>
          </w:p>
        </w:tc>
      </w:t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5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a financial metric used to determine the vesting or payment</w:t>
            </w:r>
          </w:p>
        </w:tc>
      </w:t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5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of compensation was calculated incorrectly or if an</w:t>
            </w:r>
          </w:p>
        </w:tc>
      </w:t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5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executive engages in egregious conduct that is</w:t>
            </w:r>
          </w:p>
        </w:tc>
      </w:tr>
      <w:tr>
        <w:trPr>
          <w:trHeight w:val="281"/>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5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substantially detrimental to NTIC.</w:t>
            </w:r>
          </w:p>
        </w:tc>
      </w:tr>
      <w:tr>
        <w:trPr>
          <w:trHeight w:val="103"/>
        </w:trPr>
        <w:tc>
          <w:tcPr>
            <w:tcW w:w="20" w:type="dxa"/>
            <w:vAlign w:val="bottom"/>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5540" w:type="dxa"/>
            <w:vAlign w:val="bottom"/>
            <w:tcBorders>
              <w:bottom w:val="single" w:sz="8" w:color="808080"/>
            </w:tcBorders>
          </w:tcPr>
          <w:p>
            <w:pPr>
              <w:spacing w:after="0"/>
              <w:rPr>
                <w:sz w:val="8"/>
                <w:szCs w:val="8"/>
                <w:color w:val="auto"/>
              </w:rPr>
            </w:pPr>
          </w:p>
        </w:tc>
      </w:tr>
      <w:tr>
        <w:trPr>
          <w:trHeight w:val="219"/>
        </w:trPr>
        <w:tc>
          <w:tcPr>
            <w:tcW w:w="20" w:type="dxa"/>
            <w:vAlign w:val="bottom"/>
          </w:tcPr>
          <w:p>
            <w:pPr>
              <w:spacing w:after="0"/>
              <w:rPr>
                <w:sz w:val="19"/>
                <w:szCs w:val="19"/>
                <w:color w:val="auto"/>
              </w:rPr>
            </w:pPr>
          </w:p>
        </w:tc>
        <w:tc>
          <w:tcPr>
            <w:tcW w:w="3800" w:type="dxa"/>
            <w:vAlign w:val="bottom"/>
          </w:tcPr>
          <w:p>
            <w:pPr>
              <w:ind w:left="100"/>
              <w:spacing w:after="0" w:line="219" w:lineRule="exact"/>
              <w:rPr>
                <w:sz w:val="20"/>
                <w:szCs w:val="20"/>
                <w:color w:val="auto"/>
              </w:rPr>
            </w:pPr>
            <w:r>
              <w:rPr>
                <w:rFonts w:ascii="Times New Roman" w:cs="Times New Roman" w:eastAsia="Times New Roman" w:hAnsi="Times New Roman"/>
                <w:sz w:val="22"/>
                <w:szCs w:val="22"/>
                <w:b w:val="1"/>
                <w:bCs w:val="1"/>
                <w:color w:val="auto"/>
              </w:rPr>
              <w:t>Single class of stock</w:t>
            </w:r>
          </w:p>
        </w:tc>
        <w:tc>
          <w:tcPr>
            <w:tcW w:w="5540" w:type="dxa"/>
            <w:vAlign w:val="bottom"/>
          </w:tcPr>
          <w:p>
            <w:pPr>
              <w:ind w:left="440"/>
              <w:spacing w:after="0" w:line="219" w:lineRule="exact"/>
              <w:rPr>
                <w:sz w:val="20"/>
                <w:szCs w:val="20"/>
                <w:color w:val="auto"/>
              </w:rPr>
            </w:pPr>
            <w:r>
              <w:rPr>
                <w:rFonts w:ascii="Times New Roman" w:cs="Times New Roman" w:eastAsia="Times New Roman" w:hAnsi="Times New Roman"/>
                <w:sz w:val="21"/>
                <w:szCs w:val="21"/>
                <w:color w:val="auto"/>
              </w:rPr>
              <w:t>We have a single class of stock, so our stockholders all</w:t>
            </w:r>
          </w:p>
        </w:tc>
      </w:tr>
      <w:tr>
        <w:trPr>
          <w:trHeight w:val="281"/>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5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have equal voting rights.</w:t>
            </w:r>
          </w:p>
        </w:tc>
      </w:tr>
      <w:tr>
        <w:trPr>
          <w:trHeight w:val="103"/>
        </w:trPr>
        <w:tc>
          <w:tcPr>
            <w:tcW w:w="20" w:type="dxa"/>
            <w:vAlign w:val="bottom"/>
            <w:tcBorders>
              <w:bottom w:val="single" w:sz="8" w:color="808080"/>
            </w:tcBorders>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5540" w:type="dxa"/>
            <w:vAlign w:val="bottom"/>
            <w:tcBorders>
              <w:bottom w:val="single" w:sz="8" w:color="808080"/>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35</w:t>
      </w:r>
    </w:p>
    <w:p>
      <w:pPr>
        <w:sectPr>
          <w:pgSz w:w="12240" w:h="15840" w:orient="portrait"/>
          <w:cols w:equalWidth="0" w:num="1">
            <w:col w:w="9480"/>
          </w:cols>
          <w:pgMar w:left="1320" w:top="1413" w:right="1440" w:bottom="178"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2"/>
          <w:szCs w:val="22"/>
          <w:b w:val="1"/>
          <w:bCs w:val="1"/>
          <w:color w:val="auto"/>
        </w:rPr>
        <w:t>Corporate Governance Guidelines</w:t>
      </w:r>
    </w:p>
    <w:p>
      <w:pPr>
        <w:spacing w:after="0" w:line="2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 xml:space="preserve">The Board of Directors has adopted Corporate Governance Guidelines, which can be found on the “Investor Relations—Corporate Governance” section of our corporate website </w:t>
      </w:r>
      <w:r>
        <w:rPr>
          <w:rFonts w:ascii="Times New Roman" w:cs="Times New Roman" w:eastAsia="Times New Roman" w:hAnsi="Times New Roman"/>
          <w:sz w:val="22"/>
          <w:szCs w:val="22"/>
          <w:i w:val="1"/>
          <w:iCs w:val="1"/>
          <w:color w:val="auto"/>
        </w:rPr>
        <w:t>www.ntic.com</w:t>
      </w:r>
      <w:r>
        <w:rPr>
          <w:rFonts w:ascii="Times New Roman" w:cs="Times New Roman" w:eastAsia="Times New Roman" w:hAnsi="Times New Roman"/>
          <w:sz w:val="22"/>
          <w:szCs w:val="22"/>
          <w:color w:val="auto"/>
        </w:rPr>
        <w:t>. Among the topics addressed in our Corporate Governance Guidelines are:</w:t>
      </w:r>
    </w:p>
    <w:p>
      <w:pPr>
        <w:sectPr>
          <w:pgSz w:w="12240" w:h="15840" w:orient="portrait"/>
          <w:cols w:equalWidth="0" w:num="1">
            <w:col w:w="9360"/>
          </w:cols>
          <w:pgMar w:left="1440" w:top="1413" w:right="1440" w:bottom="178" w:gutter="0" w:footer="0" w:header="0"/>
        </w:sectPr>
      </w:pPr>
    </w:p>
    <w:p>
      <w:pPr>
        <w:spacing w:after="0" w:line="198" w:lineRule="exact"/>
        <w:rPr>
          <w:sz w:val="20"/>
          <w:szCs w:val="20"/>
          <w:color w:val="auto"/>
        </w:rPr>
      </w:pP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Board size, composition and qualifications</w:t>
      </w:r>
    </w:p>
    <w:p>
      <w:pPr>
        <w:spacing w:after="0" w:line="39" w:lineRule="exact"/>
        <w:rPr>
          <w:rFonts w:ascii="Arial" w:cs="Arial" w:eastAsia="Arial" w:hAnsi="Arial"/>
          <w:sz w:val="22"/>
          <w:szCs w:val="22"/>
          <w:color w:val="auto"/>
        </w:rPr>
      </w:pP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Selection of directors</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New director orientation</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Board leadership</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CEO succession planning</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Board committees</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Board and committee meetings</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Executive sessions of independent directors</w:t>
      </w:r>
    </w:p>
    <w:p>
      <w:pPr>
        <w:spacing w:after="0" w:line="14" w:lineRule="exact"/>
        <w:rPr>
          <w:rFonts w:ascii="Arial" w:cs="Arial" w:eastAsia="Arial" w:hAnsi="Arial"/>
          <w:sz w:val="22"/>
          <w:szCs w:val="22"/>
          <w:color w:val="auto"/>
        </w:rPr>
      </w:pPr>
    </w:p>
    <w:p>
      <w:pPr>
        <w:ind w:left="360" w:right="500" w:hanging="360"/>
        <w:spacing w:after="0" w:line="247" w:lineRule="auto"/>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Meeting attendance by directors and non-directors</w:t>
      </w: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Appropriate information and access</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Ability to retain advisors</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Conflicts of interest and director independence</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21"/>
          <w:szCs w:val="21"/>
          <w:color w:val="auto"/>
        </w:rPr>
        <w:t>Board interaction with corporate constituencies</w:t>
      </w:r>
    </w:p>
    <w:p>
      <w:pPr>
        <w:spacing w:after="0" w:line="26" w:lineRule="exact"/>
        <w:rPr>
          <w:rFonts w:ascii="Arial" w:cs="Arial" w:eastAsia="Arial" w:hAnsi="Arial"/>
          <w:sz w:val="21"/>
          <w:szCs w:val="21"/>
          <w:color w:val="auto"/>
        </w:rPr>
      </w:pP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Retirement and term limits</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Retirement and resignation policy</w:t>
      </w:r>
    </w:p>
    <w:p>
      <w:pPr>
        <w:spacing w:after="0" w:line="14" w:lineRule="exact"/>
        <w:rPr>
          <w:rFonts w:ascii="Arial" w:cs="Arial" w:eastAsia="Arial" w:hAnsi="Arial"/>
          <w:sz w:val="22"/>
          <w:szCs w:val="22"/>
          <w:color w:val="auto"/>
        </w:rPr>
      </w:pPr>
    </w:p>
    <w:p>
      <w:pPr>
        <w:ind w:left="360" w:hanging="360"/>
        <w:spacing w:after="0"/>
        <w:tabs>
          <w:tab w:leader="none" w:pos="3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Stock ownership guidelines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Leadership Structure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368" w:hanging="368"/>
        <w:spacing w:after="0" w:line="258" w:lineRule="auto"/>
        <w:tabs>
          <w:tab w:leader="none" w:pos="384"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Procedures for directors who receive less than a majority vote</w:t>
      </w:r>
    </w:p>
    <w:p>
      <w:pPr>
        <w:spacing w:after="0" w:line="1" w:lineRule="exact"/>
        <w:rPr>
          <w:rFonts w:ascii="Arial" w:cs="Arial" w:eastAsia="Arial" w:hAnsi="Arial"/>
          <w:sz w:val="22"/>
          <w:szCs w:val="22"/>
          <w:color w:val="auto"/>
        </w:rPr>
      </w:pPr>
    </w:p>
    <w:p>
      <w:pPr>
        <w:ind w:left="368" w:right="60" w:hanging="368"/>
        <w:spacing w:after="0" w:line="244" w:lineRule="auto"/>
        <w:tabs>
          <w:tab w:leader="none" w:pos="384"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Change of principal occupation and board memberships and limits on board memberships held</w:t>
      </w:r>
    </w:p>
    <w:p>
      <w:pPr>
        <w:spacing w:after="0" w:line="2" w:lineRule="exact"/>
        <w:rPr>
          <w:rFonts w:ascii="Arial" w:cs="Arial" w:eastAsia="Arial" w:hAnsi="Arial"/>
          <w:sz w:val="22"/>
          <w:szCs w:val="22"/>
          <w:color w:val="auto"/>
        </w:rPr>
      </w:pPr>
    </w:p>
    <w:p>
      <w:pPr>
        <w:ind w:left="368" w:hanging="368"/>
        <w:spacing w:after="0"/>
        <w:tabs>
          <w:tab w:leader="none" w:pos="368"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Board compensation</w:t>
      </w:r>
    </w:p>
    <w:p>
      <w:pPr>
        <w:spacing w:after="0" w:line="14" w:lineRule="exact"/>
        <w:rPr>
          <w:rFonts w:ascii="Arial" w:cs="Arial" w:eastAsia="Arial" w:hAnsi="Arial"/>
          <w:sz w:val="22"/>
          <w:szCs w:val="22"/>
          <w:color w:val="auto"/>
        </w:rPr>
      </w:pPr>
    </w:p>
    <w:p>
      <w:pPr>
        <w:ind w:left="368" w:right="360" w:hanging="368"/>
        <w:spacing w:after="0" w:line="246" w:lineRule="auto"/>
        <w:tabs>
          <w:tab w:leader="none" w:pos="384"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Stock ownership by directors and executive officers</w:t>
      </w:r>
    </w:p>
    <w:p>
      <w:pPr>
        <w:spacing w:after="0" w:line="1" w:lineRule="exact"/>
        <w:rPr>
          <w:rFonts w:ascii="Arial" w:cs="Arial" w:eastAsia="Arial" w:hAnsi="Arial"/>
          <w:sz w:val="22"/>
          <w:szCs w:val="22"/>
          <w:color w:val="auto"/>
        </w:rPr>
      </w:pPr>
    </w:p>
    <w:p>
      <w:pPr>
        <w:ind w:left="368" w:hanging="368"/>
        <w:spacing w:after="0"/>
        <w:tabs>
          <w:tab w:leader="none" w:pos="368"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Loans to directors and executive officers</w:t>
      </w:r>
    </w:p>
    <w:p>
      <w:pPr>
        <w:spacing w:after="0" w:line="14" w:lineRule="exact"/>
        <w:rPr>
          <w:rFonts w:ascii="Arial" w:cs="Arial" w:eastAsia="Arial" w:hAnsi="Arial"/>
          <w:sz w:val="22"/>
          <w:szCs w:val="22"/>
          <w:color w:val="auto"/>
        </w:rPr>
      </w:pPr>
    </w:p>
    <w:p>
      <w:pPr>
        <w:ind w:left="368" w:hanging="368"/>
        <w:spacing w:after="0"/>
        <w:tabs>
          <w:tab w:leader="none" w:pos="368"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CEO evaluation</w:t>
      </w:r>
    </w:p>
    <w:p>
      <w:pPr>
        <w:spacing w:after="0" w:line="14" w:lineRule="exact"/>
        <w:rPr>
          <w:rFonts w:ascii="Arial" w:cs="Arial" w:eastAsia="Arial" w:hAnsi="Arial"/>
          <w:sz w:val="22"/>
          <w:szCs w:val="22"/>
          <w:color w:val="auto"/>
        </w:rPr>
      </w:pPr>
    </w:p>
    <w:p>
      <w:pPr>
        <w:ind w:left="368" w:hanging="368"/>
        <w:spacing w:after="0"/>
        <w:tabs>
          <w:tab w:leader="none" w:pos="368"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Board and committee evaluation</w:t>
      </w:r>
    </w:p>
    <w:p>
      <w:pPr>
        <w:spacing w:after="0" w:line="14" w:lineRule="exact"/>
        <w:rPr>
          <w:rFonts w:ascii="Arial" w:cs="Arial" w:eastAsia="Arial" w:hAnsi="Arial"/>
          <w:sz w:val="22"/>
          <w:szCs w:val="22"/>
          <w:color w:val="auto"/>
        </w:rPr>
      </w:pPr>
    </w:p>
    <w:p>
      <w:pPr>
        <w:ind w:left="368" w:hanging="368"/>
        <w:spacing w:after="0"/>
        <w:tabs>
          <w:tab w:leader="none" w:pos="368"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Director continuing education</w:t>
      </w:r>
    </w:p>
    <w:p>
      <w:pPr>
        <w:spacing w:after="0" w:line="14" w:lineRule="exact"/>
        <w:rPr>
          <w:rFonts w:ascii="Arial" w:cs="Arial" w:eastAsia="Arial" w:hAnsi="Arial"/>
          <w:sz w:val="22"/>
          <w:szCs w:val="22"/>
          <w:color w:val="auto"/>
        </w:rPr>
      </w:pPr>
    </w:p>
    <w:p>
      <w:pPr>
        <w:ind w:left="368" w:hanging="368"/>
        <w:spacing w:after="0"/>
        <w:tabs>
          <w:tab w:leader="none" w:pos="368"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Succession planning</w:t>
      </w:r>
    </w:p>
    <w:p>
      <w:pPr>
        <w:spacing w:after="0" w:line="14" w:lineRule="exact"/>
        <w:rPr>
          <w:rFonts w:ascii="Arial" w:cs="Arial" w:eastAsia="Arial" w:hAnsi="Arial"/>
          <w:sz w:val="22"/>
          <w:szCs w:val="22"/>
          <w:color w:val="auto"/>
        </w:rPr>
      </w:pPr>
    </w:p>
    <w:p>
      <w:pPr>
        <w:ind w:left="368" w:hanging="368"/>
        <w:spacing w:after="0"/>
        <w:tabs>
          <w:tab w:leader="none" w:pos="368"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Related person transactions</w:t>
      </w:r>
    </w:p>
    <w:p>
      <w:pPr>
        <w:spacing w:after="0" w:line="14" w:lineRule="exact"/>
        <w:rPr>
          <w:rFonts w:ascii="Arial" w:cs="Arial" w:eastAsia="Arial" w:hAnsi="Arial"/>
          <w:sz w:val="22"/>
          <w:szCs w:val="22"/>
          <w:color w:val="auto"/>
        </w:rPr>
      </w:pPr>
    </w:p>
    <w:p>
      <w:pPr>
        <w:ind w:left="368" w:hanging="368"/>
        <w:spacing w:after="0"/>
        <w:tabs>
          <w:tab w:leader="none" w:pos="368"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Communications with directors</w:t>
      </w:r>
    </w:p>
    <w:p>
      <w:pPr>
        <w:spacing w:after="0" w:line="14" w:lineRule="exact"/>
        <w:rPr>
          <w:rFonts w:ascii="Arial" w:cs="Arial" w:eastAsia="Arial" w:hAnsi="Arial"/>
          <w:sz w:val="22"/>
          <w:szCs w:val="22"/>
          <w:color w:val="auto"/>
        </w:rPr>
      </w:pPr>
    </w:p>
    <w:p>
      <w:pPr>
        <w:ind w:left="368" w:hanging="368"/>
        <w:spacing w:after="0"/>
        <w:tabs>
          <w:tab w:leader="none" w:pos="368"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Duty of loyalty and confidentiality</w:t>
      </w:r>
    </w:p>
    <w:p>
      <w:pPr>
        <w:spacing w:after="0" w:line="980" w:lineRule="exact"/>
        <w:rPr>
          <w:sz w:val="20"/>
          <w:szCs w:val="20"/>
          <w:color w:val="auto"/>
        </w:rPr>
      </w:pPr>
    </w:p>
    <w:p>
      <w:pPr>
        <w:sectPr>
          <w:pgSz w:w="12240" w:h="15840" w:orient="portrait"/>
          <w:cols w:equalWidth="0" w:num="2">
            <w:col w:w="4520" w:space="252"/>
            <w:col w:w="4588"/>
          </w:cols>
          <w:pgMar w:left="1440" w:top="1413" w:right="1440" w:bottom="178" w:gutter="0" w:footer="0" w:header="0"/>
          <w:type w:val="continuous"/>
        </w:sectPr>
      </w:pPr>
    </w:p>
    <w:p>
      <w:pPr>
        <w:spacing w:after="0" w:line="4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2"/>
          <w:szCs w:val="22"/>
          <w:color w:val="auto"/>
        </w:rPr>
        <w:t>Under our Corporate Governance Guidelines, the office of Chairman of the Board and Chief Executive Officer may or may not be held by one person. The Board of Directors believes it is best not to have a fixed policy on this issue and that it should be free to make this determination based on what it believes is best under the circumstances. However, the Board of Directors strongly endorses the concept of an independent director being in a position of leadership. Under our Corporate Governance Guidelines, if at any time the Chief Executive Officer and Chairman of the Board positions are held by the same person, the Board of Directors will elect an independent director as a lead independent director.</w:t>
      </w:r>
    </w:p>
    <w:p>
      <w:pPr>
        <w:spacing w:after="0" w:line="196"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2"/>
          <w:szCs w:val="22"/>
          <w:color w:val="auto"/>
        </w:rPr>
        <w:t>G. Patrick Lynch currently serves as our President and Chief Executive Officer, and Richard J. Nigon serves as our non-executive Chairman of the Board. Because the Chief Executive Officer and Chairman of the Board positions currently are not held by the same person, we do not have a lead independent director. We believe this leadership structure is in the best interests of NTIC and our stockholders and strikes the appropriate balance between the Chief Executive Officer’s responsibility for the strategic direction, day-to-day-leadership and performance of NTIC and the Chairman’s responsibility to provide oversight of NTIC’s corporate governance and guidance to our Chief Executive Officer and to set the agenda for and preside over Board meetings.</w:t>
      </w:r>
    </w:p>
    <w:p>
      <w:pPr>
        <w:spacing w:after="0" w:line="19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2"/>
          <w:szCs w:val="22"/>
          <w:color w:val="auto"/>
        </w:rPr>
        <w:t>At each regular Board of Directors meeting, our independent directors meet in executive session with no company management present during a portion of the meeting. After each such executive session, our Chairman of the Board provides our Chief Executive Officer with any actionable feedback from our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2240" w:h="15840" w:orient="portrait"/>
          <w:cols w:equalWidth="0" w:num="1">
            <w:col w:w="9360"/>
          </w:cols>
          <w:pgMar w:left="1440" w:top="1413" w:right="1440" w:bottom="178"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2"/>
          <w:szCs w:val="22"/>
          <w:b w:val="1"/>
          <w:bCs w:val="1"/>
          <w:color w:val="auto"/>
        </w:rPr>
        <w:t>Director Independence</w:t>
      </w:r>
    </w:p>
    <w:p>
      <w:pPr>
        <w:spacing w:after="0" w:line="24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The Board of Directors has affirmatively determined that six of NTIC’s current eight directors are “independent directors” under the Listing Rules of the Nasdaq Stock Market: Nancy E. Calderon, Sarah E. Kemp, Sunggyu Lee, Ph.D., Richard J. Nigon, Cristina Pinho and Konstantin von Falkenhausen.</w:t>
      </w:r>
    </w:p>
    <w:p>
      <w:pPr>
        <w:spacing w:after="0" w:line="18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2"/>
          <w:szCs w:val="22"/>
          <w:color w:val="auto"/>
        </w:rPr>
        <w:t>In making these affirmative determinations that such individuals are “independent,” the Board of Directors reviewed and discussed information provided by the directors and by NTIC with regard to each director’s business and personal activities as they may relate to NTIC and NTIC’s management.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Meetings and Attendance</w:t>
      </w:r>
    </w:p>
    <w:p>
      <w:pPr>
        <w:spacing w:after="0" w:line="24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2"/>
          <w:szCs w:val="22"/>
          <w:color w:val="auto"/>
        </w:rPr>
        <w:t>The Board of Directors met four times during the fiscal year ended August 31, 2025. Each of our current directors attended at least 75% of the aggregate of the total number of meetings of the Board and the total number of meetings held by all Board committees on which the director served.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Committees</w:t>
      </w:r>
    </w:p>
    <w:p>
      <w:pPr>
        <w:spacing w:after="0" w:line="24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color w:val="auto"/>
        </w:rPr>
        <w:t xml:space="preserve">The Board of Directors has a standing Audit Committee, Compensation Committee and Nominating and Corporate Governance Committee, each of which has the composition and responsibilities described below. The Board of Directors, from time to time, may establish other committees to facilitate the management of NTIC and may change the composition and responsibilities of our existing committees. Each of the Audit Committee, Compensation Committee and Nominating and Corporate Governance Committee operates under a written charter adopted by the Board of Directors, which can be found on the “Investor Relations—Corporate Governance” section of our corporate website </w:t>
      </w:r>
      <w:r>
        <w:rPr>
          <w:rFonts w:ascii="Times New Roman" w:cs="Times New Roman" w:eastAsia="Times New Roman" w:hAnsi="Times New Roman"/>
          <w:sz w:val="22"/>
          <w:szCs w:val="22"/>
          <w:i w:val="1"/>
          <w:iCs w:val="1"/>
          <w:color w:val="auto"/>
        </w:rPr>
        <w:t>www.ntic.com</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2"/>
          <w:szCs w:val="22"/>
          <w:color w:val="auto"/>
        </w:rPr>
        <w:t>The following table summarizes the current membership of each of our three Board committees. To refresh our Board committees, we recently switched the Chairs of our Compensation and Nominating and Corporate Governance Committees.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0" w:type="dxa"/>
            <w:vAlign w:val="bottom"/>
            <w:shd w:val="clear" w:color="auto" w:fill="D9D9D9"/>
          </w:tcPr>
          <w:p>
            <w:pPr>
              <w:spacing w:after="0"/>
              <w:rPr>
                <w:sz w:val="19"/>
                <w:szCs w:val="19"/>
                <w:color w:val="auto"/>
              </w:rPr>
            </w:pPr>
          </w:p>
        </w:tc>
        <w:tc>
          <w:tcPr>
            <w:tcW w:w="280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94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60" w:type="dxa"/>
            <w:vAlign w:val="bottom"/>
            <w:tcBorders>
              <w:right w:val="single" w:sz="8" w:color="D9D9D9"/>
            </w:tcBorders>
          </w:tcPr>
          <w:p>
            <w:pPr>
              <w:spacing w:after="0"/>
              <w:rPr>
                <w:sz w:val="19"/>
                <w:szCs w:val="19"/>
                <w:color w:val="auto"/>
              </w:rPr>
            </w:pPr>
          </w:p>
        </w:tc>
        <w:tc>
          <w:tcPr>
            <w:tcW w:w="168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2300" w:type="dxa"/>
            <w:vAlign w:val="bottom"/>
            <w:gridSpan w:val="2"/>
            <w:shd w:val="clear" w:color="auto" w:fill="D9D9D9"/>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Nominating and</w:t>
            </w:r>
          </w:p>
        </w:tc>
      </w:tr>
      <w:tr>
        <w:trPr>
          <w:trHeight w:val="272"/>
        </w:trPr>
        <w:tc>
          <w:tcPr>
            <w:tcW w:w="80" w:type="dxa"/>
            <w:vAlign w:val="bottom"/>
            <w:tcBorders>
              <w:bottom w:val="single" w:sz="8" w:color="D9D9D9"/>
            </w:tcBorders>
            <w:shd w:val="clear" w:color="auto" w:fill="D9D9D9"/>
          </w:tcPr>
          <w:p>
            <w:pPr>
              <w:spacing w:after="0"/>
              <w:rPr>
                <w:sz w:val="23"/>
                <w:szCs w:val="23"/>
                <w:color w:val="auto"/>
              </w:rPr>
            </w:pPr>
          </w:p>
        </w:tc>
        <w:tc>
          <w:tcPr>
            <w:tcW w:w="2800" w:type="dxa"/>
            <w:vAlign w:val="bottom"/>
            <w:tcBorders>
              <w:bottom w:val="single" w:sz="8" w:color="auto"/>
            </w:tcBorders>
            <w:shd w:val="clear" w:color="auto" w:fill="D9D9D9"/>
          </w:tcPr>
          <w:p>
            <w:pPr>
              <w:ind w:left="1040"/>
              <w:spacing w:after="0"/>
              <w:rPr>
                <w:sz w:val="20"/>
                <w:szCs w:val="20"/>
                <w:color w:val="auto"/>
              </w:rPr>
            </w:pPr>
            <w:r>
              <w:rPr>
                <w:rFonts w:ascii="Times New Roman" w:cs="Times New Roman" w:eastAsia="Times New Roman" w:hAnsi="Times New Roman"/>
                <w:sz w:val="20"/>
                <w:szCs w:val="20"/>
                <w:b w:val="1"/>
                <w:bCs w:val="1"/>
                <w:color w:val="auto"/>
              </w:rPr>
              <w:t>Director</w:t>
            </w:r>
          </w:p>
        </w:tc>
        <w:tc>
          <w:tcPr>
            <w:tcW w:w="160" w:type="dxa"/>
            <w:vAlign w:val="bottom"/>
            <w:tcBorders>
              <w:bottom w:val="single" w:sz="8" w:color="D9D9D9"/>
            </w:tcBorders>
            <w:shd w:val="clear" w:color="auto" w:fill="D9D9D9"/>
          </w:tcPr>
          <w:p>
            <w:pPr>
              <w:spacing w:after="0"/>
              <w:rPr>
                <w:sz w:val="23"/>
                <w:szCs w:val="23"/>
                <w:color w:val="auto"/>
              </w:rPr>
            </w:pPr>
          </w:p>
        </w:tc>
        <w:tc>
          <w:tcPr>
            <w:tcW w:w="194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Audit</w:t>
            </w:r>
          </w:p>
        </w:tc>
        <w:tc>
          <w:tcPr>
            <w:tcW w:w="80" w:type="dxa"/>
            <w:vAlign w:val="bottom"/>
            <w:tcBorders>
              <w:bottom w:val="single" w:sz="8" w:color="D9D9D9"/>
            </w:tcBorders>
            <w:shd w:val="clear" w:color="auto" w:fill="D9D9D9"/>
          </w:tcPr>
          <w:p>
            <w:pPr>
              <w:spacing w:after="0"/>
              <w:rPr>
                <w:sz w:val="23"/>
                <w:szCs w:val="23"/>
                <w:color w:val="auto"/>
              </w:rPr>
            </w:pPr>
          </w:p>
        </w:tc>
        <w:tc>
          <w:tcPr>
            <w:tcW w:w="60" w:type="dxa"/>
            <w:vAlign w:val="bottom"/>
            <w:tcBorders>
              <w:right w:val="single" w:sz="8" w:color="D9D9D9"/>
            </w:tcBorders>
          </w:tcPr>
          <w:p>
            <w:pPr>
              <w:spacing w:after="0"/>
              <w:rPr>
                <w:sz w:val="23"/>
                <w:szCs w:val="23"/>
                <w:color w:val="auto"/>
              </w:rPr>
            </w:pPr>
          </w:p>
        </w:tc>
        <w:tc>
          <w:tcPr>
            <w:tcW w:w="168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140" w:type="dxa"/>
            <w:vAlign w:val="bottom"/>
            <w:tcBorders>
              <w:bottom w:val="single" w:sz="8" w:color="D9D9D9"/>
            </w:tcBorders>
            <w:shd w:val="clear" w:color="auto" w:fill="D9D9D9"/>
          </w:tcPr>
          <w:p>
            <w:pPr>
              <w:spacing w:after="0"/>
              <w:rPr>
                <w:sz w:val="23"/>
                <w:szCs w:val="23"/>
                <w:color w:val="auto"/>
              </w:rPr>
            </w:pPr>
          </w:p>
        </w:tc>
        <w:tc>
          <w:tcPr>
            <w:tcW w:w="222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Corporate Governance</w:t>
            </w:r>
          </w:p>
        </w:tc>
        <w:tc>
          <w:tcPr>
            <w:tcW w:w="80" w:type="dxa"/>
            <w:vAlign w:val="bottom"/>
            <w:tcBorders>
              <w:bottom w:val="single" w:sz="8" w:color="D9D9D9"/>
            </w:tcBorders>
            <w:shd w:val="clear" w:color="auto" w:fill="D9D9D9"/>
          </w:tcPr>
          <w:p>
            <w:pPr>
              <w:spacing w:after="0"/>
              <w:rPr>
                <w:sz w:val="23"/>
                <w:szCs w:val="23"/>
                <w:color w:val="auto"/>
              </w:rPr>
            </w:pPr>
          </w:p>
        </w:tc>
      </w:tr>
      <w:tr>
        <w:trPr>
          <w:trHeight w:val="222"/>
        </w:trPr>
        <w:tc>
          <w:tcPr>
            <w:tcW w:w="80" w:type="dxa"/>
            <w:vAlign w:val="bottom"/>
          </w:tcPr>
          <w:p>
            <w:pPr>
              <w:spacing w:after="0"/>
              <w:rPr>
                <w:sz w:val="19"/>
                <w:szCs w:val="19"/>
                <w:color w:val="auto"/>
              </w:rPr>
            </w:pPr>
          </w:p>
        </w:tc>
        <w:tc>
          <w:tcPr>
            <w:tcW w:w="2800" w:type="dxa"/>
            <w:vAlign w:val="bottom"/>
          </w:tcPr>
          <w:p>
            <w:pPr>
              <w:ind w:left="20"/>
              <w:spacing w:after="0" w:line="222" w:lineRule="exact"/>
              <w:rPr>
                <w:sz w:val="20"/>
                <w:szCs w:val="20"/>
                <w:color w:val="auto"/>
              </w:rPr>
            </w:pPr>
            <w:r>
              <w:rPr>
                <w:rFonts w:ascii="Times New Roman" w:cs="Times New Roman" w:eastAsia="Times New Roman" w:hAnsi="Times New Roman"/>
                <w:sz w:val="22"/>
                <w:szCs w:val="22"/>
                <w:color w:val="auto"/>
              </w:rPr>
              <w:t>Nancy E. Calderon</w:t>
            </w:r>
          </w:p>
        </w:tc>
        <w:tc>
          <w:tcPr>
            <w:tcW w:w="160" w:type="dxa"/>
            <w:vAlign w:val="bottom"/>
          </w:tcPr>
          <w:p>
            <w:pPr>
              <w:spacing w:after="0"/>
              <w:rPr>
                <w:sz w:val="19"/>
                <w:szCs w:val="19"/>
                <w:color w:val="auto"/>
              </w:rPr>
            </w:pPr>
          </w:p>
        </w:tc>
        <w:tc>
          <w:tcPr>
            <w:tcW w:w="2020" w:type="dxa"/>
            <w:vAlign w:val="bottom"/>
            <w:gridSpan w:val="2"/>
          </w:tcPr>
          <w:p>
            <w:pPr>
              <w:jc w:val="center"/>
              <w:ind w:right="100"/>
              <w:spacing w:after="0" w:line="222" w:lineRule="exact"/>
              <w:rPr>
                <w:sz w:val="20"/>
                <w:szCs w:val="20"/>
                <w:color w:val="auto"/>
              </w:rPr>
            </w:pPr>
            <w:r>
              <w:rPr>
                <w:rFonts w:ascii="Times New Roman" w:cs="Times New Roman" w:eastAsia="Times New Roman" w:hAnsi="Times New Roman"/>
                <w:sz w:val="22"/>
                <w:szCs w:val="22"/>
                <w:color w:val="auto"/>
                <w:w w:val="98"/>
              </w:rPr>
              <w:t>Chair</w:t>
            </w:r>
          </w:p>
        </w:tc>
        <w:tc>
          <w:tcPr>
            <w:tcW w:w="60" w:type="dxa"/>
            <w:vAlign w:val="bottom"/>
          </w:tcPr>
          <w:p>
            <w:pPr>
              <w:spacing w:after="0"/>
              <w:rPr>
                <w:sz w:val="19"/>
                <w:szCs w:val="19"/>
                <w:color w:val="auto"/>
              </w:rPr>
            </w:pPr>
          </w:p>
        </w:tc>
        <w:tc>
          <w:tcPr>
            <w:tcW w:w="1680" w:type="dxa"/>
            <w:vAlign w:val="bottom"/>
          </w:tcPr>
          <w:p>
            <w:pPr>
              <w:jc w:val="center"/>
              <w:spacing w:after="0" w:line="222" w:lineRule="exact"/>
              <w:rPr>
                <w:sz w:val="20"/>
                <w:szCs w:val="20"/>
                <w:color w:val="auto"/>
              </w:rPr>
            </w:pPr>
            <w:r>
              <w:rPr>
                <w:rFonts w:ascii="Times New Roman" w:cs="Times New Roman" w:eastAsia="Times New Roman" w:hAnsi="Times New Roman"/>
                <w:sz w:val="22"/>
                <w:szCs w:val="22"/>
                <w:color w:val="auto"/>
                <w:w w:val="99"/>
              </w:rPr>
              <w:t>—</w:t>
            </w:r>
          </w:p>
        </w:tc>
        <w:tc>
          <w:tcPr>
            <w:tcW w:w="2360" w:type="dxa"/>
            <w:vAlign w:val="bottom"/>
            <w:gridSpan w:val="2"/>
          </w:tcPr>
          <w:p>
            <w:pPr>
              <w:jc w:val="center"/>
              <w:ind w:left="50"/>
              <w:spacing w:after="0" w:line="222"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19"/>
                <w:szCs w:val="19"/>
                <w:color w:val="auto"/>
              </w:rPr>
            </w:pPr>
          </w:p>
        </w:tc>
      </w:tr>
      <w:tr>
        <w:trPr>
          <w:trHeight w:val="253"/>
        </w:trPr>
        <w:tc>
          <w:tcPr>
            <w:tcW w:w="80" w:type="dxa"/>
            <w:vAlign w:val="bottom"/>
          </w:tcPr>
          <w:p>
            <w:pPr>
              <w:spacing w:after="0"/>
              <w:rPr>
                <w:sz w:val="22"/>
                <w:szCs w:val="22"/>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Sarah E. Kemp</w:t>
            </w:r>
          </w:p>
        </w:tc>
        <w:tc>
          <w:tcPr>
            <w:tcW w:w="160" w:type="dxa"/>
            <w:vAlign w:val="bottom"/>
          </w:tcPr>
          <w:p>
            <w:pPr>
              <w:spacing w:after="0"/>
              <w:rPr>
                <w:sz w:val="22"/>
                <w:szCs w:val="22"/>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color w:val="auto"/>
                <w:w w:val="99"/>
              </w:rPr>
              <w:t>—</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Chair</w:t>
            </w:r>
          </w:p>
        </w:tc>
        <w:tc>
          <w:tcPr>
            <w:tcW w:w="140" w:type="dxa"/>
            <w:vAlign w:val="bottom"/>
          </w:tcPr>
          <w:p>
            <w:pPr>
              <w:spacing w:after="0"/>
              <w:rPr>
                <w:sz w:val="22"/>
                <w:szCs w:val="22"/>
                <w:color w:val="auto"/>
              </w:rPr>
            </w:pPr>
          </w:p>
        </w:tc>
        <w:tc>
          <w:tcPr>
            <w:tcW w:w="2300" w:type="dxa"/>
            <w:vAlign w:val="bottom"/>
            <w:gridSpan w:val="2"/>
          </w:tcPr>
          <w:p>
            <w:pPr>
              <w:jc w:val="center"/>
              <w:ind w:right="40"/>
              <w:spacing w:after="0"/>
              <w:rPr>
                <w:sz w:val="20"/>
                <w:szCs w:val="20"/>
                <w:color w:val="auto"/>
              </w:rPr>
            </w:pPr>
            <w:r>
              <w:rPr>
                <w:rFonts w:ascii="Times New Roman" w:cs="Times New Roman" w:eastAsia="Times New Roman" w:hAnsi="Times New Roman"/>
                <w:sz w:val="22"/>
                <w:szCs w:val="22"/>
                <w:color w:val="auto"/>
                <w:w w:val="99"/>
              </w:rPr>
              <w:t>—</w:t>
            </w:r>
          </w:p>
        </w:tc>
      </w:tr>
      <w:tr>
        <w:trPr>
          <w:trHeight w:val="253"/>
        </w:trPr>
        <w:tc>
          <w:tcPr>
            <w:tcW w:w="80" w:type="dxa"/>
            <w:vAlign w:val="bottom"/>
          </w:tcPr>
          <w:p>
            <w:pPr>
              <w:spacing w:after="0"/>
              <w:rPr>
                <w:sz w:val="22"/>
                <w:szCs w:val="22"/>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Sunggyu Lee, Ph.D.</w:t>
            </w:r>
          </w:p>
        </w:tc>
        <w:tc>
          <w:tcPr>
            <w:tcW w:w="160" w:type="dxa"/>
            <w:vAlign w:val="bottom"/>
          </w:tcPr>
          <w:p>
            <w:pPr>
              <w:spacing w:after="0"/>
              <w:rPr>
                <w:sz w:val="22"/>
                <w:szCs w:val="22"/>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color w:val="auto"/>
                <w:w w:val="99"/>
              </w:rPr>
              <w:t>—</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2"/>
                <w:szCs w:val="22"/>
                <w:color w:val="auto"/>
              </w:rPr>
            </w:pPr>
          </w:p>
        </w:tc>
        <w:tc>
          <w:tcPr>
            <w:tcW w:w="2300" w:type="dxa"/>
            <w:vAlign w:val="bottom"/>
            <w:gridSpan w:val="2"/>
          </w:tcPr>
          <w:p>
            <w:pPr>
              <w:jc w:val="center"/>
              <w:ind w:right="40"/>
              <w:spacing w:after="0"/>
              <w:rPr>
                <w:sz w:val="20"/>
                <w:szCs w:val="20"/>
                <w:color w:val="auto"/>
              </w:rPr>
            </w:pPr>
            <w:r>
              <w:rPr>
                <w:rFonts w:ascii="Times New Roman" w:cs="Times New Roman" w:eastAsia="Times New Roman" w:hAnsi="Times New Roman"/>
                <w:sz w:val="22"/>
                <w:szCs w:val="22"/>
                <w:color w:val="auto"/>
                <w:w w:val="99"/>
              </w:rPr>
              <w:t>—</w:t>
            </w:r>
          </w:p>
        </w:tc>
      </w:tr>
      <w:tr>
        <w:trPr>
          <w:trHeight w:val="252"/>
        </w:trPr>
        <w:tc>
          <w:tcPr>
            <w:tcW w:w="8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 Patrick Lynch</w:t>
            </w:r>
          </w:p>
        </w:tc>
        <w:tc>
          <w:tcPr>
            <w:tcW w:w="160" w:type="dxa"/>
            <w:vAlign w:val="bottom"/>
          </w:tcPr>
          <w:p>
            <w:pPr>
              <w:spacing w:after="0"/>
              <w:rPr>
                <w:sz w:val="21"/>
                <w:szCs w:val="21"/>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color w:val="auto"/>
                <w:w w:val="99"/>
              </w:rPr>
              <w:t>—</w:t>
            </w:r>
          </w:p>
        </w:tc>
        <w:tc>
          <w:tcPr>
            <w:tcW w:w="6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tcPr>
          <w:p>
            <w:pPr>
              <w:spacing w:after="0"/>
              <w:rPr>
                <w:sz w:val="21"/>
                <w:szCs w:val="21"/>
                <w:color w:val="auto"/>
              </w:rPr>
            </w:pPr>
          </w:p>
        </w:tc>
        <w:tc>
          <w:tcPr>
            <w:tcW w:w="2300" w:type="dxa"/>
            <w:vAlign w:val="bottom"/>
            <w:gridSpan w:val="2"/>
          </w:tcPr>
          <w:p>
            <w:pPr>
              <w:jc w:val="center"/>
              <w:ind w:right="40"/>
              <w:spacing w:after="0"/>
              <w:rPr>
                <w:sz w:val="20"/>
                <w:szCs w:val="20"/>
                <w:color w:val="auto"/>
              </w:rPr>
            </w:pPr>
            <w:r>
              <w:rPr>
                <w:rFonts w:ascii="Times New Roman" w:cs="Times New Roman" w:eastAsia="Times New Roman" w:hAnsi="Times New Roman"/>
                <w:sz w:val="22"/>
                <w:szCs w:val="22"/>
                <w:color w:val="auto"/>
                <w:w w:val="99"/>
              </w:rPr>
              <w:t>—</w:t>
            </w:r>
          </w:p>
        </w:tc>
      </w:tr>
      <w:tr>
        <w:trPr>
          <w:trHeight w:val="253"/>
        </w:trPr>
        <w:tc>
          <w:tcPr>
            <w:tcW w:w="80" w:type="dxa"/>
            <w:vAlign w:val="bottom"/>
          </w:tcPr>
          <w:p>
            <w:pPr>
              <w:spacing w:after="0"/>
              <w:rPr>
                <w:sz w:val="22"/>
                <w:szCs w:val="22"/>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Ramani Narayan, Ph.D.</w:t>
            </w:r>
          </w:p>
        </w:tc>
        <w:tc>
          <w:tcPr>
            <w:tcW w:w="160" w:type="dxa"/>
            <w:vAlign w:val="bottom"/>
          </w:tcPr>
          <w:p>
            <w:pPr>
              <w:spacing w:after="0"/>
              <w:rPr>
                <w:sz w:val="22"/>
                <w:szCs w:val="22"/>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color w:val="auto"/>
                <w:w w:val="99"/>
              </w:rPr>
              <w:t>—</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tcPr>
          <w:p>
            <w:pPr>
              <w:spacing w:after="0"/>
              <w:rPr>
                <w:sz w:val="22"/>
                <w:szCs w:val="22"/>
                <w:color w:val="auto"/>
              </w:rPr>
            </w:pPr>
          </w:p>
        </w:tc>
        <w:tc>
          <w:tcPr>
            <w:tcW w:w="2300" w:type="dxa"/>
            <w:vAlign w:val="bottom"/>
            <w:gridSpan w:val="2"/>
          </w:tcPr>
          <w:p>
            <w:pPr>
              <w:jc w:val="center"/>
              <w:ind w:right="60"/>
              <w:spacing w:after="0"/>
              <w:rPr>
                <w:sz w:val="20"/>
                <w:szCs w:val="20"/>
                <w:color w:val="auto"/>
              </w:rPr>
            </w:pPr>
            <w:r>
              <w:rPr>
                <w:rFonts w:ascii="Times New Roman" w:cs="Times New Roman" w:eastAsia="Times New Roman" w:hAnsi="Times New Roman"/>
                <w:sz w:val="22"/>
                <w:szCs w:val="22"/>
                <w:color w:val="auto"/>
                <w:w w:val="90"/>
              </w:rPr>
              <w:t>—</w:t>
            </w:r>
          </w:p>
        </w:tc>
      </w:tr>
      <w:tr>
        <w:trPr>
          <w:trHeight w:val="253"/>
        </w:trPr>
        <w:tc>
          <w:tcPr>
            <w:tcW w:w="80" w:type="dxa"/>
            <w:vAlign w:val="bottom"/>
          </w:tcPr>
          <w:p>
            <w:pPr>
              <w:spacing w:after="0"/>
              <w:rPr>
                <w:sz w:val="22"/>
                <w:szCs w:val="22"/>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Richard J. Nigon</w:t>
            </w:r>
          </w:p>
        </w:tc>
        <w:tc>
          <w:tcPr>
            <w:tcW w:w="2100" w:type="dxa"/>
            <w:vAlign w:val="bottom"/>
            <w:gridSpan w:val="2"/>
          </w:tcPr>
          <w:p>
            <w:pPr>
              <w:jc w:val="center"/>
              <w:ind w:left="70"/>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2"/>
                <w:szCs w:val="22"/>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360" w:type="dxa"/>
            <w:vAlign w:val="bottom"/>
            <w:gridSpan w:val="2"/>
          </w:tcPr>
          <w:p>
            <w:pPr>
              <w:jc w:val="center"/>
              <w:ind w:left="50"/>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Cristina Pinho</w:t>
            </w:r>
          </w:p>
        </w:tc>
        <w:tc>
          <w:tcPr>
            <w:tcW w:w="160" w:type="dxa"/>
            <w:vAlign w:val="bottom"/>
          </w:tcPr>
          <w:p>
            <w:pPr>
              <w:spacing w:after="0"/>
              <w:rPr>
                <w:sz w:val="22"/>
                <w:szCs w:val="22"/>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color w:val="auto"/>
                <w:w w:val="99"/>
              </w:rPr>
              <w:t>—</w:t>
            </w:r>
          </w:p>
        </w:tc>
        <w:tc>
          <w:tcPr>
            <w:tcW w:w="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2360" w:type="dxa"/>
            <w:vAlign w:val="bottom"/>
            <w:gridSpan w:val="2"/>
          </w:tcPr>
          <w:p>
            <w:pPr>
              <w:jc w:val="center"/>
              <w:ind w:left="50"/>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2"/>
                <w:szCs w:val="22"/>
                <w:color w:val="auto"/>
              </w:rPr>
            </w:pPr>
          </w:p>
        </w:tc>
      </w:tr>
      <w:tr>
        <w:trPr>
          <w:trHeight w:val="294"/>
        </w:trPr>
        <w:tc>
          <w:tcPr>
            <w:tcW w:w="8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Konstantin von Falkenhausen</w:t>
            </w:r>
          </w:p>
        </w:tc>
        <w:tc>
          <w:tcPr>
            <w:tcW w:w="2100" w:type="dxa"/>
            <w:vAlign w:val="bottom"/>
            <w:gridSpan w:val="2"/>
          </w:tcPr>
          <w:p>
            <w:pPr>
              <w:jc w:val="center"/>
              <w:ind w:left="30"/>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140" w:type="dxa"/>
            <w:vAlign w:val="bottom"/>
          </w:tcPr>
          <w:p>
            <w:pPr>
              <w:spacing w:after="0"/>
              <w:rPr>
                <w:sz w:val="24"/>
                <w:szCs w:val="24"/>
                <w:color w:val="auto"/>
              </w:rPr>
            </w:pPr>
          </w:p>
        </w:tc>
        <w:tc>
          <w:tcPr>
            <w:tcW w:w="2300" w:type="dxa"/>
            <w:vAlign w:val="bottom"/>
            <w:gridSpan w:val="2"/>
          </w:tcPr>
          <w:p>
            <w:pPr>
              <w:jc w:val="center"/>
              <w:ind w:right="60"/>
              <w:spacing w:after="0"/>
              <w:rPr>
                <w:sz w:val="20"/>
                <w:szCs w:val="20"/>
                <w:color w:val="auto"/>
              </w:rPr>
            </w:pPr>
            <w:r>
              <w:rPr>
                <w:rFonts w:ascii="Times New Roman" w:cs="Times New Roman" w:eastAsia="Times New Roman" w:hAnsi="Times New Roman"/>
                <w:sz w:val="22"/>
                <w:szCs w:val="22"/>
                <w:color w:val="auto"/>
                <w:w w:val="98"/>
              </w:rPr>
              <w:t>Chair</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Audit Committee</w:t>
      </w:r>
    </w:p>
    <w:p>
      <w:pPr>
        <w:spacing w:after="0" w:line="243"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2"/>
          <w:szCs w:val="22"/>
          <w:i w:val="1"/>
          <w:iCs w:val="1"/>
          <w:color w:val="auto"/>
        </w:rPr>
        <w:t>Responsibilities</w:t>
      </w:r>
      <w:r>
        <w:rPr>
          <w:rFonts w:ascii="Times New Roman" w:cs="Times New Roman" w:eastAsia="Times New Roman" w:hAnsi="Times New Roman"/>
          <w:sz w:val="22"/>
          <w:szCs w:val="22"/>
          <w:color w:val="auto"/>
        </w:rPr>
        <w:t>. The Audit Committee provides assistance to the Board of Directors in fulfilling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responsibilities for oversight, for quality and integrity of the accounting, auditing, reporting practices, systems of internal accounting and financial controls, the annual independent audit of our financial statements, and the legal compliance and ethics programs of NTIC as established by management. The Audit Committee’s primary responsibilities include:</w:t>
      </w:r>
    </w:p>
    <w:p>
      <w:pPr>
        <w:spacing w:after="0" w:line="209" w:lineRule="exact"/>
        <w:rPr>
          <w:sz w:val="20"/>
          <w:szCs w:val="20"/>
          <w:color w:val="auto"/>
        </w:rPr>
      </w:pPr>
    </w:p>
    <w:p>
      <w:pPr>
        <w:ind w:left="1080" w:right="620" w:hanging="360"/>
        <w:spacing w:after="0" w:line="277" w:lineRule="auto"/>
        <w:tabs>
          <w:tab w:leader="none" w:pos="108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22"/>
          <w:szCs w:val="22"/>
          <w:color w:val="auto"/>
        </w:rPr>
        <w:t>overseeing our financial reporting process, internal control over financial reporting and disclosure controls and procedures on behalf of the Board of Directors;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2240" w:h="15840" w:orient="portrait"/>
          <w:cols w:equalWidth="0" w:num="1">
            <w:col w:w="9360"/>
          </w:cols>
          <w:pgMar w:left="1440" w:top="1413" w:right="1440" w:bottom="178" w:gutter="0" w:footer="0" w:header="0"/>
        </w:sectPr>
      </w:pPr>
    </w:p>
    <w:bookmarkStart w:id="44" w:name="page45"/>
    <w:bookmarkEnd w:id="44"/>
    <w:p>
      <w:pPr>
        <w:ind w:left="1080" w:right="300" w:hanging="360"/>
        <w:spacing w:after="0" w:line="277" w:lineRule="auto"/>
        <w:tabs>
          <w:tab w:leader="none" w:pos="108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22"/>
          <w:szCs w:val="22"/>
          <w:color w:val="auto"/>
        </w:rPr>
        <w:t>having sole authority to appoint, retain and oversee the work of our independent registered public accounting firm and establish the compensation to be paid to the firm;</w:t>
      </w:r>
    </w:p>
    <w:p>
      <w:pPr>
        <w:spacing w:after="0" w:line="56" w:lineRule="exact"/>
        <w:rPr>
          <w:rFonts w:ascii="Arial" w:cs="Arial" w:eastAsia="Arial" w:hAnsi="Arial"/>
          <w:sz w:val="22"/>
          <w:szCs w:val="22"/>
          <w:color w:val="auto"/>
        </w:rPr>
      </w:pPr>
    </w:p>
    <w:p>
      <w:pPr>
        <w:ind w:left="1080" w:right="600" w:hanging="360"/>
        <w:spacing w:after="0" w:line="277" w:lineRule="auto"/>
        <w:tabs>
          <w:tab w:leader="none" w:pos="108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22"/>
          <w:szCs w:val="22"/>
          <w:color w:val="auto"/>
        </w:rPr>
        <w:t>reviewing and pre-approving all audit services and permissible non-audit services to be provided to NTIC by our independent registered public accounting firm;</w:t>
      </w:r>
    </w:p>
    <w:p>
      <w:pPr>
        <w:spacing w:after="0" w:line="56" w:lineRule="exact"/>
        <w:rPr>
          <w:rFonts w:ascii="Arial" w:cs="Arial" w:eastAsia="Arial" w:hAnsi="Arial"/>
          <w:sz w:val="22"/>
          <w:szCs w:val="22"/>
          <w:color w:val="auto"/>
        </w:rPr>
      </w:pPr>
    </w:p>
    <w:p>
      <w:pPr>
        <w:ind w:left="1080" w:right="200" w:hanging="360"/>
        <w:spacing w:after="0" w:line="252" w:lineRule="auto"/>
        <w:tabs>
          <w:tab w:leader="none" w:pos="108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22"/>
          <w:szCs w:val="22"/>
          <w:color w:val="auto"/>
        </w:rPr>
        <w:t>establishing procedures for the receipt, retention and treatment of complaints regarding accounting, internal accounting controls or auditing matters and for the confidential, anonymous submission by our employees of concerns regarding questionable accounting or auditing matters;</w:t>
      </w:r>
    </w:p>
    <w:p>
      <w:pPr>
        <w:spacing w:after="0" w:line="83" w:lineRule="exact"/>
        <w:rPr>
          <w:rFonts w:ascii="Arial" w:cs="Arial" w:eastAsia="Arial" w:hAnsi="Arial"/>
          <w:sz w:val="22"/>
          <w:szCs w:val="22"/>
          <w:color w:val="auto"/>
        </w:rPr>
      </w:pPr>
    </w:p>
    <w:p>
      <w:pPr>
        <w:jc w:val="both"/>
        <w:ind w:left="1080" w:right="40" w:hanging="360"/>
        <w:spacing w:after="0" w:line="259" w:lineRule="auto"/>
        <w:tabs>
          <w:tab w:leader="none" w:pos="108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22"/>
          <w:szCs w:val="22"/>
          <w:color w:val="auto"/>
        </w:rPr>
        <w:t>overseeing the establishment and administration of (including the grant of any waiver from) a written code of ethics applicable to our principal executive officer, principal financial officer, principal accounting officer or controller, or persons performing similar functions;</w:t>
      </w:r>
    </w:p>
    <w:p>
      <w:pPr>
        <w:spacing w:after="0" w:line="75" w:lineRule="exact"/>
        <w:rPr>
          <w:rFonts w:ascii="Arial" w:cs="Arial" w:eastAsia="Arial" w:hAnsi="Arial"/>
          <w:sz w:val="22"/>
          <w:szCs w:val="22"/>
          <w:color w:val="auto"/>
        </w:rPr>
      </w:pPr>
    </w:p>
    <w:p>
      <w:pPr>
        <w:ind w:left="1080" w:right="100" w:hanging="360"/>
        <w:spacing w:after="0" w:line="252" w:lineRule="auto"/>
        <w:tabs>
          <w:tab w:leader="none" w:pos="108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22"/>
          <w:szCs w:val="22"/>
          <w:color w:val="auto"/>
        </w:rPr>
        <w:t>receiving periodic updates from senior management on NTIC’s policies, processes, procedures and any significant developments related to the identification, mitigation and remediation of cybersecurity risks and reviewing the cybersecurity disclosures required to be included in NTIC’s SEC filings; and</w:t>
      </w:r>
    </w:p>
    <w:p>
      <w:pPr>
        <w:spacing w:after="0" w:line="83" w:lineRule="exact"/>
        <w:rPr>
          <w:rFonts w:ascii="Arial" w:cs="Arial" w:eastAsia="Arial" w:hAnsi="Arial"/>
          <w:sz w:val="22"/>
          <w:szCs w:val="22"/>
          <w:color w:val="auto"/>
        </w:rPr>
      </w:pPr>
    </w:p>
    <w:p>
      <w:pPr>
        <w:ind w:left="1080" w:right="80" w:hanging="360"/>
        <w:spacing w:after="0" w:line="277" w:lineRule="auto"/>
        <w:tabs>
          <w:tab w:leader="none" w:pos="108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22"/>
          <w:szCs w:val="22"/>
          <w:color w:val="auto"/>
        </w:rPr>
        <w:t>coordinating with the Nominating and Corporate Governance Committee in that committee’s primary oversight over NTIC’s ESG activities.</w:t>
      </w:r>
    </w:p>
    <w:p>
      <w:pPr>
        <w:spacing w:after="0" w:line="16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2"/>
          <w:szCs w:val="22"/>
          <w:color w:val="auto"/>
        </w:rPr>
        <w:t>The Audit Committee has the authority to engage the services of outside experts and advisors as it deems necessary or appropriate to carry out its duties and responsibilities.</w:t>
      </w:r>
    </w:p>
    <w:p>
      <w:pPr>
        <w:spacing w:after="0" w:line="159"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2"/>
          <w:szCs w:val="22"/>
          <w:i w:val="1"/>
          <w:iCs w:val="1"/>
          <w:color w:val="auto"/>
        </w:rPr>
        <w:t>Composition</w:t>
      </w:r>
      <w:r>
        <w:rPr>
          <w:rFonts w:ascii="Times New Roman" w:cs="Times New Roman" w:eastAsia="Times New Roman" w:hAnsi="Times New Roman"/>
          <w:sz w:val="22"/>
          <w:szCs w:val="22"/>
          <w:color w:val="auto"/>
        </w:rPr>
        <w:t>. The current members of the Audit Committee are Ms. Calderon, Mr. Nigon, and Mr. von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Falkenhausen. Ms. Calderon is the current Chair of the Audit Committee.</w:t>
      </w:r>
    </w:p>
    <w:p>
      <w:pPr>
        <w:spacing w:after="0" w:line="16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2"/>
          <w:szCs w:val="22"/>
          <w:color w:val="auto"/>
        </w:rPr>
        <w:t>Each member of the Audit Committee who served during fiscal 2025 is considered “independent” for purposes of membership on audit committees pursuant to the Listing Rules of the Nasdaq Stock Market and the rules and regulations of the SEC and is “financially literate” as required by the Listing Rules of the Nasdaq Stock Market. In addition, the Board of Directors has determined that Ms. Calderon and Mr. Nigon qualify as “audit committee financial experts” as defined by the rules and regulations of the SEC and meet the qualifications of “financial sophistication” under the Listing Rules of the Nasdaq Stock Market as a result of their extensive financial backgrounds and various financial positions they have held throughout their respective careers. Stockholders should understand that these designations related to our Audit Committee members’ experience and understanding with respect to certain accounting and auditing matters do not impose upon any of them any duties, obligations or liabilities that are greater than those generally imposed on a member of the Audit Committee or of the Board of Directors.</w:t>
      </w:r>
    </w:p>
    <w:p>
      <w:pPr>
        <w:spacing w:after="0" w:line="20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2"/>
          <w:szCs w:val="22"/>
          <w:i w:val="1"/>
          <w:iCs w:val="1"/>
          <w:color w:val="auto"/>
        </w:rPr>
        <w:t>Meetings</w:t>
      </w:r>
      <w:r>
        <w:rPr>
          <w:rFonts w:ascii="Times New Roman" w:cs="Times New Roman" w:eastAsia="Times New Roman" w:hAnsi="Times New Roman"/>
          <w:sz w:val="22"/>
          <w:szCs w:val="22"/>
          <w:color w:val="auto"/>
        </w:rPr>
        <w:t>. The Audit Committee met four times during fiscal 2025 and at each meeting held an executive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session with Baker Tilly, our independent registered public accounting firm.</w:t>
      </w:r>
    </w:p>
    <w:p>
      <w:pPr>
        <w:spacing w:after="0" w:line="159"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2"/>
          <w:szCs w:val="22"/>
          <w:i w:val="1"/>
          <w:iCs w:val="1"/>
          <w:color w:val="auto"/>
        </w:rPr>
        <w:t>Audit Committee Report</w:t>
      </w:r>
      <w:r>
        <w:rPr>
          <w:rFonts w:ascii="Times New Roman" w:cs="Times New Roman" w:eastAsia="Times New Roman" w:hAnsi="Times New Roman"/>
          <w:sz w:val="22"/>
          <w:szCs w:val="22"/>
          <w:color w:val="auto"/>
        </w:rPr>
        <w:t>. This report is furnished by the Audit Committee of the Board of Directors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NTIC’s financial statements for the fiscal year ended August 31, 2025.</w:t>
      </w:r>
    </w:p>
    <w:p>
      <w:pPr>
        <w:spacing w:after="0" w:line="16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2"/>
          <w:szCs w:val="22"/>
          <w:color w:val="auto"/>
        </w:rPr>
        <w:t>One of the purposes of the Audit Committee is to oversee NTIC’s accounting and financial reporting processes and the audit of NTIC’s annual financial statements. NTIC’s management is responsible for the preparation and presentation of complete and accurate financial statements. NTIC’s independent registered public accounting firm, Baker Tilly US, LLP, is responsible for performing an independent audit of NTIC’s financial statements in accordance with the standards of the Public Company Accounting Oversight Board (United States) and for issuing a report on their audit.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2240" w:h="15840" w:orient="portrait"/>
          <w:cols w:equalWidth="0" w:num="1">
            <w:col w:w="9360"/>
          </w:cols>
          <w:pgMar w:left="1440" w:top="1433" w:right="1440" w:bottom="178" w:gutter="0" w:footer="0" w:header="0"/>
        </w:sectPr>
      </w:pPr>
    </w:p>
    <w:bookmarkStart w:id="45" w:name="page46"/>
    <w:bookmarkEnd w:id="45"/>
    <w:p>
      <w:pPr>
        <w:ind w:right="80"/>
        <w:spacing w:after="0" w:line="243" w:lineRule="auto"/>
        <w:rPr>
          <w:sz w:val="20"/>
          <w:szCs w:val="20"/>
          <w:color w:val="auto"/>
        </w:rPr>
      </w:pPr>
      <w:r>
        <w:rPr>
          <w:rFonts w:ascii="Times New Roman" w:cs="Times New Roman" w:eastAsia="Times New Roman" w:hAnsi="Times New Roman"/>
          <w:sz w:val="22"/>
          <w:szCs w:val="22"/>
          <w:color w:val="auto"/>
        </w:rPr>
        <w:t>In performing its oversight role, the Audit Committee has reviewed and discussed NTIC’s audited financial statements for the fiscal year ended August 31, 2025, with NTIC’s management. Management represented to the Audit Committee that NTIC’s financial statements were prepared in accordance with generally accepted accounting principles. The Audit Committee has discussed with Baker Tilly US, LLP, NTIC’s independent registered public accounting firm, the matters required to be discussed under Public Company Accounting Oversight Board standards. The Audit Committee has received the written disclosures and the letter from Baker Tilly US, LLP required by applicable requirements of the Public Company Accounting Oversight Board regarding Baker Tilly US, LLP’s communications with the Audit Committee concerning independence. The Audit Committee has discussed with Baker Tilly US, LLP its independence and concluded that the independent registered public accounting firm is independent from NTIC and NTIC’s management.</w:t>
      </w:r>
    </w:p>
    <w:p>
      <w:pPr>
        <w:spacing w:after="0" w:line="20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Based on the review and discussions of the Audit Committee described above, in reliance on the unqualified opinion of Baker Tilly US, LLP regarding NTIC’s audited financial statements, and subject to the limitations on the role and responsibilities of the Audit Committee discussed above and in the Audit Committee’s charter, the Audit Committee recommended to the Board of Directors that NTIC’s audited financial statements for the fiscal year ended August 31, 2025 be included in its Annual Report on Form 10-K for the fiscal year ended August 31, 2025 for filing with the Securities and Exchange Commission.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report is dated as of November 14, 2025.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Audit Committee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Nancy E. Calderon, Chair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J. Nigon</w:t>
      </w:r>
    </w:p>
    <w:p>
      <w:pPr>
        <w:spacing w:after="0"/>
        <w:rPr>
          <w:sz w:val="20"/>
          <w:szCs w:val="20"/>
          <w:color w:val="auto"/>
        </w:rPr>
      </w:pPr>
      <w:r>
        <w:rPr>
          <w:rFonts w:ascii="Times New Roman" w:cs="Times New Roman" w:eastAsia="Times New Roman" w:hAnsi="Times New Roman"/>
          <w:sz w:val="22"/>
          <w:szCs w:val="22"/>
          <w:color w:val="auto"/>
        </w:rPr>
        <w:t>Konstantin von Falkenhausen</w:t>
      </w:r>
    </w:p>
    <w:p>
      <w:pPr>
        <w:spacing w:after="0" w:line="20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Other Information </w:t>
      </w:r>
      <w:r>
        <w:rPr>
          <w:rFonts w:ascii="Times New Roman" w:cs="Times New Roman" w:eastAsia="Times New Roman" w:hAnsi="Times New Roman"/>
          <w:sz w:val="22"/>
          <w:szCs w:val="22"/>
          <w:color w:val="auto"/>
        </w:rPr>
        <w:t>. Additional information regarding the Audit Committee and our independent registered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public accounting firm is disclosed under the “</w:t>
      </w:r>
      <w:r>
        <w:rPr>
          <w:rFonts w:ascii="Times New Roman" w:cs="Times New Roman" w:eastAsia="Times New Roman" w:hAnsi="Times New Roman"/>
          <w:sz w:val="22"/>
          <w:szCs w:val="22"/>
          <w:i w:val="1"/>
          <w:iCs w:val="1"/>
          <w:color w:val="auto"/>
        </w:rPr>
        <w:t>Proposal Four—Ratification of Appointment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Independent Registered Public Accounting Firm</w:t>
      </w:r>
      <w:r>
        <w:rPr>
          <w:rFonts w:ascii="Times New Roman" w:cs="Times New Roman" w:eastAsia="Times New Roman" w:hAnsi="Times New Roman"/>
          <w:sz w:val="22"/>
          <w:szCs w:val="22"/>
          <w:color w:val="auto"/>
        </w:rPr>
        <w:t>” section of this proxy statement.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w:t>
      </w:r>
    </w:p>
    <w:p>
      <w:pPr>
        <w:spacing w:after="0" w:line="24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2"/>
          <w:szCs w:val="22"/>
          <w:i w:val="1"/>
          <w:iCs w:val="1"/>
          <w:color w:val="auto"/>
        </w:rPr>
        <w:t>Responsibilities</w:t>
      </w:r>
      <w:r>
        <w:rPr>
          <w:rFonts w:ascii="Times New Roman" w:cs="Times New Roman" w:eastAsia="Times New Roman" w:hAnsi="Times New Roman"/>
          <w:sz w:val="22"/>
          <w:szCs w:val="22"/>
          <w:color w:val="auto"/>
        </w:rPr>
        <w:t>. The Compensation Committee provides assistance to the Board of Directors in fulfilling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oversight responsibility relating to compensation of our Chief Executive Officer and other executive officers and administers our equity compensation plans. The Compensation Committee’s primary responsibilities include:</w:t>
      </w:r>
    </w:p>
    <w:p>
      <w:pPr>
        <w:spacing w:after="0" w:line="200" w:lineRule="exact"/>
        <w:rPr>
          <w:sz w:val="20"/>
          <w:szCs w:val="20"/>
          <w:color w:val="auto"/>
        </w:rPr>
      </w:pPr>
    </w:p>
    <w:p>
      <w:pPr>
        <w:ind w:left="1080" w:right="100" w:hanging="360"/>
        <w:spacing w:after="0" w:line="259" w:lineRule="auto"/>
        <w:tabs>
          <w:tab w:leader="none" w:pos="108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22"/>
          <w:szCs w:val="22"/>
          <w:color w:val="auto"/>
        </w:rPr>
        <w:t>recommending to the Board of Directors for its determination the annual salaries, incentive compensation, long-term compensation and any and all other compensation applicable to our executive officers;</w:t>
      </w:r>
    </w:p>
    <w:p>
      <w:pPr>
        <w:spacing w:after="0" w:line="75" w:lineRule="exact"/>
        <w:rPr>
          <w:rFonts w:ascii="Arial" w:cs="Arial" w:eastAsia="Arial" w:hAnsi="Arial"/>
          <w:sz w:val="22"/>
          <w:szCs w:val="22"/>
          <w:color w:val="auto"/>
        </w:rPr>
      </w:pPr>
    </w:p>
    <w:p>
      <w:pPr>
        <w:ind w:left="1080" w:hanging="360"/>
        <w:spacing w:after="0" w:line="252" w:lineRule="auto"/>
        <w:tabs>
          <w:tab w:leader="none" w:pos="108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22"/>
          <w:szCs w:val="22"/>
          <w:color w:val="auto"/>
        </w:rPr>
        <w:t>establishing and, from time to time, reviewing and revising corporate goals and objectives with respect to compensation for our executive officers and establishing and leading a process for the full Board of Directors to evaluate the performance of our executive officers in light of those goals and objectives;</w:t>
      </w:r>
    </w:p>
    <w:p>
      <w:pPr>
        <w:spacing w:after="0" w:line="83" w:lineRule="exact"/>
        <w:rPr>
          <w:rFonts w:ascii="Arial" w:cs="Arial" w:eastAsia="Arial" w:hAnsi="Arial"/>
          <w:sz w:val="22"/>
          <w:szCs w:val="22"/>
          <w:color w:val="auto"/>
        </w:rPr>
      </w:pPr>
    </w:p>
    <w:p>
      <w:pPr>
        <w:ind w:left="1080" w:hanging="360"/>
        <w:spacing w:after="0" w:line="259" w:lineRule="auto"/>
        <w:tabs>
          <w:tab w:leader="none" w:pos="108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22"/>
          <w:szCs w:val="22"/>
          <w:color w:val="auto"/>
        </w:rPr>
        <w:t>administering our equity compensation plans and recommending to the Board of Directors for its determination grants of options or other equity-based awards for executive officers, employees and independent consultants under our equity compensation plans;</w:t>
      </w:r>
    </w:p>
    <w:p>
      <w:pPr>
        <w:spacing w:after="0" w:line="75" w:lineRule="exact"/>
        <w:rPr>
          <w:rFonts w:ascii="Arial" w:cs="Arial" w:eastAsia="Arial" w:hAnsi="Arial"/>
          <w:sz w:val="22"/>
          <w:szCs w:val="22"/>
          <w:color w:val="auto"/>
        </w:rPr>
      </w:pPr>
    </w:p>
    <w:p>
      <w:pPr>
        <w:ind w:left="1080" w:hanging="360"/>
        <w:spacing w:after="0"/>
        <w:tabs>
          <w:tab w:leader="none" w:pos="108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22"/>
          <w:szCs w:val="22"/>
          <w:color w:val="auto"/>
        </w:rPr>
        <w:t>reviewing our policies with respect to employee benefit plans;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2240" w:h="15840" w:orient="portrait"/>
          <w:cols w:equalWidth="0" w:num="1">
            <w:col w:w="9360"/>
          </w:cols>
          <w:pgMar w:left="1440" w:top="1417" w:right="1440" w:bottom="178" w:gutter="0" w:footer="0" w:header="0"/>
        </w:sectPr>
      </w:pPr>
    </w:p>
    <w:bookmarkStart w:id="46" w:name="page47"/>
    <w:bookmarkEnd w:id="46"/>
    <w:p>
      <w:pPr>
        <w:ind w:left="1080" w:right="140" w:hanging="360"/>
        <w:spacing w:after="0" w:line="277" w:lineRule="auto"/>
        <w:tabs>
          <w:tab w:leader="none" w:pos="108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22"/>
          <w:szCs w:val="22"/>
          <w:color w:val="auto"/>
        </w:rPr>
        <w:t>establishing and, from time to time, reviewing and revising processes and procedures for the consideration and determination of executive compensation;</w:t>
      </w:r>
    </w:p>
    <w:p>
      <w:pPr>
        <w:spacing w:after="0" w:line="56" w:lineRule="exact"/>
        <w:rPr>
          <w:rFonts w:ascii="Arial" w:cs="Arial" w:eastAsia="Arial" w:hAnsi="Arial"/>
          <w:sz w:val="22"/>
          <w:szCs w:val="22"/>
          <w:color w:val="auto"/>
        </w:rPr>
      </w:pPr>
    </w:p>
    <w:p>
      <w:pPr>
        <w:ind w:left="1080" w:right="260" w:hanging="360"/>
        <w:spacing w:after="0" w:line="259" w:lineRule="auto"/>
        <w:tabs>
          <w:tab w:leader="none" w:pos="108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22"/>
          <w:szCs w:val="22"/>
          <w:color w:val="auto"/>
        </w:rPr>
        <w:t>overseeing and periodically reviewing NTIC’s culture and policies and strategies related to human capital management and reviewing the human capital management disclosures included in NTIC’s annual reports on Form 10-K; and</w:t>
      </w:r>
    </w:p>
    <w:p>
      <w:pPr>
        <w:spacing w:after="0" w:line="73" w:lineRule="exact"/>
        <w:rPr>
          <w:rFonts w:ascii="Arial" w:cs="Arial" w:eastAsia="Arial" w:hAnsi="Arial"/>
          <w:sz w:val="22"/>
          <w:szCs w:val="22"/>
          <w:color w:val="auto"/>
        </w:rPr>
      </w:pPr>
    </w:p>
    <w:p>
      <w:pPr>
        <w:ind w:left="1080" w:right="80" w:hanging="360"/>
        <w:spacing w:after="0" w:line="277" w:lineRule="auto"/>
        <w:tabs>
          <w:tab w:leader="none" w:pos="108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22"/>
          <w:szCs w:val="22"/>
          <w:color w:val="auto"/>
        </w:rPr>
        <w:t>coordinating with the Nominating and Corporate Governance Committee in that committee’s primary oversight over NTIC’s ESG activities.</w:t>
      </w:r>
    </w:p>
    <w:p>
      <w:pPr>
        <w:spacing w:after="0" w:line="16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2"/>
          <w:szCs w:val="22"/>
          <w:color w:val="auto"/>
        </w:rPr>
        <w:t>The Compensation Committee has the authority to engage the services of outside experts and advisors as it deems necessary or appropriate to carry out its duties and responsibilities, and prior to doing so, assesses the independence of such experts and advisors from management.</w:t>
      </w:r>
    </w:p>
    <w:p>
      <w:pPr>
        <w:spacing w:after="0" w:line="179"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22"/>
          <w:szCs w:val="22"/>
          <w:i w:val="1"/>
          <w:iCs w:val="1"/>
          <w:color w:val="auto"/>
        </w:rPr>
        <w:t>Composition</w:t>
      </w:r>
      <w:r>
        <w:rPr>
          <w:rFonts w:ascii="Times New Roman" w:cs="Times New Roman" w:eastAsia="Times New Roman" w:hAnsi="Times New Roman"/>
          <w:sz w:val="22"/>
          <w:szCs w:val="22"/>
          <w:color w:val="auto"/>
        </w:rPr>
        <w:t>. The current members of the Compensation Committee are Ms. Kemp, Dr. Lee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Mr. Nigon. Ms. Kemp is the current Chair of the Compensation Committee. During fiscal 2025 until November 2024, Mr. von Falkenhausen served as Chair of the Compensation Committee.</w:t>
      </w:r>
    </w:p>
    <w:p>
      <w:pPr>
        <w:spacing w:after="0" w:line="18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2"/>
          <w:szCs w:val="22"/>
          <w:color w:val="auto"/>
        </w:rPr>
        <w:t>The Board of Directors has determined that each of the members of the Compensation Committee who served during fiscal 2025 is an “independent director” under the Listing Rules of the Nasdaq Stock Market, a “non-employee director” within the meaning of Rule 16b-3 under the Exchange Act, and otherwise independent under the rules and regulations of the SEC.</w:t>
      </w:r>
    </w:p>
    <w:p>
      <w:pPr>
        <w:spacing w:after="0" w:line="18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2"/>
          <w:szCs w:val="22"/>
          <w:i w:val="1"/>
          <w:iCs w:val="1"/>
          <w:color w:val="auto"/>
        </w:rPr>
        <w:t>Processes and Procedures for Consideration and Determination of Executive Compensation</w:t>
      </w:r>
      <w:r>
        <w:rPr>
          <w:rFonts w:ascii="Times New Roman" w:cs="Times New Roman" w:eastAsia="Times New Roman" w:hAnsi="Times New Roman"/>
          <w:sz w:val="22"/>
          <w:szCs w:val="22"/>
          <w:color w:val="auto"/>
        </w:rPr>
        <w:t>.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described in more detail above under “—</w:t>
      </w:r>
      <w:r>
        <w:rPr>
          <w:rFonts w:ascii="Times New Roman" w:cs="Times New Roman" w:eastAsia="Times New Roman" w:hAnsi="Times New Roman"/>
          <w:sz w:val="22"/>
          <w:szCs w:val="22"/>
          <w:i w:val="1"/>
          <w:iCs w:val="1"/>
          <w:color w:val="auto"/>
        </w:rPr>
        <w:t>Responsibilities</w:t>
      </w:r>
      <w:r>
        <w:rPr>
          <w:rFonts w:ascii="Times New Roman" w:cs="Times New Roman" w:eastAsia="Times New Roman" w:hAnsi="Times New Roman"/>
          <w:sz w:val="22"/>
          <w:szCs w:val="22"/>
          <w:color w:val="auto"/>
        </w:rPr>
        <w:t>,” the Board of Directors has delegated to the Compensation Committee the responsibility, among other things, to recommend to the Board of Directors any and all compensation payable to our executive officers, including annual salaries, incentive compensation and long-term incentive compensation, and to administer our equity and incentive compensation plans applicable to our executive officers. Decisions regarding executive compensation made by the Compensation Committee are not considered final and are subject to final review and approval by the entire Board of Directors. Under the terms of its formal written charter, the Compensation Committee has the power and authority, to the extent permitted by our Bylaws and applicable law, to delegate all or a portion of its duties and responsibilities to a subcommittee of the Compensation Committee. The Compensation Committee has not generally delegated any of its duties and responsibilities to subcommittees, but rather has taken such actions as a committee, as a whole.</w:t>
      </w:r>
    </w:p>
    <w:p>
      <w:pPr>
        <w:spacing w:after="0" w:line="20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Our President and Chief Executive Officer and our Chief Financial Officer assist the Compensation Committee in gathering compensation related data regarding our executive officers and making recommendations to the Compensation Committee regarding the form and amount of compensation to be paid to each executive officer. In making final recommendations to the Board of Directors regarding compensation to be paid to our executive officers, the Compensation Committee considers the recommendations of our President and Chief Executive Officer and our Chief Financial Officer, but also considers other factors, such as its own views as to the form and amount of compensation to be paid, the achievement by NTIC of pre-established performance objectives, the general performance of NTIC and the individual officers, the performance of NTIC’s stock price and other factors that may be relevant.</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21"/>
          <w:szCs w:val="21"/>
          <w:color w:val="auto"/>
        </w:rPr>
        <w:t>Final deliberations and decisions by the Compensation Committee regarding its recommendations to the Board of Directors of the form and amount of compensation to be paid to our executive officers are made by the Compensation Committee, without the presence of any executive officer of NTIC. In making final decisions regarding compensation to be paid to our executive officers, the Board of Directors considers the same factors and gives considerable weight to the recommendations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2240" w:h="15840" w:orient="portrait"/>
          <w:cols w:equalWidth="0" w:num="1">
            <w:col w:w="9360"/>
          </w:cols>
          <w:pgMar w:left="1440" w:top="1433" w:right="1440" w:bottom="178"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i w:val="1"/>
          <w:iCs w:val="1"/>
          <w:color w:val="auto"/>
        </w:rPr>
        <w:t>Meetings</w:t>
      </w:r>
      <w:r>
        <w:rPr>
          <w:rFonts w:ascii="Times New Roman" w:cs="Times New Roman" w:eastAsia="Times New Roman" w:hAnsi="Times New Roman"/>
          <w:sz w:val="22"/>
          <w:szCs w:val="22"/>
          <w:color w:val="auto"/>
        </w:rPr>
        <w:t>. The Compensation Committee met three times during fiscal 2025.</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Nominating and Corporate Governance Committee</w:t>
      </w:r>
    </w:p>
    <w:p>
      <w:pPr>
        <w:spacing w:after="0" w:line="243"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2"/>
          <w:szCs w:val="22"/>
          <w:i w:val="1"/>
          <w:iCs w:val="1"/>
          <w:color w:val="auto"/>
        </w:rPr>
        <w:t>Responsibilities</w:t>
      </w:r>
      <w:r>
        <w:rPr>
          <w:rFonts w:ascii="Times New Roman" w:cs="Times New Roman" w:eastAsia="Times New Roman" w:hAnsi="Times New Roman"/>
          <w:sz w:val="22"/>
          <w:szCs w:val="22"/>
          <w:color w:val="auto"/>
        </w:rPr>
        <w:t>. The primary responsibilities of the Nominating and Corporate Governance Committee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w:t>
      </w:r>
    </w:p>
    <w:p>
      <w:pPr>
        <w:spacing w:after="0" w:line="176" w:lineRule="exact"/>
        <w:rPr>
          <w:sz w:val="20"/>
          <w:szCs w:val="20"/>
          <w:color w:val="auto"/>
        </w:rPr>
      </w:pPr>
    </w:p>
    <w:p>
      <w:pPr>
        <w:ind w:left="1080" w:hanging="360"/>
        <w:spacing w:after="0"/>
        <w:tabs>
          <w:tab w:leader="none" w:pos="108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identifying individuals qualified to become members of the Board of Directors;</w:t>
      </w:r>
    </w:p>
    <w:p>
      <w:pPr>
        <w:spacing w:after="0" w:line="134" w:lineRule="exact"/>
        <w:rPr>
          <w:rFonts w:ascii="Arial" w:cs="Arial" w:eastAsia="Arial" w:hAnsi="Arial"/>
          <w:sz w:val="22"/>
          <w:szCs w:val="22"/>
          <w:color w:val="auto"/>
        </w:rPr>
      </w:pPr>
    </w:p>
    <w:p>
      <w:pPr>
        <w:ind w:left="1080" w:right="280" w:hanging="360"/>
        <w:spacing w:after="0" w:line="277" w:lineRule="auto"/>
        <w:tabs>
          <w:tab w:leader="none" w:pos="108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recommending director nominees for each annual meeting of our stockholders and director nominees to fill any vacancies that may occur between meetings of stockholders;</w:t>
      </w:r>
    </w:p>
    <w:p>
      <w:pPr>
        <w:spacing w:after="0" w:line="56" w:lineRule="exact"/>
        <w:rPr>
          <w:rFonts w:ascii="Arial" w:cs="Arial" w:eastAsia="Arial" w:hAnsi="Arial"/>
          <w:sz w:val="22"/>
          <w:szCs w:val="22"/>
          <w:color w:val="auto"/>
        </w:rPr>
      </w:pPr>
    </w:p>
    <w:p>
      <w:pPr>
        <w:ind w:left="1080" w:right="120" w:hanging="360"/>
        <w:spacing w:after="0" w:line="277" w:lineRule="auto"/>
        <w:tabs>
          <w:tab w:leader="none" w:pos="108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making recommendations to the Board of Directors regarding director retirement age, tenure and refreshment policies;</w:t>
      </w:r>
    </w:p>
    <w:p>
      <w:pPr>
        <w:spacing w:after="0" w:line="56" w:lineRule="exact"/>
        <w:rPr>
          <w:rFonts w:ascii="Arial" w:cs="Arial" w:eastAsia="Arial" w:hAnsi="Arial"/>
          <w:sz w:val="22"/>
          <w:szCs w:val="22"/>
          <w:color w:val="auto"/>
        </w:rPr>
      </w:pPr>
    </w:p>
    <w:p>
      <w:pPr>
        <w:ind w:left="1080" w:hanging="360"/>
        <w:spacing w:after="0"/>
        <w:tabs>
          <w:tab w:leader="none" w:pos="108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being aware of best practices in corporate governance matters;</w:t>
      </w:r>
    </w:p>
    <w:p>
      <w:pPr>
        <w:spacing w:after="0" w:line="134" w:lineRule="exact"/>
        <w:rPr>
          <w:rFonts w:ascii="Arial" w:cs="Arial" w:eastAsia="Arial" w:hAnsi="Arial"/>
          <w:sz w:val="22"/>
          <w:szCs w:val="22"/>
          <w:color w:val="auto"/>
        </w:rPr>
      </w:pPr>
    </w:p>
    <w:p>
      <w:pPr>
        <w:ind w:left="1080" w:right="400" w:hanging="360"/>
        <w:spacing w:after="0" w:line="277" w:lineRule="auto"/>
        <w:tabs>
          <w:tab w:leader="none" w:pos="108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developing and overseeing an annual Board of Directors and Board committee evaluation process;</w:t>
      </w:r>
    </w:p>
    <w:p>
      <w:pPr>
        <w:spacing w:after="0" w:line="56" w:lineRule="exact"/>
        <w:rPr>
          <w:rFonts w:ascii="Arial" w:cs="Arial" w:eastAsia="Arial" w:hAnsi="Arial"/>
          <w:sz w:val="22"/>
          <w:szCs w:val="22"/>
          <w:color w:val="auto"/>
        </w:rPr>
      </w:pPr>
    </w:p>
    <w:p>
      <w:pPr>
        <w:ind w:left="1080" w:right="340" w:hanging="360"/>
        <w:spacing w:after="0" w:line="277" w:lineRule="auto"/>
        <w:tabs>
          <w:tab w:leader="none" w:pos="108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establishing and leading a process for determination of the compensation applicable to the non-employee directors on the Board;</w:t>
      </w:r>
    </w:p>
    <w:p>
      <w:pPr>
        <w:spacing w:after="0" w:line="55" w:lineRule="exact"/>
        <w:rPr>
          <w:rFonts w:ascii="Arial" w:cs="Arial" w:eastAsia="Arial" w:hAnsi="Arial"/>
          <w:sz w:val="22"/>
          <w:szCs w:val="22"/>
          <w:color w:val="auto"/>
        </w:rPr>
      </w:pPr>
    </w:p>
    <w:p>
      <w:pPr>
        <w:ind w:left="1080" w:right="240" w:hanging="360"/>
        <w:spacing w:after="0" w:line="259" w:lineRule="auto"/>
        <w:tabs>
          <w:tab w:leader="none" w:pos="108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overseeing NTIC’s ESG activities and coordinating with and soliciting input from the Compensation Committee and the Audit Committee in formulating the approach to NTIC’s ESG activities.</w:t>
      </w:r>
    </w:p>
    <w:p>
      <w:pPr>
        <w:spacing w:after="0" w:line="59"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1"/>
          <w:szCs w:val="21"/>
          <w:color w:val="auto"/>
        </w:rPr>
        <w:t>The Nominating and Corporate Governance Committee has the authority to engage the services of outside experts and advisors as it deems necessary or appropriate to carry out its duties and responsibilities.</w:t>
      </w:r>
    </w:p>
    <w:p>
      <w:pPr>
        <w:spacing w:after="0" w:line="13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i w:val="1"/>
          <w:iCs w:val="1"/>
          <w:color w:val="auto"/>
        </w:rPr>
        <w:t>Composition</w:t>
      </w:r>
      <w:r>
        <w:rPr>
          <w:rFonts w:ascii="Times New Roman" w:cs="Times New Roman" w:eastAsia="Times New Roman" w:hAnsi="Times New Roman"/>
          <w:sz w:val="22"/>
          <w:szCs w:val="22"/>
          <w:color w:val="auto"/>
        </w:rPr>
        <w:t>. The current members of the Nominating and Corporate Governance Committee are Mr. von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Falkenhausen, Ms. Calderon, Mr. Nigon and Ms. Pinho. Mr. von Falkenhausen is the current chair of the Nominating and Corporate Governance Committee. During fiscal 2025 until November 2024, Ms. Kemp served as Chair of the Nominating and Corporate Governance Committee.</w:t>
      </w:r>
    </w:p>
    <w:p>
      <w:pPr>
        <w:spacing w:after="0" w:line="186"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22"/>
          <w:szCs w:val="22"/>
          <w:color w:val="auto"/>
        </w:rPr>
        <w:t>The Board of Directors has determined that each of the members of the Nominating and Corporate Governance Committee who served during fiscal 2025 is an “independent director” under the Listing Rules of the Nasdaq Stock Market.</w:t>
      </w:r>
    </w:p>
    <w:p>
      <w:pPr>
        <w:spacing w:after="0" w:line="17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2"/>
          <w:szCs w:val="22"/>
          <w:i w:val="1"/>
          <w:iCs w:val="1"/>
          <w:color w:val="auto"/>
        </w:rPr>
        <w:t>Processes and Procedures for Consideration and Determination of Director Compensation</w:t>
      </w:r>
      <w:r>
        <w:rPr>
          <w:rFonts w:ascii="Times New Roman" w:cs="Times New Roman" w:eastAsia="Times New Roman" w:hAnsi="Times New Roman"/>
          <w:sz w:val="22"/>
          <w:szCs w:val="22"/>
          <w:color w:val="auto"/>
        </w:rPr>
        <w:t>.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mentioned above under “—</w:t>
      </w:r>
      <w:r>
        <w:rPr>
          <w:rFonts w:ascii="Times New Roman" w:cs="Times New Roman" w:eastAsia="Times New Roman" w:hAnsi="Times New Roman"/>
          <w:sz w:val="22"/>
          <w:szCs w:val="22"/>
          <w:i w:val="1"/>
          <w:iCs w:val="1"/>
          <w:color w:val="auto"/>
        </w:rPr>
        <w:t>Responsibilities</w:t>
      </w:r>
      <w:r>
        <w:rPr>
          <w:rFonts w:ascii="Times New Roman" w:cs="Times New Roman" w:eastAsia="Times New Roman" w:hAnsi="Times New Roman"/>
          <w:sz w:val="22"/>
          <w:szCs w:val="22"/>
          <w:color w:val="auto"/>
        </w:rPr>
        <w:t>,” the Board of Directors has delegated to the Nominating and Corporate Governance Committee the responsibility, among other things, to review and make recommendations to the Board of Directors concerning compensation for non-employee members of the Board of Directors, including but not limited to retainers, meeting fees, committee chair and member retainers and equity compensation. Decisions regarding director compensation made by the Nominating and Corporate Governance Committee are not considered final and are subject to final review and approval by the entire Board of Directors. Under the terms of its formal written charter, the Nominating and Corporate Governance Committee has the power and authority, to the extent permitted by our Bylaws and applicable law, to delegate all or a portion of its duties and responsibilities to a subcommittee of the Nominating and Corporate Governance Committee. The Nominating and Corporate Governance Committee has not generally delegated any of its duties and responsibilities to subcommittees, but rather has taken such actions as a committee,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2240" w:h="15840" w:orient="portrait"/>
          <w:cols w:equalWidth="0" w:num="1">
            <w:col w:w="9360"/>
          </w:cols>
          <w:pgMar w:left="1440" w:top="1417" w:right="1440" w:bottom="178" w:gutter="0" w:footer="0" w:header="0"/>
        </w:sectPr>
      </w:pPr>
    </w:p>
    <w:bookmarkStart w:id="48" w:name="page49"/>
    <w:bookmarkEnd w:id="48"/>
    <w:p>
      <w:pPr>
        <w:ind w:right="120"/>
        <w:spacing w:after="0" w:line="247" w:lineRule="auto"/>
        <w:rPr>
          <w:sz w:val="20"/>
          <w:szCs w:val="20"/>
          <w:color w:val="auto"/>
        </w:rPr>
      </w:pPr>
      <w:r>
        <w:rPr>
          <w:rFonts w:ascii="Times New Roman" w:cs="Times New Roman" w:eastAsia="Times New Roman" w:hAnsi="Times New Roman"/>
          <w:sz w:val="22"/>
          <w:szCs w:val="22"/>
          <w:color w:val="auto"/>
        </w:rPr>
        <w:t>In making recommendations to the Board of Directors regarding compensation to be paid to our non - employee directors, the Nominating and Corporate Governance Committee considers fees and other compensation paid to directors of comparable public companies, the number of board and committee meetings that our directors are expected to attend, and other factors that may be relevant. In making final decisions regarding non-employee director compensation, the Board of Directors considers the same factors and the recommendation of the Nominating and Corporate Governance Committee.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Meetings</w:t>
      </w:r>
      <w:r>
        <w:rPr>
          <w:rFonts w:ascii="Times New Roman" w:cs="Times New Roman" w:eastAsia="Times New Roman" w:hAnsi="Times New Roman"/>
          <w:sz w:val="22"/>
          <w:szCs w:val="22"/>
          <w:color w:val="auto"/>
        </w:rPr>
        <w:t>. The Nominating and Corporate Governance Committee met three times during fiscal 2025.</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Nominations Process</w:t>
      </w:r>
    </w:p>
    <w:p>
      <w:pPr>
        <w:spacing w:after="0" w:line="24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2"/>
          <w:szCs w:val="22"/>
          <w:color w:val="auto"/>
        </w:rPr>
        <w:t>Pursuant to a Director Nominations Process adopted by the Board of Directors, in selecting nominees for the Board of Directors, the Nominating and Corporate Governance Committee first determines whether the incumbent directors are qualified to serve, and wish to continue to serve, on the Board. The Nominating and Corporate Governance Committee believes that NTIC and its stockholders benefit from the continued service of qualified incumbent directors because those directors have familiarity with and insight into NTIC’s affairs that they have accumulated during their tenure with NTIC. Appropriate continuity of Board membership also contributes to the Board’s ability to work as a collective body. Accordingly, it is the practice of the Nominating and Corporate Governance Committee, in general, to re-nominate an incumbent director if the director wishes to continue his or her service with the Board, the director continues to satisfy the criteria for membership on the Board that the Nominating and Corporate Governance Committee generally views as relevant and considers in deciding whether to re -nominate an incumbent director or nominate a new director, the Nominating and Corporate Governance Committee believes the director continues to make important contributions to the Board, and there are no special, countervailing considerations against re-nomination of the director.</w:t>
      </w:r>
    </w:p>
    <w:p>
      <w:pPr>
        <w:spacing w:after="0" w:line="19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Pursuant to a Director Nominations Process adopted by the Board of Directors, in identifying and evaluating new candidates for election to the Board, the Nominating and Corporate Governance Committee solicits recommendations for nominees from persons whom the Nominating and Corporate Governance Committee believes are likely to be familiar with qualified candidates having the qualifications, skills and characteristics required for Board nominees from time to time. Such persons may include members of the Board of Directors and our senior management and advisors to NTIC. In addition, from time to time, if appropriate, the Nominating and Corporate Governance Committee may engage a search firm to assist it in identifying and evaluating qualified candidates.</w:t>
      </w:r>
    </w:p>
    <w:p>
      <w:pPr>
        <w:spacing w:after="0" w:line="19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The Nominating and Corporate Governance Committee reviews and evaluates each candidate whom it believes merits serious consideration, taking into account available information concerning the candidate, any qualifications or criteria for Board membership established by the Nominating and Corporate Governance Committee, the existing composition of the Board, and other factors that it deems relevant. In conducting its review and evaluation, the Nominating and Corporate Governance Committee solicits the views of our management, other Board members, and other individuals it believes may have insight into a candidate. The Nominating and Corporate Governance Committee may designate one or more of its members and/or other Board members to interview any proposed candidate.</w:t>
      </w:r>
    </w:p>
    <w:p>
      <w:pPr>
        <w:spacing w:after="0" w:line="199"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22"/>
          <w:szCs w:val="22"/>
          <w:color w:val="auto"/>
        </w:rPr>
        <w:t>The Nominating and Corporate Governance Committee will consider recommendations for the nomination of directors submitted by our stockholders. For more information, see the information set forth under “</w:t>
      </w:r>
      <w:r>
        <w:rPr>
          <w:rFonts w:ascii="Times New Roman" w:cs="Times New Roman" w:eastAsia="Times New Roman" w:hAnsi="Times New Roman"/>
          <w:sz w:val="22"/>
          <w:szCs w:val="22"/>
          <w:i w:val="1"/>
          <w:iCs w:val="1"/>
          <w:color w:val="auto"/>
        </w:rPr>
        <w:t>Stockholder Proposals and Director Nominations for the 2027 Annual Meeting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Stockholders ņ Director Nominations for 2027 Annual Meeting</w:t>
      </w:r>
      <w:r>
        <w:rPr>
          <w:rFonts w:ascii="Times New Roman" w:cs="Times New Roman" w:eastAsia="Times New Roman" w:hAnsi="Times New Roman"/>
          <w:sz w:val="22"/>
          <w:szCs w:val="22"/>
          <w:color w:val="auto"/>
        </w:rPr>
        <w:t>.” The Nominating and Corporate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Governance Committee will evaluate candidates recommended by stockholders in the same manner as those recommended as stated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2240" w:h="15840" w:orient="portrait"/>
          <w:cols w:equalWidth="0" w:num="1">
            <w:col w:w="9360"/>
          </w:cols>
          <w:pgMar w:left="1440" w:top="1417" w:right="1440" w:bottom="178" w:gutter="0" w:footer="0" w:header="0"/>
        </w:sectPr>
      </w:pPr>
    </w:p>
    <w:bookmarkStart w:id="49" w:name="page50"/>
    <w:bookmarkEnd w:id="49"/>
    <w:p>
      <w:pPr>
        <w:ind w:right="60"/>
        <w:spacing w:after="0" w:line="241" w:lineRule="auto"/>
        <w:rPr>
          <w:sz w:val="20"/>
          <w:szCs w:val="20"/>
          <w:color w:val="auto"/>
        </w:rPr>
      </w:pPr>
      <w:r>
        <w:rPr>
          <w:rFonts w:ascii="Times New Roman" w:cs="Times New Roman" w:eastAsia="Times New Roman" w:hAnsi="Times New Roman"/>
          <w:sz w:val="22"/>
          <w:szCs w:val="22"/>
          <w:color w:val="auto"/>
        </w:rPr>
        <w:t>There are no formal requirements or minimum qualifications that a candidate must meet in order for the Nominating and Corporate Governance Committee to recommend the candidate to the Board. The Nominating and Corporate Governance Committee believes that each nominee should be evaluated based on his or her merits as an individual, taking into account the needs of NTIC and the Board of Directors. However, in evaluating candidates, there are a number of criteria that the Nominating and Corporate Governance Committee generally views as relevant and is likely to consider. Some of these factors include whether the candidate is an “independent director” under the Listing Rules of the Nasdaq Stock Market and meets any other applicable independence tests under the federal securities laws and rules and regulations of the SEC; whether the candidate is “financially literate” and otherwise meets the requirements for serving as a member of an audit committee under the Listing Rules of the Nasdaq Stock Market; whether the candidate is “financially sophisticated” under the Listing Rules of the Nasdaq Stock Market and an “audit committee financial expert” under the federal securities laws and the rules and regulations of the SEC; the needs of NTIC with respect to the particular talents and experience of its directors; the personal and professional integrity and reputation of the candidate; the candidate’s level of education and business experience; the candidate’s broad-based business acumen; the candidate’s level of understanding of our business and its industry; the candidate’s ability and willingness to devote adequate time to the work of the Board of Directors and its committees; the fit of the candidate’s skills and personality with those of other directors and potential directors in building a board that is effective, collegial and responsive to the needs of NTIC; whether the candidate possesses strategic thinking and a willingness to share ideas; the candidate’s diversity of experiences, expertise, background and other attributes; and the candidate’s ability to represent the interests of all stockholders and not a particular interest group.</w:t>
      </w:r>
    </w:p>
    <w:p>
      <w:pPr>
        <w:spacing w:after="0" w:line="21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2"/>
          <w:szCs w:val="22"/>
          <w:color w:val="auto"/>
        </w:rPr>
        <w:t>While we do not have a formal stand-alone diversity policy in considering whether to recommend any director nominee, including candidates recommended by stockholders, and the Board of Directors has not adopted a formal definition of diversity, the Board’s diversity is a consideration in the director nomination process. As discussed above, the Nominating and Corporate Governance Committee considers the factors described above, including the candidate’s diversity of experiences, expertise, background and other attributes. The Nominating and Corporate Governance Committee seeks nominees with a broad diversity of experience, expertise, backgrounds and other attributes. The Nominating and Corporate Governance Committee does not assign specific weights to particular criteria and no particular criterion is necessarily applicable to all prospective nominees. The Board of Directors believes that the backgrounds and qualifications of directors, considered as a group, should provide a significant mix of experience, knowledge and abilities that will allow the Board of Directors to fulfill its responsibilities.</w:t>
      </w:r>
    </w:p>
    <w:p>
      <w:pPr>
        <w:spacing w:after="0" w:line="20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2"/>
          <w:szCs w:val="22"/>
          <w:color w:val="auto"/>
        </w:rPr>
        <w:t>For this year’s election of directors, the Board of Directors has nominated eight individuals, all of whom are current directors. Collectively, these directors bring tremendous diversity to the Board. Each director is a strategic thinker and has varying, specialized experience in the areas relevant to NTIC and its businesses. Moreover, their collective experience covers a wide range of geographies and industries, and roles in academia, corporate governance and government. The eight directors range in age from 58 to 77; three of the eight directors are women; two are of Asian descent; one is of African descent; one is a citizen of Brazil, one is a citizen of the Republic of Korea and one is a citizen of Germany.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Oversight of Risk</w:t>
      </w:r>
    </w:p>
    <w:p>
      <w:pPr>
        <w:spacing w:after="0" w:line="24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2"/>
          <w:szCs w:val="22"/>
          <w:color w:val="auto"/>
        </w:rPr>
        <w:t>The Board of Directors as a whole has responsibility for risk oversight, with more in- depth reviews of certain areas of risk being conducted by the relevant Board committees that report on their deliberations to the full Board of Directors. The oversight responsibility of the Board and its committees is enabled by management reporting processes that are designed to provide information to the Board about the identification, assessment and management of critical risks and management’s risk mitigation strategies. The areas of risk that we focus on include operational, financial (accounting, credit, liquidity and tax),</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2240" w:h="15840" w:orient="portrait"/>
          <w:cols w:equalWidth="0" w:num="1">
            <w:col w:w="9360"/>
          </w:cols>
          <w:pgMar w:left="1440" w:top="1417" w:right="1440" w:bottom="178" w:gutter="0" w:footer="0" w:header="0"/>
        </w:sectPr>
      </w:pPr>
    </w:p>
    <w:bookmarkStart w:id="50" w:name="page51"/>
    <w:bookmarkEnd w:id="50"/>
    <w:p>
      <w:pPr>
        <w:ind w:right="320"/>
        <w:spacing w:after="0" w:line="278" w:lineRule="auto"/>
        <w:rPr>
          <w:sz w:val="20"/>
          <w:szCs w:val="20"/>
          <w:color w:val="auto"/>
        </w:rPr>
      </w:pPr>
      <w:r>
        <w:rPr>
          <w:rFonts w:ascii="Times New Roman" w:cs="Times New Roman" w:eastAsia="Times New Roman" w:hAnsi="Times New Roman"/>
          <w:sz w:val="22"/>
          <w:szCs w:val="22"/>
          <w:color w:val="auto"/>
        </w:rPr>
        <w:t>legal, compensation, competitive, cybersecurity, health, safety, environmental, economic, political and reputational risks.</w:t>
      </w:r>
    </w:p>
    <w:p>
      <w:pPr>
        <w:spacing w:after="0" w:line="15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standing committees of the Board of Directors oversee risks associated with their respective principal areas of focus. The Audit Committee’s role includes a particular focus on the qualitative aspects of financial reporting, on our processes for the management of business and financial risk, our financial reporting obligations and for compliance with significant applicable legal, ethical and regulatory requirements. The Audit Committee, along with management, is also responsible for developing and participating in a process for review of important financial and operating topics that present potential significant risk to NTIC. The Compensation Committee is responsible for overseeing risks and exposures associated with our executive compensation programs and arrangements. The Nominating and Corporate Governance Committee oversees risks relating to our corporate governance matters, director compensation programs and director succession planning.</w:t>
      </w:r>
    </w:p>
    <w:p>
      <w:pPr>
        <w:spacing w:after="0" w:line="19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2"/>
          <w:szCs w:val="22"/>
          <w:color w:val="auto"/>
        </w:rPr>
        <w:t>We recognize that a fundamental part of risk management is understanding not only the risks a company faces and what steps management is taking to manage those risks, but also understanding what level of risk is appropriate for NTIC. The involvement of the full Board of Directors each year in establishing our key corporate business strategies and annual fiscal budget is a key part of the Board of Directors’ assessment of management’s appetite for risk and also a determination of what constitutes an appropriate level of risk for NTIC.</w:t>
      </w:r>
    </w:p>
    <w:p>
      <w:pPr>
        <w:spacing w:after="0" w:line="195"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2"/>
          <w:szCs w:val="22"/>
          <w:color w:val="auto"/>
        </w:rPr>
        <w:t>We believe our current Board leadership structure is appropriate and helps ensure proper risk oversight for NTIC for a number of reasons, including: (1) general risk oversight by the full Board of Directors in connection with its role in reviewing our key business strategies and monitoring on an on-going basis the implementation of our key business strategies; (2) more detailed oversight by our standing Board committees that are currently comprised of and chaired by our independent directors, and (3) the focus of our Chairman of the Board on allocating appropriate Board agenda time for discussion regarding the implementation of our key business strategies and specifically risk management.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Oversight of Strategy</w:t>
      </w:r>
    </w:p>
    <w:p>
      <w:pPr>
        <w:spacing w:after="0" w:line="244"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2"/>
          <w:szCs w:val="22"/>
          <w:color w:val="auto"/>
        </w:rPr>
        <w:t>The Board of Directors oversees our strategic direction and business activities. Throughout the year, the Board and management discuss our short and long-term business strategy. As part of our long-term strategy, management typically formulates three-year financial targets against which performance is reviewed by the Board. With respect to our short-term strategy, at the beginning of each fiscal year, our management presents to the Board a proposed annual business plan for the year and receives input from the Board and a final annual business plan is approved by the Board. At each subsequent regular board meeting, the Board reviews our operating and financial performance relative to the annual business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and Board Committee Evaluations</w:t>
      </w:r>
    </w:p>
    <w:p>
      <w:pPr>
        <w:spacing w:after="0" w:line="24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2"/>
          <w:szCs w:val="22"/>
          <w:color w:val="auto"/>
        </w:rPr>
        <w:t>The Board of Directors recognizes that a thorough evaluation process is an important element of corporate governance and enhances the effectiveness of the full Board and each committee. Therefore, it is our practice to conduct annual Board and committee self -evaluations. Each year, the Nominating and Corporate Governance Committee oversees the evaluation process to ensure that the full Board and each committee conduct an assessment of their performance and solicit feedback for areas of improvement. Evaluations include a variety of survey questions to which directors assign a score and open ended questions and oral interviews. The evaluation results are then aggregated and shared with and discussed by the full Board and each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2240" w:h="15840" w:orient="portrait"/>
          <w:cols w:equalWidth="0" w:num="1">
            <w:col w:w="9360"/>
          </w:cols>
          <w:pgMar w:left="1440" w:top="1417" w:right="1440" w:bottom="178" w:gutter="0" w:footer="0" w:header="0"/>
        </w:sectPr>
      </w:pPr>
    </w:p>
    <w:bookmarkStart w:id="51" w:name="page52"/>
    <w:bookmarkEnd w:id="51"/>
    <w:p>
      <w:pPr>
        <w:ind w:left="100"/>
        <w:spacing w:after="0"/>
        <w:rPr>
          <w:sz w:val="20"/>
          <w:szCs w:val="20"/>
          <w:color w:val="auto"/>
        </w:rPr>
      </w:pPr>
      <w:r>
        <w:rPr>
          <w:rFonts w:ascii="Times New Roman" w:cs="Times New Roman" w:eastAsia="Times New Roman" w:hAnsi="Times New Roman"/>
          <w:sz w:val="22"/>
          <w:szCs w:val="22"/>
          <w:b w:val="1"/>
          <w:bCs w:val="1"/>
          <w:color w:val="auto"/>
        </w:rPr>
        <w:t>Code of Ethics</w:t>
      </w:r>
    </w:p>
    <w:p>
      <w:pPr>
        <w:spacing w:after="0" w:line="244" w:lineRule="exact"/>
        <w:rPr>
          <w:sz w:val="20"/>
          <w:szCs w:val="20"/>
          <w:color w:val="auto"/>
        </w:rPr>
      </w:pPr>
    </w:p>
    <w:p>
      <w:pPr>
        <w:ind w:left="100" w:right="180"/>
        <w:spacing w:after="0" w:line="252" w:lineRule="auto"/>
        <w:rPr>
          <w:sz w:val="20"/>
          <w:szCs w:val="20"/>
          <w:color w:val="auto"/>
        </w:rPr>
      </w:pPr>
      <w:r>
        <w:rPr>
          <w:rFonts w:ascii="Times New Roman" w:cs="Times New Roman" w:eastAsia="Times New Roman" w:hAnsi="Times New Roman"/>
          <w:sz w:val="22"/>
          <w:szCs w:val="22"/>
          <w:color w:val="auto"/>
        </w:rPr>
        <w:t xml:space="preserve">The Board of Directors has adopted a Code of Ethics, which applies to all of our directors, executive officers, including our Chief Executive Officer and Chief Financial Officer, and other employees, and meets the requirements of the SEC and the Nasdaq Stock Market. Our Code of Ethics is available on the “Investor Relations—Corporate Governance” section of our corporate website </w:t>
      </w:r>
      <w:r>
        <w:rPr>
          <w:rFonts w:ascii="Times New Roman" w:cs="Times New Roman" w:eastAsia="Times New Roman" w:hAnsi="Times New Roman"/>
          <w:sz w:val="22"/>
          <w:szCs w:val="22"/>
          <w:i w:val="1"/>
          <w:iCs w:val="1"/>
          <w:color w:val="auto"/>
        </w:rPr>
        <w:t>www.ntic.com</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No Political Contributions</w:t>
      </w:r>
    </w:p>
    <w:p>
      <w:pPr>
        <w:spacing w:after="0" w:line="2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NTIC made no political contributions during fiscal 2025.</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Policy Regarding Director Attendance at Annual Meetings of Stockholders</w:t>
      </w:r>
    </w:p>
    <w:p>
      <w:pPr>
        <w:spacing w:after="0" w:line="243" w:lineRule="exact"/>
        <w:rPr>
          <w:sz w:val="20"/>
          <w:szCs w:val="20"/>
          <w:color w:val="auto"/>
        </w:rPr>
      </w:pPr>
    </w:p>
    <w:p>
      <w:pPr>
        <w:ind w:left="100" w:right="120"/>
        <w:spacing w:after="0" w:line="262" w:lineRule="auto"/>
        <w:rPr>
          <w:sz w:val="20"/>
          <w:szCs w:val="20"/>
          <w:color w:val="auto"/>
        </w:rPr>
      </w:pPr>
      <w:r>
        <w:rPr>
          <w:rFonts w:ascii="Times New Roman" w:cs="Times New Roman" w:eastAsia="Times New Roman" w:hAnsi="Times New Roman"/>
          <w:sz w:val="21"/>
          <w:szCs w:val="21"/>
          <w:color w:val="auto"/>
        </w:rPr>
        <w:t>Although a regular Board of Directors meeting is generally held on the day of each annual meeting of stockholders, this meeting is typically held by video conference. It is the policy of the Board of Directors that if a regular in-person Board of Directors meeting occurs on the day of the annual meeting of stockholders, directors standing for re-election should attend the annual meeting of stockholders, if their schedules permit. Since a video conference Board meeting was held on the day of last year’s annual meeting of stockholders, the only directors who attended the meeting were Mr. Nigon and Mr. Lynch.</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Complaint Procedures</w:t>
      </w:r>
    </w:p>
    <w:p>
      <w:pPr>
        <w:spacing w:after="0" w:line="244" w:lineRule="exact"/>
        <w:rPr>
          <w:sz w:val="20"/>
          <w:szCs w:val="20"/>
          <w:color w:val="auto"/>
        </w:rPr>
      </w:pPr>
    </w:p>
    <w:p>
      <w:pPr>
        <w:ind w:left="100" w:right="20"/>
        <w:spacing w:after="0" w:line="249" w:lineRule="auto"/>
        <w:rPr>
          <w:sz w:val="20"/>
          <w:szCs w:val="20"/>
          <w:color w:val="auto"/>
        </w:rPr>
      </w:pPr>
      <w:r>
        <w:rPr>
          <w:rFonts w:ascii="Times New Roman" w:cs="Times New Roman" w:eastAsia="Times New Roman" w:hAnsi="Times New Roman"/>
          <w:sz w:val="22"/>
          <w:szCs w:val="22"/>
          <w:color w:val="auto"/>
        </w:rPr>
        <w:t>The Audit Committee has established procedures for the receipt, retention and treatment of complaints received by NTIC regarding accounting, internal accounting controls or auditing matters, and the submission by our employees, on a confidential and anonymous basis, of concerns regarding questionable accounting or auditing matters. We encourage our personnel with such concerns to discuss their concerns with our outside legal counsel, who in turn will be responsible for informing the Audit Committee.</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Stockholder Engagement</w:t>
      </w:r>
    </w:p>
    <w:p>
      <w:pPr>
        <w:spacing w:after="0" w:line="244" w:lineRule="exact"/>
        <w:rPr>
          <w:sz w:val="20"/>
          <w:szCs w:val="20"/>
          <w:color w:val="auto"/>
        </w:rPr>
      </w:pPr>
    </w:p>
    <w:p>
      <w:pPr>
        <w:ind w:left="100" w:right="160"/>
        <w:spacing w:after="0" w:line="253" w:lineRule="auto"/>
        <w:rPr>
          <w:sz w:val="20"/>
          <w:szCs w:val="20"/>
          <w:color w:val="auto"/>
        </w:rPr>
      </w:pPr>
      <w:r>
        <w:rPr>
          <w:rFonts w:ascii="Times New Roman" w:cs="Times New Roman" w:eastAsia="Times New Roman" w:hAnsi="Times New Roman"/>
          <w:sz w:val="22"/>
          <w:szCs w:val="22"/>
          <w:color w:val="auto"/>
        </w:rPr>
        <w:t>We are committed to a robust and proactive stockholder engagement program. The Board of Directors values the perspectives of our stockholders, and feedback from stockholders on our business, corporate governance, executive compensation, and sustainability practices are important considerations for Board discussions throughout the year.</w:t>
      </w:r>
    </w:p>
    <w:p>
      <w:pPr>
        <w:spacing w:after="0" w:line="185" w:lineRule="exact"/>
        <w:rPr>
          <w:sz w:val="20"/>
          <w:szCs w:val="20"/>
          <w:color w:val="auto"/>
        </w:rPr>
      </w:pPr>
    </w:p>
    <w:p>
      <w:pPr>
        <w:ind w:left="100" w:right="260"/>
        <w:spacing w:after="0" w:line="278" w:lineRule="auto"/>
        <w:rPr>
          <w:sz w:val="20"/>
          <w:szCs w:val="20"/>
          <w:color w:val="auto"/>
        </w:rPr>
      </w:pPr>
      <w:r>
        <w:rPr>
          <w:rFonts w:ascii="Times New Roman" w:cs="Times New Roman" w:eastAsia="Times New Roman" w:hAnsi="Times New Roman"/>
          <w:sz w:val="22"/>
          <w:szCs w:val="22"/>
          <w:color w:val="auto"/>
        </w:rPr>
        <w:t>Some of the actions we have taken in response to feedback from proxy advisory firms and stockholders over the last several years are described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Borders>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0"/>
                <w:szCs w:val="20"/>
                <w:b w:val="1"/>
                <w:bCs w:val="1"/>
                <w:color w:val="auto"/>
              </w:rPr>
              <w:t>What We Heard</w:t>
            </w:r>
          </w:p>
        </w:tc>
        <w:tc>
          <w:tcPr>
            <w:tcW w:w="5680" w:type="dxa"/>
            <w:vAlign w:val="bottom"/>
            <w:tcBorders>
              <w:bottom w:val="single" w:sz="8" w:color="auto"/>
            </w:tcBorders>
            <w:shd w:val="clear" w:color="auto" w:fill="D9D9D9"/>
          </w:tcPr>
          <w:p>
            <w:pPr>
              <w:ind w:left="460"/>
              <w:spacing w:after="0"/>
              <w:rPr>
                <w:sz w:val="20"/>
                <w:szCs w:val="20"/>
                <w:color w:val="auto"/>
              </w:rPr>
            </w:pPr>
            <w:r>
              <w:rPr>
                <w:rFonts w:ascii="Times New Roman" w:cs="Times New Roman" w:eastAsia="Times New Roman" w:hAnsi="Times New Roman"/>
                <w:sz w:val="20"/>
                <w:szCs w:val="20"/>
                <w:b w:val="1"/>
                <w:bCs w:val="1"/>
                <w:color w:val="auto"/>
              </w:rPr>
              <w:t>What We Did</w:t>
            </w:r>
          </w:p>
        </w:tc>
      </w:tr>
      <w:tr>
        <w:trPr>
          <w:trHeight w:val="220"/>
        </w:trPr>
        <w:tc>
          <w:tcPr>
            <w:tcW w:w="370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Encourage Board refreshment</w:t>
            </w:r>
          </w:p>
        </w:tc>
        <w:tc>
          <w:tcPr>
            <w:tcW w:w="5680" w:type="dxa"/>
            <w:vAlign w:val="bottom"/>
          </w:tcPr>
          <w:p>
            <w:pPr>
              <w:ind w:left="480"/>
              <w:spacing w:after="0" w:line="221" w:lineRule="exact"/>
              <w:rPr>
                <w:sz w:val="20"/>
                <w:szCs w:val="20"/>
                <w:color w:val="auto"/>
              </w:rPr>
            </w:pPr>
            <w:r>
              <w:rPr>
                <w:rFonts w:ascii="Times New Roman" w:cs="Times New Roman" w:eastAsia="Times New Roman" w:hAnsi="Times New Roman"/>
                <w:sz w:val="22"/>
                <w:szCs w:val="22"/>
                <w:color w:val="auto"/>
              </w:rPr>
              <w:t>We added Cristina Pinho to our Board in January 2023</w:t>
            </w:r>
          </w:p>
        </w:tc>
      </w:tr>
      <w:tr>
        <w:trPr>
          <w:trHeight w:val="252"/>
        </w:trPr>
        <w:tc>
          <w:tcPr>
            <w:tcW w:w="3700" w:type="dxa"/>
            <w:vAlign w:val="bottom"/>
          </w:tcPr>
          <w:p>
            <w:pPr>
              <w:spacing w:after="0"/>
              <w:rPr>
                <w:sz w:val="21"/>
                <w:szCs w:val="21"/>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and rotated our Compensation Committee and</w:t>
            </w:r>
          </w:p>
        </w:tc>
      </w:tr>
      <w:tr>
        <w:trPr>
          <w:trHeight w:val="253"/>
        </w:trPr>
        <w:tc>
          <w:tcPr>
            <w:tcW w:w="3700" w:type="dxa"/>
            <w:vAlign w:val="bottom"/>
          </w:tcPr>
          <w:p>
            <w:pPr>
              <w:spacing w:after="0"/>
              <w:rPr>
                <w:sz w:val="22"/>
                <w:szCs w:val="22"/>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Nominating and Corporate Governance Committee</w:t>
            </w:r>
          </w:p>
        </w:tc>
      </w:tr>
      <w:tr>
        <w:trPr>
          <w:trHeight w:val="294"/>
        </w:trPr>
        <w:tc>
          <w:tcPr>
            <w:tcW w:w="3700" w:type="dxa"/>
            <w:vAlign w:val="bottom"/>
          </w:tcPr>
          <w:p>
            <w:pPr>
              <w:spacing w:after="0"/>
              <w:rPr>
                <w:sz w:val="24"/>
                <w:szCs w:val="24"/>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Chairs in November 2024.</w:t>
            </w:r>
          </w:p>
        </w:tc>
      </w:tr>
      <w:tr>
        <w:trPr>
          <w:trHeight w:val="235"/>
        </w:trPr>
        <w:tc>
          <w:tcPr>
            <w:tcW w:w="370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r>
      <w:tr>
        <w:trPr>
          <w:trHeight w:val="220"/>
        </w:trPr>
        <w:tc>
          <w:tcPr>
            <w:tcW w:w="370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Increase stockholder influence over</w:t>
            </w:r>
          </w:p>
        </w:tc>
        <w:tc>
          <w:tcPr>
            <w:tcW w:w="5680" w:type="dxa"/>
            <w:vAlign w:val="bottom"/>
          </w:tcPr>
          <w:p>
            <w:pPr>
              <w:ind w:left="460"/>
              <w:spacing w:after="0" w:line="221" w:lineRule="exact"/>
              <w:rPr>
                <w:sz w:val="20"/>
                <w:szCs w:val="20"/>
                <w:color w:val="auto"/>
              </w:rPr>
            </w:pPr>
            <w:r>
              <w:rPr>
                <w:rFonts w:ascii="Times New Roman" w:cs="Times New Roman" w:eastAsia="Times New Roman" w:hAnsi="Times New Roman"/>
                <w:sz w:val="22"/>
                <w:szCs w:val="22"/>
                <w:color w:val="auto"/>
              </w:rPr>
              <w:t>We adopted a “plurality plus” vote standard for</w:t>
            </w:r>
          </w:p>
        </w:tc>
      </w:tr>
      <w:tr>
        <w:trPr>
          <w:trHeight w:val="253"/>
        </w:trPr>
        <w:tc>
          <w:tcPr>
            <w:tcW w:w="37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director elections</w:t>
            </w:r>
          </w:p>
        </w:tc>
        <w:tc>
          <w:tcPr>
            <w:tcW w:w="56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uncontested director elections, with a director resignation</w:t>
            </w:r>
          </w:p>
        </w:tc>
      </w:tr>
      <w:tr>
        <w:trPr>
          <w:trHeight w:val="294"/>
        </w:trPr>
        <w:tc>
          <w:tcPr>
            <w:tcW w:w="3700" w:type="dxa"/>
            <w:vAlign w:val="bottom"/>
          </w:tcPr>
          <w:p>
            <w:pPr>
              <w:spacing w:after="0"/>
              <w:rPr>
                <w:sz w:val="24"/>
                <w:szCs w:val="24"/>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policy, instead of a simple plurality vote standard.</w:t>
            </w:r>
          </w:p>
        </w:tc>
      </w:tr>
      <w:tr>
        <w:trPr>
          <w:trHeight w:val="235"/>
        </w:trPr>
        <w:tc>
          <w:tcPr>
            <w:tcW w:w="370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r>
      <w:tr>
        <w:trPr>
          <w:trHeight w:val="220"/>
        </w:trPr>
        <w:tc>
          <w:tcPr>
            <w:tcW w:w="370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Align long-term incentives</w:t>
            </w:r>
          </w:p>
        </w:tc>
        <w:tc>
          <w:tcPr>
            <w:tcW w:w="5680" w:type="dxa"/>
            <w:vAlign w:val="bottom"/>
          </w:tcPr>
          <w:p>
            <w:pPr>
              <w:ind w:left="480"/>
              <w:spacing w:after="0" w:line="221" w:lineRule="exact"/>
              <w:rPr>
                <w:sz w:val="20"/>
                <w:szCs w:val="20"/>
                <w:color w:val="auto"/>
              </w:rPr>
            </w:pPr>
            <w:r>
              <w:rPr>
                <w:rFonts w:ascii="Times New Roman" w:cs="Times New Roman" w:eastAsia="Times New Roman" w:hAnsi="Times New Roman"/>
                <w:sz w:val="22"/>
                <w:szCs w:val="22"/>
                <w:color w:val="auto"/>
              </w:rPr>
              <w:t>We extended the vesting of our annual stock option</w:t>
            </w:r>
          </w:p>
        </w:tc>
      </w:tr>
      <w:tr>
        <w:trPr>
          <w:trHeight w:val="252"/>
        </w:trPr>
        <w:tc>
          <w:tcPr>
            <w:tcW w:w="3700" w:type="dxa"/>
            <w:vAlign w:val="bottom"/>
          </w:tcPr>
          <w:p>
            <w:pPr>
              <w:spacing w:after="0"/>
              <w:rPr>
                <w:sz w:val="21"/>
                <w:szCs w:val="21"/>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grants to three-year vesting in response to a concern</w:t>
            </w:r>
          </w:p>
        </w:tc>
      </w:tr>
      <w:tr>
        <w:trPr>
          <w:trHeight w:val="294"/>
        </w:trPr>
        <w:tc>
          <w:tcPr>
            <w:tcW w:w="3700" w:type="dxa"/>
            <w:vAlign w:val="bottom"/>
          </w:tcPr>
          <w:p>
            <w:pPr>
              <w:spacing w:after="0"/>
              <w:rPr>
                <w:sz w:val="24"/>
                <w:szCs w:val="24"/>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raised by one of our institutional stockholders.</w:t>
            </w:r>
          </w:p>
        </w:tc>
      </w:tr>
      <w:tr>
        <w:trPr>
          <w:trHeight w:val="914"/>
        </w:trPr>
        <w:tc>
          <w:tcPr>
            <w:tcW w:w="3700" w:type="dxa"/>
            <w:vAlign w:val="bottom"/>
          </w:tcPr>
          <w:p>
            <w:pPr>
              <w:spacing w:after="0"/>
              <w:rPr>
                <w:sz w:val="24"/>
                <w:szCs w:val="24"/>
                <w:color w:val="auto"/>
              </w:rPr>
            </w:pPr>
          </w:p>
        </w:tc>
        <w:tc>
          <w:tcPr>
            <w:tcW w:w="568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45</w:t>
            </w:r>
          </w:p>
        </w:tc>
      </w:tr>
    </w:tbl>
    <w:p>
      <w:pPr>
        <w:sectPr>
          <w:pgSz w:w="12240" w:h="15840" w:orient="portrait"/>
          <w:cols w:equalWidth="0" w:num="1">
            <w:col w:w="9460"/>
          </w:cols>
          <w:pgMar w:left="1340" w:top="1413" w:right="1440" w:bottom="137"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Borders>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0"/>
                <w:szCs w:val="20"/>
                <w:b w:val="1"/>
                <w:bCs w:val="1"/>
                <w:color w:val="auto"/>
              </w:rPr>
              <w:t>What We Heard</w:t>
            </w:r>
          </w:p>
        </w:tc>
        <w:tc>
          <w:tcPr>
            <w:tcW w:w="5640" w:type="dxa"/>
            <w:vAlign w:val="bottom"/>
            <w:tcBorders>
              <w:bottom w:val="single" w:sz="8" w:color="auto"/>
            </w:tcBorders>
            <w:shd w:val="clear" w:color="auto" w:fill="D9D9D9"/>
          </w:tcPr>
          <w:p>
            <w:pPr>
              <w:ind w:left="420"/>
              <w:spacing w:after="0"/>
              <w:rPr>
                <w:sz w:val="20"/>
                <w:szCs w:val="20"/>
                <w:color w:val="auto"/>
              </w:rPr>
            </w:pPr>
            <w:r>
              <w:rPr>
                <w:rFonts w:ascii="Times New Roman" w:cs="Times New Roman" w:eastAsia="Times New Roman" w:hAnsi="Times New Roman"/>
                <w:sz w:val="20"/>
                <w:szCs w:val="20"/>
                <w:b w:val="1"/>
                <w:bCs w:val="1"/>
                <w:color w:val="auto"/>
              </w:rPr>
              <w:t>What We Did</w:t>
            </w:r>
          </w:p>
        </w:tc>
      </w:tr>
      <w:tr>
        <w:trPr>
          <w:trHeight w:val="220"/>
        </w:trPr>
        <w:tc>
          <w:tcPr>
            <w:tcW w:w="374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Increase visibility of ESG principles</w:t>
            </w:r>
          </w:p>
        </w:tc>
        <w:tc>
          <w:tcPr>
            <w:tcW w:w="5640" w:type="dxa"/>
            <w:vAlign w:val="bottom"/>
          </w:tcPr>
          <w:p>
            <w:pPr>
              <w:ind w:left="420"/>
              <w:spacing w:after="0" w:line="221" w:lineRule="exact"/>
              <w:rPr>
                <w:sz w:val="20"/>
                <w:szCs w:val="20"/>
                <w:color w:val="auto"/>
              </w:rPr>
            </w:pPr>
            <w:r>
              <w:rPr>
                <w:rFonts w:ascii="Times New Roman" w:cs="Times New Roman" w:eastAsia="Times New Roman" w:hAnsi="Times New Roman"/>
                <w:sz w:val="22"/>
                <w:szCs w:val="22"/>
                <w:color w:val="auto"/>
              </w:rPr>
              <w:t>We adopted a Health, Safety and Environment Policy and</w:t>
            </w:r>
          </w:p>
        </w:tc>
      </w:tr>
      <w:tr>
        <w:trPr>
          <w:trHeight w:val="252"/>
        </w:trPr>
        <w:tc>
          <w:tcPr>
            <w:tcW w:w="3740" w:type="dxa"/>
            <w:vAlign w:val="bottom"/>
          </w:tcPr>
          <w:p>
            <w:pPr>
              <w:spacing w:after="0"/>
              <w:rPr>
                <w:sz w:val="21"/>
                <w:szCs w:val="21"/>
                <w:color w:val="auto"/>
              </w:rPr>
            </w:pPr>
          </w:p>
        </w:tc>
        <w:tc>
          <w:tcPr>
            <w:tcW w:w="56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Human Rights Policy to formalize our approach and</w:t>
            </w:r>
          </w:p>
        </w:tc>
      </w:tr>
      <w:tr>
        <w:trPr>
          <w:trHeight w:val="253"/>
        </w:trPr>
        <w:tc>
          <w:tcPr>
            <w:tcW w:w="3740" w:type="dxa"/>
            <w:vAlign w:val="bottom"/>
          </w:tcPr>
          <w:p>
            <w:pPr>
              <w:spacing w:after="0"/>
              <w:rPr>
                <w:sz w:val="22"/>
                <w:szCs w:val="22"/>
                <w:color w:val="auto"/>
              </w:rPr>
            </w:pPr>
          </w:p>
        </w:tc>
        <w:tc>
          <w:tcPr>
            <w:tcW w:w="56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further our goals with respect to these matters. We also</w:t>
            </w:r>
          </w:p>
        </w:tc>
      </w:tr>
      <w:tr>
        <w:trPr>
          <w:trHeight w:val="253"/>
        </w:trPr>
        <w:tc>
          <w:tcPr>
            <w:tcW w:w="3740" w:type="dxa"/>
            <w:vAlign w:val="bottom"/>
          </w:tcPr>
          <w:p>
            <w:pPr>
              <w:spacing w:after="0"/>
              <w:rPr>
                <w:sz w:val="22"/>
                <w:szCs w:val="22"/>
                <w:color w:val="auto"/>
              </w:rPr>
            </w:pPr>
          </w:p>
        </w:tc>
        <w:tc>
          <w:tcPr>
            <w:tcW w:w="56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added an ESG section to our investor relations website to</w:t>
            </w:r>
          </w:p>
        </w:tc>
      </w:tr>
      <w:tr>
        <w:trPr>
          <w:trHeight w:val="294"/>
        </w:trPr>
        <w:tc>
          <w:tcPr>
            <w:tcW w:w="3740" w:type="dxa"/>
            <w:vAlign w:val="bottom"/>
          </w:tcPr>
          <w:p>
            <w:pPr>
              <w:spacing w:after="0"/>
              <w:rPr>
                <w:sz w:val="24"/>
                <w:szCs w:val="24"/>
                <w:color w:val="auto"/>
              </w:rPr>
            </w:pPr>
          </w:p>
        </w:tc>
        <w:tc>
          <w:tcPr>
            <w:tcW w:w="56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increase visibility of our ESG efforts.</w:t>
            </w:r>
          </w:p>
        </w:tc>
      </w:tr>
    </w:tbl>
    <w:p>
      <w:pPr>
        <w:spacing w:after="0" w:line="200" w:lineRule="exact"/>
        <w:rPr>
          <w:sz w:val="20"/>
          <w:szCs w:val="20"/>
          <w:color w:val="auto"/>
        </w:rPr>
      </w:pPr>
    </w:p>
    <w:p>
      <w:pPr>
        <w:sectPr>
          <w:pgSz w:w="12240" w:h="15840" w:orient="portrait"/>
          <w:cols w:equalWidth="0" w:num="1">
            <w:col w:w="9460"/>
          </w:cols>
          <w:pgMar w:left="1340" w:top="1440" w:right="1440" w:bottom="178" w:gutter="0" w:footer="0" w:header="0"/>
        </w:sectPr>
      </w:pPr>
    </w:p>
    <w:p>
      <w:pPr>
        <w:spacing w:after="0" w:line="22" w:lineRule="exact"/>
        <w:rPr>
          <w:sz w:val="20"/>
          <w:szCs w:val="20"/>
          <w:color w:val="auto"/>
        </w:rPr>
      </w:pPr>
    </w:p>
    <w:p>
      <w:pPr>
        <w:ind w:left="100" w:right="320"/>
        <w:spacing w:after="0" w:line="277" w:lineRule="auto"/>
        <w:rPr>
          <w:sz w:val="20"/>
          <w:szCs w:val="20"/>
          <w:color w:val="auto"/>
        </w:rPr>
      </w:pPr>
      <w:r>
        <w:rPr>
          <w:rFonts w:ascii="Times New Roman" w:cs="Times New Roman" w:eastAsia="Times New Roman" w:hAnsi="Times New Roman"/>
          <w:sz w:val="21"/>
          <w:szCs w:val="21"/>
          <w:color w:val="auto"/>
        </w:rPr>
        <w:t>Ensure the recovery of incentive compensation based on incorrect calculations or egregious behavior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2"/>
          <w:szCs w:val="22"/>
          <w:color w:val="auto"/>
        </w:rPr>
        <w:t>We adopted a robust, Nasdaq-compliant clawback policy which applies not only to financial restatements, but also if a financial metric used to determine the vesting or payment of compensation was calculated incorrectly or if an executive engages in egregious conduct that is substantially detrimental to NTIC.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-2646680</wp:posOffset>
                </wp:positionH>
                <wp:positionV relativeFrom="paragraph">
                  <wp:posOffset>-980440</wp:posOffset>
                </wp:positionV>
                <wp:extent cx="595566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56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3999pt,-77.1999pt" to="260.55pt,-77.1999pt" o:allowincell="f" strokecolor="#000000" strokeweight="0.4799pt"/>
            </w:pict>
          </mc:Fallback>
        </mc:AlternateContent>
      </w:r>
    </w:p>
    <w:p>
      <w:pPr>
        <w:spacing w:after="0" w:line="200" w:lineRule="exact"/>
        <w:rPr>
          <w:sz w:val="20"/>
          <w:szCs w:val="20"/>
          <w:color w:val="auto"/>
        </w:rPr>
      </w:pPr>
    </w:p>
    <w:p>
      <w:pPr>
        <w:sectPr>
          <w:pgSz w:w="12240" w:h="15840" w:orient="portrait"/>
          <w:cols w:equalWidth="0" w:num="2">
            <w:col w:w="3440" w:space="720"/>
            <w:col w:w="5300"/>
          </w:cols>
          <w:pgMar w:left="1340" w:top="1440" w:right="1440" w:bottom="178" w:gutter="0" w:footer="0" w:header="0"/>
          <w:type w:val="continuous"/>
        </w:sectPr>
      </w:pPr>
    </w:p>
    <w:p>
      <w:pPr>
        <w:spacing w:after="0" w:line="19" w:lineRule="exact"/>
        <w:rPr>
          <w:sz w:val="20"/>
          <w:szCs w:val="20"/>
          <w:color w:val="auto"/>
        </w:rPr>
      </w:pPr>
    </w:p>
    <w:p>
      <w:pPr>
        <w:ind w:left="100"/>
        <w:spacing w:after="0" w:line="278" w:lineRule="auto"/>
        <w:rPr>
          <w:sz w:val="20"/>
          <w:szCs w:val="20"/>
          <w:color w:val="auto"/>
        </w:rPr>
      </w:pPr>
      <w:r>
        <w:rPr>
          <w:rFonts w:ascii="Times New Roman" w:cs="Times New Roman" w:eastAsia="Times New Roman" w:hAnsi="Times New Roman"/>
          <w:sz w:val="22"/>
          <w:szCs w:val="22"/>
          <w:color w:val="auto"/>
        </w:rPr>
        <w:t>Align the interests of executive officers and directors with those of stockholders</w:t>
      </w:r>
    </w:p>
    <w:p>
      <w:pPr>
        <w:spacing w:after="0" w:line="20" w:lineRule="exact"/>
        <w:rPr>
          <w:sz w:val="20"/>
          <w:szCs w:val="20"/>
          <w:color w:val="auto"/>
        </w:rPr>
      </w:pPr>
      <w:r>
        <w:rPr>
          <w:sz w:val="20"/>
          <w:szCs w:val="20"/>
          <w:color w:val="auto"/>
        </w:rPr>
        <w:br w:type="column"/>
      </w:r>
    </w:p>
    <w:p>
      <w:pPr>
        <w:ind w:right="240"/>
        <w:spacing w:after="0" w:line="253" w:lineRule="auto"/>
        <w:rPr>
          <w:sz w:val="20"/>
          <w:szCs w:val="20"/>
          <w:color w:val="auto"/>
        </w:rPr>
      </w:pPr>
      <w:r>
        <w:rPr>
          <w:rFonts w:ascii="Times New Roman" w:cs="Times New Roman" w:eastAsia="Times New Roman" w:hAnsi="Times New Roman"/>
          <w:sz w:val="22"/>
          <w:szCs w:val="22"/>
          <w:color w:val="auto"/>
        </w:rPr>
        <w:t>We adopted stock ownership guidelines applicable to our executive officers and directors to ensure that their interests would be closely aligned with those of our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-2646680</wp:posOffset>
                </wp:positionH>
                <wp:positionV relativeFrom="paragraph">
                  <wp:posOffset>-666115</wp:posOffset>
                </wp:positionV>
                <wp:extent cx="595566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56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3999pt,-52.4499pt" to="260.55pt,-52.4499pt" o:allowincell="f" strokecolor="#000000" strokeweight="0.4799pt"/>
            </w:pict>
          </mc:Fallback>
        </mc:AlternateContent>
      </w:r>
    </w:p>
    <w:p>
      <w:pPr>
        <w:spacing w:after="0" w:line="182" w:lineRule="exact"/>
        <w:rPr>
          <w:sz w:val="20"/>
          <w:szCs w:val="20"/>
          <w:color w:val="auto"/>
        </w:rPr>
      </w:pPr>
    </w:p>
    <w:p>
      <w:pPr>
        <w:sectPr>
          <w:pgSz w:w="12240" w:h="15840" w:orient="portrait"/>
          <w:cols w:equalWidth="0" w:num="2">
            <w:col w:w="3940" w:space="220"/>
            <w:col w:w="5300"/>
          </w:cols>
          <w:pgMar w:left="1340" w:top="1440" w:right="1440" w:bottom="178" w:gutter="0" w:footer="0" w:header="0"/>
          <w:type w:val="continuous"/>
        </w:sectPr>
      </w:pPr>
    </w:p>
    <w:p>
      <w:pPr>
        <w:ind w:left="100"/>
        <w:spacing w:after="0"/>
        <w:rPr>
          <w:sz w:val="20"/>
          <w:szCs w:val="20"/>
          <w:color w:val="auto"/>
        </w:rPr>
      </w:pPr>
      <w:r>
        <w:rPr>
          <w:rFonts w:ascii="Times New Roman" w:cs="Times New Roman" w:eastAsia="Times New Roman" w:hAnsi="Times New Roman"/>
          <w:sz w:val="22"/>
          <w:szCs w:val="22"/>
          <w:b w:val="1"/>
          <w:bCs w:val="1"/>
          <w:color w:val="auto"/>
        </w:rPr>
        <w:t>Process Regarding Stockholder Communications with Board of Directors</w:t>
      </w:r>
    </w:p>
    <w:p>
      <w:pPr>
        <w:spacing w:after="0" w:line="243" w:lineRule="exact"/>
        <w:rPr>
          <w:sz w:val="20"/>
          <w:szCs w:val="20"/>
          <w:color w:val="auto"/>
        </w:rPr>
      </w:pPr>
    </w:p>
    <w:p>
      <w:pPr>
        <w:ind w:left="100" w:right="60"/>
        <w:spacing w:after="0" w:line="246" w:lineRule="auto"/>
        <w:rPr>
          <w:sz w:val="20"/>
          <w:szCs w:val="20"/>
          <w:color w:val="auto"/>
        </w:rPr>
      </w:pPr>
      <w:r>
        <w:rPr>
          <w:rFonts w:ascii="Times New Roman" w:cs="Times New Roman" w:eastAsia="Times New Roman" w:hAnsi="Times New Roman"/>
          <w:sz w:val="22"/>
          <w:szCs w:val="22"/>
          <w:color w:val="auto"/>
        </w:rPr>
        <w:t>Stockholders may communicate with the Board of Directors or any one particular director by sending correspondence, addressed to NTIC’s Corporate Secretary, Northern Technologies International Corporation, 4201 Woodland Road, Circle Pines, MN 55014 with an instruction to forward the communication to the Board of Directors or one or more particular directors. NTIC’s Corporate Secretary will promptly forward all such stockholder communications to the Board of Directors or the one or more particular directors, with the exception of any advertisements, solicitations for periodical or other subscriptions and other similar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46</w:t>
      </w:r>
    </w:p>
    <w:p>
      <w:pPr>
        <w:sectPr>
          <w:pgSz w:w="12240" w:h="15840" w:orient="portrait"/>
          <w:cols w:equalWidth="0" w:num="1">
            <w:col w:w="9460"/>
          </w:cols>
          <w:pgMar w:left="1340" w:top="1440" w:right="1440" w:bottom="178" w:gutter="0" w:footer="0" w:header="0"/>
          <w:type w:val="continuous"/>
        </w:sectPr>
      </w:pPr>
    </w:p>
    <w:bookmarkStart w:id="53" w:name="page54"/>
    <w:bookmarkEnd w:id="53"/>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3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Summary of Cash and Other Compensation</w:t>
      </w:r>
    </w:p>
    <w:p>
      <w:pPr>
        <w:spacing w:after="0" w:line="243" w:lineRule="exact"/>
        <w:rPr>
          <w:sz w:val="20"/>
          <w:szCs w:val="20"/>
          <w:color w:val="auto"/>
        </w:rPr>
      </w:pPr>
    </w:p>
    <w:p>
      <w:pPr>
        <w:ind w:left="20" w:right="100"/>
        <w:spacing w:after="0" w:line="249" w:lineRule="auto"/>
        <w:rPr>
          <w:sz w:val="20"/>
          <w:szCs w:val="20"/>
          <w:color w:val="auto"/>
        </w:rPr>
      </w:pPr>
      <w:r>
        <w:rPr>
          <w:rFonts w:ascii="Times New Roman" w:cs="Times New Roman" w:eastAsia="Times New Roman" w:hAnsi="Times New Roman"/>
          <w:sz w:val="22"/>
          <w:szCs w:val="22"/>
          <w:color w:val="auto"/>
        </w:rPr>
        <w:t>The table below provides summary information concerning the compensation of each individual who served as a director of NTIC during the fiscal year ended August 31, 2025, other than G. Patrick Lynch, our President and Chief Executive Officer, who was not compensated separately for serving on the Board of Directors during fiscal 2025. His compensation during fiscal 2025 for serving as an executive officer of NTIC is set forth under “</w:t>
      </w:r>
      <w:r>
        <w:rPr>
          <w:rFonts w:ascii="Times New Roman" w:cs="Times New Roman" w:eastAsia="Times New Roman" w:hAnsi="Times New Roman"/>
          <w:sz w:val="22"/>
          <w:szCs w:val="22"/>
          <w:i w:val="1"/>
          <w:iCs w:val="1"/>
          <w:color w:val="auto"/>
        </w:rPr>
        <w:t>Executive Compensation</w:t>
      </w:r>
      <w:r>
        <w:rPr>
          <w:rFonts w:ascii="Times New Roman" w:cs="Times New Roman" w:eastAsia="Times New Roman" w:hAnsi="Times New Roman"/>
          <w:sz w:val="22"/>
          <w:szCs w:val="22"/>
          <w:color w:val="auto"/>
        </w:rPr>
        <w:t>” included elsewhere in this proxy statement.</w:t>
      </w:r>
    </w:p>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DIRECTOR COMPENSATION – FISCAL 2025</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360" w:type="dxa"/>
            <w:vAlign w:val="bottom"/>
            <w:gridSpan w:val="2"/>
            <w:shd w:val="clear" w:color="auto" w:fill="D9D9D9"/>
          </w:tcPr>
          <w:p>
            <w:pPr>
              <w:ind w:left="20"/>
              <w:spacing w:after="0"/>
              <w:rPr>
                <w:sz w:val="20"/>
                <w:szCs w:val="20"/>
                <w:color w:val="auto"/>
              </w:rPr>
            </w:pPr>
            <w:r>
              <w:rPr>
                <w:rFonts w:ascii="Times New Roman" w:cs="Times New Roman" w:eastAsia="Times New Roman" w:hAnsi="Times New Roman"/>
                <w:sz w:val="20"/>
                <w:szCs w:val="20"/>
                <w:b w:val="1"/>
                <w:bCs w:val="1"/>
                <w:color w:val="auto"/>
              </w:rPr>
              <w:t>Fees Earned or</w:t>
            </w:r>
          </w:p>
        </w:tc>
        <w:tc>
          <w:tcPr>
            <w:tcW w:w="80" w:type="dxa"/>
            <w:vAlign w:val="bottom"/>
            <w:tcBorders>
              <w:right w:val="single" w:sz="8" w:color="D9D9D9"/>
            </w:tcBorders>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1040" w:type="dxa"/>
            <w:vAlign w:val="bottom"/>
            <w:tcBorders>
              <w:right w:val="single" w:sz="8" w:color="D9D9D9"/>
            </w:tcBorders>
            <w:shd w:val="clear" w:color="auto" w:fill="D9D9D9"/>
          </w:tcPr>
          <w:p>
            <w:pPr>
              <w:jc w:val="center"/>
              <w:ind w:right="138"/>
              <w:spacing w:after="0"/>
              <w:rPr>
                <w:sz w:val="20"/>
                <w:szCs w:val="20"/>
                <w:color w:val="auto"/>
              </w:rPr>
            </w:pPr>
            <w:r>
              <w:rPr>
                <w:rFonts w:ascii="Times New Roman" w:cs="Times New Roman" w:eastAsia="Times New Roman" w:hAnsi="Times New Roman"/>
                <w:sz w:val="20"/>
                <w:szCs w:val="20"/>
                <w:b w:val="1"/>
                <w:bCs w:val="1"/>
                <w:color w:val="auto"/>
              </w:rPr>
              <w:t>Stock</w:t>
            </w:r>
          </w:p>
        </w:tc>
        <w:tc>
          <w:tcPr>
            <w:tcW w:w="20" w:type="dxa"/>
            <w:vAlign w:val="bottom"/>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920" w:type="dxa"/>
            <w:vAlign w:val="bottom"/>
            <w:shd w:val="clear" w:color="auto" w:fill="D9D9D9"/>
          </w:tcPr>
          <w:p>
            <w:pPr>
              <w:jc w:val="center"/>
              <w:ind w:right="58"/>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8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1140" w:type="dxa"/>
            <w:vAlign w:val="bottom"/>
            <w:shd w:val="clear" w:color="auto" w:fill="D9D9D9"/>
          </w:tcPr>
          <w:p>
            <w:pPr>
              <w:jc w:val="center"/>
              <w:ind w:right="72"/>
              <w:spacing w:after="0"/>
              <w:rPr>
                <w:sz w:val="20"/>
                <w:szCs w:val="20"/>
                <w:color w:val="auto"/>
              </w:rPr>
            </w:pPr>
            <w:r>
              <w:rPr>
                <w:rFonts w:ascii="Times New Roman" w:cs="Times New Roman" w:eastAsia="Times New Roman" w:hAnsi="Times New Roman"/>
                <w:sz w:val="20"/>
                <w:szCs w:val="20"/>
                <w:b w:val="1"/>
                <w:bCs w:val="1"/>
                <w:color w:val="auto"/>
                <w:w w:val="97"/>
              </w:rPr>
              <w:t>All Other</w:t>
            </w:r>
          </w:p>
        </w:tc>
        <w:tc>
          <w:tcPr>
            <w:tcW w:w="100" w:type="dxa"/>
            <w:vAlign w:val="bottom"/>
            <w:shd w:val="clear" w:color="auto" w:fill="D9D9D9"/>
          </w:tcPr>
          <w:p>
            <w:pPr>
              <w:spacing w:after="0"/>
              <w:rPr>
                <w:sz w:val="20"/>
                <w:szCs w:val="20"/>
                <w:color w:val="auto"/>
              </w:rPr>
            </w:pPr>
          </w:p>
        </w:tc>
        <w:tc>
          <w:tcPr>
            <w:tcW w:w="220" w:type="dxa"/>
            <w:vAlign w:val="bottom"/>
            <w:shd w:val="clear" w:color="auto" w:fill="D9D9D9"/>
          </w:tcPr>
          <w:p>
            <w:pPr>
              <w:spacing w:after="0"/>
              <w:rPr>
                <w:sz w:val="20"/>
                <w:szCs w:val="20"/>
                <w:color w:val="auto"/>
              </w:rPr>
            </w:pPr>
          </w:p>
        </w:tc>
        <w:tc>
          <w:tcPr>
            <w:tcW w:w="980" w:type="dxa"/>
            <w:vAlign w:val="bottom"/>
            <w:shd w:val="clear" w:color="auto" w:fill="D9D9D9"/>
          </w:tcPr>
          <w:p>
            <w:pPr>
              <w:spacing w:after="0"/>
              <w:rPr>
                <w:sz w:val="20"/>
                <w:szCs w:val="20"/>
                <w:color w:val="auto"/>
              </w:rPr>
            </w:pPr>
          </w:p>
        </w:tc>
      </w:tr>
      <w:tr>
        <w:trPr>
          <w:trHeight w:val="230"/>
        </w:trPr>
        <w:tc>
          <w:tcPr>
            <w:tcW w:w="296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1240" w:type="dxa"/>
            <w:vAlign w:val="bottom"/>
            <w:shd w:val="clear" w:color="auto" w:fill="D9D9D9"/>
          </w:tcPr>
          <w:p>
            <w:pPr>
              <w:spacing w:after="0"/>
              <w:rPr>
                <w:sz w:val="20"/>
                <w:szCs w:val="20"/>
                <w:color w:val="auto"/>
              </w:rPr>
            </w:pPr>
            <w:r>
              <w:rPr>
                <w:rFonts w:ascii="Times New Roman" w:cs="Times New Roman" w:eastAsia="Times New Roman" w:hAnsi="Times New Roman"/>
                <w:sz w:val="20"/>
                <w:szCs w:val="20"/>
                <w:b w:val="1"/>
                <w:bCs w:val="1"/>
                <w:color w:val="auto"/>
              </w:rPr>
              <w:t>Paid in Cash</w:t>
            </w:r>
          </w:p>
        </w:tc>
        <w:tc>
          <w:tcPr>
            <w:tcW w:w="80" w:type="dxa"/>
            <w:vAlign w:val="bottom"/>
            <w:tcBorders>
              <w:right w:val="single" w:sz="8" w:color="D9D9D9"/>
            </w:tcBorders>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1040" w:type="dxa"/>
            <w:vAlign w:val="bottom"/>
            <w:tcBorders>
              <w:right w:val="single" w:sz="8" w:color="D9D9D9"/>
            </w:tcBorders>
            <w:shd w:val="clear" w:color="auto" w:fill="D9D9D9"/>
          </w:tcPr>
          <w:p>
            <w:pPr>
              <w:jc w:val="center"/>
              <w:ind w:right="138"/>
              <w:spacing w:after="0"/>
              <w:rPr>
                <w:sz w:val="20"/>
                <w:szCs w:val="20"/>
                <w:color w:val="auto"/>
              </w:rPr>
            </w:pPr>
            <w:r>
              <w:rPr>
                <w:rFonts w:ascii="Times New Roman" w:cs="Times New Roman" w:eastAsia="Times New Roman" w:hAnsi="Times New Roman"/>
                <w:sz w:val="20"/>
                <w:szCs w:val="20"/>
                <w:b w:val="1"/>
                <w:bCs w:val="1"/>
                <w:color w:val="auto"/>
              </w:rPr>
              <w:t>Awards</w:t>
            </w:r>
          </w:p>
        </w:tc>
        <w:tc>
          <w:tcPr>
            <w:tcW w:w="20" w:type="dxa"/>
            <w:vAlign w:val="bottom"/>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920" w:type="dxa"/>
            <w:vAlign w:val="bottom"/>
            <w:shd w:val="clear" w:color="auto" w:fill="D9D9D9"/>
          </w:tcPr>
          <w:p>
            <w:pPr>
              <w:jc w:val="center"/>
              <w:ind w:right="58"/>
              <w:spacing w:after="0"/>
              <w:rPr>
                <w:sz w:val="20"/>
                <w:szCs w:val="20"/>
                <w:color w:val="auto"/>
              </w:rPr>
            </w:pPr>
            <w:r>
              <w:rPr>
                <w:rFonts w:ascii="Times New Roman" w:cs="Times New Roman" w:eastAsia="Times New Roman" w:hAnsi="Times New Roman"/>
                <w:sz w:val="20"/>
                <w:szCs w:val="20"/>
                <w:b w:val="1"/>
                <w:bCs w:val="1"/>
                <w:color w:val="auto"/>
              </w:rPr>
              <w:t>Awards</w:t>
            </w:r>
          </w:p>
        </w:tc>
        <w:tc>
          <w:tcPr>
            <w:tcW w:w="80" w:type="dxa"/>
            <w:vAlign w:val="bottom"/>
            <w:shd w:val="clear" w:color="auto" w:fill="D9D9D9"/>
          </w:tcPr>
          <w:p>
            <w:pPr>
              <w:spacing w:after="0"/>
              <w:rPr>
                <w:sz w:val="20"/>
                <w:szCs w:val="20"/>
                <w:color w:val="auto"/>
              </w:rPr>
            </w:pPr>
          </w:p>
        </w:tc>
        <w:tc>
          <w:tcPr>
            <w:tcW w:w="1300" w:type="dxa"/>
            <w:vAlign w:val="bottom"/>
            <w:gridSpan w:val="2"/>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100" w:type="dxa"/>
            <w:vAlign w:val="bottom"/>
            <w:shd w:val="clear" w:color="auto" w:fill="D9D9D9"/>
          </w:tcPr>
          <w:p>
            <w:pPr>
              <w:spacing w:after="0"/>
              <w:rPr>
                <w:sz w:val="20"/>
                <w:szCs w:val="20"/>
                <w:color w:val="auto"/>
              </w:rPr>
            </w:pPr>
          </w:p>
        </w:tc>
        <w:tc>
          <w:tcPr>
            <w:tcW w:w="220" w:type="dxa"/>
            <w:vAlign w:val="bottom"/>
            <w:shd w:val="clear" w:color="auto" w:fill="D9D9D9"/>
          </w:tcPr>
          <w:p>
            <w:pPr>
              <w:spacing w:after="0"/>
              <w:rPr>
                <w:sz w:val="20"/>
                <w:szCs w:val="20"/>
                <w:color w:val="auto"/>
              </w:rPr>
            </w:pPr>
          </w:p>
        </w:tc>
        <w:tc>
          <w:tcPr>
            <w:tcW w:w="980" w:type="dxa"/>
            <w:vAlign w:val="bottom"/>
            <w:shd w:val="clear" w:color="auto" w:fill="D9D9D9"/>
          </w:tcPr>
          <w:p>
            <w:pPr>
              <w:jc w:val="right"/>
              <w:ind w:right="272"/>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48"/>
        </w:trPr>
        <w:tc>
          <w:tcPr>
            <w:tcW w:w="2960" w:type="dxa"/>
            <w:vAlign w:val="bottom"/>
            <w:tcBorders>
              <w:bottom w:val="single" w:sz="8" w:color="auto"/>
            </w:tcBorders>
            <w:shd w:val="clear" w:color="auto" w:fill="D9D9D9"/>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20" w:type="dxa"/>
            <w:vAlign w:val="bottom"/>
            <w:tcBorders>
              <w:bottom w:val="single" w:sz="8" w:color="auto"/>
            </w:tcBorders>
            <w:shd w:val="clear" w:color="auto" w:fill="D9D9D9"/>
          </w:tcPr>
          <w:p>
            <w:pPr>
              <w:spacing w:after="0"/>
              <w:rPr>
                <w:sz w:val="21"/>
                <w:szCs w:val="21"/>
                <w:color w:val="auto"/>
              </w:rPr>
            </w:pPr>
          </w:p>
        </w:tc>
        <w:tc>
          <w:tcPr>
            <w:tcW w:w="80" w:type="dxa"/>
            <w:vAlign w:val="bottom"/>
            <w:tcBorders>
              <w:bottom w:val="single" w:sz="8" w:color="D9D9D9"/>
            </w:tcBorders>
            <w:shd w:val="clear" w:color="auto" w:fill="D9D9D9"/>
          </w:tcPr>
          <w:p>
            <w:pPr>
              <w:spacing w:after="0"/>
              <w:rPr>
                <w:sz w:val="21"/>
                <w:szCs w:val="21"/>
                <w:color w:val="auto"/>
              </w:rPr>
            </w:pPr>
          </w:p>
        </w:tc>
        <w:tc>
          <w:tcPr>
            <w:tcW w:w="120" w:type="dxa"/>
            <w:vAlign w:val="bottom"/>
            <w:tcBorders>
              <w:bottom w:val="single" w:sz="8" w:color="auto"/>
            </w:tcBorders>
            <w:shd w:val="clear" w:color="auto" w:fill="D9D9D9"/>
          </w:tcPr>
          <w:p>
            <w:pPr>
              <w:spacing w:after="0"/>
              <w:rPr>
                <w:sz w:val="21"/>
                <w:szCs w:val="21"/>
                <w:color w:val="auto"/>
              </w:rPr>
            </w:pPr>
          </w:p>
        </w:tc>
        <w:tc>
          <w:tcPr>
            <w:tcW w:w="1240" w:type="dxa"/>
            <w:vAlign w:val="bottom"/>
            <w:tcBorders>
              <w:bottom w:val="single" w:sz="8" w:color="auto"/>
            </w:tcBorders>
            <w:shd w:val="clear" w:color="auto" w:fill="D9D9D9"/>
          </w:tcPr>
          <w:p>
            <w:pPr>
              <w:ind w:left="440"/>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Borders>
              <w:right w:val="single" w:sz="8" w:color="D9D9D9"/>
            </w:tcBorders>
          </w:tcPr>
          <w:p>
            <w:pPr>
              <w:spacing w:after="0"/>
              <w:rPr>
                <w:sz w:val="21"/>
                <w:szCs w:val="21"/>
                <w:color w:val="auto"/>
              </w:rPr>
            </w:pPr>
          </w:p>
        </w:tc>
        <w:tc>
          <w:tcPr>
            <w:tcW w:w="160" w:type="dxa"/>
            <w:vAlign w:val="bottom"/>
            <w:tcBorders>
              <w:bottom w:val="single" w:sz="8" w:color="auto"/>
            </w:tcBorders>
            <w:shd w:val="clear" w:color="auto" w:fill="D9D9D9"/>
          </w:tcPr>
          <w:p>
            <w:pPr>
              <w:spacing w:after="0"/>
              <w:rPr>
                <w:sz w:val="21"/>
                <w:szCs w:val="21"/>
                <w:color w:val="auto"/>
              </w:rPr>
            </w:pPr>
          </w:p>
        </w:tc>
        <w:tc>
          <w:tcPr>
            <w:tcW w:w="1040" w:type="dxa"/>
            <w:vAlign w:val="bottom"/>
            <w:tcBorders>
              <w:bottom w:val="single" w:sz="8" w:color="auto"/>
              <w:right w:val="single" w:sz="8" w:color="D9D9D9"/>
            </w:tcBorders>
            <w:shd w:val="clear" w:color="auto" w:fill="D9D9D9"/>
          </w:tcPr>
          <w:p>
            <w:pPr>
              <w:jc w:val="center"/>
              <w:ind w:right="138"/>
              <w:spacing w:after="0" w:line="249"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(1)(2)</w:t>
            </w:r>
          </w:p>
        </w:tc>
        <w:tc>
          <w:tcPr>
            <w:tcW w:w="20" w:type="dxa"/>
            <w:vAlign w:val="bottom"/>
          </w:tcPr>
          <w:p>
            <w:pPr>
              <w:spacing w:after="0"/>
              <w:rPr>
                <w:sz w:val="21"/>
                <w:szCs w:val="21"/>
                <w:color w:val="auto"/>
              </w:rPr>
            </w:pPr>
          </w:p>
        </w:tc>
        <w:tc>
          <w:tcPr>
            <w:tcW w:w="140" w:type="dxa"/>
            <w:vAlign w:val="bottom"/>
            <w:tcBorders>
              <w:bottom w:val="single" w:sz="8" w:color="auto"/>
            </w:tcBorders>
            <w:shd w:val="clear" w:color="auto" w:fill="D9D9D9"/>
          </w:tcPr>
          <w:p>
            <w:pPr>
              <w:spacing w:after="0"/>
              <w:rPr>
                <w:sz w:val="21"/>
                <w:szCs w:val="21"/>
                <w:color w:val="auto"/>
              </w:rPr>
            </w:pPr>
          </w:p>
        </w:tc>
        <w:tc>
          <w:tcPr>
            <w:tcW w:w="920" w:type="dxa"/>
            <w:vAlign w:val="bottom"/>
            <w:tcBorders>
              <w:bottom w:val="single" w:sz="8" w:color="auto"/>
            </w:tcBorders>
            <w:shd w:val="clear" w:color="auto" w:fill="D9D9D9"/>
          </w:tcPr>
          <w:p>
            <w:pPr>
              <w:jc w:val="center"/>
              <w:spacing w:after="0" w:line="249"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(3)(4)</w:t>
            </w:r>
          </w:p>
        </w:tc>
        <w:tc>
          <w:tcPr>
            <w:tcW w:w="80" w:type="dxa"/>
            <w:vAlign w:val="bottom"/>
            <w:tcBorders>
              <w:bottom w:val="single" w:sz="8" w:color="D9D9D9"/>
            </w:tcBorders>
            <w:shd w:val="clear" w:color="auto" w:fill="D9D9D9"/>
          </w:tcPr>
          <w:p>
            <w:pPr>
              <w:spacing w:after="0"/>
              <w:rPr>
                <w:sz w:val="21"/>
                <w:szCs w:val="21"/>
                <w:color w:val="auto"/>
              </w:rPr>
            </w:pPr>
          </w:p>
        </w:tc>
        <w:tc>
          <w:tcPr>
            <w:tcW w:w="160" w:type="dxa"/>
            <w:vAlign w:val="bottom"/>
            <w:tcBorders>
              <w:bottom w:val="single" w:sz="8" w:color="auto"/>
            </w:tcBorders>
            <w:shd w:val="clear" w:color="auto" w:fill="D9D9D9"/>
          </w:tcPr>
          <w:p>
            <w:pPr>
              <w:spacing w:after="0"/>
              <w:rPr>
                <w:sz w:val="21"/>
                <w:szCs w:val="21"/>
                <w:color w:val="auto"/>
              </w:rPr>
            </w:pPr>
          </w:p>
        </w:tc>
        <w:tc>
          <w:tcPr>
            <w:tcW w:w="1140" w:type="dxa"/>
            <w:vAlign w:val="bottom"/>
            <w:tcBorders>
              <w:bottom w:val="single" w:sz="8" w:color="auto"/>
            </w:tcBorders>
            <w:shd w:val="clear" w:color="auto" w:fill="D9D9D9"/>
          </w:tcPr>
          <w:p>
            <w:pPr>
              <w:jc w:val="center"/>
              <w:ind w:right="12"/>
              <w:spacing w:after="0" w:line="248" w:lineRule="exact"/>
              <w:rPr>
                <w:sz w:val="20"/>
                <w:szCs w:val="20"/>
                <w:color w:val="auto"/>
              </w:rPr>
            </w:pPr>
            <w:r>
              <w:rPr>
                <w:rFonts w:ascii="Times New Roman" w:cs="Times New Roman" w:eastAsia="Times New Roman" w:hAnsi="Times New Roman"/>
                <w:sz w:val="20"/>
                <w:szCs w:val="20"/>
                <w:b w:val="1"/>
                <w:bCs w:val="1"/>
                <w:color w:val="auto"/>
                <w:w w:val="88"/>
              </w:rPr>
              <w:t>($)</w:t>
            </w:r>
            <w:r>
              <w:rPr>
                <w:rFonts w:ascii="Times New Roman" w:cs="Times New Roman" w:eastAsia="Times New Roman" w:hAnsi="Times New Roman"/>
                <w:sz w:val="25"/>
                <w:szCs w:val="25"/>
                <w:b w:val="1"/>
                <w:bCs w:val="1"/>
                <w:color w:val="auto"/>
                <w:w w:val="88"/>
                <w:vertAlign w:val="superscript"/>
              </w:rPr>
              <w:t>(5)</w:t>
            </w:r>
          </w:p>
        </w:tc>
        <w:tc>
          <w:tcPr>
            <w:tcW w:w="100" w:type="dxa"/>
            <w:vAlign w:val="bottom"/>
            <w:tcBorders>
              <w:bottom w:val="single" w:sz="8" w:color="D9D9D9"/>
            </w:tcBorders>
            <w:shd w:val="clear" w:color="auto" w:fill="D9D9D9"/>
          </w:tcPr>
          <w:p>
            <w:pPr>
              <w:spacing w:after="0"/>
              <w:rPr>
                <w:sz w:val="21"/>
                <w:szCs w:val="21"/>
                <w:color w:val="auto"/>
              </w:rPr>
            </w:pPr>
          </w:p>
        </w:tc>
        <w:tc>
          <w:tcPr>
            <w:tcW w:w="220" w:type="dxa"/>
            <w:vAlign w:val="bottom"/>
            <w:tcBorders>
              <w:bottom w:val="single" w:sz="8" w:color="auto"/>
            </w:tcBorders>
            <w:shd w:val="clear" w:color="auto" w:fill="D9D9D9"/>
          </w:tcPr>
          <w:p>
            <w:pPr>
              <w:spacing w:after="0"/>
              <w:rPr>
                <w:sz w:val="21"/>
                <w:szCs w:val="21"/>
                <w:color w:val="auto"/>
              </w:rPr>
            </w:pPr>
          </w:p>
        </w:tc>
        <w:tc>
          <w:tcPr>
            <w:tcW w:w="980" w:type="dxa"/>
            <w:vAlign w:val="bottom"/>
            <w:tcBorders>
              <w:bottom w:val="single" w:sz="8" w:color="auto"/>
            </w:tcBorders>
            <w:shd w:val="clear" w:color="auto" w:fill="D9D9D9"/>
          </w:tcPr>
          <w:p>
            <w:pPr>
              <w:jc w:val="right"/>
              <w:ind w:right="392"/>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22"/>
        </w:trPr>
        <w:tc>
          <w:tcPr>
            <w:tcW w:w="2960" w:type="dxa"/>
            <w:vAlign w:val="bottom"/>
          </w:tcPr>
          <w:p>
            <w:pPr>
              <w:spacing w:after="0" w:line="222" w:lineRule="exact"/>
              <w:rPr>
                <w:sz w:val="20"/>
                <w:szCs w:val="20"/>
                <w:color w:val="auto"/>
              </w:rPr>
            </w:pPr>
            <w:r>
              <w:rPr>
                <w:rFonts w:ascii="Times New Roman" w:cs="Times New Roman" w:eastAsia="Times New Roman" w:hAnsi="Times New Roman"/>
                <w:sz w:val="22"/>
                <w:szCs w:val="22"/>
                <w:color w:val="auto"/>
                <w:w w:val="97"/>
              </w:rPr>
              <w:t>Nancy E. Calderon .......................</w:t>
            </w:r>
          </w:p>
        </w:tc>
        <w:tc>
          <w:tcPr>
            <w:tcW w:w="220" w:type="dxa"/>
            <w:vAlign w:val="bottom"/>
            <w:gridSpan w:val="3"/>
          </w:tcPr>
          <w:p>
            <w:pPr>
              <w:ind w:left="100"/>
              <w:spacing w:after="0" w:line="222"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ind w:left="460"/>
              <w:spacing w:after="0" w:line="222" w:lineRule="exact"/>
              <w:rPr>
                <w:sz w:val="20"/>
                <w:szCs w:val="20"/>
                <w:color w:val="auto"/>
              </w:rPr>
            </w:pPr>
            <w:r>
              <w:rPr>
                <w:rFonts w:ascii="Times New Roman" w:cs="Times New Roman" w:eastAsia="Times New Roman" w:hAnsi="Times New Roman"/>
                <w:sz w:val="22"/>
                <w:szCs w:val="22"/>
                <w:color w:val="auto"/>
              </w:rPr>
              <w:t>46,500</w:t>
            </w:r>
          </w:p>
        </w:tc>
        <w:tc>
          <w:tcPr>
            <w:tcW w:w="80" w:type="dxa"/>
            <w:vAlign w:val="bottom"/>
          </w:tcPr>
          <w:p>
            <w:pPr>
              <w:spacing w:after="0"/>
              <w:rPr>
                <w:sz w:val="19"/>
                <w:szCs w:val="19"/>
                <w:color w:val="auto"/>
              </w:rPr>
            </w:pPr>
          </w:p>
        </w:tc>
        <w:tc>
          <w:tcPr>
            <w:tcW w:w="160" w:type="dxa"/>
            <w:vAlign w:val="bottom"/>
          </w:tcPr>
          <w:p>
            <w:pPr>
              <w:jc w:val="right"/>
              <w:spacing w:after="0" w:line="222"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line="222" w:lineRule="exact"/>
              <w:rPr>
                <w:sz w:val="20"/>
                <w:szCs w:val="20"/>
                <w:color w:val="auto"/>
              </w:rPr>
            </w:pPr>
            <w:r>
              <w:rPr>
                <w:rFonts w:ascii="Times New Roman" w:cs="Times New Roman" w:eastAsia="Times New Roman" w:hAnsi="Times New Roman"/>
                <w:sz w:val="22"/>
                <w:szCs w:val="22"/>
                <w:color w:val="auto"/>
              </w:rPr>
              <w:t>50,000</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222"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gridSpan w:val="2"/>
          </w:tcPr>
          <w:p>
            <w:pPr>
              <w:jc w:val="right"/>
              <w:spacing w:after="0" w:line="222"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gridSpan w:val="3"/>
          </w:tcPr>
          <w:p>
            <w:pPr>
              <w:ind w:left="860"/>
              <w:spacing w:after="0" w:line="222" w:lineRule="exact"/>
              <w:rPr>
                <w:sz w:val="20"/>
                <w:szCs w:val="20"/>
                <w:color w:val="auto"/>
              </w:rPr>
            </w:pPr>
            <w:r>
              <w:rPr>
                <w:rFonts w:ascii="Times New Roman" w:cs="Times New Roman" w:eastAsia="Times New Roman" w:hAnsi="Times New Roman"/>
                <w:sz w:val="22"/>
                <w:szCs w:val="22"/>
                <w:color w:val="auto"/>
              </w:rPr>
              <w:t>—  $</w:t>
            </w:r>
          </w:p>
        </w:tc>
        <w:tc>
          <w:tcPr>
            <w:tcW w:w="980" w:type="dxa"/>
            <w:vAlign w:val="bottom"/>
          </w:tcPr>
          <w:p>
            <w:pPr>
              <w:jc w:val="right"/>
              <w:ind w:right="72"/>
              <w:spacing w:after="0" w:line="222" w:lineRule="exact"/>
              <w:rPr>
                <w:sz w:val="20"/>
                <w:szCs w:val="20"/>
                <w:color w:val="auto"/>
              </w:rPr>
            </w:pPr>
            <w:r>
              <w:rPr>
                <w:rFonts w:ascii="Times New Roman" w:cs="Times New Roman" w:eastAsia="Times New Roman" w:hAnsi="Times New Roman"/>
                <w:sz w:val="22"/>
                <w:szCs w:val="22"/>
                <w:color w:val="auto"/>
              </w:rPr>
              <w:t>96,500</w:t>
            </w:r>
          </w:p>
        </w:tc>
      </w:tr>
      <w:tr>
        <w:trPr>
          <w:trHeight w:val="253"/>
        </w:trPr>
        <w:tc>
          <w:tcPr>
            <w:tcW w:w="29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Sarah E. Kemp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37,500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87,500</w:t>
            </w:r>
          </w:p>
        </w:tc>
      </w:tr>
      <w:tr>
        <w:trPr>
          <w:trHeight w:val="253"/>
        </w:trPr>
        <w:tc>
          <w:tcPr>
            <w:tcW w:w="29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Sunggyu Lee, Ph.D.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34,000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50,000</w:t>
            </w:r>
          </w:p>
        </w:tc>
        <w:tc>
          <w:tcPr>
            <w:tcW w:w="160" w:type="dxa"/>
            <w:vAlign w:val="bottom"/>
          </w:tcPr>
          <w:p>
            <w:pPr>
              <w:spacing w:after="0"/>
              <w:rPr>
                <w:sz w:val="22"/>
                <w:szCs w:val="22"/>
                <w:color w:val="auto"/>
              </w:rPr>
            </w:pP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84,000</w:t>
            </w:r>
          </w:p>
        </w:tc>
      </w:tr>
      <w:tr>
        <w:trPr>
          <w:trHeight w:val="252"/>
        </w:trPr>
        <w:tc>
          <w:tcPr>
            <w:tcW w:w="29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Ramani Narayan, Ph.D.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31,000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50,000</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225,000</w:t>
            </w:r>
          </w:p>
        </w:tc>
      </w:tr>
      <w:tr>
        <w:trPr>
          <w:trHeight w:val="253"/>
        </w:trPr>
        <w:tc>
          <w:tcPr>
            <w:tcW w:w="29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Richard J. Nigon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57,500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117,500</w:t>
            </w:r>
          </w:p>
        </w:tc>
      </w:tr>
      <w:tr>
        <w:trPr>
          <w:trHeight w:val="253"/>
        </w:trPr>
        <w:tc>
          <w:tcPr>
            <w:tcW w:w="29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Cristina Pinho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34,000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84,000</w:t>
            </w:r>
          </w:p>
        </w:tc>
      </w:tr>
      <w:tr>
        <w:trPr>
          <w:trHeight w:val="253"/>
        </w:trPr>
        <w:tc>
          <w:tcPr>
            <w:tcW w:w="29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Konstantin von Falkenhausen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44,000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94,000</w:t>
            </w:r>
          </w:p>
        </w:tc>
      </w:tr>
      <w:tr>
        <w:trPr>
          <w:trHeight w:val="284"/>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_____________________</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ind w:left="740" w:right="260" w:hanging="738"/>
        <w:spacing w:after="0" w:line="244" w:lineRule="auto"/>
        <w:tabs>
          <w:tab w:leader="none" w:pos="7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in this column represent the aggregate grant date fair value for restricted stock unit awards granted to our non-employee directors in fiscal 2025. The grant date fair value for the restricted stock unit awards was determined based on the closing sale price of our common stock on the grant date.</w:t>
      </w:r>
    </w:p>
    <w:p>
      <w:pPr>
        <w:spacing w:after="0" w:line="199" w:lineRule="exact"/>
        <w:rPr>
          <w:rFonts w:ascii="Times New Roman" w:cs="Times New Roman" w:eastAsia="Times New Roman" w:hAnsi="Times New Roman"/>
          <w:sz w:val="20"/>
          <w:szCs w:val="20"/>
          <w:color w:val="auto"/>
        </w:rPr>
      </w:pPr>
    </w:p>
    <w:p>
      <w:pPr>
        <w:ind w:left="740" w:right="300" w:hanging="738"/>
        <w:spacing w:after="0" w:line="244" w:lineRule="auto"/>
        <w:tabs>
          <w:tab w:leader="none" w:pos="7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September 1, 2024, each non-employee director serving at the time, other than Mr. Lynch, Dr. Lee, Dr. Narayan, Mr. Nigon and Mr. von Falkenhausen, received a restricted stock unit award covering 3,771 shares of our common stock granted under the Northern Technologies International Corporation 2024 Stock Incentive Plan, the material terms of which are described in more detail under “</w:t>
      </w:r>
      <w:r>
        <w:rPr>
          <w:rFonts w:ascii="Times New Roman" w:cs="Times New Roman" w:eastAsia="Times New Roman" w:hAnsi="Times New Roman"/>
          <w:sz w:val="20"/>
          <w:szCs w:val="20"/>
          <w:i w:val="1"/>
          <w:iCs w:val="1"/>
          <w:color w:val="auto"/>
        </w:rPr>
        <w:t>Executive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Compensation—Stock Incentive Plans</w:t>
      </w:r>
      <w:r>
        <w:rPr>
          <w:rFonts w:ascii="Times New Roman" w:cs="Times New Roman" w:eastAsia="Times New Roman" w:hAnsi="Times New Roman"/>
          <w:sz w:val="20"/>
          <w:szCs w:val="20"/>
          <w:color w:val="auto"/>
        </w:rPr>
        <w:t>.” These restricted stock units vested in full on September 1,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of August 31, 2025, each non-employee director held the following number of unvested stock awards (all of which are in the form of restricted stock units): Ms. Calderon (3,771); Ms. Kemp (3,771); Dr. Lee</w:t>
      </w:r>
    </w:p>
    <w:p>
      <w:pPr>
        <w:spacing w:after="0" w:line="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 Dr. Narayan (0); Mr. Nigon (0); Ms. Pinho (3,771); and Mr. von Falkenhausen (0).</w:t>
      </w:r>
    </w:p>
    <w:p>
      <w:pPr>
        <w:spacing w:after="0" w:line="212" w:lineRule="exact"/>
        <w:rPr>
          <w:rFonts w:ascii="Times New Roman" w:cs="Times New Roman" w:eastAsia="Times New Roman" w:hAnsi="Times New Roman"/>
          <w:sz w:val="20"/>
          <w:szCs w:val="20"/>
          <w:color w:val="auto"/>
        </w:rPr>
      </w:pPr>
    </w:p>
    <w:p>
      <w:pPr>
        <w:ind w:left="740" w:right="260" w:hanging="738"/>
        <w:spacing w:after="0" w:line="252" w:lineRule="auto"/>
        <w:tabs>
          <w:tab w:leader="none" w:pos="7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in this column do not reflect the compensation actually received by the directors nor do they reflect the actual value that will be recognized by the directors. Instead, the amounts reflect the grant date fair value for option grants made by us in fiscal 2025, as calculated in accordance with Financial Accounting Standards Board (“FASB”) Accounting Standards Codification (“ASC”) Topic 718.</w:t>
      </w:r>
    </w:p>
    <w:p>
      <w:pPr>
        <w:spacing w:after="0" w:line="193" w:lineRule="exact"/>
        <w:rPr>
          <w:rFonts w:ascii="Times New Roman" w:cs="Times New Roman" w:eastAsia="Times New Roman" w:hAnsi="Times New Roman"/>
          <w:sz w:val="20"/>
          <w:szCs w:val="20"/>
          <w:color w:val="auto"/>
        </w:rPr>
      </w:pPr>
    </w:p>
    <w:p>
      <w:pPr>
        <w:ind w:left="740" w:right="14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September 1, 2024, each non-employee director, other than Mr. Lynch, Ms. Calderon, Ms. Kemp and Ms. Pinho, received a stock option to purchase 9,843 shares of our common stock at an exercise price of $13.26 per share granted under the Northern Technologies International Corporation 2024 Stock Incentive Plan, the material terms of which are described in more detail under “</w:t>
      </w:r>
      <w:r>
        <w:rPr>
          <w:rFonts w:ascii="Times New Roman" w:cs="Times New Roman" w:eastAsia="Times New Roman" w:hAnsi="Times New Roman"/>
          <w:sz w:val="20"/>
          <w:szCs w:val="20"/>
          <w:i w:val="1"/>
          <w:iCs w:val="1"/>
          <w:color w:val="auto"/>
        </w:rPr>
        <w:t>Executive Compensation—Stock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Incentive Plans</w:t>
      </w:r>
      <w:r>
        <w:rPr>
          <w:rFonts w:ascii="Times New Roman" w:cs="Times New Roman" w:eastAsia="Times New Roman" w:hAnsi="Times New Roman"/>
          <w:sz w:val="20"/>
          <w:szCs w:val="20"/>
          <w:color w:val="auto"/>
        </w:rPr>
        <w:t>.” These options vested in full on September 1, 2025 and will expire on August 31, 2034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earlier in the case of a director whose service as a director is terminated prior to such date. In addition, on September 1, 2024, Mr. Nigon received an additional stock option to purchase 1,968 shares of our common stock in consideration for his service as Chairman of the Board. The terms of this stock option are identical to the other director stock options granted on that date. See “—</w:t>
      </w:r>
      <w:r>
        <w:rPr>
          <w:rFonts w:ascii="Times New Roman" w:cs="Times New Roman" w:eastAsia="Times New Roman" w:hAnsi="Times New Roman"/>
          <w:sz w:val="20"/>
          <w:szCs w:val="20"/>
          <w:i w:val="1"/>
          <w:iCs w:val="1"/>
          <w:color w:val="auto"/>
        </w:rPr>
        <w:t>Non-Employee Director 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Program—Stock Options</w:t>
      </w:r>
      <w:r>
        <w:rPr>
          <w:rFonts w:ascii="Times New Roman" w:cs="Times New Roman" w:eastAsia="Times New Roman" w:hAnsi="Times New Roman"/>
          <w:sz w:val="20"/>
          <w:szCs w:val="20"/>
          <w:color w:val="auto"/>
        </w:rPr>
        <w:t>.” The grant date fair value associated with these awards and as calculated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accordance with FASB ASC Topic 718 is determined based on our Black-Scholes option pricing model. The grant date fair value per share for the options granted on September 1, 2024 was $13.26 and was</w:t>
      </w:r>
    </w:p>
    <w:p>
      <w:pPr>
        <w:spacing w:after="0" w:line="200" w:lineRule="exact"/>
        <w:rPr>
          <w:sz w:val="20"/>
          <w:szCs w:val="20"/>
          <w:color w:val="auto"/>
        </w:rPr>
      </w:pPr>
    </w:p>
    <w:p>
      <w:pPr>
        <w:spacing w:after="0" w:line="4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47</w:t>
      </w:r>
    </w:p>
    <w:p>
      <w:pPr>
        <w:sectPr>
          <w:pgSz w:w="12240" w:h="15840" w:orient="portrait"/>
          <w:cols w:equalWidth="0" w:num="1">
            <w:col w:w="9480"/>
          </w:cols>
          <w:pgMar w:left="1420" w:top="1413" w:right="1340" w:bottom="178" w:gutter="0" w:footer="0" w:header="0"/>
        </w:sectPr>
      </w:pPr>
    </w:p>
    <w:bookmarkStart w:id="54" w:name="page55"/>
    <w:bookmarkEnd w:id="54"/>
    <w:p>
      <w:pPr>
        <w:ind w:left="720"/>
        <w:spacing w:after="0"/>
        <w:rPr>
          <w:sz w:val="20"/>
          <w:szCs w:val="20"/>
          <w:color w:val="auto"/>
        </w:rPr>
      </w:pPr>
      <w:r>
        <w:rPr>
          <w:rFonts w:ascii="Times New Roman" w:cs="Times New Roman" w:eastAsia="Times New Roman" w:hAnsi="Times New Roman"/>
          <w:sz w:val="20"/>
          <w:szCs w:val="20"/>
          <w:color w:val="auto"/>
        </w:rPr>
        <w:t>determined using the following specific assumptions: risk free interest rate: 3.66%; expected life:</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10.0 years; expected volatility: 47.4%; and expected dividend yield: 0%.</w:t>
      </w:r>
    </w:p>
    <w:p>
      <w:pPr>
        <w:spacing w:after="0" w:line="211" w:lineRule="exact"/>
        <w:rPr>
          <w:sz w:val="20"/>
          <w:szCs w:val="20"/>
          <w:color w:val="auto"/>
        </w:rPr>
      </w:pPr>
    </w:p>
    <w:p>
      <w:pPr>
        <w:ind w:left="720" w:right="580" w:hanging="720"/>
        <w:spacing w:after="0" w:line="252"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table below provides information regarding the aggregate number of options to purchase shares of our common stock outstanding at August 31, 2025 and held by each of the directors listed in the Director Compensation Table. Note that because of the grant date, neither the Director Compensation Table nor the table below reflect option or restricted stock unit grants on September 1, 2025.</w:t>
      </w:r>
    </w:p>
    <w:p>
      <w:pPr>
        <w:spacing w:after="0" w:line="194"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80" w:type="dxa"/>
            <w:vAlign w:val="bottom"/>
            <w:shd w:val="clear" w:color="auto" w:fill="D9D9D9"/>
          </w:tcPr>
          <w:p>
            <w:pPr>
              <w:spacing w:after="0"/>
              <w:rPr>
                <w:sz w:val="16"/>
                <w:szCs w:val="16"/>
                <w:color w:val="auto"/>
              </w:rPr>
            </w:pPr>
          </w:p>
        </w:tc>
        <w:tc>
          <w:tcPr>
            <w:tcW w:w="246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14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w:t>
            </w:r>
          </w:p>
        </w:tc>
        <w:tc>
          <w:tcPr>
            <w:tcW w:w="80" w:type="dxa"/>
            <w:vAlign w:val="bottom"/>
            <w:shd w:val="clear" w:color="auto" w:fill="D9D9D9"/>
          </w:tcPr>
          <w:p>
            <w:pPr>
              <w:spacing w:after="0"/>
              <w:rPr>
                <w:sz w:val="16"/>
                <w:szCs w:val="16"/>
                <w:color w:val="auto"/>
              </w:rPr>
            </w:pPr>
          </w:p>
        </w:tc>
        <w:tc>
          <w:tcPr>
            <w:tcW w:w="60" w:type="dxa"/>
            <w:vAlign w:val="bottom"/>
            <w:tcBorders>
              <w:right w:val="single" w:sz="8" w:color="D9D9D9"/>
            </w:tcBorders>
          </w:tcPr>
          <w:p>
            <w:pPr>
              <w:spacing w:after="0"/>
              <w:rPr>
                <w:sz w:val="16"/>
                <w:szCs w:val="16"/>
                <w:color w:val="auto"/>
              </w:rPr>
            </w:pPr>
          </w:p>
        </w:tc>
        <w:tc>
          <w:tcPr>
            <w:tcW w:w="126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600" w:type="dxa"/>
            <w:vAlign w:val="bottom"/>
            <w:shd w:val="clear" w:color="auto" w:fill="D9D9D9"/>
          </w:tcPr>
          <w:p>
            <w:pPr>
              <w:spacing w:after="0"/>
              <w:rPr>
                <w:sz w:val="16"/>
                <w:szCs w:val="16"/>
                <w:color w:val="auto"/>
              </w:rPr>
            </w:pPr>
          </w:p>
        </w:tc>
        <w:tc>
          <w:tcPr>
            <w:tcW w:w="60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9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r>
      <w:tr>
        <w:trPr>
          <w:trHeight w:val="185"/>
        </w:trPr>
        <w:tc>
          <w:tcPr>
            <w:tcW w:w="80" w:type="dxa"/>
            <w:vAlign w:val="bottom"/>
            <w:shd w:val="clear" w:color="auto" w:fill="D9D9D9"/>
          </w:tcPr>
          <w:p>
            <w:pPr>
              <w:spacing w:after="0"/>
              <w:rPr>
                <w:sz w:val="16"/>
                <w:szCs w:val="16"/>
                <w:color w:val="auto"/>
              </w:rPr>
            </w:pPr>
          </w:p>
        </w:tc>
        <w:tc>
          <w:tcPr>
            <w:tcW w:w="246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14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Securities</w:t>
            </w:r>
          </w:p>
        </w:tc>
        <w:tc>
          <w:tcPr>
            <w:tcW w:w="80" w:type="dxa"/>
            <w:vAlign w:val="bottom"/>
            <w:shd w:val="clear" w:color="auto" w:fill="D9D9D9"/>
          </w:tcPr>
          <w:p>
            <w:pPr>
              <w:spacing w:after="0"/>
              <w:rPr>
                <w:sz w:val="16"/>
                <w:szCs w:val="16"/>
                <w:color w:val="auto"/>
              </w:rPr>
            </w:pPr>
          </w:p>
        </w:tc>
        <w:tc>
          <w:tcPr>
            <w:tcW w:w="60" w:type="dxa"/>
            <w:vAlign w:val="bottom"/>
            <w:tcBorders>
              <w:right w:val="single" w:sz="8" w:color="D9D9D9"/>
            </w:tcBorders>
          </w:tcPr>
          <w:p>
            <w:pPr>
              <w:spacing w:after="0"/>
              <w:rPr>
                <w:sz w:val="16"/>
                <w:szCs w:val="16"/>
                <w:color w:val="auto"/>
              </w:rPr>
            </w:pPr>
          </w:p>
        </w:tc>
        <w:tc>
          <w:tcPr>
            <w:tcW w:w="1260" w:type="dxa"/>
            <w:vAlign w:val="bottom"/>
            <w:shd w:val="clear" w:color="auto" w:fill="D9D9D9"/>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200" w:type="dxa"/>
            <w:vAlign w:val="bottom"/>
            <w:gridSpan w:val="2"/>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60" w:type="dxa"/>
            <w:vAlign w:val="bottom"/>
            <w:shd w:val="clear" w:color="auto" w:fill="D9D9D9"/>
          </w:tcPr>
          <w:p>
            <w:pPr>
              <w:spacing w:after="0"/>
              <w:rPr>
                <w:sz w:val="16"/>
                <w:szCs w:val="16"/>
                <w:color w:val="auto"/>
              </w:rPr>
            </w:pPr>
          </w:p>
        </w:tc>
        <w:tc>
          <w:tcPr>
            <w:tcW w:w="1920" w:type="dxa"/>
            <w:vAlign w:val="bottom"/>
            <w:shd w:val="clear" w:color="auto" w:fill="D9D9D9"/>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80" w:type="dxa"/>
            <w:vAlign w:val="bottom"/>
            <w:shd w:val="clear" w:color="auto" w:fill="D9D9D9"/>
          </w:tcPr>
          <w:p>
            <w:pPr>
              <w:spacing w:after="0"/>
              <w:rPr>
                <w:sz w:val="16"/>
                <w:szCs w:val="16"/>
                <w:color w:val="auto"/>
              </w:rPr>
            </w:pPr>
          </w:p>
        </w:tc>
      </w:tr>
      <w:tr>
        <w:trPr>
          <w:trHeight w:val="220"/>
        </w:trPr>
        <w:tc>
          <w:tcPr>
            <w:tcW w:w="80" w:type="dxa"/>
            <w:vAlign w:val="bottom"/>
            <w:tcBorders>
              <w:bottom w:val="single" w:sz="8" w:color="D9D9D9"/>
            </w:tcBorders>
            <w:shd w:val="clear" w:color="auto" w:fill="D9D9D9"/>
          </w:tcPr>
          <w:p>
            <w:pPr>
              <w:spacing w:after="0"/>
              <w:rPr>
                <w:sz w:val="19"/>
                <w:szCs w:val="19"/>
                <w:color w:val="auto"/>
              </w:rPr>
            </w:pPr>
          </w:p>
        </w:tc>
        <w:tc>
          <w:tcPr>
            <w:tcW w:w="246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Borders>
              <w:bottom w:val="single" w:sz="8" w:color="D9D9D9"/>
            </w:tcBorders>
            <w:shd w:val="clear" w:color="auto" w:fill="D9D9D9"/>
          </w:tcPr>
          <w:p>
            <w:pPr>
              <w:spacing w:after="0"/>
              <w:rPr>
                <w:sz w:val="19"/>
                <w:szCs w:val="19"/>
                <w:color w:val="auto"/>
              </w:rPr>
            </w:pPr>
          </w:p>
        </w:tc>
        <w:tc>
          <w:tcPr>
            <w:tcW w:w="40" w:type="dxa"/>
            <w:vAlign w:val="bottom"/>
            <w:tcBorders>
              <w:bottom w:val="single" w:sz="8" w:color="auto"/>
            </w:tcBorders>
            <w:shd w:val="clear" w:color="auto" w:fill="D9D9D9"/>
          </w:tcPr>
          <w:p>
            <w:pPr>
              <w:spacing w:after="0"/>
              <w:rPr>
                <w:sz w:val="19"/>
                <w:szCs w:val="19"/>
                <w:color w:val="auto"/>
              </w:rPr>
            </w:pPr>
          </w:p>
        </w:tc>
        <w:tc>
          <w:tcPr>
            <w:tcW w:w="144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 Options</w:t>
            </w:r>
          </w:p>
        </w:tc>
        <w:tc>
          <w:tcPr>
            <w:tcW w:w="80" w:type="dxa"/>
            <w:vAlign w:val="bottom"/>
            <w:tcBorders>
              <w:bottom w:val="single" w:sz="8" w:color="D9D9D9"/>
            </w:tcBorders>
            <w:shd w:val="clear" w:color="auto" w:fill="D9D9D9"/>
          </w:tcPr>
          <w:p>
            <w:pPr>
              <w:spacing w:after="0"/>
              <w:rPr>
                <w:sz w:val="19"/>
                <w:szCs w:val="19"/>
                <w:color w:val="auto"/>
              </w:rPr>
            </w:pPr>
          </w:p>
        </w:tc>
        <w:tc>
          <w:tcPr>
            <w:tcW w:w="60" w:type="dxa"/>
            <w:vAlign w:val="bottom"/>
            <w:tcBorders>
              <w:right w:val="single" w:sz="8" w:color="D9D9D9"/>
            </w:tcBorders>
          </w:tcPr>
          <w:p>
            <w:pPr>
              <w:spacing w:after="0"/>
              <w:rPr>
                <w:sz w:val="19"/>
                <w:szCs w:val="19"/>
                <w:color w:val="auto"/>
              </w:rPr>
            </w:pPr>
          </w:p>
        </w:tc>
        <w:tc>
          <w:tcPr>
            <w:tcW w:w="1260" w:type="dxa"/>
            <w:vAlign w:val="bottom"/>
            <w:tcBorders>
              <w:bottom w:val="single" w:sz="8" w:color="auto"/>
            </w:tcBorders>
            <w:shd w:val="clear" w:color="auto" w:fill="D9D9D9"/>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20" w:type="dxa"/>
            <w:vAlign w:val="bottom"/>
            <w:tcBorders>
              <w:bottom w:val="single" w:sz="8" w:color="auto"/>
            </w:tcBorders>
            <w:shd w:val="clear" w:color="auto" w:fill="D9D9D9"/>
          </w:tcPr>
          <w:p>
            <w:pPr>
              <w:spacing w:after="0"/>
              <w:rPr>
                <w:sz w:val="19"/>
                <w:szCs w:val="19"/>
                <w:color w:val="auto"/>
              </w:rPr>
            </w:pPr>
          </w:p>
        </w:tc>
        <w:tc>
          <w:tcPr>
            <w:tcW w:w="160" w:type="dxa"/>
            <w:vAlign w:val="bottom"/>
            <w:tcBorders>
              <w:bottom w:val="single" w:sz="8" w:color="D9D9D9"/>
            </w:tcBorders>
            <w:shd w:val="clear" w:color="auto" w:fill="D9D9D9"/>
          </w:tcPr>
          <w:p>
            <w:pPr>
              <w:spacing w:after="0"/>
              <w:rPr>
                <w:sz w:val="19"/>
                <w:szCs w:val="19"/>
                <w:color w:val="auto"/>
              </w:rPr>
            </w:pPr>
          </w:p>
        </w:tc>
        <w:tc>
          <w:tcPr>
            <w:tcW w:w="1200" w:type="dxa"/>
            <w:vAlign w:val="bottom"/>
            <w:tcBorders>
              <w:bottom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Price(s)</w:t>
            </w:r>
          </w:p>
        </w:tc>
        <w:tc>
          <w:tcPr>
            <w:tcW w:w="160" w:type="dxa"/>
            <w:vAlign w:val="bottom"/>
            <w:tcBorders>
              <w:bottom w:val="single" w:sz="8" w:color="D9D9D9"/>
            </w:tcBorders>
            <w:shd w:val="clear" w:color="auto" w:fill="D9D9D9"/>
          </w:tcPr>
          <w:p>
            <w:pPr>
              <w:spacing w:after="0"/>
              <w:rPr>
                <w:sz w:val="19"/>
                <w:szCs w:val="19"/>
                <w:color w:val="auto"/>
              </w:rPr>
            </w:pPr>
          </w:p>
        </w:tc>
        <w:tc>
          <w:tcPr>
            <w:tcW w:w="1920" w:type="dxa"/>
            <w:vAlign w:val="bottom"/>
            <w:tcBorders>
              <w:bottom w:val="single" w:sz="8" w:color="auto"/>
            </w:tcBorders>
            <w:shd w:val="clear" w:color="auto" w:fill="D9D9D9"/>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Date(s)</w:t>
            </w:r>
          </w:p>
        </w:tc>
        <w:tc>
          <w:tcPr>
            <w:tcW w:w="80" w:type="dxa"/>
            <w:vAlign w:val="bottom"/>
            <w:tcBorders>
              <w:bottom w:val="single" w:sz="8" w:color="D9D9D9"/>
            </w:tcBorders>
            <w:shd w:val="clear" w:color="auto" w:fill="D9D9D9"/>
          </w:tcPr>
          <w:p>
            <w:pPr>
              <w:spacing w:after="0"/>
              <w:rPr>
                <w:sz w:val="19"/>
                <w:szCs w:val="19"/>
                <w:color w:val="auto"/>
              </w:rPr>
            </w:pPr>
          </w:p>
        </w:tc>
      </w:tr>
      <w:tr>
        <w:trPr>
          <w:trHeight w:val="203"/>
        </w:trPr>
        <w:tc>
          <w:tcPr>
            <w:tcW w:w="80" w:type="dxa"/>
            <w:vAlign w:val="bottom"/>
          </w:tcPr>
          <w:p>
            <w:pPr>
              <w:spacing w:after="0"/>
              <w:rPr>
                <w:sz w:val="17"/>
                <w:szCs w:val="17"/>
                <w:color w:val="auto"/>
              </w:rPr>
            </w:pPr>
          </w:p>
        </w:tc>
        <w:tc>
          <w:tcPr>
            <w:tcW w:w="26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color w:val="auto"/>
              </w:rPr>
              <w:t>Nancy E. Calderon ..............</w:t>
            </w:r>
          </w:p>
        </w:tc>
        <w:tc>
          <w:tcPr>
            <w:tcW w:w="1440" w:type="dxa"/>
            <w:vAlign w:val="bottom"/>
          </w:tcPr>
          <w:p>
            <w:pPr>
              <w:jc w:val="right"/>
              <w:ind w:right="253"/>
              <w:spacing w:after="0" w:line="202" w:lineRule="exact"/>
              <w:rPr>
                <w:sz w:val="20"/>
                <w:szCs w:val="20"/>
                <w:color w:val="auto"/>
              </w:rPr>
            </w:pPr>
            <w:r>
              <w:rPr>
                <w:rFonts w:ascii="Times New Roman" w:cs="Times New Roman" w:eastAsia="Times New Roman" w:hAnsi="Times New Roman"/>
                <w:sz w:val="18"/>
                <w:szCs w:val="18"/>
                <w:color w:val="auto"/>
              </w:rPr>
              <w:t>51,481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51,481/0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5"/>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$ 8.24 – 16.97   10/21/2029 – 08/31/2034</w:t>
            </w:r>
          </w:p>
        </w:tc>
      </w:tr>
      <w:tr>
        <w:trPr>
          <w:trHeight w:val="230"/>
        </w:trPr>
        <w:tc>
          <w:tcPr>
            <w:tcW w:w="80" w:type="dxa"/>
            <w:vAlign w:val="bottom"/>
          </w:tcPr>
          <w:p>
            <w:pPr>
              <w:spacing w:after="0"/>
              <w:rPr>
                <w:sz w:val="20"/>
                <w:szCs w:val="20"/>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Sarah E. Kemp ....................</w:t>
            </w:r>
          </w:p>
        </w:tc>
        <w:tc>
          <w:tcPr>
            <w:tcW w:w="1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51,481</w:t>
            </w:r>
          </w:p>
        </w:tc>
        <w:tc>
          <w:tcPr>
            <w:tcW w:w="8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51,481/0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$ 8.24 – 16.97   10/21/2029 – 08/31/2034</w:t>
            </w:r>
          </w:p>
        </w:tc>
      </w:tr>
      <w:tr>
        <w:trPr>
          <w:trHeight w:val="229"/>
        </w:trPr>
        <w:tc>
          <w:tcPr>
            <w:tcW w:w="80" w:type="dxa"/>
            <w:vAlign w:val="bottom"/>
          </w:tcPr>
          <w:p>
            <w:pPr>
              <w:spacing w:after="0"/>
              <w:rPr>
                <w:sz w:val="19"/>
                <w:szCs w:val="19"/>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Sunggyu Lee, Ph.D. ................</w:t>
            </w:r>
          </w:p>
        </w:tc>
        <w:tc>
          <w:tcPr>
            <w:tcW w:w="1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30,073</w:t>
            </w:r>
          </w:p>
        </w:tc>
        <w:tc>
          <w:tcPr>
            <w:tcW w:w="80" w:type="dxa"/>
            <w:vAlign w:val="bottom"/>
          </w:tcPr>
          <w:p>
            <w:pPr>
              <w:spacing w:after="0"/>
              <w:rPr>
                <w:sz w:val="19"/>
                <w:szCs w:val="19"/>
                <w:color w:val="auto"/>
              </w:rPr>
            </w:pP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20,230/9,843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$11.38 – 13.26   08/31/2032 – 08/31/2034</w:t>
            </w:r>
          </w:p>
        </w:tc>
      </w:tr>
      <w:tr>
        <w:trPr>
          <w:trHeight w:val="230"/>
        </w:trPr>
        <w:tc>
          <w:tcPr>
            <w:tcW w:w="80" w:type="dxa"/>
            <w:vAlign w:val="bottom"/>
          </w:tcPr>
          <w:p>
            <w:pPr>
              <w:spacing w:after="0"/>
              <w:rPr>
                <w:sz w:val="20"/>
                <w:szCs w:val="20"/>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Ramani Narayan, Ph.D. ...........</w:t>
            </w:r>
          </w:p>
        </w:tc>
        <w:tc>
          <w:tcPr>
            <w:tcW w:w="1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42,478</w:t>
            </w:r>
          </w:p>
        </w:tc>
        <w:tc>
          <w:tcPr>
            <w:tcW w:w="80" w:type="dxa"/>
            <w:vAlign w:val="bottom"/>
          </w:tcPr>
          <w:p>
            <w:pPr>
              <w:spacing w:after="0"/>
              <w:rPr>
                <w:sz w:val="20"/>
                <w:szCs w:val="20"/>
                <w:color w:val="auto"/>
              </w:rPr>
            </w:pP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32,635/9,843</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$ 11.38</w:t>
            </w:r>
          </w:p>
        </w:tc>
        <w:tc>
          <w:tcPr>
            <w:tcW w:w="2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18.23   08/31/2028 – 08/31/2034</w:t>
            </w:r>
          </w:p>
        </w:tc>
      </w:tr>
      <w:tr>
        <w:trPr>
          <w:trHeight w:val="230"/>
        </w:trPr>
        <w:tc>
          <w:tcPr>
            <w:tcW w:w="80" w:type="dxa"/>
            <w:vAlign w:val="bottom"/>
          </w:tcPr>
          <w:p>
            <w:pPr>
              <w:spacing w:after="0"/>
              <w:rPr>
                <w:sz w:val="20"/>
                <w:szCs w:val="20"/>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Richard J. Nigon......................</w:t>
            </w:r>
          </w:p>
        </w:tc>
        <w:tc>
          <w:tcPr>
            <w:tcW w:w="1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108,289</w:t>
            </w:r>
          </w:p>
        </w:tc>
        <w:tc>
          <w:tcPr>
            <w:tcW w:w="80" w:type="dxa"/>
            <w:vAlign w:val="bottom"/>
          </w:tcPr>
          <w:p>
            <w:pPr>
              <w:spacing w:after="0"/>
              <w:rPr>
                <w:sz w:val="20"/>
                <w:szCs w:val="20"/>
                <w:color w:val="auto"/>
              </w:rPr>
            </w:pP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96,478/11,811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$ 6.70</w:t>
            </w:r>
          </w:p>
        </w:tc>
        <w:tc>
          <w:tcPr>
            <w:tcW w:w="2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18.23   08/31/2026 – 08/31/2034</w:t>
            </w:r>
          </w:p>
        </w:tc>
      </w:tr>
      <w:tr>
        <w:trPr>
          <w:trHeight w:val="229"/>
        </w:trPr>
        <w:tc>
          <w:tcPr>
            <w:tcW w:w="80" w:type="dxa"/>
            <w:vAlign w:val="bottom"/>
          </w:tcPr>
          <w:p>
            <w:pPr>
              <w:spacing w:after="0"/>
              <w:rPr>
                <w:sz w:val="19"/>
                <w:szCs w:val="19"/>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Cristina Pinho..........................</w:t>
            </w:r>
          </w:p>
        </w:tc>
        <w:tc>
          <w:tcPr>
            <w:tcW w:w="1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15,432</w:t>
            </w:r>
          </w:p>
        </w:tc>
        <w:tc>
          <w:tcPr>
            <w:tcW w:w="80" w:type="dxa"/>
            <w:vAlign w:val="bottom"/>
          </w:tcPr>
          <w:p>
            <w:pPr>
              <w:spacing w:after="0"/>
              <w:rPr>
                <w:sz w:val="19"/>
                <w:szCs w:val="19"/>
                <w:color w:val="auto"/>
              </w:rPr>
            </w:pP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15,432/0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$ 12.95</w:t>
            </w:r>
          </w:p>
        </w:tc>
        <w:tc>
          <w:tcPr>
            <w:tcW w:w="2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13.25   01/19/2033 – 08/31/2034</w:t>
            </w:r>
          </w:p>
        </w:tc>
      </w:tr>
      <w:tr>
        <w:trPr>
          <w:trHeight w:val="267"/>
        </w:trPr>
        <w:tc>
          <w:tcPr>
            <w:tcW w:w="80" w:type="dxa"/>
            <w:vAlign w:val="bottom"/>
          </w:tcPr>
          <w:p>
            <w:pPr>
              <w:spacing w:after="0"/>
              <w:rPr>
                <w:sz w:val="23"/>
                <w:szCs w:val="23"/>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Konstantin von Falkenhausen .</w:t>
            </w:r>
          </w:p>
        </w:tc>
        <w:tc>
          <w:tcPr>
            <w:tcW w:w="1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86,241</w:t>
            </w:r>
          </w:p>
        </w:tc>
        <w:tc>
          <w:tcPr>
            <w:tcW w:w="80" w:type="dxa"/>
            <w:vAlign w:val="bottom"/>
          </w:tcPr>
          <w:p>
            <w:pPr>
              <w:spacing w:after="0"/>
              <w:rPr>
                <w:sz w:val="23"/>
                <w:szCs w:val="23"/>
                <w:color w:val="auto"/>
              </w:rPr>
            </w:pP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76,398/9,843</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$ 6.70</w:t>
            </w:r>
          </w:p>
        </w:tc>
        <w:tc>
          <w:tcPr>
            <w:tcW w:w="2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18.23   08/31/2026 – 08/31/2034</w:t>
            </w:r>
          </w:p>
        </w:tc>
      </w:tr>
    </w:tbl>
    <w:p>
      <w:pPr>
        <w:spacing w:after="0" w:line="204" w:lineRule="exact"/>
        <w:rPr>
          <w:sz w:val="20"/>
          <w:szCs w:val="20"/>
          <w:color w:val="auto"/>
        </w:rPr>
      </w:pPr>
    </w:p>
    <w:p>
      <w:pPr>
        <w:ind w:left="720" w:right="880" w:hanging="720"/>
        <w:spacing w:after="0" w:line="259"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provide perquisites or other personal benefits to our directors. The amounts reflected for Dr. Narayan reflects consulting fees paid during the fiscal year ended August 31, 2025, as described in more detail below under “—</w:t>
      </w:r>
      <w:r>
        <w:rPr>
          <w:rFonts w:ascii="Times New Roman" w:cs="Times New Roman" w:eastAsia="Times New Roman" w:hAnsi="Times New Roman"/>
          <w:sz w:val="20"/>
          <w:szCs w:val="20"/>
          <w:i w:val="1"/>
          <w:iCs w:val="1"/>
          <w:color w:val="auto"/>
        </w:rPr>
        <w:t>Consulting Agreement</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Program</w:t>
      </w:r>
    </w:p>
    <w:p>
      <w:pPr>
        <w:spacing w:after="0" w:line="244" w:lineRule="exact"/>
        <w:rPr>
          <w:sz w:val="20"/>
          <w:szCs w:val="20"/>
          <w:color w:val="auto"/>
        </w:rPr>
      </w:pPr>
    </w:p>
    <w:p>
      <w:pPr>
        <w:jc w:val="both"/>
        <w:ind w:right="660"/>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Overview. </w:t>
      </w:r>
      <w:r>
        <w:rPr>
          <w:rFonts w:ascii="Times New Roman" w:cs="Times New Roman" w:eastAsia="Times New Roman" w:hAnsi="Times New Roman"/>
          <w:sz w:val="22"/>
          <w:szCs w:val="22"/>
          <w:color w:val="auto"/>
        </w:rPr>
        <w:t>Our non- employee directors for the purposes of our director compensation program currently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consist of Nancy E. Calderon, Sarah E. Kemp, Sunggyu Lee, Ph.D., Ramani Narayan, Ph.D., Richard J. Nigon, Cristina Pinho and Konstantin von Falkenhausen.</w:t>
      </w:r>
    </w:p>
    <w:p>
      <w:pPr>
        <w:spacing w:after="0" w:line="179" w:lineRule="exact"/>
        <w:rPr>
          <w:sz w:val="20"/>
          <w:szCs w:val="20"/>
          <w:color w:val="auto"/>
        </w:rPr>
      </w:pPr>
    </w:p>
    <w:p>
      <w:pPr>
        <w:ind w:right="500"/>
        <w:spacing w:after="0" w:line="249" w:lineRule="auto"/>
        <w:rPr>
          <w:sz w:val="20"/>
          <w:szCs w:val="20"/>
          <w:color w:val="auto"/>
        </w:rPr>
      </w:pPr>
      <w:r>
        <w:rPr>
          <w:rFonts w:ascii="Times New Roman" w:cs="Times New Roman" w:eastAsia="Times New Roman" w:hAnsi="Times New Roman"/>
          <w:sz w:val="22"/>
          <w:szCs w:val="22"/>
          <w:color w:val="auto"/>
        </w:rPr>
        <w:t>We use a combination of cash and long-term equity-based incentive compensation in the form of annual stock option or RSU grants to attract and retain qualified candidates to serve on the Board of Directors. In setting non- employee director compensation, we follow the processes and procedures described under “</w:t>
      </w:r>
      <w:r>
        <w:rPr>
          <w:rFonts w:ascii="Times New Roman" w:cs="Times New Roman" w:eastAsia="Times New Roman" w:hAnsi="Times New Roman"/>
          <w:sz w:val="22"/>
          <w:szCs w:val="22"/>
          <w:i w:val="1"/>
          <w:iCs w:val="1"/>
          <w:color w:val="auto"/>
        </w:rPr>
        <w:t>Corporate Governance—Nominating and Corporate Governance Committee—Processes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Procedures for the Determination of Director Compensation</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520"/>
        <w:spacing w:after="0" w:line="258" w:lineRule="auto"/>
        <w:rPr>
          <w:sz w:val="20"/>
          <w:szCs w:val="20"/>
          <w:color w:val="auto"/>
        </w:rPr>
      </w:pPr>
      <w:r>
        <w:rPr>
          <w:rFonts w:ascii="Times New Roman" w:cs="Times New Roman" w:eastAsia="Times New Roman" w:hAnsi="Times New Roman"/>
          <w:sz w:val="22"/>
          <w:szCs w:val="22"/>
          <w:i w:val="1"/>
          <w:iCs w:val="1"/>
          <w:color w:val="auto"/>
        </w:rPr>
        <w:t>Cash Retainers and Meeting Fees</w:t>
      </w:r>
      <w:r>
        <w:rPr>
          <w:rFonts w:ascii="Times New Roman" w:cs="Times New Roman" w:eastAsia="Times New Roman" w:hAnsi="Times New Roman"/>
          <w:sz w:val="22"/>
          <w:szCs w:val="22"/>
          <w:color w:val="auto"/>
        </w:rPr>
        <w:t>. Each of our non-employee directors receives annual cash retainers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meeting fees. The following table sets forth the annual cash retainers paid to our non-employee directors during fiscal 2025:</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0" w:type="dxa"/>
            <w:vAlign w:val="bottom"/>
            <w:shd w:val="clear" w:color="auto" w:fill="D9D9D9"/>
          </w:tcPr>
          <w:p>
            <w:pPr>
              <w:spacing w:after="0"/>
              <w:rPr>
                <w:sz w:val="19"/>
                <w:szCs w:val="19"/>
                <w:color w:val="auto"/>
              </w:rPr>
            </w:pPr>
          </w:p>
        </w:tc>
        <w:tc>
          <w:tcPr>
            <w:tcW w:w="69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360" w:type="dxa"/>
            <w:vAlign w:val="bottom"/>
            <w:gridSpan w:val="2"/>
            <w:shd w:val="clear" w:color="auto" w:fill="D9D9D9"/>
          </w:tcPr>
          <w:p>
            <w:pPr>
              <w:ind w:left="80"/>
              <w:spacing w:after="0"/>
              <w:rPr>
                <w:sz w:val="20"/>
                <w:szCs w:val="20"/>
                <w:color w:val="auto"/>
              </w:rPr>
            </w:pPr>
            <w:r>
              <w:rPr>
                <w:rFonts w:ascii="Times New Roman" w:cs="Times New Roman" w:eastAsia="Times New Roman" w:hAnsi="Times New Roman"/>
                <w:sz w:val="20"/>
                <w:szCs w:val="20"/>
                <w:b w:val="1"/>
                <w:bCs w:val="1"/>
                <w:color w:val="auto"/>
              </w:rPr>
              <w:t>Annual Cash</w:t>
            </w:r>
          </w:p>
        </w:tc>
      </w:tr>
      <w:tr>
        <w:trPr>
          <w:trHeight w:val="272"/>
        </w:trPr>
        <w:tc>
          <w:tcPr>
            <w:tcW w:w="60" w:type="dxa"/>
            <w:vAlign w:val="bottom"/>
            <w:tcBorders>
              <w:bottom w:val="single" w:sz="8" w:color="D9D9D9"/>
            </w:tcBorders>
            <w:shd w:val="clear" w:color="auto" w:fill="D9D9D9"/>
          </w:tcPr>
          <w:p>
            <w:pPr>
              <w:spacing w:after="0"/>
              <w:rPr>
                <w:sz w:val="23"/>
                <w:szCs w:val="23"/>
                <w:color w:val="auto"/>
              </w:rPr>
            </w:pPr>
          </w:p>
        </w:tc>
        <w:tc>
          <w:tcPr>
            <w:tcW w:w="6960" w:type="dxa"/>
            <w:vAlign w:val="bottom"/>
            <w:tcBorders>
              <w:bottom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60" w:type="dxa"/>
            <w:vAlign w:val="bottom"/>
            <w:tcBorders>
              <w:bottom w:val="single" w:sz="8" w:color="D9D9D9"/>
            </w:tcBorders>
            <w:shd w:val="clear" w:color="auto" w:fill="D9D9D9"/>
          </w:tcPr>
          <w:p>
            <w:pPr>
              <w:spacing w:after="0"/>
              <w:rPr>
                <w:sz w:val="23"/>
                <w:szCs w:val="23"/>
                <w:color w:val="auto"/>
              </w:rPr>
            </w:pPr>
          </w:p>
        </w:tc>
        <w:tc>
          <w:tcPr>
            <w:tcW w:w="1280" w:type="dxa"/>
            <w:vAlign w:val="bottom"/>
            <w:tcBorders>
              <w:bottom w:val="single" w:sz="8" w:color="auto"/>
            </w:tcBorders>
            <w:shd w:val="clear" w:color="auto" w:fill="D9D9D9"/>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Retainer</w:t>
            </w:r>
          </w:p>
        </w:tc>
        <w:tc>
          <w:tcPr>
            <w:tcW w:w="80" w:type="dxa"/>
            <w:vAlign w:val="bottom"/>
            <w:tcBorders>
              <w:bottom w:val="single" w:sz="8" w:color="D9D9D9"/>
            </w:tcBorders>
            <w:shd w:val="clear" w:color="auto" w:fill="D9D9D9"/>
          </w:tcPr>
          <w:p>
            <w:pPr>
              <w:spacing w:after="0"/>
              <w:rPr>
                <w:sz w:val="23"/>
                <w:szCs w:val="23"/>
                <w:color w:val="auto"/>
              </w:rPr>
            </w:pPr>
          </w:p>
        </w:tc>
      </w:tr>
      <w:tr>
        <w:trPr>
          <w:trHeight w:val="222"/>
        </w:trPr>
        <w:tc>
          <w:tcPr>
            <w:tcW w:w="60" w:type="dxa"/>
            <w:vAlign w:val="bottom"/>
          </w:tcPr>
          <w:p>
            <w:pPr>
              <w:spacing w:after="0"/>
              <w:rPr>
                <w:sz w:val="19"/>
                <w:szCs w:val="19"/>
                <w:color w:val="auto"/>
              </w:rPr>
            </w:pPr>
          </w:p>
        </w:tc>
        <w:tc>
          <w:tcPr>
            <w:tcW w:w="6960" w:type="dxa"/>
            <w:vAlign w:val="bottom"/>
          </w:tcPr>
          <w:p>
            <w:pPr>
              <w:ind w:left="40"/>
              <w:spacing w:after="0" w:line="222" w:lineRule="exact"/>
              <w:rPr>
                <w:sz w:val="20"/>
                <w:szCs w:val="20"/>
                <w:color w:val="auto"/>
              </w:rPr>
            </w:pPr>
            <w:r>
              <w:rPr>
                <w:rFonts w:ascii="Times New Roman" w:cs="Times New Roman" w:eastAsia="Times New Roman" w:hAnsi="Times New Roman"/>
                <w:sz w:val="22"/>
                <w:szCs w:val="22"/>
                <w:color w:val="auto"/>
                <w:w w:val="98"/>
              </w:rPr>
              <w:t>Non-employee Board Member .............................................................................</w:t>
            </w:r>
          </w:p>
        </w:tc>
        <w:tc>
          <w:tcPr>
            <w:tcW w:w="1440" w:type="dxa"/>
            <w:vAlign w:val="bottom"/>
            <w:gridSpan w:val="2"/>
          </w:tcPr>
          <w:p>
            <w:pPr>
              <w:jc w:val="right"/>
              <w:ind w:right="120"/>
              <w:spacing w:after="0" w:line="222" w:lineRule="exact"/>
              <w:rPr>
                <w:sz w:val="20"/>
                <w:szCs w:val="20"/>
                <w:color w:val="auto"/>
              </w:rPr>
            </w:pPr>
            <w:r>
              <w:rPr>
                <w:rFonts w:ascii="Times New Roman" w:cs="Times New Roman" w:eastAsia="Times New Roman" w:hAnsi="Times New Roman"/>
                <w:sz w:val="22"/>
                <w:szCs w:val="22"/>
                <w:color w:val="auto"/>
              </w:rPr>
              <w:t>$   25,000</w:t>
            </w:r>
          </w:p>
        </w:tc>
        <w:tc>
          <w:tcPr>
            <w:tcW w:w="80" w:type="dxa"/>
            <w:vAlign w:val="bottom"/>
          </w:tcPr>
          <w:p>
            <w:pPr>
              <w:spacing w:after="0"/>
              <w:rPr>
                <w:sz w:val="19"/>
                <w:szCs w:val="19"/>
                <w:color w:val="auto"/>
              </w:rPr>
            </w:pPr>
          </w:p>
        </w:tc>
      </w:tr>
      <w:tr>
        <w:trPr>
          <w:trHeight w:val="253"/>
        </w:trPr>
        <w:tc>
          <w:tcPr>
            <w:tcW w:w="60" w:type="dxa"/>
            <w:vAlign w:val="bottom"/>
          </w:tcPr>
          <w:p>
            <w:pPr>
              <w:spacing w:after="0"/>
              <w:rPr>
                <w:sz w:val="22"/>
                <w:szCs w:val="22"/>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Chairman of the Board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15,000</w:t>
            </w:r>
          </w:p>
        </w:tc>
        <w:tc>
          <w:tcPr>
            <w:tcW w:w="80" w:type="dxa"/>
            <w:vAlign w:val="bottom"/>
          </w:tcPr>
          <w:p>
            <w:pPr>
              <w:spacing w:after="0"/>
              <w:rPr>
                <w:sz w:val="22"/>
                <w:szCs w:val="22"/>
                <w:color w:val="auto"/>
              </w:rPr>
            </w:pPr>
          </w:p>
        </w:tc>
      </w:tr>
      <w:tr>
        <w:trPr>
          <w:trHeight w:val="253"/>
        </w:trPr>
        <w:tc>
          <w:tcPr>
            <w:tcW w:w="60" w:type="dxa"/>
            <w:vAlign w:val="bottom"/>
          </w:tcPr>
          <w:p>
            <w:pPr>
              <w:spacing w:after="0"/>
              <w:rPr>
                <w:sz w:val="22"/>
                <w:szCs w:val="22"/>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Audit Committee Chair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5,000</w:t>
            </w:r>
          </w:p>
        </w:tc>
        <w:tc>
          <w:tcPr>
            <w:tcW w:w="80" w:type="dxa"/>
            <w:vAlign w:val="bottom"/>
          </w:tcPr>
          <w:p>
            <w:pPr>
              <w:spacing w:after="0"/>
              <w:rPr>
                <w:sz w:val="22"/>
                <w:szCs w:val="22"/>
                <w:color w:val="auto"/>
              </w:rPr>
            </w:pPr>
          </w:p>
        </w:tc>
      </w:tr>
      <w:tr>
        <w:trPr>
          <w:trHeight w:val="253"/>
        </w:trPr>
        <w:tc>
          <w:tcPr>
            <w:tcW w:w="60" w:type="dxa"/>
            <w:vAlign w:val="bottom"/>
          </w:tcPr>
          <w:p>
            <w:pPr>
              <w:spacing w:after="0"/>
              <w:rPr>
                <w:sz w:val="22"/>
                <w:szCs w:val="22"/>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Audit Committee Member (including Chair)........................................................</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4,500</w:t>
            </w:r>
          </w:p>
        </w:tc>
        <w:tc>
          <w:tcPr>
            <w:tcW w:w="80" w:type="dxa"/>
            <w:vAlign w:val="bottom"/>
          </w:tcPr>
          <w:p>
            <w:pPr>
              <w:spacing w:after="0"/>
              <w:rPr>
                <w:sz w:val="22"/>
                <w:szCs w:val="22"/>
                <w:color w:val="auto"/>
              </w:rPr>
            </w:pPr>
          </w:p>
        </w:tc>
      </w:tr>
      <w:tr>
        <w:trPr>
          <w:trHeight w:val="252"/>
        </w:trPr>
        <w:tc>
          <w:tcPr>
            <w:tcW w:w="6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Compensation Committee Chair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4,000</w:t>
            </w:r>
          </w:p>
        </w:tc>
        <w:tc>
          <w:tcPr>
            <w:tcW w:w="80" w:type="dxa"/>
            <w:vAlign w:val="bottom"/>
          </w:tcPr>
          <w:p>
            <w:pPr>
              <w:spacing w:after="0"/>
              <w:rPr>
                <w:sz w:val="21"/>
                <w:szCs w:val="21"/>
                <w:color w:val="auto"/>
              </w:rPr>
            </w:pPr>
          </w:p>
        </w:tc>
      </w:tr>
      <w:tr>
        <w:trPr>
          <w:trHeight w:val="253"/>
        </w:trPr>
        <w:tc>
          <w:tcPr>
            <w:tcW w:w="60" w:type="dxa"/>
            <w:vAlign w:val="bottom"/>
          </w:tcPr>
          <w:p>
            <w:pPr>
              <w:spacing w:after="0"/>
              <w:rPr>
                <w:sz w:val="22"/>
                <w:szCs w:val="22"/>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Compensation Committee (including Chair)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3,000</w:t>
            </w:r>
          </w:p>
        </w:tc>
        <w:tc>
          <w:tcPr>
            <w:tcW w:w="80" w:type="dxa"/>
            <w:vAlign w:val="bottom"/>
          </w:tcPr>
          <w:p>
            <w:pPr>
              <w:spacing w:after="0"/>
              <w:rPr>
                <w:sz w:val="22"/>
                <w:szCs w:val="22"/>
                <w:color w:val="auto"/>
              </w:rPr>
            </w:pPr>
          </w:p>
        </w:tc>
      </w:tr>
      <w:tr>
        <w:trPr>
          <w:trHeight w:val="253"/>
        </w:trPr>
        <w:tc>
          <w:tcPr>
            <w:tcW w:w="60" w:type="dxa"/>
            <w:vAlign w:val="bottom"/>
          </w:tcPr>
          <w:p>
            <w:pPr>
              <w:spacing w:after="0"/>
              <w:rPr>
                <w:sz w:val="22"/>
                <w:szCs w:val="22"/>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Nominating and Corporate Governance Committee Chair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2,000</w:t>
            </w:r>
          </w:p>
        </w:tc>
        <w:tc>
          <w:tcPr>
            <w:tcW w:w="80" w:type="dxa"/>
            <w:vAlign w:val="bottom"/>
          </w:tcPr>
          <w:p>
            <w:pPr>
              <w:spacing w:after="0"/>
              <w:rPr>
                <w:sz w:val="22"/>
                <w:szCs w:val="22"/>
                <w:color w:val="auto"/>
              </w:rPr>
            </w:pPr>
          </w:p>
        </w:tc>
      </w:tr>
      <w:tr>
        <w:trPr>
          <w:trHeight w:val="294"/>
        </w:trPr>
        <w:tc>
          <w:tcPr>
            <w:tcW w:w="60" w:type="dxa"/>
            <w:vAlign w:val="bottom"/>
          </w:tcPr>
          <w:p>
            <w:pPr>
              <w:spacing w:after="0"/>
              <w:rPr>
                <w:sz w:val="24"/>
                <w:szCs w:val="24"/>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Nominating and Corporate Governance Committee (including Chair)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3,000</w:t>
            </w:r>
          </w:p>
        </w:tc>
        <w:tc>
          <w:tcPr>
            <w:tcW w:w="80" w:type="dxa"/>
            <w:vAlign w:val="bottom"/>
          </w:tcPr>
          <w:p>
            <w:pPr>
              <w:spacing w:after="0"/>
              <w:rPr>
                <w:sz w:val="24"/>
                <w:szCs w:val="24"/>
                <w:color w:val="auto"/>
              </w:rPr>
            </w:pPr>
          </w:p>
        </w:tc>
      </w:tr>
    </w:tbl>
    <w:p>
      <w:pPr>
        <w:spacing w:after="0" w:line="213"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Each of our non -employee directors also receives $1,000 for each Board, Board committee and strategy review meeting attended. No director, however, earns more than $1,000 per day in Board, Board committee and strategy review meeting fees.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48</w:t>
      </w:r>
    </w:p>
    <w:p>
      <w:pPr>
        <w:sectPr>
          <w:pgSz w:w="12240" w:h="15840" w:orient="portrait"/>
          <w:cols w:equalWidth="0" w:num="1">
            <w:col w:w="9820"/>
          </w:cols>
          <w:pgMar w:left="1440" w:top="1420" w:right="980" w:bottom="178" w:gutter="0" w:footer="0" w:header="0"/>
        </w:sectPr>
      </w:pPr>
    </w:p>
    <w:bookmarkStart w:id="55" w:name="page56"/>
    <w:bookmarkEnd w:id="55"/>
    <w:p>
      <w:pPr>
        <w:ind w:left="1" w:right="160"/>
        <w:spacing w:after="0" w:line="243" w:lineRule="auto"/>
        <w:rPr>
          <w:sz w:val="20"/>
          <w:szCs w:val="20"/>
          <w:color w:val="auto"/>
        </w:rPr>
      </w:pPr>
      <w:r>
        <w:rPr>
          <w:rFonts w:ascii="Times New Roman" w:cs="Times New Roman" w:eastAsia="Times New Roman" w:hAnsi="Times New Roman"/>
          <w:sz w:val="22"/>
          <w:szCs w:val="22"/>
          <w:i w:val="1"/>
          <w:iCs w:val="1"/>
          <w:color w:val="auto"/>
        </w:rPr>
        <w:t>Equity Awards</w:t>
      </w:r>
      <w:r>
        <w:rPr>
          <w:rFonts w:ascii="Times New Roman" w:cs="Times New Roman" w:eastAsia="Times New Roman" w:hAnsi="Times New Roman"/>
          <w:sz w:val="22"/>
          <w:szCs w:val="22"/>
          <w:color w:val="auto"/>
        </w:rPr>
        <w:t>. Pursuant to our non-employee director compensation program, each non-employee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 who is expected to stand for re-election at the next annual meeting of stockholders, is granted a ten-year non-qualified option to purchase $ 50,000 in shares of our common stock, or if a director so elects, $50,000 in restricted stock units, on the first day of each fiscal year in consideration for his or her service as a director of NTIC, and the Chairman of the Board is automatically granted an additional ten-year non -qualified option to purchase $10,000 in shares of our common stock, or if the Chairman of the board so elects, $10,000 in RSUs, on the first day of each fiscal year in consideration for his or her services as Chairman. In addition, each new non-employee director is automatically granted a ten-year non-qualified option to purchase a pro rata portion of $50,000 shares of our common stock calculated by dividing the number of months remaining in the fiscal year at the time of election or appointment by</w:t>
      </w:r>
    </w:p>
    <w:p>
      <w:pPr>
        <w:ind w:left="1" w:right="340"/>
        <w:spacing w:after="0" w:line="242" w:lineRule="auto"/>
        <w:rPr>
          <w:sz w:val="20"/>
          <w:szCs w:val="20"/>
          <w:color w:val="auto"/>
        </w:rPr>
      </w:pPr>
      <w:r>
        <w:rPr>
          <w:rFonts w:ascii="Times New Roman" w:cs="Times New Roman" w:eastAsia="Times New Roman" w:hAnsi="Times New Roman"/>
          <w:sz w:val="22"/>
          <w:szCs w:val="22"/>
          <w:color w:val="auto"/>
        </w:rPr>
        <w:t>12 on the date the director is first elected or appointed as a director of NTIC. The number of shares of common stock underlying the options or RSUs is determined based on the grant date fair value of the options or RSUs. Each option vests and becomes exercisable in full on the one-year anniversary of the grant date. The exercise price of such options is equal to the fair market value of a share of NTIC’s common stock on the grant date. RSUs also vest on the one-year anniversary of the grant date.</w:t>
      </w:r>
    </w:p>
    <w:p>
      <w:pPr>
        <w:spacing w:after="0" w:line="197" w:lineRule="exact"/>
        <w:rPr>
          <w:sz w:val="20"/>
          <w:szCs w:val="20"/>
          <w:color w:val="auto"/>
        </w:rPr>
      </w:pPr>
    </w:p>
    <w:p>
      <w:pPr>
        <w:ind w:left="1" w:right="520"/>
        <w:spacing w:after="0" w:line="268" w:lineRule="auto"/>
        <w:rPr>
          <w:sz w:val="20"/>
          <w:szCs w:val="20"/>
          <w:color w:val="auto"/>
        </w:rPr>
      </w:pPr>
      <w:r>
        <w:rPr>
          <w:rFonts w:ascii="Times New Roman" w:cs="Times New Roman" w:eastAsia="Times New Roman" w:hAnsi="Times New Roman"/>
          <w:sz w:val="21"/>
          <w:szCs w:val="21"/>
          <w:color w:val="auto"/>
        </w:rPr>
        <w:t>Under the terms of our stock incentive plan, unless otherwise provided in a separate agreement or modified in connection with the termination of a director’s service, if a director’s service with NTIC terminates for any reason, the unvested portion of any stock options then held by the director will immediately terminate and the director’s right to exercise the then vested portion of the options will:</w:t>
      </w:r>
    </w:p>
    <w:p>
      <w:pPr>
        <w:spacing w:after="0" w:line="188" w:lineRule="exact"/>
        <w:rPr>
          <w:sz w:val="20"/>
          <w:szCs w:val="20"/>
          <w:color w:val="auto"/>
        </w:rPr>
      </w:pPr>
    </w:p>
    <w:p>
      <w:pPr>
        <w:ind w:left="1081" w:right="780" w:hanging="361"/>
        <w:spacing w:after="0" w:line="258" w:lineRule="auto"/>
        <w:tabs>
          <w:tab w:leader="none" w:pos="1081" w:val="left"/>
        </w:tabs>
        <w:numPr>
          <w:ilvl w:val="0"/>
          <w:numId w:val="40"/>
        </w:numPr>
        <w:rPr>
          <w:rFonts w:ascii="Arial" w:cs="Arial" w:eastAsia="Arial" w:hAnsi="Arial"/>
          <w:sz w:val="22"/>
          <w:szCs w:val="22"/>
          <w:color w:val="auto"/>
        </w:rPr>
      </w:pPr>
      <w:r>
        <w:rPr>
          <w:rFonts w:ascii="Times New Roman" w:cs="Times New Roman" w:eastAsia="Times New Roman" w:hAnsi="Times New Roman"/>
          <w:sz w:val="22"/>
          <w:szCs w:val="22"/>
          <w:color w:val="auto"/>
        </w:rPr>
        <w:t>immediately terminate if the director’s service relationship with NTIC terminated for “cause”;</w:t>
      </w:r>
    </w:p>
    <w:p>
      <w:pPr>
        <w:spacing w:after="0" w:line="1" w:lineRule="exact"/>
        <w:rPr>
          <w:rFonts w:ascii="Arial" w:cs="Arial" w:eastAsia="Arial" w:hAnsi="Arial"/>
          <w:sz w:val="22"/>
          <w:szCs w:val="22"/>
          <w:color w:val="auto"/>
        </w:rPr>
      </w:pPr>
    </w:p>
    <w:p>
      <w:pPr>
        <w:ind w:left="1081" w:right="60" w:hanging="361"/>
        <w:spacing w:after="0" w:line="247" w:lineRule="auto"/>
        <w:tabs>
          <w:tab w:leader="none" w:pos="1081" w:val="left"/>
        </w:tabs>
        <w:numPr>
          <w:ilvl w:val="0"/>
          <w:numId w:val="40"/>
        </w:numPr>
        <w:rPr>
          <w:rFonts w:ascii="Arial" w:cs="Arial" w:eastAsia="Arial" w:hAnsi="Arial"/>
          <w:sz w:val="22"/>
          <w:szCs w:val="22"/>
          <w:color w:val="auto"/>
        </w:rPr>
      </w:pPr>
      <w:r>
        <w:rPr>
          <w:rFonts w:ascii="Times New Roman" w:cs="Times New Roman" w:eastAsia="Times New Roman" w:hAnsi="Times New Roman"/>
          <w:sz w:val="22"/>
          <w:szCs w:val="22"/>
          <w:color w:val="auto"/>
        </w:rPr>
        <w:t>continue for a period of 12 months if the director’s service relationship with NTIC terminates as a result of the director’s death, disability or retirement; or</w:t>
      </w:r>
    </w:p>
    <w:p>
      <w:pPr>
        <w:ind w:left="1081" w:right="540" w:hanging="361"/>
        <w:spacing w:after="0" w:line="247" w:lineRule="auto"/>
        <w:tabs>
          <w:tab w:leader="none" w:pos="1081" w:val="left"/>
        </w:tabs>
        <w:numPr>
          <w:ilvl w:val="0"/>
          <w:numId w:val="40"/>
        </w:numPr>
        <w:rPr>
          <w:rFonts w:ascii="Arial" w:cs="Arial" w:eastAsia="Arial" w:hAnsi="Arial"/>
          <w:sz w:val="22"/>
          <w:szCs w:val="22"/>
          <w:color w:val="auto"/>
        </w:rPr>
      </w:pPr>
      <w:r>
        <w:rPr>
          <w:rFonts w:ascii="Times New Roman" w:cs="Times New Roman" w:eastAsia="Times New Roman" w:hAnsi="Times New Roman"/>
          <w:sz w:val="22"/>
          <w:szCs w:val="22"/>
          <w:color w:val="auto"/>
        </w:rPr>
        <w:t>continue for a period of three months if the director’s service relationship with NTIC terminates for any reason, other than for cause or upon the director’s death, disability or retirement.</w:t>
      </w:r>
    </w:p>
    <w:p>
      <w:pPr>
        <w:spacing w:after="0" w:line="191" w:lineRule="exact"/>
        <w:rPr>
          <w:sz w:val="20"/>
          <w:szCs w:val="20"/>
          <w:color w:val="auto"/>
        </w:rPr>
      </w:pPr>
    </w:p>
    <w:p>
      <w:pPr>
        <w:ind w:left="1" w:right="340"/>
        <w:spacing w:after="0" w:line="253" w:lineRule="auto"/>
        <w:rPr>
          <w:sz w:val="20"/>
          <w:szCs w:val="20"/>
          <w:color w:val="auto"/>
        </w:rPr>
      </w:pPr>
      <w:r>
        <w:rPr>
          <w:rFonts w:ascii="Times New Roman" w:cs="Times New Roman" w:eastAsia="Times New Roman" w:hAnsi="Times New Roman"/>
          <w:sz w:val="22"/>
          <w:szCs w:val="22"/>
          <w:color w:val="auto"/>
        </w:rPr>
        <w:t>In addition, under the terms of our stock incentive plan, unless otherwise provided in a separate agreement or modified in connection with the termination of a director’s service, if a director’s service with NTIC terminates for any reason, the unvested portion of any restricted stock units held by such director will be terminated and forfeited immediately.</w:t>
      </w:r>
    </w:p>
    <w:p>
      <w:pPr>
        <w:spacing w:after="0" w:line="186" w:lineRule="exact"/>
        <w:rPr>
          <w:sz w:val="20"/>
          <w:szCs w:val="20"/>
          <w:color w:val="auto"/>
        </w:rPr>
      </w:pPr>
    </w:p>
    <w:p>
      <w:pPr>
        <w:ind w:left="1" w:right="60"/>
        <w:spacing w:after="0" w:line="261" w:lineRule="auto"/>
        <w:rPr>
          <w:sz w:val="20"/>
          <w:szCs w:val="20"/>
          <w:color w:val="auto"/>
        </w:rPr>
      </w:pPr>
      <w:r>
        <w:rPr>
          <w:rFonts w:ascii="Times New Roman" w:cs="Times New Roman" w:eastAsia="Times New Roman" w:hAnsi="Times New Roman"/>
          <w:sz w:val="21"/>
          <w:szCs w:val="21"/>
          <w:color w:val="auto"/>
        </w:rPr>
        <w:t>We refer you to note (2) to the “</w:t>
      </w:r>
      <w:r>
        <w:rPr>
          <w:rFonts w:ascii="Times New Roman" w:cs="Times New Roman" w:eastAsia="Times New Roman" w:hAnsi="Times New Roman"/>
          <w:sz w:val="21"/>
          <w:szCs w:val="21"/>
          <w:i w:val="1"/>
          <w:iCs w:val="1"/>
          <w:color w:val="auto"/>
        </w:rPr>
        <w:t>Director Compensation Table</w:t>
      </w:r>
      <w:r>
        <w:rPr>
          <w:rFonts w:ascii="Times New Roman" w:cs="Times New Roman" w:eastAsia="Times New Roman" w:hAnsi="Times New Roman"/>
          <w:sz w:val="21"/>
          <w:szCs w:val="21"/>
          <w:color w:val="auto"/>
        </w:rPr>
        <w:t>” for a summary of all restricted stock units awarded to our non-employee directors during the fiscal year ended August 31, 2025 and a summary of all restricted stock units held by our non-employee directors as of August 31, 2025. We refer you to note</w:t>
      </w:r>
    </w:p>
    <w:p>
      <w:pPr>
        <w:spacing w:after="0" w:line="3" w:lineRule="exact"/>
        <w:rPr>
          <w:sz w:val="20"/>
          <w:szCs w:val="20"/>
          <w:color w:val="auto"/>
        </w:rPr>
      </w:pPr>
    </w:p>
    <w:p>
      <w:pPr>
        <w:ind w:left="1" w:right="20" w:hanging="1"/>
        <w:spacing w:after="0" w:line="242" w:lineRule="auto"/>
        <w:tabs>
          <w:tab w:leader="none" w:pos="31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w:t>
      </w:r>
      <w:r>
        <w:rPr>
          <w:rFonts w:ascii="Times New Roman" w:cs="Times New Roman" w:eastAsia="Times New Roman" w:hAnsi="Times New Roman"/>
          <w:sz w:val="22"/>
          <w:szCs w:val="22"/>
          <w:i w:val="1"/>
          <w:iCs w:val="1"/>
          <w:color w:val="auto"/>
        </w:rPr>
        <w:t>Director Compensation Table</w:t>
      </w:r>
      <w:r>
        <w:rPr>
          <w:rFonts w:ascii="Times New Roman" w:cs="Times New Roman" w:eastAsia="Times New Roman" w:hAnsi="Times New Roman"/>
          <w:sz w:val="22"/>
          <w:szCs w:val="22"/>
          <w:color w:val="auto"/>
        </w:rPr>
        <w:t>” for a summary of all option grants to our non-employee directors during the fiscal year ended August 31, 2025 and note (4) to the “</w:t>
      </w:r>
      <w:r>
        <w:rPr>
          <w:rFonts w:ascii="Times New Roman" w:cs="Times New Roman" w:eastAsia="Times New Roman" w:hAnsi="Times New Roman"/>
          <w:sz w:val="22"/>
          <w:szCs w:val="22"/>
          <w:i w:val="1"/>
          <w:iCs w:val="1"/>
          <w:color w:val="auto"/>
        </w:rPr>
        <w:t>Director Compensation Table</w:t>
      </w:r>
      <w:r>
        <w:rPr>
          <w:rFonts w:ascii="Times New Roman" w:cs="Times New Roman" w:eastAsia="Times New Roman" w:hAnsi="Times New Roman"/>
          <w:sz w:val="22"/>
          <w:szCs w:val="22"/>
          <w:color w:val="auto"/>
        </w:rPr>
        <w:t>” for a summary of all options to purchase shares of our common stock held by our non-employee directors as of August 31, 2025.</w:t>
      </w:r>
    </w:p>
    <w:p>
      <w:pPr>
        <w:spacing w:after="0" w:line="199" w:lineRule="exact"/>
        <w:rPr>
          <w:sz w:val="20"/>
          <w:szCs w:val="20"/>
          <w:color w:val="auto"/>
        </w:rPr>
      </w:pPr>
    </w:p>
    <w:p>
      <w:pPr>
        <w:ind w:left="1" w:right="60"/>
        <w:spacing w:after="0" w:line="259" w:lineRule="auto"/>
        <w:rPr>
          <w:sz w:val="20"/>
          <w:szCs w:val="20"/>
          <w:color w:val="auto"/>
        </w:rPr>
      </w:pPr>
      <w:r>
        <w:rPr>
          <w:rFonts w:ascii="Times New Roman" w:cs="Times New Roman" w:eastAsia="Times New Roman" w:hAnsi="Times New Roman"/>
          <w:sz w:val="22"/>
          <w:szCs w:val="22"/>
          <w:i w:val="1"/>
          <w:iCs w:val="1"/>
          <w:color w:val="auto"/>
        </w:rPr>
        <w:t>Reimbursement of Expenses</w:t>
      </w:r>
      <w:r>
        <w:rPr>
          <w:rFonts w:ascii="Times New Roman" w:cs="Times New Roman" w:eastAsia="Times New Roman" w:hAnsi="Times New Roman"/>
          <w:sz w:val="22"/>
          <w:szCs w:val="22"/>
          <w:color w:val="auto"/>
        </w:rPr>
        <w:t>. All of our directors are reimbursed for travel expenses for attending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meetings and other miscellaneous out-of-pocket expenses incurred in performing their Board of Directors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2240" w:h="15840" w:orient="portrait"/>
          <w:cols w:equalWidth="0" w:num="1">
            <w:col w:w="9361"/>
          </w:cols>
          <w:pgMar w:left="1439" w:top="1417" w:right="1440" w:bottom="178"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4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We are party to a consulting agreement with Bioplastic Polymers LLC, an entity owned by one of our directors, Ramani Narayan, Ph.D., pursuant to which Dr. Narayan provides certain consulting services to us relating to our Natur -Tec® business and bioplastics program. The agreement sets out terms for clear separation between Dr. Narayan’s work at Michigan State University and any related inventions and his work with us and related inventions. In exchange for the consulting services, we pay Bioplastic Polymers LLC $12,000 per month. Unless terminated earlier, the agreement will terminate by its terms on January 11, 2027. Either party may terminate the agreement upon 30 days prior written notice and the agreement will terminate automatically upon Dr. Narayan’s death or a disability that prevents him from performing services under the agreement. We paid Bioplastic Polymers LLC $144,000 in consulting fees during the fiscal year ended August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2240" w:h="15840" w:orient="portrait"/>
          <w:cols w:equalWidth="0" w:num="1">
            <w:col w:w="9360"/>
          </w:cols>
          <w:pgMar w:left="1440" w:top="1413" w:right="1440" w:bottom="178"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3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Review</w:t>
      </w:r>
    </w:p>
    <w:p>
      <w:pPr>
        <w:spacing w:after="0" w:line="24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In this Compensation Review, we describe the key principles and approaches we use to determine elements of compensation paid to, awarded to and earned by G. Patrick Lynch, who serves as our President and Chief Executive Officer (referred to as our “CEO”), and Matthew C. Wolsfeld, who serves as our Chief Financial Officer (referred to as our “CFO”). Their compensation is set forth in the Summary Compensation Table found later in this proxy statement. The CEO and CFO are the only two individuals who have been designated by our Board of Directors as “executive officers” of NTIC within the meaning of the federal securities laws. This Compensation Review should be read in conjunction with the accompanying compensation tables, corresponding notes and narrative discussion, as they provide additional information and context to our compensation disclosures. We refer to the CEO and CFO in this proxy statement as our “named executive officers” or “executives.”</w:t>
      </w:r>
    </w:p>
    <w:p>
      <w:pPr>
        <w:spacing w:after="0" w:line="198"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2"/>
          <w:szCs w:val="22"/>
          <w:color w:val="auto"/>
        </w:rPr>
        <w:t>When reading this Compensation Review, please note that we are a “smaller reporting company” under the federal securities laws and are not required to provide a “Compensation Discussion and Analysis” of the type required by Item 402 of Regulation S-K. This Compensation Review is intended to supplement the SEC-required disclosure, which is included below this section, and it is not a Compensation Discussion and Analysis.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Executive Summary</w:t>
      </w:r>
    </w:p>
    <w:p>
      <w:pPr>
        <w:spacing w:after="0" w:line="23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21"/>
          <w:szCs w:val="21"/>
          <w:color w:val="auto"/>
        </w:rPr>
        <w:t>One of our key executive compensation objectives is to link pay to performance by aligning the financial interests of our executives with those of our stockholders and by emphasizing pay for performance in our compensation programs. We believe we accomplish this objective primarily through our annual bonus plan, which compensates executives for achieving annual corporate financial goals and individual goals.</w:t>
      </w:r>
    </w:p>
    <w:p>
      <w:pPr>
        <w:spacing w:after="0" w:line="17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2"/>
          <w:szCs w:val="22"/>
          <w:color w:val="auto"/>
        </w:rPr>
        <w:t>Our fiscal 2025 total net sales decreased 1% to $84.2 million compared to fiscal 2024 and NTIC incurred net income attributable to NTIC of approximately $18,000, or $0.00 per diluted common share, for fiscal 2025 compared to net income attributable to NTIC of $5.4 million, or $0.55 per diluted common share, for fiscal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Compensation Highlights and Best Practices</w:t>
      </w:r>
    </w:p>
    <w:p>
      <w:pPr>
        <w:spacing w:after="0" w:line="236"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2"/>
          <w:szCs w:val="22"/>
          <w:color w:val="auto"/>
        </w:rPr>
        <w:t>Our compensation practices include many best pay practices that support our executive compensation objectives and principles and benefit our stockholders, such as the following:</w:t>
      </w:r>
    </w:p>
    <w:p>
      <w:pPr>
        <w:spacing w:after="0" w:line="175" w:lineRule="exact"/>
        <w:rPr>
          <w:sz w:val="20"/>
          <w:szCs w:val="20"/>
          <w:color w:val="auto"/>
        </w:rPr>
      </w:pPr>
    </w:p>
    <w:p>
      <w:pPr>
        <w:jc w:val="both"/>
        <w:ind w:left="1080" w:right="380" w:hanging="360"/>
        <w:spacing w:after="0" w:line="259" w:lineRule="auto"/>
        <w:tabs>
          <w:tab w:leader="none" w:pos="1080" w:val="left"/>
        </w:tabs>
        <w:numPr>
          <w:ilvl w:val="0"/>
          <w:numId w:val="42"/>
        </w:numPr>
        <w:rPr>
          <w:rFonts w:ascii="Arial" w:cs="Arial" w:eastAsia="Arial" w:hAnsi="Arial"/>
          <w:sz w:val="22"/>
          <w:szCs w:val="22"/>
          <w:color w:val="auto"/>
        </w:rPr>
      </w:pPr>
      <w:r>
        <w:rPr>
          <w:rFonts w:ascii="Times New Roman" w:cs="Times New Roman" w:eastAsia="Times New Roman" w:hAnsi="Times New Roman"/>
          <w:sz w:val="22"/>
          <w:szCs w:val="22"/>
          <w:i w:val="1"/>
          <w:iCs w:val="1"/>
          <w:color w:val="auto"/>
        </w:rPr>
        <w:t>Pay for performance</w:t>
      </w:r>
      <w:r>
        <w:rPr>
          <w:rFonts w:ascii="Times New Roman" w:cs="Times New Roman" w:eastAsia="Times New Roman" w:hAnsi="Times New Roman"/>
          <w:sz w:val="22"/>
          <w:szCs w:val="22"/>
          <w:color w:val="auto"/>
        </w:rPr>
        <w:t>. We tie compensation directly to financial performance. Our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bonus plan pays out only if a certain minimum adjusted earnings threshold is met, and the payouts are completely dependent upon our actual adjusted earnings.</w:t>
      </w:r>
    </w:p>
    <w:p>
      <w:pPr>
        <w:spacing w:after="0" w:line="75" w:lineRule="exact"/>
        <w:rPr>
          <w:rFonts w:ascii="Arial" w:cs="Arial" w:eastAsia="Arial" w:hAnsi="Arial"/>
          <w:sz w:val="22"/>
          <w:szCs w:val="22"/>
          <w:color w:val="auto"/>
        </w:rPr>
      </w:pPr>
    </w:p>
    <w:p>
      <w:pPr>
        <w:ind w:left="1080" w:right="100" w:hanging="360"/>
        <w:spacing w:after="0" w:line="259" w:lineRule="auto"/>
        <w:tabs>
          <w:tab w:leader="none" w:pos="1080" w:val="left"/>
        </w:tabs>
        <w:numPr>
          <w:ilvl w:val="0"/>
          <w:numId w:val="42"/>
        </w:numPr>
        <w:rPr>
          <w:rFonts w:ascii="Arial" w:cs="Arial" w:eastAsia="Arial" w:hAnsi="Arial"/>
          <w:sz w:val="22"/>
          <w:szCs w:val="22"/>
          <w:color w:val="auto"/>
        </w:rPr>
      </w:pPr>
      <w:r>
        <w:rPr>
          <w:rFonts w:ascii="Times New Roman" w:cs="Times New Roman" w:eastAsia="Times New Roman" w:hAnsi="Times New Roman"/>
          <w:sz w:val="22"/>
          <w:szCs w:val="22"/>
          <w:i w:val="1"/>
          <w:iCs w:val="1"/>
          <w:color w:val="auto"/>
        </w:rPr>
        <w:t>At-risk pay</w:t>
      </w:r>
      <w:r>
        <w:rPr>
          <w:rFonts w:ascii="Times New Roman" w:cs="Times New Roman" w:eastAsia="Times New Roman" w:hAnsi="Times New Roman"/>
          <w:sz w:val="22"/>
          <w:szCs w:val="22"/>
          <w:color w:val="auto"/>
        </w:rPr>
        <w:t>. A significant portion of executives’ compensation is “performance-based” or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risk.” For fiscal 2025, approximately 60.1% of total compensation for our named executive officers was performance-based, assuming grant date fair values for equity awards.</w:t>
      </w:r>
    </w:p>
    <w:p>
      <w:pPr>
        <w:spacing w:after="0" w:line="75" w:lineRule="exact"/>
        <w:rPr>
          <w:rFonts w:ascii="Arial" w:cs="Arial" w:eastAsia="Arial" w:hAnsi="Arial"/>
          <w:sz w:val="22"/>
          <w:szCs w:val="22"/>
          <w:color w:val="auto"/>
        </w:rPr>
      </w:pPr>
    </w:p>
    <w:p>
      <w:pPr>
        <w:ind w:left="1080" w:right="60" w:hanging="360"/>
        <w:spacing w:after="0" w:line="252" w:lineRule="auto"/>
        <w:tabs>
          <w:tab w:leader="none" w:pos="1080" w:val="left"/>
        </w:tabs>
        <w:numPr>
          <w:ilvl w:val="0"/>
          <w:numId w:val="42"/>
        </w:numPr>
        <w:rPr>
          <w:rFonts w:ascii="Arial" w:cs="Arial" w:eastAsia="Arial" w:hAnsi="Arial"/>
          <w:sz w:val="22"/>
          <w:szCs w:val="22"/>
          <w:color w:val="auto"/>
        </w:rPr>
      </w:pPr>
      <w:r>
        <w:rPr>
          <w:rFonts w:ascii="Times New Roman" w:cs="Times New Roman" w:eastAsia="Times New Roman" w:hAnsi="Times New Roman"/>
          <w:sz w:val="22"/>
          <w:szCs w:val="22"/>
          <w:i w:val="1"/>
          <w:iCs w:val="1"/>
          <w:color w:val="auto"/>
        </w:rPr>
        <w:t>Equity-based pay</w:t>
      </w:r>
      <w:r>
        <w:rPr>
          <w:rFonts w:ascii="Times New Roman" w:cs="Times New Roman" w:eastAsia="Times New Roman" w:hAnsi="Times New Roman"/>
          <w:sz w:val="22"/>
          <w:szCs w:val="22"/>
          <w:color w:val="auto"/>
        </w:rPr>
        <w:t>. A significant portion of executives’ compensation is “equity-based” and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form of stock-based incentive awards. For fiscal 2025, approximately 28.6% of total compensation for our named executive officers was equity-based, assuming grant date fair values for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2240" w:h="15840" w:orient="portrait"/>
          <w:cols w:equalWidth="0" w:num="1">
            <w:col w:w="9360"/>
          </w:cols>
          <w:pgMar w:left="1440" w:top="1413" w:right="1440" w:bottom="178" w:gutter="0" w:footer="0" w:header="0"/>
        </w:sectPr>
      </w:pPr>
    </w:p>
    <w:bookmarkStart w:id="58" w:name="page59"/>
    <w:bookmarkEnd w:id="58"/>
    <w:p>
      <w:pPr>
        <w:ind w:left="1080" w:right="60" w:hanging="360"/>
        <w:spacing w:after="0" w:line="244" w:lineRule="auto"/>
        <w:tabs>
          <w:tab w:leader="none" w:pos="108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22"/>
          <w:szCs w:val="22"/>
          <w:i w:val="1"/>
          <w:iCs w:val="1"/>
          <w:color w:val="auto"/>
        </w:rPr>
        <w:t>Clawback policy</w:t>
      </w:r>
      <w:r>
        <w:rPr>
          <w:rFonts w:ascii="Times New Roman" w:cs="Times New Roman" w:eastAsia="Times New Roman" w:hAnsi="Times New Roman"/>
          <w:sz w:val="22"/>
          <w:szCs w:val="22"/>
          <w:color w:val="auto"/>
        </w:rPr>
        <w:t>. We maintain a robust, Nasdaq-compliant clawback policy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we are required to recover erroneously paid compensation from current or former executive officers in the event of certain financial restatements as provided under the Nasdaq rules. This policy also provides that we may recover certain incentive compensation, including all equity awards, if a financial metric used to determine the vesting or payment of compensation was calculated incorrectly, whether or not a restatement occurs, or if an executive engages in egregious conduct that is substantially detrimental to NTIC. In addition, our stock incentive plan and related award agreements include a “clawback” mechanism to recoup incentive compensation if it is determined that executives engaged in certain conduct adverse to our interests.</w:t>
      </w:r>
    </w:p>
    <w:p>
      <w:pPr>
        <w:spacing w:after="0" w:line="92" w:lineRule="exact"/>
        <w:rPr>
          <w:rFonts w:ascii="Arial" w:cs="Arial" w:eastAsia="Arial" w:hAnsi="Arial"/>
          <w:sz w:val="22"/>
          <w:szCs w:val="22"/>
          <w:color w:val="auto"/>
        </w:rPr>
      </w:pPr>
    </w:p>
    <w:p>
      <w:pPr>
        <w:ind w:left="1080" w:right="360" w:hanging="360"/>
        <w:spacing w:after="0" w:line="277" w:lineRule="auto"/>
        <w:tabs>
          <w:tab w:leader="none" w:pos="108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22"/>
          <w:szCs w:val="22"/>
          <w:i w:val="1"/>
          <w:iCs w:val="1"/>
          <w:color w:val="auto"/>
        </w:rPr>
        <w:t>No tax gross-ups</w:t>
      </w:r>
      <w:r>
        <w:rPr>
          <w:rFonts w:ascii="Times New Roman" w:cs="Times New Roman" w:eastAsia="Times New Roman" w:hAnsi="Times New Roman"/>
          <w:sz w:val="22"/>
          <w:szCs w:val="22"/>
          <w:color w:val="auto"/>
        </w:rPr>
        <w:t>. We do not provide any tax “gross-up” payments in connection with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benefits or perquisites provided to our executives.</w:t>
      </w:r>
    </w:p>
    <w:p>
      <w:pPr>
        <w:spacing w:after="0" w:line="57" w:lineRule="exact"/>
        <w:rPr>
          <w:rFonts w:ascii="Arial" w:cs="Arial" w:eastAsia="Arial" w:hAnsi="Arial"/>
          <w:sz w:val="22"/>
          <w:szCs w:val="22"/>
          <w:color w:val="auto"/>
        </w:rPr>
      </w:pPr>
    </w:p>
    <w:p>
      <w:pPr>
        <w:ind w:left="1080" w:hanging="360"/>
        <w:spacing w:after="0"/>
        <w:tabs>
          <w:tab w:leader="none" w:pos="108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22"/>
          <w:szCs w:val="22"/>
          <w:i w:val="1"/>
          <w:iCs w:val="1"/>
          <w:color w:val="auto"/>
        </w:rPr>
        <w:t>Limited perquisites</w:t>
      </w:r>
      <w:r>
        <w:rPr>
          <w:rFonts w:ascii="Times New Roman" w:cs="Times New Roman" w:eastAsia="Times New Roman" w:hAnsi="Times New Roman"/>
          <w:sz w:val="22"/>
          <w:szCs w:val="22"/>
          <w:color w:val="auto"/>
        </w:rPr>
        <w:t>. We provide only limited perquisites to our executives.</w:t>
      </w:r>
    </w:p>
    <w:p>
      <w:pPr>
        <w:spacing w:after="0" w:line="134" w:lineRule="exact"/>
        <w:rPr>
          <w:rFonts w:ascii="Arial" w:cs="Arial" w:eastAsia="Arial" w:hAnsi="Arial"/>
          <w:sz w:val="22"/>
          <w:szCs w:val="22"/>
          <w:color w:val="auto"/>
        </w:rPr>
      </w:pPr>
    </w:p>
    <w:p>
      <w:pPr>
        <w:jc w:val="both"/>
        <w:ind w:left="1080" w:right="140" w:hanging="360"/>
        <w:spacing w:after="0" w:line="277" w:lineRule="auto"/>
        <w:tabs>
          <w:tab w:leader="none" w:pos="108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22"/>
          <w:szCs w:val="22"/>
          <w:i w:val="1"/>
          <w:iCs w:val="1"/>
          <w:color w:val="auto"/>
        </w:rPr>
        <w:t>Stock ownership guidelines</w:t>
      </w:r>
      <w:r>
        <w:rPr>
          <w:rFonts w:ascii="Times New Roman" w:cs="Times New Roman" w:eastAsia="Times New Roman" w:hAnsi="Times New Roman"/>
          <w:sz w:val="22"/>
          <w:szCs w:val="22"/>
          <w:color w:val="auto"/>
        </w:rPr>
        <w:t>. We maintain stock ownership guidelines that allow us to ensure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the interests of our executive officers are closely aligned with those of our stockholders.</w:t>
      </w:r>
    </w:p>
    <w:p>
      <w:pPr>
        <w:spacing w:after="0" w:line="56" w:lineRule="exact"/>
        <w:rPr>
          <w:rFonts w:ascii="Arial" w:cs="Arial" w:eastAsia="Arial" w:hAnsi="Arial"/>
          <w:sz w:val="22"/>
          <w:szCs w:val="22"/>
          <w:color w:val="auto"/>
        </w:rPr>
      </w:pPr>
    </w:p>
    <w:p>
      <w:pPr>
        <w:ind w:left="1080" w:right="200" w:hanging="360"/>
        <w:spacing w:after="0" w:line="259" w:lineRule="auto"/>
        <w:tabs>
          <w:tab w:leader="none" w:pos="108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22"/>
          <w:szCs w:val="22"/>
          <w:i w:val="1"/>
          <w:iCs w:val="1"/>
          <w:color w:val="auto"/>
        </w:rPr>
        <w:t>No hedging or pledging</w:t>
      </w:r>
      <w:r>
        <w:rPr>
          <w:rFonts w:ascii="Times New Roman" w:cs="Times New Roman" w:eastAsia="Times New Roman" w:hAnsi="Times New Roman"/>
          <w:sz w:val="22"/>
          <w:szCs w:val="22"/>
          <w:color w:val="auto"/>
        </w:rPr>
        <w:t>. We prohibit our executives from engaging in hedging transactions,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as short sales, transactions in publicly traded options, such as puts, calls and other derivatives, and pledging our common stock in any significant respect.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Say-on-Pay Vote</w:t>
      </w:r>
    </w:p>
    <w:p>
      <w:pPr>
        <w:spacing w:after="0" w:line="236"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2"/>
          <w:szCs w:val="22"/>
          <w:color w:val="auto"/>
        </w:rPr>
        <w:t>At our 2025 Annual Meeting of Stockholders, our stockholders had the opportunity to provide an advisory vote on the compensation paid to our named executive officers, or a “say-on-pay” vote. Of the votes cast by our stockholders, 93% were in favor of our “say- on-pay” proposal. Accordingly, the Compensation Committee generally believes that these results affirmed stockholder support of our approach to executive compensation and did not believe it was necessary to make, and therefore has not made, any changes to our executive pay program solely in response to that vote.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Executive Compensation Objectives</w:t>
      </w:r>
    </w:p>
    <w:p>
      <w:pPr>
        <w:spacing w:after="0" w:line="23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2"/>
          <w:szCs w:val="22"/>
          <w:color w:val="auto"/>
        </w:rPr>
        <w:t>Our guiding compensation philosophy is to maintain an executive compensation program that allows us to attract, retain, motivate and reward qualified and talented executives that will enable us to grow our business, achieve our annual, long-term and strategic goals and drive long-term stockholder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core principles provide a framework for our executive compensation program:</w:t>
      </w:r>
    </w:p>
    <w:p>
      <w:pPr>
        <w:spacing w:after="0" w:line="256" w:lineRule="exact"/>
        <w:rPr>
          <w:sz w:val="20"/>
          <w:szCs w:val="20"/>
          <w:color w:val="auto"/>
        </w:rPr>
      </w:pPr>
    </w:p>
    <w:p>
      <w:pPr>
        <w:ind w:left="1080" w:hanging="360"/>
        <w:spacing w:after="0"/>
        <w:tabs>
          <w:tab w:leader="none" w:pos="108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22"/>
          <w:szCs w:val="22"/>
          <w:color w:val="auto"/>
        </w:rPr>
        <w:t>Align interests of our executives with stockholder interests;</w:t>
      </w:r>
    </w:p>
    <w:p>
      <w:pPr>
        <w:spacing w:after="0" w:line="134" w:lineRule="exact"/>
        <w:rPr>
          <w:rFonts w:ascii="Arial" w:cs="Arial" w:eastAsia="Arial" w:hAnsi="Arial"/>
          <w:sz w:val="22"/>
          <w:szCs w:val="22"/>
          <w:color w:val="auto"/>
        </w:rPr>
      </w:pPr>
    </w:p>
    <w:p>
      <w:pPr>
        <w:ind w:left="1080" w:hanging="360"/>
        <w:spacing w:after="0"/>
        <w:tabs>
          <w:tab w:leader="none" w:pos="108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22"/>
          <w:szCs w:val="22"/>
          <w:color w:val="auto"/>
        </w:rPr>
        <w:t>Integrate compensation with our business plans and strategic goals;</w:t>
      </w:r>
    </w:p>
    <w:p>
      <w:pPr>
        <w:spacing w:after="0" w:line="134" w:lineRule="exact"/>
        <w:rPr>
          <w:rFonts w:ascii="Arial" w:cs="Arial" w:eastAsia="Arial" w:hAnsi="Arial"/>
          <w:sz w:val="22"/>
          <w:szCs w:val="22"/>
          <w:color w:val="auto"/>
        </w:rPr>
      </w:pPr>
    </w:p>
    <w:p>
      <w:pPr>
        <w:ind w:left="1080" w:hanging="360"/>
        <w:spacing w:after="0"/>
        <w:tabs>
          <w:tab w:leader="none" w:pos="108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22"/>
          <w:szCs w:val="22"/>
          <w:color w:val="auto"/>
        </w:rPr>
        <w:t>Link amount of compensation to both company and individual performance; and</w:t>
      </w:r>
    </w:p>
    <w:p>
      <w:pPr>
        <w:spacing w:after="0" w:line="134" w:lineRule="exact"/>
        <w:rPr>
          <w:rFonts w:ascii="Arial" w:cs="Arial" w:eastAsia="Arial" w:hAnsi="Arial"/>
          <w:sz w:val="22"/>
          <w:szCs w:val="22"/>
          <w:color w:val="auto"/>
        </w:rPr>
      </w:pPr>
    </w:p>
    <w:p>
      <w:pPr>
        <w:ind w:left="1080" w:hanging="361"/>
        <w:spacing w:after="0"/>
        <w:tabs>
          <w:tab w:leader="none" w:pos="108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22"/>
          <w:szCs w:val="22"/>
          <w:color w:val="auto"/>
        </w:rPr>
        <w:t>Provide fair and competitive compensation opportunities that attract and retain executives.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How We Make Compensation Decisions</w:t>
      </w:r>
    </w:p>
    <w:p>
      <w:pPr>
        <w:spacing w:after="0" w:line="23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2"/>
          <w:szCs w:val="22"/>
          <w:color w:val="auto"/>
        </w:rPr>
        <w:t>There are several elements to our executive compensation decision -making, which we believe allow us to most effectively implement our compensation philosophy. Each of these elements and their roles are described briefly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2240" w:h="15840" w:orient="portrait"/>
          <w:cols w:equalWidth="0" w:num="1">
            <w:col w:w="9360"/>
          </w:cols>
          <w:pgMar w:left="1440" w:top="1433" w:right="1440" w:bottom="178" w:gutter="0" w:footer="0" w:header="0"/>
        </w:sectPr>
      </w:pPr>
    </w:p>
    <w:bookmarkStart w:id="59" w:name="page60"/>
    <w:bookmarkEnd w:id="59"/>
    <w:p>
      <w:pPr>
        <w:spacing w:after="0" w:line="277" w:lineRule="auto"/>
        <w:rPr>
          <w:sz w:val="20"/>
          <w:szCs w:val="20"/>
          <w:color w:val="auto"/>
        </w:rPr>
      </w:pPr>
      <w:r>
        <w:rPr>
          <w:rFonts w:ascii="Times New Roman" w:cs="Times New Roman" w:eastAsia="Times New Roman" w:hAnsi="Times New Roman"/>
          <w:sz w:val="21"/>
          <w:szCs w:val="21"/>
          <w:i w:val="1"/>
          <w:iCs w:val="1"/>
          <w:color w:val="auto"/>
        </w:rPr>
        <w:t>Role of the Compensation Committee</w:t>
      </w:r>
      <w:r>
        <w:rPr>
          <w:rFonts w:ascii="Times New Roman" w:cs="Times New Roman" w:eastAsia="Times New Roman" w:hAnsi="Times New Roman"/>
          <w:sz w:val="21"/>
          <w:szCs w:val="21"/>
          <w:color w:val="auto"/>
        </w:rPr>
        <w:t>. The Compensation Committee, which is comprised solely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independent directors, oversees our executive compensation program. Within its duties, the Compensation Committee recommends compensation for the CEO and CFO. In doing so, the Compensation Committee:</w:t>
      </w:r>
    </w:p>
    <w:p>
      <w:pPr>
        <w:spacing w:after="0" w:line="178" w:lineRule="exact"/>
        <w:rPr>
          <w:sz w:val="20"/>
          <w:szCs w:val="20"/>
          <w:color w:val="auto"/>
        </w:rPr>
      </w:pPr>
    </w:p>
    <w:p>
      <w:pPr>
        <w:ind w:left="1080" w:right="80" w:hanging="360"/>
        <w:spacing w:after="0" w:line="259" w:lineRule="auto"/>
        <w:tabs>
          <w:tab w:leader="none" w:pos="1080" w:val="left"/>
        </w:tabs>
        <w:numPr>
          <w:ilvl w:val="0"/>
          <w:numId w:val="45"/>
        </w:numPr>
        <w:rPr>
          <w:rFonts w:ascii="Arial" w:cs="Arial" w:eastAsia="Arial" w:hAnsi="Arial"/>
          <w:sz w:val="22"/>
          <w:szCs w:val="22"/>
          <w:color w:val="auto"/>
        </w:rPr>
      </w:pPr>
      <w:r>
        <w:rPr>
          <w:rFonts w:ascii="Times New Roman" w:cs="Times New Roman" w:eastAsia="Times New Roman" w:hAnsi="Times New Roman"/>
          <w:sz w:val="22"/>
          <w:szCs w:val="22"/>
          <w:color w:val="auto"/>
        </w:rPr>
        <w:t>Approves and recommends that the Board approve the total executive compensation package for each executive, including his base salary, annual bonus payout and annual stock option awards;</w:t>
      </w:r>
    </w:p>
    <w:p>
      <w:pPr>
        <w:spacing w:after="0" w:line="75" w:lineRule="exact"/>
        <w:rPr>
          <w:rFonts w:ascii="Arial" w:cs="Arial" w:eastAsia="Arial" w:hAnsi="Arial"/>
          <w:sz w:val="22"/>
          <w:szCs w:val="22"/>
          <w:color w:val="auto"/>
        </w:rPr>
      </w:pPr>
    </w:p>
    <w:p>
      <w:pPr>
        <w:ind w:left="1080" w:hanging="360"/>
        <w:spacing w:after="0"/>
        <w:tabs>
          <w:tab w:leader="none" w:pos="1080" w:val="left"/>
        </w:tabs>
        <w:numPr>
          <w:ilvl w:val="0"/>
          <w:numId w:val="45"/>
        </w:numPr>
        <w:rPr>
          <w:rFonts w:ascii="Arial" w:cs="Arial" w:eastAsia="Arial" w:hAnsi="Arial"/>
          <w:sz w:val="22"/>
          <w:szCs w:val="22"/>
          <w:color w:val="auto"/>
        </w:rPr>
      </w:pPr>
      <w:r>
        <w:rPr>
          <w:rFonts w:ascii="Times New Roman" w:cs="Times New Roman" w:eastAsia="Times New Roman" w:hAnsi="Times New Roman"/>
          <w:sz w:val="22"/>
          <w:szCs w:val="22"/>
          <w:color w:val="auto"/>
        </w:rPr>
        <w:t>Approves and recommends that the Board approve the terms of our annual bonus plan;</w:t>
      </w:r>
    </w:p>
    <w:p>
      <w:pPr>
        <w:spacing w:after="0" w:line="134" w:lineRule="exact"/>
        <w:rPr>
          <w:rFonts w:ascii="Arial" w:cs="Arial" w:eastAsia="Arial" w:hAnsi="Arial"/>
          <w:sz w:val="22"/>
          <w:szCs w:val="22"/>
          <w:color w:val="auto"/>
        </w:rPr>
      </w:pPr>
    </w:p>
    <w:p>
      <w:pPr>
        <w:ind w:left="1080" w:hanging="360"/>
        <w:spacing w:after="0"/>
        <w:tabs>
          <w:tab w:leader="none" w:pos="1080" w:val="left"/>
        </w:tabs>
        <w:numPr>
          <w:ilvl w:val="0"/>
          <w:numId w:val="45"/>
        </w:numPr>
        <w:rPr>
          <w:rFonts w:ascii="Arial" w:cs="Arial" w:eastAsia="Arial" w:hAnsi="Arial"/>
          <w:sz w:val="22"/>
          <w:szCs w:val="22"/>
          <w:color w:val="auto"/>
        </w:rPr>
      </w:pPr>
      <w:r>
        <w:rPr>
          <w:rFonts w:ascii="Times New Roman" w:cs="Times New Roman" w:eastAsia="Times New Roman" w:hAnsi="Times New Roman"/>
          <w:sz w:val="22"/>
          <w:szCs w:val="22"/>
          <w:color w:val="auto"/>
        </w:rPr>
        <w:t>Approves and recommends that the Board approve annual stock option grants;</w:t>
      </w:r>
    </w:p>
    <w:p>
      <w:pPr>
        <w:spacing w:after="0" w:line="134" w:lineRule="exact"/>
        <w:rPr>
          <w:rFonts w:ascii="Arial" w:cs="Arial" w:eastAsia="Arial" w:hAnsi="Arial"/>
          <w:sz w:val="22"/>
          <w:szCs w:val="22"/>
          <w:color w:val="auto"/>
        </w:rPr>
      </w:pPr>
    </w:p>
    <w:p>
      <w:pPr>
        <w:ind w:left="1080" w:hanging="360"/>
        <w:spacing w:after="0"/>
        <w:tabs>
          <w:tab w:leader="none" w:pos="1080" w:val="left"/>
        </w:tabs>
        <w:numPr>
          <w:ilvl w:val="0"/>
          <w:numId w:val="45"/>
        </w:numPr>
        <w:rPr>
          <w:rFonts w:ascii="Arial" w:cs="Arial" w:eastAsia="Arial" w:hAnsi="Arial"/>
          <w:sz w:val="22"/>
          <w:szCs w:val="22"/>
          <w:color w:val="auto"/>
        </w:rPr>
      </w:pPr>
      <w:r>
        <w:rPr>
          <w:rFonts w:ascii="Times New Roman" w:cs="Times New Roman" w:eastAsia="Times New Roman" w:hAnsi="Times New Roman"/>
          <w:sz w:val="22"/>
          <w:szCs w:val="22"/>
          <w:color w:val="auto"/>
        </w:rPr>
        <w:t>Evaluates market competitiveness of our executive compensation program; and</w:t>
      </w:r>
    </w:p>
    <w:p>
      <w:pPr>
        <w:spacing w:after="0" w:line="134" w:lineRule="exact"/>
        <w:rPr>
          <w:rFonts w:ascii="Arial" w:cs="Arial" w:eastAsia="Arial" w:hAnsi="Arial"/>
          <w:sz w:val="22"/>
          <w:szCs w:val="22"/>
          <w:color w:val="auto"/>
        </w:rPr>
      </w:pPr>
    </w:p>
    <w:p>
      <w:pPr>
        <w:ind w:left="1080" w:right="200" w:hanging="360"/>
        <w:spacing w:after="0" w:line="277" w:lineRule="auto"/>
        <w:tabs>
          <w:tab w:leader="none" w:pos="1080" w:val="left"/>
        </w:tabs>
        <w:numPr>
          <w:ilvl w:val="0"/>
          <w:numId w:val="45"/>
        </w:numPr>
        <w:rPr>
          <w:rFonts w:ascii="Arial" w:cs="Arial" w:eastAsia="Arial" w:hAnsi="Arial"/>
          <w:sz w:val="22"/>
          <w:szCs w:val="22"/>
          <w:color w:val="auto"/>
        </w:rPr>
      </w:pPr>
      <w:r>
        <w:rPr>
          <w:rFonts w:ascii="Times New Roman" w:cs="Times New Roman" w:eastAsia="Times New Roman" w:hAnsi="Times New Roman"/>
          <w:sz w:val="22"/>
          <w:szCs w:val="22"/>
          <w:color w:val="auto"/>
        </w:rPr>
        <w:t>Evaluates proposed significant changes to all other elements of our executive compensation program.</w:t>
      </w:r>
    </w:p>
    <w:p>
      <w:pPr>
        <w:spacing w:after="0" w:line="161"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22"/>
          <w:szCs w:val="22"/>
          <w:color w:val="auto"/>
        </w:rPr>
        <w:t>In setting or recommending executive compensation for our executives, the Compensation Committee considers the following primary factors:</w:t>
      </w:r>
    </w:p>
    <w:p>
      <w:pPr>
        <w:spacing w:after="0" w:line="175" w:lineRule="exact"/>
        <w:rPr>
          <w:sz w:val="20"/>
          <w:szCs w:val="20"/>
          <w:color w:val="auto"/>
        </w:rPr>
      </w:pPr>
    </w:p>
    <w:p>
      <w:pPr>
        <w:ind w:left="1080" w:hanging="360"/>
        <w:spacing w:after="0"/>
        <w:tabs>
          <w:tab w:leader="none" w:pos="108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2"/>
          <w:szCs w:val="22"/>
          <w:color w:val="auto"/>
        </w:rPr>
        <w:t>each executive’s position within NTIC and the level of responsibility;</w:t>
      </w:r>
    </w:p>
    <w:p>
      <w:pPr>
        <w:spacing w:after="0" w:line="134" w:lineRule="exact"/>
        <w:rPr>
          <w:rFonts w:ascii="Arial" w:cs="Arial" w:eastAsia="Arial" w:hAnsi="Arial"/>
          <w:sz w:val="22"/>
          <w:szCs w:val="22"/>
          <w:color w:val="auto"/>
        </w:rPr>
      </w:pPr>
    </w:p>
    <w:p>
      <w:pPr>
        <w:ind w:left="1080" w:hanging="360"/>
        <w:spacing w:after="0"/>
        <w:tabs>
          <w:tab w:leader="none" w:pos="108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the executive to impact key business initiatives;</w:t>
      </w:r>
    </w:p>
    <w:p>
      <w:pPr>
        <w:spacing w:after="0" w:line="134" w:lineRule="exact"/>
        <w:rPr>
          <w:rFonts w:ascii="Arial" w:cs="Arial" w:eastAsia="Arial" w:hAnsi="Arial"/>
          <w:sz w:val="22"/>
          <w:szCs w:val="22"/>
          <w:color w:val="auto"/>
        </w:rPr>
      </w:pPr>
    </w:p>
    <w:p>
      <w:pPr>
        <w:ind w:left="1080" w:hanging="360"/>
        <w:spacing w:after="0"/>
        <w:tabs>
          <w:tab w:leader="none" w:pos="108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2"/>
          <w:szCs w:val="22"/>
          <w:color w:val="auto"/>
        </w:rPr>
        <w:t>the executive’s individual experience and qualifications;</w:t>
      </w:r>
    </w:p>
    <w:p>
      <w:pPr>
        <w:spacing w:after="0" w:line="134" w:lineRule="exact"/>
        <w:rPr>
          <w:rFonts w:ascii="Arial" w:cs="Arial" w:eastAsia="Arial" w:hAnsi="Arial"/>
          <w:sz w:val="22"/>
          <w:szCs w:val="22"/>
          <w:color w:val="auto"/>
        </w:rPr>
      </w:pPr>
    </w:p>
    <w:p>
      <w:pPr>
        <w:ind w:left="1080" w:hanging="360"/>
        <w:spacing w:after="0"/>
        <w:tabs>
          <w:tab w:leader="none" w:pos="108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2"/>
          <w:szCs w:val="22"/>
          <w:color w:val="auto"/>
        </w:rPr>
        <w:t>company performance, as compared to specific pre-established objectives;</w:t>
      </w:r>
    </w:p>
    <w:p>
      <w:pPr>
        <w:spacing w:after="0" w:line="134" w:lineRule="exact"/>
        <w:rPr>
          <w:rFonts w:ascii="Arial" w:cs="Arial" w:eastAsia="Arial" w:hAnsi="Arial"/>
          <w:sz w:val="22"/>
          <w:szCs w:val="22"/>
          <w:color w:val="auto"/>
        </w:rPr>
      </w:pPr>
    </w:p>
    <w:p>
      <w:pPr>
        <w:ind w:left="1080" w:hanging="360"/>
        <w:spacing w:after="0"/>
        <w:tabs>
          <w:tab w:leader="none" w:pos="108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2"/>
          <w:szCs w:val="22"/>
          <w:color w:val="auto"/>
        </w:rPr>
        <w:t>individual performance, generally and as compared to specific pre-established objectives;</w:t>
      </w:r>
    </w:p>
    <w:p>
      <w:pPr>
        <w:spacing w:after="0" w:line="134" w:lineRule="exact"/>
        <w:rPr>
          <w:rFonts w:ascii="Arial" w:cs="Arial" w:eastAsia="Arial" w:hAnsi="Arial"/>
          <w:sz w:val="22"/>
          <w:szCs w:val="22"/>
          <w:color w:val="auto"/>
        </w:rPr>
      </w:pPr>
    </w:p>
    <w:p>
      <w:pPr>
        <w:ind w:left="1080" w:hanging="360"/>
        <w:spacing w:after="0"/>
        <w:tabs>
          <w:tab w:leader="none" w:pos="108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2"/>
          <w:szCs w:val="22"/>
          <w:color w:val="auto"/>
        </w:rPr>
        <w:t>the executive’s current and historical compensation levels;</w:t>
      </w:r>
    </w:p>
    <w:p>
      <w:pPr>
        <w:spacing w:after="0" w:line="134" w:lineRule="exact"/>
        <w:rPr>
          <w:rFonts w:ascii="Arial" w:cs="Arial" w:eastAsia="Arial" w:hAnsi="Arial"/>
          <w:sz w:val="22"/>
          <w:szCs w:val="22"/>
          <w:color w:val="auto"/>
        </w:rPr>
      </w:pPr>
    </w:p>
    <w:p>
      <w:pPr>
        <w:ind w:left="1080" w:hanging="360"/>
        <w:spacing w:after="0"/>
        <w:tabs>
          <w:tab w:leader="none" w:pos="108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2"/>
          <w:szCs w:val="22"/>
          <w:color w:val="auto"/>
        </w:rPr>
        <w:t>advancement potential and succession planning considerations;</w:t>
      </w:r>
    </w:p>
    <w:p>
      <w:pPr>
        <w:spacing w:after="0" w:line="134" w:lineRule="exact"/>
        <w:rPr>
          <w:rFonts w:ascii="Arial" w:cs="Arial" w:eastAsia="Arial" w:hAnsi="Arial"/>
          <w:sz w:val="22"/>
          <w:szCs w:val="22"/>
          <w:color w:val="auto"/>
        </w:rPr>
      </w:pPr>
    </w:p>
    <w:p>
      <w:pPr>
        <w:ind w:left="1080" w:right="220" w:hanging="360"/>
        <w:spacing w:after="0" w:line="277" w:lineRule="auto"/>
        <w:tabs>
          <w:tab w:leader="none" w:pos="108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2"/>
          <w:szCs w:val="22"/>
          <w:color w:val="auto"/>
        </w:rPr>
        <w:t>an assessment of the risk that the executive would leave NTIC and the harm to our business initiatives if the executive left;</w:t>
      </w:r>
    </w:p>
    <w:p>
      <w:pPr>
        <w:spacing w:after="0" w:line="56" w:lineRule="exact"/>
        <w:rPr>
          <w:rFonts w:ascii="Arial" w:cs="Arial" w:eastAsia="Arial" w:hAnsi="Arial"/>
          <w:sz w:val="22"/>
          <w:szCs w:val="22"/>
          <w:color w:val="auto"/>
        </w:rPr>
      </w:pPr>
    </w:p>
    <w:p>
      <w:pPr>
        <w:ind w:left="1080" w:hanging="360"/>
        <w:spacing w:after="0"/>
        <w:tabs>
          <w:tab w:leader="none" w:pos="108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2"/>
          <w:szCs w:val="22"/>
          <w:color w:val="auto"/>
        </w:rPr>
        <w:t>the retention value of executive equity holdings, including outstanding stock options;</w:t>
      </w:r>
    </w:p>
    <w:p>
      <w:pPr>
        <w:spacing w:after="0" w:line="134" w:lineRule="exact"/>
        <w:rPr>
          <w:rFonts w:ascii="Arial" w:cs="Arial" w:eastAsia="Arial" w:hAnsi="Arial"/>
          <w:sz w:val="22"/>
          <w:szCs w:val="22"/>
          <w:color w:val="auto"/>
        </w:rPr>
      </w:pPr>
    </w:p>
    <w:p>
      <w:pPr>
        <w:ind w:left="1080" w:right="380" w:hanging="360"/>
        <w:spacing w:after="0" w:line="277" w:lineRule="auto"/>
        <w:tabs>
          <w:tab w:leader="none" w:pos="108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2"/>
          <w:szCs w:val="22"/>
          <w:color w:val="auto"/>
        </w:rPr>
        <w:t>the dilutive effect on the interests of our stockholders of long-term equity-based incentive awards; and</w:t>
      </w:r>
    </w:p>
    <w:p>
      <w:pPr>
        <w:spacing w:after="0" w:line="56" w:lineRule="exact"/>
        <w:rPr>
          <w:rFonts w:ascii="Arial" w:cs="Arial" w:eastAsia="Arial" w:hAnsi="Arial"/>
          <w:sz w:val="22"/>
          <w:szCs w:val="22"/>
          <w:color w:val="auto"/>
        </w:rPr>
      </w:pPr>
    </w:p>
    <w:p>
      <w:pPr>
        <w:ind w:left="1080" w:right="360" w:hanging="360"/>
        <w:spacing w:after="0" w:line="277" w:lineRule="auto"/>
        <w:tabs>
          <w:tab w:leader="none" w:pos="108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2"/>
          <w:szCs w:val="22"/>
          <w:color w:val="auto"/>
        </w:rPr>
        <w:t>anticipated share-based compensation expense as determined under applicable accounting rules.</w:t>
      </w:r>
    </w:p>
    <w:p>
      <w:pPr>
        <w:spacing w:after="0" w:line="160"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2"/>
          <w:szCs w:val="22"/>
          <w:color w:val="auto"/>
        </w:rPr>
        <w:t>The Compensation Committee also considers the recommendations of the CEO with respect to executive compensation to be paid to other executives and employees. The significance of any individual factor described above in setting executive compensation will vary from year to year and may vary among our executives. In making its final decision regarding the form and amount of compensation to be paid to our named executive officers (other than the CEO), the Compensation Committee considers and gives great weight to the recommendations of the CEO recognizing that due to his reporting and otherwise close relationship with each executive and employee, the CEO often is in a better position than the Compensation Committee to evaluate the performance of each executive (other than himself). In making its final decision regarding the form and amount of compensation to be paid to the CEO, the Compensation Committee considers the results of the CEO’s self-review and his individual annual performance review by the Compensation Committee and the recommendations of our non-employee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2240" w:h="15840" w:orient="portrait"/>
          <w:cols w:equalWidth="0" w:num="1">
            <w:col w:w="9360"/>
          </w:cols>
          <w:pgMar w:left="1440" w:top="1417" w:right="1440" w:bottom="178" w:gutter="0" w:footer="0" w:header="0"/>
        </w:sectPr>
      </w:pPr>
    </w:p>
    <w:bookmarkStart w:id="60" w:name="page61"/>
    <w:bookmarkEnd w:id="60"/>
    <w:p>
      <w:pPr>
        <w:ind w:left="20" w:right="400"/>
        <w:spacing w:after="0" w:line="278" w:lineRule="auto"/>
        <w:rPr>
          <w:sz w:val="20"/>
          <w:szCs w:val="20"/>
          <w:color w:val="auto"/>
        </w:rPr>
      </w:pPr>
      <w:r>
        <w:rPr>
          <w:rFonts w:ascii="Times New Roman" w:cs="Times New Roman" w:eastAsia="Times New Roman" w:hAnsi="Times New Roman"/>
          <w:sz w:val="22"/>
          <w:szCs w:val="22"/>
          <w:color w:val="auto"/>
        </w:rPr>
        <w:t>directors. The CEO’s compensation is approved by the Board of Directors (with the CEO abstaining), upon recommendation of the Compensation Committee.</w:t>
      </w:r>
    </w:p>
    <w:p>
      <w:pPr>
        <w:spacing w:after="0" w:line="159" w:lineRule="exact"/>
        <w:rPr>
          <w:sz w:val="20"/>
          <w:szCs w:val="20"/>
          <w:color w:val="auto"/>
        </w:rPr>
      </w:pPr>
    </w:p>
    <w:p>
      <w:pPr>
        <w:ind w:left="20" w:right="200"/>
        <w:spacing w:after="0" w:line="247" w:lineRule="auto"/>
        <w:rPr>
          <w:sz w:val="20"/>
          <w:szCs w:val="20"/>
          <w:color w:val="auto"/>
        </w:rPr>
      </w:pPr>
      <w:r>
        <w:rPr>
          <w:rFonts w:ascii="Times New Roman" w:cs="Times New Roman" w:eastAsia="Times New Roman" w:hAnsi="Times New Roman"/>
          <w:sz w:val="22"/>
          <w:szCs w:val="22"/>
          <w:i w:val="1"/>
          <w:iCs w:val="1"/>
          <w:color w:val="auto"/>
        </w:rPr>
        <w:t>Role of Management</w:t>
      </w:r>
      <w:r>
        <w:rPr>
          <w:rFonts w:ascii="Times New Roman" w:cs="Times New Roman" w:eastAsia="Times New Roman" w:hAnsi="Times New Roman"/>
          <w:sz w:val="22"/>
          <w:szCs w:val="22"/>
          <w:color w:val="auto"/>
        </w:rPr>
        <w:t>. Management’s role is to provide current compensation information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Committee and provide analysis and recommendations on executive compensation to the Compensation Committee based on the executive’s level of professional experience; the executive’s duties and responsibilities; individual performance; tenure; and historic corporate performance. None of our executives, including the CEO, provides input or recommendations with respect to his own compensation.</w:t>
      </w:r>
    </w:p>
    <w:p>
      <w:pPr>
        <w:spacing w:after="0" w:line="196" w:lineRule="exact"/>
        <w:rPr>
          <w:sz w:val="20"/>
          <w:szCs w:val="20"/>
          <w:color w:val="auto"/>
        </w:rPr>
      </w:pPr>
    </w:p>
    <w:p>
      <w:pPr>
        <w:ind w:left="20" w:right="20"/>
        <w:spacing w:after="0" w:line="249" w:lineRule="auto"/>
        <w:rPr>
          <w:sz w:val="20"/>
          <w:szCs w:val="20"/>
          <w:color w:val="auto"/>
        </w:rPr>
      </w:pPr>
      <w:r>
        <w:rPr>
          <w:rFonts w:ascii="Times New Roman" w:cs="Times New Roman" w:eastAsia="Times New Roman" w:hAnsi="Times New Roman"/>
          <w:sz w:val="22"/>
          <w:szCs w:val="22"/>
          <w:i w:val="1"/>
          <w:iCs w:val="1"/>
          <w:color w:val="auto"/>
        </w:rPr>
        <w:t>Use of Market Data</w:t>
      </w:r>
      <w:r>
        <w:rPr>
          <w:rFonts w:ascii="Times New Roman" w:cs="Times New Roman" w:eastAsia="Times New Roman" w:hAnsi="Times New Roman"/>
          <w:sz w:val="22"/>
          <w:szCs w:val="22"/>
          <w:color w:val="auto"/>
        </w:rPr>
        <w:t>. Since there are no public companies of which NTIC is aware that are substantially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similar to NTIC, in terms of its business, industry and corporate profile, the Compensation Committee has not used market data to review and evaluate executive compensation in any material respect. However, the Compensation Committee has historically used a group of peer companies with a market capitalization similar to NTIC and either in a similar industry or located in Minnesota.</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i w:val="1"/>
          <w:iCs w:val="1"/>
          <w:color w:val="auto"/>
        </w:rPr>
        <w:t>Elements of Our Executive Compensation Program</w:t>
      </w:r>
    </w:p>
    <w:p>
      <w:pPr>
        <w:spacing w:after="0" w:line="235" w:lineRule="exact"/>
        <w:rPr>
          <w:sz w:val="20"/>
          <w:szCs w:val="20"/>
          <w:color w:val="auto"/>
        </w:rPr>
      </w:pPr>
    </w:p>
    <w:p>
      <w:pPr>
        <w:ind w:left="20"/>
        <w:spacing w:after="0" w:line="278" w:lineRule="auto"/>
        <w:rPr>
          <w:sz w:val="20"/>
          <w:szCs w:val="20"/>
          <w:color w:val="auto"/>
        </w:rPr>
      </w:pPr>
      <w:r>
        <w:rPr>
          <w:rFonts w:ascii="Times New Roman" w:cs="Times New Roman" w:eastAsia="Times New Roman" w:hAnsi="Times New Roman"/>
          <w:sz w:val="22"/>
          <w:szCs w:val="22"/>
          <w:color w:val="auto"/>
        </w:rPr>
        <w:t>Our executive compensation program for the fiscal year ended August 31, 2025 consisted of the following key elements:</w:t>
      </w:r>
    </w:p>
    <w:p>
      <w:pPr>
        <w:spacing w:after="0" w:line="176" w:lineRule="exact"/>
        <w:rPr>
          <w:sz w:val="20"/>
          <w:szCs w:val="20"/>
          <w:color w:val="auto"/>
        </w:rPr>
      </w:pPr>
    </w:p>
    <w:p>
      <w:pPr>
        <w:ind w:left="1100" w:hanging="360"/>
        <w:spacing w:after="0"/>
        <w:tabs>
          <w:tab w:leader="none" w:pos="1100" w:val="left"/>
        </w:tabs>
        <w:numPr>
          <w:ilvl w:val="0"/>
          <w:numId w:val="47"/>
        </w:numPr>
        <w:rPr>
          <w:rFonts w:ascii="Arial" w:cs="Arial" w:eastAsia="Arial" w:hAnsi="Arial"/>
          <w:sz w:val="22"/>
          <w:szCs w:val="22"/>
          <w:color w:val="auto"/>
        </w:rPr>
      </w:pPr>
      <w:r>
        <w:rPr>
          <w:rFonts w:ascii="Times New Roman" w:cs="Times New Roman" w:eastAsia="Times New Roman" w:hAnsi="Times New Roman"/>
          <w:sz w:val="22"/>
          <w:szCs w:val="22"/>
          <w:color w:val="auto"/>
        </w:rPr>
        <w:t>Base salary;</w:t>
      </w:r>
    </w:p>
    <w:p>
      <w:pPr>
        <w:spacing w:after="0" w:line="39" w:lineRule="exact"/>
        <w:rPr>
          <w:rFonts w:ascii="Arial" w:cs="Arial" w:eastAsia="Arial" w:hAnsi="Arial"/>
          <w:sz w:val="22"/>
          <w:szCs w:val="22"/>
          <w:color w:val="auto"/>
        </w:rPr>
      </w:pPr>
    </w:p>
    <w:p>
      <w:pPr>
        <w:ind w:left="1100" w:hanging="360"/>
        <w:spacing w:after="0"/>
        <w:tabs>
          <w:tab w:leader="none" w:pos="1100" w:val="left"/>
        </w:tabs>
        <w:numPr>
          <w:ilvl w:val="0"/>
          <w:numId w:val="47"/>
        </w:numPr>
        <w:rPr>
          <w:rFonts w:ascii="Arial" w:cs="Arial" w:eastAsia="Arial" w:hAnsi="Arial"/>
          <w:sz w:val="22"/>
          <w:szCs w:val="22"/>
          <w:color w:val="auto"/>
        </w:rPr>
      </w:pPr>
      <w:r>
        <w:rPr>
          <w:rFonts w:ascii="Times New Roman" w:cs="Times New Roman" w:eastAsia="Times New Roman" w:hAnsi="Times New Roman"/>
          <w:sz w:val="22"/>
          <w:szCs w:val="22"/>
          <w:color w:val="auto"/>
        </w:rPr>
        <w:t>Annual incentive compensation;</w:t>
      </w:r>
    </w:p>
    <w:p>
      <w:pPr>
        <w:spacing w:after="0" w:line="14" w:lineRule="exact"/>
        <w:rPr>
          <w:rFonts w:ascii="Arial" w:cs="Arial" w:eastAsia="Arial" w:hAnsi="Arial"/>
          <w:sz w:val="22"/>
          <w:szCs w:val="22"/>
          <w:color w:val="auto"/>
        </w:rPr>
      </w:pPr>
    </w:p>
    <w:p>
      <w:pPr>
        <w:ind w:left="1100" w:hanging="360"/>
        <w:spacing w:after="0"/>
        <w:tabs>
          <w:tab w:leader="none" w:pos="1100" w:val="left"/>
        </w:tabs>
        <w:numPr>
          <w:ilvl w:val="0"/>
          <w:numId w:val="47"/>
        </w:numPr>
        <w:rPr>
          <w:rFonts w:ascii="Arial" w:cs="Arial" w:eastAsia="Arial" w:hAnsi="Arial"/>
          <w:sz w:val="22"/>
          <w:szCs w:val="22"/>
          <w:color w:val="auto"/>
        </w:rPr>
      </w:pPr>
      <w:r>
        <w:rPr>
          <w:rFonts w:ascii="Times New Roman" w:cs="Times New Roman" w:eastAsia="Times New Roman" w:hAnsi="Times New Roman"/>
          <w:sz w:val="22"/>
          <w:szCs w:val="22"/>
          <w:color w:val="auto"/>
        </w:rPr>
        <w:t>Long-term equity-based incentive compensation, in the form of stock options; and</w:t>
      </w:r>
    </w:p>
    <w:p>
      <w:pPr>
        <w:spacing w:after="0" w:line="14" w:lineRule="exact"/>
        <w:rPr>
          <w:rFonts w:ascii="Arial" w:cs="Arial" w:eastAsia="Arial" w:hAnsi="Arial"/>
          <w:sz w:val="22"/>
          <w:szCs w:val="22"/>
          <w:color w:val="auto"/>
        </w:rPr>
      </w:pPr>
    </w:p>
    <w:p>
      <w:pPr>
        <w:ind w:left="1100" w:right="940" w:hanging="360"/>
        <w:spacing w:after="0" w:line="254" w:lineRule="auto"/>
        <w:tabs>
          <w:tab w:leader="none" w:pos="1100" w:val="left"/>
        </w:tabs>
        <w:numPr>
          <w:ilvl w:val="0"/>
          <w:numId w:val="47"/>
        </w:numPr>
        <w:rPr>
          <w:rFonts w:ascii="Arial" w:cs="Arial" w:eastAsia="Arial" w:hAnsi="Arial"/>
          <w:sz w:val="22"/>
          <w:szCs w:val="22"/>
          <w:color w:val="auto"/>
        </w:rPr>
      </w:pPr>
      <w:r>
        <w:rPr>
          <w:rFonts w:ascii="Times New Roman" w:cs="Times New Roman" w:eastAsia="Times New Roman" w:hAnsi="Times New Roman"/>
          <w:sz w:val="22"/>
          <w:szCs w:val="22"/>
          <w:color w:val="auto"/>
        </w:rPr>
        <w:t>All other compensation, including health and welfare benefits, retirement plans and perquisites.</w:t>
      </w:r>
    </w:p>
    <w:p>
      <w:pPr>
        <w:spacing w:after="0" w:line="185" w:lineRule="exact"/>
        <w:rPr>
          <w:sz w:val="20"/>
          <w:szCs w:val="20"/>
          <w:color w:val="auto"/>
        </w:rPr>
      </w:pPr>
    </w:p>
    <w:p>
      <w:pPr>
        <w:ind w:left="20" w:right="480"/>
        <w:spacing w:after="0" w:line="278" w:lineRule="auto"/>
        <w:rPr>
          <w:sz w:val="20"/>
          <w:szCs w:val="20"/>
          <w:color w:val="auto"/>
        </w:rPr>
      </w:pPr>
      <w:r>
        <w:rPr>
          <w:rFonts w:ascii="Times New Roman" w:cs="Times New Roman" w:eastAsia="Times New Roman" w:hAnsi="Times New Roman"/>
          <w:sz w:val="22"/>
          <w:szCs w:val="22"/>
          <w:color w:val="auto"/>
        </w:rPr>
        <w:t>The table below provides some of the key characteristics of and purpose for each element along with some key actions taken during fiscal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00" w:type="dxa"/>
            <w:vAlign w:val="bottom"/>
            <w:tcBorders>
              <w:bottom w:val="single" w:sz="8" w:color="auto"/>
            </w:tcBorders>
            <w:shd w:val="clear" w:color="auto" w:fill="D9D9D9"/>
          </w:tcPr>
          <w:p>
            <w:pPr>
              <w:spacing w:after="0"/>
              <w:rPr>
                <w:sz w:val="20"/>
                <w:szCs w:val="20"/>
                <w:color w:val="auto"/>
              </w:rPr>
            </w:pPr>
            <w:r>
              <w:rPr>
                <w:rFonts w:ascii="Times New Roman" w:cs="Times New Roman" w:eastAsia="Times New Roman" w:hAnsi="Times New Roman"/>
                <w:sz w:val="20"/>
                <w:szCs w:val="20"/>
                <w:b w:val="1"/>
                <w:bCs w:val="1"/>
                <w:color w:val="auto"/>
              </w:rPr>
              <w:t>Element</w:t>
            </w:r>
          </w:p>
        </w:tc>
        <w:tc>
          <w:tcPr>
            <w:tcW w:w="2480" w:type="dxa"/>
            <w:vAlign w:val="bottom"/>
            <w:tcBorders>
              <w:bottom w:val="single" w:sz="8" w:color="auto"/>
            </w:tcBorders>
            <w:shd w:val="clear" w:color="auto" w:fill="D9D9D9"/>
          </w:tcPr>
          <w:p>
            <w:pPr>
              <w:ind w:left="440"/>
              <w:spacing w:after="0"/>
              <w:rPr>
                <w:sz w:val="20"/>
                <w:szCs w:val="20"/>
                <w:color w:val="auto"/>
              </w:rPr>
            </w:pPr>
            <w:r>
              <w:rPr>
                <w:rFonts w:ascii="Times New Roman" w:cs="Times New Roman" w:eastAsia="Times New Roman" w:hAnsi="Times New Roman"/>
                <w:sz w:val="20"/>
                <w:szCs w:val="20"/>
                <w:b w:val="1"/>
                <w:bCs w:val="1"/>
                <w:color w:val="auto"/>
              </w:rPr>
              <w:t>Key Characteristics</w:t>
            </w:r>
          </w:p>
        </w:tc>
        <w:tc>
          <w:tcPr>
            <w:tcW w:w="2980" w:type="dxa"/>
            <w:vAlign w:val="bottom"/>
            <w:tcBorders>
              <w:bottom w:val="single" w:sz="8" w:color="auto"/>
            </w:tcBorders>
            <w:shd w:val="clear" w:color="auto" w:fill="D9D9D9"/>
          </w:tcPr>
          <w:p>
            <w:pPr>
              <w:ind w:left="1200"/>
              <w:spacing w:after="0"/>
              <w:rPr>
                <w:sz w:val="20"/>
                <w:szCs w:val="20"/>
                <w:color w:val="auto"/>
              </w:rPr>
            </w:pPr>
            <w:r>
              <w:rPr>
                <w:rFonts w:ascii="Times New Roman" w:cs="Times New Roman" w:eastAsia="Times New Roman" w:hAnsi="Times New Roman"/>
                <w:sz w:val="20"/>
                <w:szCs w:val="20"/>
                <w:b w:val="1"/>
                <w:bCs w:val="1"/>
                <w:color w:val="auto"/>
              </w:rPr>
              <w:t>Purpose</w:t>
            </w:r>
          </w:p>
        </w:tc>
        <w:tc>
          <w:tcPr>
            <w:tcW w:w="2800" w:type="dxa"/>
            <w:vAlign w:val="bottom"/>
            <w:tcBorders>
              <w:bottom w:val="single" w:sz="8" w:color="auto"/>
            </w:tcBorders>
            <w:shd w:val="clear" w:color="auto" w:fill="D9D9D9"/>
          </w:tcPr>
          <w:p>
            <w:pPr>
              <w:ind w:left="440"/>
              <w:spacing w:after="0"/>
              <w:rPr>
                <w:sz w:val="20"/>
                <w:szCs w:val="20"/>
                <w:color w:val="auto"/>
              </w:rPr>
            </w:pPr>
            <w:r>
              <w:rPr>
                <w:rFonts w:ascii="Times New Roman" w:cs="Times New Roman" w:eastAsia="Times New Roman" w:hAnsi="Times New Roman"/>
                <w:sz w:val="20"/>
                <w:szCs w:val="20"/>
                <w:b w:val="1"/>
                <w:bCs w:val="1"/>
                <w:color w:val="auto"/>
              </w:rPr>
              <w:t>Key Fiscal 2025 Actions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100" w:type="dxa"/>
            <w:vAlign w:val="bottom"/>
          </w:tcPr>
          <w:p>
            <w:pPr>
              <w:spacing w:after="0" w:line="225" w:lineRule="exact"/>
              <w:rPr>
                <w:sz w:val="20"/>
                <w:szCs w:val="20"/>
                <w:color w:val="auto"/>
              </w:rPr>
            </w:pPr>
            <w:r>
              <w:rPr>
                <w:rFonts w:ascii="Times New Roman" w:cs="Times New Roman" w:eastAsia="Times New Roman" w:hAnsi="Times New Roman"/>
                <w:sz w:val="22"/>
                <w:szCs w:val="22"/>
                <w:color w:val="auto"/>
              </w:rPr>
              <w:t>Base Salary</w:t>
            </w:r>
          </w:p>
        </w:tc>
        <w:tc>
          <w:tcPr>
            <w:tcW w:w="2480" w:type="dxa"/>
            <w:vAlign w:val="bottom"/>
          </w:tcPr>
          <w:p>
            <w:pPr>
              <w:ind w:left="40"/>
              <w:spacing w:after="0" w:line="225" w:lineRule="exact"/>
              <w:rPr>
                <w:sz w:val="20"/>
                <w:szCs w:val="20"/>
                <w:color w:val="auto"/>
              </w:rPr>
            </w:pPr>
            <w:r>
              <w:rPr>
                <w:rFonts w:ascii="Times New Roman" w:cs="Times New Roman" w:eastAsia="Times New Roman" w:hAnsi="Times New Roman"/>
                <w:sz w:val="22"/>
                <w:szCs w:val="22"/>
                <w:color w:val="auto"/>
              </w:rPr>
              <w:t>A fixed amount, paid in</w:t>
            </w:r>
          </w:p>
        </w:tc>
        <w:tc>
          <w:tcPr>
            <w:tcW w:w="2980" w:type="dxa"/>
            <w:vAlign w:val="bottom"/>
          </w:tcPr>
          <w:p>
            <w:pPr>
              <w:ind w:left="80"/>
              <w:spacing w:after="0" w:line="225" w:lineRule="exact"/>
              <w:rPr>
                <w:sz w:val="20"/>
                <w:szCs w:val="20"/>
                <w:color w:val="auto"/>
              </w:rPr>
            </w:pPr>
            <w:r>
              <w:rPr>
                <w:rFonts w:ascii="Times New Roman" w:cs="Times New Roman" w:eastAsia="Times New Roman" w:hAnsi="Times New Roman"/>
                <w:sz w:val="22"/>
                <w:szCs w:val="22"/>
                <w:color w:val="auto"/>
              </w:rPr>
              <w:t>Provide a source of fixed</w:t>
            </w:r>
          </w:p>
        </w:tc>
        <w:tc>
          <w:tcPr>
            <w:tcW w:w="2800" w:type="dxa"/>
            <w:vAlign w:val="bottom"/>
          </w:tcPr>
          <w:p>
            <w:pPr>
              <w:ind w:left="100"/>
              <w:spacing w:after="0" w:line="225" w:lineRule="exact"/>
              <w:rPr>
                <w:sz w:val="20"/>
                <w:szCs w:val="20"/>
                <w:color w:val="auto"/>
              </w:rPr>
            </w:pPr>
            <w:r>
              <w:rPr>
                <w:rFonts w:ascii="Times New Roman" w:cs="Times New Roman" w:eastAsia="Times New Roman" w:hAnsi="Times New Roman"/>
                <w:sz w:val="22"/>
                <w:szCs w:val="22"/>
                <w:color w:val="auto"/>
              </w:rPr>
              <w:t>Our named executive officers</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cash and reviewed</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income that is competitive and</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received a 4.0% increase</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annually and,</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reflects scope and responsibility</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to their fiscal 2025 annual</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if appropriate, adjusted.</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of the position held.</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base salaries.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100" w:type="dxa"/>
            <w:vAlign w:val="bottom"/>
          </w:tcPr>
          <w:p>
            <w:pPr>
              <w:spacing w:after="0" w:line="225" w:lineRule="exact"/>
              <w:rPr>
                <w:sz w:val="20"/>
                <w:szCs w:val="20"/>
                <w:color w:val="auto"/>
              </w:rPr>
            </w:pPr>
            <w:r>
              <w:rPr>
                <w:rFonts w:ascii="Times New Roman" w:cs="Times New Roman" w:eastAsia="Times New Roman" w:hAnsi="Times New Roman"/>
                <w:sz w:val="22"/>
                <w:szCs w:val="22"/>
                <w:color w:val="auto"/>
              </w:rPr>
              <w:t>Annual</w:t>
            </w:r>
          </w:p>
        </w:tc>
        <w:tc>
          <w:tcPr>
            <w:tcW w:w="2480" w:type="dxa"/>
            <w:vAlign w:val="bottom"/>
          </w:tcPr>
          <w:p>
            <w:pPr>
              <w:ind w:left="40"/>
              <w:spacing w:after="0" w:line="225" w:lineRule="exact"/>
              <w:rPr>
                <w:sz w:val="20"/>
                <w:szCs w:val="20"/>
                <w:color w:val="auto"/>
              </w:rPr>
            </w:pPr>
            <w:r>
              <w:rPr>
                <w:rFonts w:ascii="Times New Roman" w:cs="Times New Roman" w:eastAsia="Times New Roman" w:hAnsi="Times New Roman"/>
                <w:sz w:val="22"/>
                <w:szCs w:val="22"/>
                <w:color w:val="auto"/>
              </w:rPr>
              <w:t>A variable, short-term</w:t>
            </w:r>
          </w:p>
        </w:tc>
        <w:tc>
          <w:tcPr>
            <w:tcW w:w="2980" w:type="dxa"/>
            <w:vAlign w:val="bottom"/>
          </w:tcPr>
          <w:p>
            <w:pPr>
              <w:ind w:left="80"/>
              <w:spacing w:after="0" w:line="225" w:lineRule="exact"/>
              <w:rPr>
                <w:sz w:val="20"/>
                <w:szCs w:val="20"/>
                <w:color w:val="auto"/>
              </w:rPr>
            </w:pPr>
            <w:r>
              <w:rPr>
                <w:rFonts w:ascii="Times New Roman" w:cs="Times New Roman" w:eastAsia="Times New Roman" w:hAnsi="Times New Roman"/>
                <w:sz w:val="22"/>
                <w:szCs w:val="22"/>
                <w:color w:val="auto"/>
              </w:rPr>
              <w:t>Motivate and reward our</w:t>
            </w:r>
          </w:p>
        </w:tc>
        <w:tc>
          <w:tcPr>
            <w:tcW w:w="2800" w:type="dxa"/>
            <w:vAlign w:val="bottom"/>
          </w:tcPr>
          <w:p>
            <w:pPr>
              <w:ind w:left="100"/>
              <w:spacing w:after="0" w:line="225" w:lineRule="exact"/>
              <w:rPr>
                <w:sz w:val="20"/>
                <w:szCs w:val="20"/>
                <w:color w:val="auto"/>
              </w:rPr>
            </w:pPr>
            <w:r>
              <w:rPr>
                <w:rFonts w:ascii="Times New Roman" w:cs="Times New Roman" w:eastAsia="Times New Roman" w:hAnsi="Times New Roman"/>
                <w:sz w:val="22"/>
                <w:szCs w:val="22"/>
                <w:color w:val="auto"/>
              </w:rPr>
              <w:t>A portion of the annual</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Incentive</w:t>
            </w: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element of compensation</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executives for achievement of</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incentive earned for fiscal</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that is typically payable in</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annual business results intended</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2025 was paid in the form of a</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cash and is based on</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to drive overall company</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stock option grant made at the</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Adjusted EBITOI and</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performance.</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beginning of fiscal 2025,</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individual performance</w:t>
            </w:r>
          </w:p>
        </w:tc>
        <w:tc>
          <w:tcPr>
            <w:tcW w:w="2980" w:type="dxa"/>
            <w:vAlign w:val="bottom"/>
          </w:tcPr>
          <w:p>
            <w:pPr>
              <w:spacing w:after="0"/>
              <w:rPr>
                <w:sz w:val="22"/>
                <w:szCs w:val="22"/>
                <w:color w:val="auto"/>
              </w:rPr>
            </w:pP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resulting in cash bonuses of</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goals.</w:t>
            </w:r>
          </w:p>
        </w:tc>
        <w:tc>
          <w:tcPr>
            <w:tcW w:w="2980" w:type="dxa"/>
            <w:vAlign w:val="bottom"/>
          </w:tcPr>
          <w:p>
            <w:pPr>
              <w:spacing w:after="0"/>
              <w:rPr>
                <w:sz w:val="22"/>
                <w:szCs w:val="22"/>
                <w:color w:val="auto"/>
              </w:rPr>
            </w:pP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$23,759 for Mr. Lynch and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$17,561 for Mr. Wolsfeld.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00" w:type="dxa"/>
            <w:vAlign w:val="bottom"/>
          </w:tcPr>
          <w:p>
            <w:pPr>
              <w:spacing w:after="0" w:line="220" w:lineRule="exact"/>
              <w:rPr>
                <w:sz w:val="20"/>
                <w:szCs w:val="20"/>
                <w:color w:val="auto"/>
              </w:rPr>
            </w:pPr>
            <w:r>
              <w:rPr>
                <w:rFonts w:ascii="Times New Roman" w:cs="Times New Roman" w:eastAsia="Times New Roman" w:hAnsi="Times New Roman"/>
                <w:sz w:val="22"/>
                <w:szCs w:val="22"/>
                <w:color w:val="auto"/>
              </w:rPr>
              <w:t>Long-Term</w:t>
            </w:r>
          </w:p>
        </w:tc>
        <w:tc>
          <w:tcPr>
            <w:tcW w:w="2480" w:type="dxa"/>
            <w:vAlign w:val="bottom"/>
          </w:tcPr>
          <w:p>
            <w:pPr>
              <w:ind w:left="40"/>
              <w:spacing w:after="0" w:line="220" w:lineRule="exact"/>
              <w:rPr>
                <w:sz w:val="20"/>
                <w:szCs w:val="20"/>
                <w:color w:val="auto"/>
              </w:rPr>
            </w:pPr>
            <w:r>
              <w:rPr>
                <w:rFonts w:ascii="Times New Roman" w:cs="Times New Roman" w:eastAsia="Times New Roman" w:hAnsi="Times New Roman"/>
                <w:sz w:val="22"/>
                <w:szCs w:val="22"/>
                <w:color w:val="auto"/>
              </w:rPr>
              <w:t>A variable, long-term</w:t>
            </w:r>
          </w:p>
        </w:tc>
        <w:tc>
          <w:tcPr>
            <w:tcW w:w="2980" w:type="dxa"/>
            <w:vAlign w:val="bottom"/>
          </w:tcPr>
          <w:p>
            <w:pPr>
              <w:ind w:left="80"/>
              <w:spacing w:after="0" w:line="220" w:lineRule="exact"/>
              <w:rPr>
                <w:sz w:val="20"/>
                <w:szCs w:val="20"/>
                <w:color w:val="auto"/>
              </w:rPr>
            </w:pPr>
            <w:r>
              <w:rPr>
                <w:rFonts w:ascii="Times New Roman" w:cs="Times New Roman" w:eastAsia="Times New Roman" w:hAnsi="Times New Roman"/>
                <w:sz w:val="22"/>
                <w:szCs w:val="22"/>
                <w:color w:val="auto"/>
              </w:rPr>
              <w:t>Align the interests of our</w:t>
            </w:r>
          </w:p>
        </w:tc>
        <w:tc>
          <w:tcPr>
            <w:tcW w:w="2800" w:type="dxa"/>
            <w:vAlign w:val="bottom"/>
          </w:tcPr>
          <w:p>
            <w:pPr>
              <w:ind w:left="100"/>
              <w:spacing w:after="0" w:line="220" w:lineRule="exact"/>
              <w:rPr>
                <w:sz w:val="20"/>
                <w:szCs w:val="20"/>
                <w:color w:val="auto"/>
              </w:rPr>
            </w:pPr>
            <w:r>
              <w:rPr>
                <w:rFonts w:ascii="Times New Roman" w:cs="Times New Roman" w:eastAsia="Times New Roman" w:hAnsi="Times New Roman"/>
                <w:sz w:val="22"/>
                <w:szCs w:val="22"/>
                <w:color w:val="auto"/>
              </w:rPr>
              <w:t>No significant changes were</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Equity-</w:t>
            </w: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element of compensation</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executives with the long-term</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made.</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Based</w:t>
            </w: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that is provided in the form</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interests of our stockholders;</w:t>
            </w:r>
          </w:p>
        </w:tc>
        <w:tc>
          <w:tcPr>
            <w:tcW w:w="28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The fiscal 2025 stock option</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Incentive</w:t>
            </w: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of stock options. Stock</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 stock ownership and</w:t>
            </w:r>
          </w:p>
        </w:tc>
        <w:tc>
          <w:tcPr>
            <w:tcW w:w="2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 are time-based and</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create significant incentives for</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grant was intended as partial</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 annually over three</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executive retention.</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payout of the fiscal 2025</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years.</w:t>
            </w:r>
          </w:p>
        </w:tc>
        <w:tc>
          <w:tcPr>
            <w:tcW w:w="2980" w:type="dxa"/>
            <w:vAlign w:val="bottom"/>
          </w:tcPr>
          <w:p>
            <w:pPr>
              <w:spacing w:after="0"/>
              <w:rPr>
                <w:sz w:val="24"/>
                <w:szCs w:val="24"/>
                <w:color w:val="auto"/>
              </w:rPr>
            </w:pP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annual bonus program.</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2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54</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380"/>
          </w:cols>
          <w:pgMar w:left="1420" w:top="1417" w:right="1440" w:bottom="137"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60" w:type="dxa"/>
            <w:vAlign w:val="bottom"/>
            <w:tcBorders>
              <w:bottom w:val="single" w:sz="8" w:color="auto"/>
            </w:tcBorders>
            <w:shd w:val="clear" w:color="auto" w:fill="D9D9D9"/>
          </w:tcPr>
          <w:p>
            <w:pPr>
              <w:spacing w:after="0"/>
              <w:rPr>
                <w:sz w:val="20"/>
                <w:szCs w:val="20"/>
                <w:color w:val="auto"/>
              </w:rPr>
            </w:pPr>
            <w:r>
              <w:rPr>
                <w:rFonts w:ascii="Times New Roman" w:cs="Times New Roman" w:eastAsia="Times New Roman" w:hAnsi="Times New Roman"/>
                <w:sz w:val="20"/>
                <w:szCs w:val="20"/>
                <w:b w:val="1"/>
                <w:bCs w:val="1"/>
                <w:color w:val="auto"/>
              </w:rPr>
              <w:t>Element</w:t>
            </w:r>
          </w:p>
        </w:tc>
        <w:tc>
          <w:tcPr>
            <w:tcW w:w="2520" w:type="dxa"/>
            <w:vAlign w:val="bottom"/>
            <w:tcBorders>
              <w:bottom w:val="single" w:sz="8" w:color="auto"/>
            </w:tcBorders>
            <w:shd w:val="clear" w:color="auto" w:fill="D9D9D9"/>
          </w:tcPr>
          <w:p>
            <w:pPr>
              <w:ind w:left="480"/>
              <w:spacing w:after="0"/>
              <w:rPr>
                <w:sz w:val="20"/>
                <w:szCs w:val="20"/>
                <w:color w:val="auto"/>
              </w:rPr>
            </w:pPr>
            <w:r>
              <w:rPr>
                <w:rFonts w:ascii="Times New Roman" w:cs="Times New Roman" w:eastAsia="Times New Roman" w:hAnsi="Times New Roman"/>
                <w:sz w:val="20"/>
                <w:szCs w:val="20"/>
                <w:b w:val="1"/>
                <w:bCs w:val="1"/>
                <w:color w:val="auto"/>
              </w:rPr>
              <w:t>Key Characteristics</w:t>
            </w:r>
          </w:p>
        </w:tc>
        <w:tc>
          <w:tcPr>
            <w:tcW w:w="2980" w:type="dxa"/>
            <w:vAlign w:val="bottom"/>
            <w:tcBorders>
              <w:bottom w:val="single" w:sz="8" w:color="auto"/>
            </w:tcBorders>
            <w:shd w:val="clear" w:color="auto" w:fill="D9D9D9"/>
          </w:tcPr>
          <w:p>
            <w:pPr>
              <w:ind w:left="1200"/>
              <w:spacing w:after="0"/>
              <w:rPr>
                <w:sz w:val="20"/>
                <w:szCs w:val="20"/>
                <w:color w:val="auto"/>
              </w:rPr>
            </w:pPr>
            <w:r>
              <w:rPr>
                <w:rFonts w:ascii="Times New Roman" w:cs="Times New Roman" w:eastAsia="Times New Roman" w:hAnsi="Times New Roman"/>
                <w:sz w:val="20"/>
                <w:szCs w:val="20"/>
                <w:b w:val="1"/>
                <w:bCs w:val="1"/>
                <w:color w:val="auto"/>
              </w:rPr>
              <w:t>Purpose</w:t>
            </w:r>
          </w:p>
        </w:tc>
        <w:tc>
          <w:tcPr>
            <w:tcW w:w="2800" w:type="dxa"/>
            <w:vAlign w:val="bottom"/>
            <w:tcBorders>
              <w:bottom w:val="single" w:sz="8" w:color="auto"/>
            </w:tcBorders>
            <w:shd w:val="clear" w:color="auto" w:fill="D9D9D9"/>
          </w:tcPr>
          <w:p>
            <w:pPr>
              <w:ind w:left="440"/>
              <w:spacing w:after="0"/>
              <w:rPr>
                <w:sz w:val="20"/>
                <w:szCs w:val="20"/>
                <w:color w:val="auto"/>
              </w:rPr>
            </w:pPr>
            <w:r>
              <w:rPr>
                <w:rFonts w:ascii="Times New Roman" w:cs="Times New Roman" w:eastAsia="Times New Roman" w:hAnsi="Times New Roman"/>
                <w:sz w:val="20"/>
                <w:szCs w:val="20"/>
                <w:b w:val="1"/>
                <w:bCs w:val="1"/>
                <w:color w:val="auto"/>
              </w:rPr>
              <w:t>Key Fiscal 2025 Actions</w:t>
            </w:r>
          </w:p>
        </w:tc>
      </w:tr>
      <w:tr>
        <w:trPr>
          <w:trHeight w:val="225"/>
        </w:trPr>
        <w:tc>
          <w:tcPr>
            <w:tcW w:w="1060" w:type="dxa"/>
            <w:vAlign w:val="bottom"/>
          </w:tcPr>
          <w:p>
            <w:pPr>
              <w:spacing w:after="0" w:line="225" w:lineRule="exact"/>
              <w:rPr>
                <w:sz w:val="20"/>
                <w:szCs w:val="20"/>
                <w:color w:val="auto"/>
              </w:rPr>
            </w:pPr>
            <w:r>
              <w:rPr>
                <w:rFonts w:ascii="Times New Roman" w:cs="Times New Roman" w:eastAsia="Times New Roman" w:hAnsi="Times New Roman"/>
                <w:sz w:val="22"/>
                <w:szCs w:val="22"/>
                <w:color w:val="auto"/>
              </w:rPr>
              <w:t>Health and</w:t>
            </w:r>
          </w:p>
        </w:tc>
        <w:tc>
          <w:tcPr>
            <w:tcW w:w="2520" w:type="dxa"/>
            <w:vAlign w:val="bottom"/>
          </w:tcPr>
          <w:p>
            <w:pPr>
              <w:ind w:left="80"/>
              <w:spacing w:after="0" w:line="225" w:lineRule="exact"/>
              <w:rPr>
                <w:sz w:val="20"/>
                <w:szCs w:val="20"/>
                <w:color w:val="auto"/>
              </w:rPr>
            </w:pPr>
            <w:r>
              <w:rPr>
                <w:rFonts w:ascii="Times New Roman" w:cs="Times New Roman" w:eastAsia="Times New Roman" w:hAnsi="Times New Roman"/>
                <w:sz w:val="22"/>
                <w:szCs w:val="22"/>
                <w:color w:val="auto"/>
              </w:rPr>
              <w:t>Includes health, dental and</w:t>
            </w:r>
          </w:p>
        </w:tc>
        <w:tc>
          <w:tcPr>
            <w:tcW w:w="2980" w:type="dxa"/>
            <w:vAlign w:val="bottom"/>
          </w:tcPr>
          <w:p>
            <w:pPr>
              <w:ind w:left="80"/>
              <w:spacing w:after="0" w:line="225" w:lineRule="exact"/>
              <w:rPr>
                <w:sz w:val="20"/>
                <w:szCs w:val="20"/>
                <w:color w:val="auto"/>
              </w:rPr>
            </w:pPr>
            <w:r>
              <w:rPr>
                <w:rFonts w:ascii="Times New Roman" w:cs="Times New Roman" w:eastAsia="Times New Roman" w:hAnsi="Times New Roman"/>
                <w:sz w:val="22"/>
                <w:szCs w:val="22"/>
                <w:color w:val="auto"/>
              </w:rPr>
              <w:t>Provide competitive health and</w:t>
            </w:r>
          </w:p>
        </w:tc>
        <w:tc>
          <w:tcPr>
            <w:tcW w:w="2800" w:type="dxa"/>
            <w:vAlign w:val="bottom"/>
          </w:tcPr>
          <w:p>
            <w:pPr>
              <w:ind w:left="100"/>
              <w:spacing w:after="0" w:line="225" w:lineRule="exact"/>
              <w:rPr>
                <w:sz w:val="20"/>
                <w:szCs w:val="20"/>
                <w:color w:val="auto"/>
              </w:rPr>
            </w:pPr>
            <w:r>
              <w:rPr>
                <w:rFonts w:ascii="Times New Roman" w:cs="Times New Roman" w:eastAsia="Times New Roman" w:hAnsi="Times New Roman"/>
                <w:sz w:val="22"/>
                <w:szCs w:val="22"/>
                <w:color w:val="auto"/>
              </w:rPr>
              <w:t>No significant changes were</w:t>
            </w:r>
          </w:p>
        </w:tc>
      </w:tr>
      <w:tr>
        <w:trPr>
          <w:trHeight w:val="253"/>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Welfare</w:t>
            </w:r>
          </w:p>
        </w:tc>
        <w:tc>
          <w:tcPr>
            <w:tcW w:w="2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life insurance.</w:t>
            </w: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welfare benefits at a reasonable</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made.</w:t>
            </w:r>
          </w:p>
        </w:tc>
      </w:tr>
      <w:tr>
        <w:trPr>
          <w:trHeight w:val="253"/>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Benefits</w:t>
            </w:r>
          </w:p>
        </w:tc>
        <w:tc>
          <w:tcPr>
            <w:tcW w:w="2520" w:type="dxa"/>
            <w:vAlign w:val="bottom"/>
          </w:tcPr>
          <w:p>
            <w:pPr>
              <w:spacing w:after="0"/>
              <w:rPr>
                <w:sz w:val="22"/>
                <w:szCs w:val="22"/>
                <w:color w:val="auto"/>
              </w:rPr>
            </w:pP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cost and promote employee</w:t>
            </w:r>
          </w:p>
        </w:tc>
        <w:tc>
          <w:tcPr>
            <w:tcW w:w="2800" w:type="dxa"/>
            <w:vAlign w:val="bottom"/>
          </w:tcPr>
          <w:p>
            <w:pPr>
              <w:spacing w:after="0"/>
              <w:rPr>
                <w:sz w:val="22"/>
                <w:szCs w:val="22"/>
                <w:color w:val="auto"/>
              </w:rPr>
            </w:pPr>
          </w:p>
        </w:tc>
      </w:tr>
      <w:tr>
        <w:trPr>
          <w:trHeight w:val="294"/>
        </w:trPr>
        <w:tc>
          <w:tcPr>
            <w:tcW w:w="1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health.</w:t>
            </w:r>
          </w:p>
        </w:tc>
        <w:tc>
          <w:tcPr>
            <w:tcW w:w="2800" w:type="dxa"/>
            <w:vAlign w:val="bottom"/>
          </w:tcPr>
          <w:p>
            <w:pPr>
              <w:spacing w:after="0"/>
              <w:rPr>
                <w:sz w:val="24"/>
                <w:szCs w:val="24"/>
                <w:color w:val="auto"/>
              </w:rPr>
            </w:pPr>
          </w:p>
        </w:tc>
      </w:tr>
    </w:tbl>
    <w:p>
      <w:pPr>
        <w:spacing w:after="0" w:line="89" w:lineRule="exact"/>
        <w:rPr>
          <w:sz w:val="20"/>
          <w:szCs w:val="20"/>
          <w:color w:val="auto"/>
        </w:rPr>
      </w:pPr>
    </w:p>
    <w:p>
      <w:pPr>
        <w:sectPr>
          <w:pgSz w:w="12240" w:h="15840" w:orient="portrait"/>
          <w:cols w:equalWidth="0" w:num="1">
            <w:col w:w="9360"/>
          </w:cols>
          <w:pgMar w:left="1440" w:top="1440" w:right="1440" w:bottom="178" w:gutter="0" w:footer="0" w:header="0"/>
        </w:sectPr>
      </w:pPr>
    </w:p>
    <w:p>
      <w:pPr>
        <w:spacing w:after="0"/>
        <w:rPr>
          <w:sz w:val="20"/>
          <w:szCs w:val="20"/>
          <w:color w:val="auto"/>
        </w:rPr>
      </w:pPr>
      <w:r>
        <w:rPr>
          <w:rFonts w:ascii="Times New Roman" w:cs="Times New Roman" w:eastAsia="Times New Roman" w:hAnsi="Times New Roman"/>
          <w:sz w:val="22"/>
          <w:szCs w:val="22"/>
          <w:color w:val="auto"/>
        </w:rPr>
        <w:t>Retirement  Includes a 401(k) plan.</w:t>
      </w:r>
    </w:p>
    <w:p>
      <w:pPr>
        <w:spacing w:after="0" w:line="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1"/>
          <w:szCs w:val="21"/>
          <w:color w:val="auto"/>
        </w:rPr>
        <w:t>Plans</w:t>
      </w:r>
      <w:r>
        <w:rPr>
          <w:sz w:val="20"/>
          <w:szCs w:val="20"/>
          <w:color w:val="auto"/>
        </w:rPr>
        <w:tab/>
      </w:r>
      <w:r>
        <w:rPr>
          <w:rFonts w:ascii="Times New Roman" w:cs="Times New Roman" w:eastAsia="Times New Roman" w:hAnsi="Times New Roman"/>
          <w:sz w:val="21"/>
          <w:szCs w:val="21"/>
          <w:color w:val="auto"/>
        </w:rPr>
        <w:t>We do not provide pension</w:t>
      </w:r>
    </w:p>
    <w:p>
      <w:pPr>
        <w:spacing w:after="0" w:line="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arrangements or post-</w:t>
      </w:r>
    </w:p>
    <w:p>
      <w:pPr>
        <w:ind w:left="1140"/>
        <w:spacing w:after="0"/>
        <w:rPr>
          <w:sz w:val="20"/>
          <w:szCs w:val="20"/>
          <w:color w:val="auto"/>
        </w:rPr>
      </w:pPr>
      <w:r>
        <w:rPr>
          <w:rFonts w:ascii="Times New Roman" w:cs="Times New Roman" w:eastAsia="Times New Roman" w:hAnsi="Times New Roman"/>
          <w:sz w:val="22"/>
          <w:szCs w:val="22"/>
          <w:color w:val="auto"/>
        </w:rPr>
        <w:t>retirement health coverage</w:t>
      </w:r>
    </w:p>
    <w:p>
      <w:pPr>
        <w:ind w:left="1140"/>
        <w:spacing w:after="0"/>
        <w:rPr>
          <w:sz w:val="20"/>
          <w:szCs w:val="20"/>
          <w:color w:val="auto"/>
        </w:rPr>
      </w:pPr>
      <w:r>
        <w:rPr>
          <w:rFonts w:ascii="Times New Roman" w:cs="Times New Roman" w:eastAsia="Times New Roman" w:hAnsi="Times New Roman"/>
          <w:sz w:val="22"/>
          <w:szCs w:val="22"/>
          <w:color w:val="auto"/>
        </w:rPr>
        <w:t>for our executives or</w:t>
      </w:r>
    </w:p>
    <w:p>
      <w:pPr>
        <w:ind w:left="1140"/>
        <w:spacing w:after="0"/>
        <w:rPr>
          <w:sz w:val="20"/>
          <w:szCs w:val="20"/>
          <w:color w:val="auto"/>
        </w:rPr>
      </w:pPr>
      <w:r>
        <w:rPr>
          <w:rFonts w:ascii="Times New Roman" w:cs="Times New Roman" w:eastAsia="Times New Roman" w:hAnsi="Times New Roman"/>
          <w:sz w:val="22"/>
          <w:szCs w:val="22"/>
          <w:color w:val="auto"/>
        </w:rPr>
        <w:t>employees. We also do not</w:t>
      </w:r>
    </w:p>
    <w:p>
      <w:pPr>
        <w:ind w:left="1140"/>
        <w:spacing w:after="0"/>
        <w:rPr>
          <w:sz w:val="20"/>
          <w:szCs w:val="20"/>
          <w:color w:val="auto"/>
        </w:rPr>
      </w:pPr>
      <w:r>
        <w:rPr>
          <w:rFonts w:ascii="Times New Roman" w:cs="Times New Roman" w:eastAsia="Times New Roman" w:hAnsi="Times New Roman"/>
          <w:sz w:val="22"/>
          <w:szCs w:val="22"/>
          <w:color w:val="auto"/>
        </w:rPr>
        <w:t>provide any nonqualified</w:t>
      </w:r>
    </w:p>
    <w:p>
      <w:pPr>
        <w:ind w:left="1140"/>
        <w:spacing w:after="0"/>
        <w:rPr>
          <w:sz w:val="20"/>
          <w:szCs w:val="20"/>
          <w:color w:val="auto"/>
        </w:rPr>
      </w:pPr>
      <w:r>
        <w:rPr>
          <w:rFonts w:ascii="Times New Roman" w:cs="Times New Roman" w:eastAsia="Times New Roman" w:hAnsi="Times New Roman"/>
          <w:sz w:val="22"/>
          <w:szCs w:val="22"/>
          <w:color w:val="auto"/>
        </w:rPr>
        <w:t>defined contribution or</w:t>
      </w:r>
    </w:p>
    <w:p>
      <w:pPr>
        <w:ind w:left="1140"/>
        <w:spacing w:after="0"/>
        <w:rPr>
          <w:sz w:val="20"/>
          <w:szCs w:val="20"/>
          <w:color w:val="auto"/>
        </w:rPr>
      </w:pPr>
      <w:r>
        <w:rPr>
          <w:rFonts w:ascii="Times New Roman" w:cs="Times New Roman" w:eastAsia="Times New Roman" w:hAnsi="Times New Roman"/>
          <w:sz w:val="22"/>
          <w:szCs w:val="22"/>
          <w:color w:val="auto"/>
        </w:rPr>
        <w:t>other deferred</w:t>
      </w:r>
    </w:p>
    <w:p>
      <w:pPr>
        <w:ind w:left="1140"/>
        <w:spacing w:after="0"/>
        <w:rPr>
          <w:sz w:val="20"/>
          <w:szCs w:val="20"/>
          <w:color w:val="auto"/>
        </w:rPr>
      </w:pPr>
      <w:r>
        <w:rPr>
          <w:rFonts w:ascii="Times New Roman" w:cs="Times New Roman" w:eastAsia="Times New Roman" w:hAnsi="Times New Roman"/>
          <w:sz w:val="22"/>
          <w:szCs w:val="22"/>
          <w:color w:val="auto"/>
        </w:rPr>
        <w:t>compensation plans.</w:t>
      </w:r>
    </w:p>
    <w:p>
      <w:pPr>
        <w:spacing w:after="0" w:line="20" w:lineRule="exact"/>
        <w:rPr>
          <w:sz w:val="20"/>
          <w:szCs w:val="20"/>
          <w:color w:val="auto"/>
        </w:rPr>
      </w:pPr>
      <w:r>
        <w:rPr>
          <w:sz w:val="20"/>
          <w:szCs w:val="20"/>
          <w:color w:val="auto"/>
        </w:rPr>
        <w:br w:type="column"/>
      </w:r>
    </w:p>
    <w:p>
      <w:pPr>
        <w:spacing w:after="0"/>
        <w:tabs>
          <w:tab w:leader="none" w:pos="2980" w:val="left"/>
        </w:tabs>
        <w:rPr>
          <w:sz w:val="20"/>
          <w:szCs w:val="20"/>
          <w:color w:val="auto"/>
        </w:rPr>
      </w:pPr>
      <w:r>
        <w:rPr>
          <w:rFonts w:ascii="Times New Roman" w:cs="Times New Roman" w:eastAsia="Times New Roman" w:hAnsi="Times New Roman"/>
          <w:sz w:val="22"/>
          <w:szCs w:val="22"/>
          <w:color w:val="auto"/>
        </w:rPr>
        <w:t>Provide an opportunity for</w:t>
      </w:r>
      <w:r>
        <w:rPr>
          <w:sz w:val="20"/>
          <w:szCs w:val="20"/>
          <w:color w:val="auto"/>
        </w:rPr>
        <w:tab/>
      </w:r>
      <w:r>
        <w:rPr>
          <w:rFonts w:ascii="Times New Roman" w:cs="Times New Roman" w:eastAsia="Times New Roman" w:hAnsi="Times New Roman"/>
          <w:sz w:val="22"/>
          <w:szCs w:val="22"/>
          <w:color w:val="auto"/>
        </w:rPr>
        <w:t>No significant changes were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-2324100</wp:posOffset>
                </wp:positionH>
                <wp:positionV relativeFrom="paragraph">
                  <wp:posOffset>-149225</wp:posOffset>
                </wp:positionV>
                <wp:extent cx="59436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11.7499pt" to="285pt,-11.7499pt" o:allowincell="f" strokecolor="#000000" strokeweight="0.4809pt"/>
            </w:pict>
          </mc:Fallback>
        </mc:AlternateContent>
      </w:r>
    </w:p>
    <w:p>
      <w:pPr>
        <w:spacing w:after="0" w:line="12"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22"/>
          <w:szCs w:val="22"/>
          <w:color w:val="auto"/>
        </w:rPr>
        <w:t>employees to save and prepare</w:t>
      </w:r>
      <w:r>
        <w:rPr>
          <w:sz w:val="20"/>
          <w:szCs w:val="20"/>
          <w:color w:val="auto"/>
        </w:rPr>
        <w:tab/>
      </w:r>
      <w:r>
        <w:rPr>
          <w:rFonts w:ascii="Times New Roman" w:cs="Times New Roman" w:eastAsia="Times New Roman" w:hAnsi="Times New Roman"/>
          <w:sz w:val="21"/>
          <w:szCs w:val="21"/>
          <w:color w:val="auto"/>
        </w:rPr>
        <w:t>made.</w:t>
      </w:r>
    </w:p>
    <w:p>
      <w:pPr>
        <w:spacing w:after="0"/>
        <w:rPr>
          <w:sz w:val="20"/>
          <w:szCs w:val="20"/>
          <w:color w:val="auto"/>
        </w:rPr>
      </w:pPr>
      <w:r>
        <w:rPr>
          <w:rFonts w:ascii="Times New Roman" w:cs="Times New Roman" w:eastAsia="Times New Roman" w:hAnsi="Times New Roman"/>
          <w:sz w:val="22"/>
          <w:szCs w:val="22"/>
          <w:color w:val="auto"/>
        </w:rPr>
        <w:t>financially for retirement.</w:t>
      </w:r>
    </w:p>
    <w:p>
      <w:pPr>
        <w:spacing w:after="0" w:line="1869" w:lineRule="exact"/>
        <w:rPr>
          <w:sz w:val="20"/>
          <w:szCs w:val="20"/>
          <w:color w:val="auto"/>
        </w:rPr>
      </w:pPr>
    </w:p>
    <w:p>
      <w:pPr>
        <w:sectPr>
          <w:pgSz w:w="12240" w:h="15840" w:orient="portrait"/>
          <w:cols w:equalWidth="0" w:num="2">
            <w:col w:w="3520" w:space="140"/>
            <w:col w:w="5700"/>
          </w:cols>
          <w:pgMar w:left="1440" w:top="1440" w:right="1440" w:bottom="178" w:gutter="0" w:footer="0" w:header="0"/>
          <w:type w:val="continuous"/>
        </w:sect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Perquisites</w:t>
        <w:tab/>
        <w:t>Includes use of a company-</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owned automobile. We do</w:t>
      </w:r>
    </w:p>
    <w:p>
      <w:pPr>
        <w:ind w:left="1140"/>
        <w:spacing w:after="0"/>
        <w:rPr>
          <w:sz w:val="20"/>
          <w:szCs w:val="20"/>
          <w:color w:val="auto"/>
        </w:rPr>
      </w:pPr>
      <w:r>
        <w:rPr>
          <w:rFonts w:ascii="Times New Roman" w:cs="Times New Roman" w:eastAsia="Times New Roman" w:hAnsi="Times New Roman"/>
          <w:sz w:val="22"/>
          <w:szCs w:val="22"/>
          <w:color w:val="auto"/>
        </w:rPr>
        <w:t>not provide any other</w:t>
      </w:r>
    </w:p>
    <w:p>
      <w:pPr>
        <w:ind w:left="1140"/>
        <w:spacing w:after="0"/>
        <w:rPr>
          <w:sz w:val="20"/>
          <w:szCs w:val="20"/>
          <w:color w:val="auto"/>
        </w:rPr>
      </w:pPr>
      <w:r>
        <w:rPr>
          <w:rFonts w:ascii="Times New Roman" w:cs="Times New Roman" w:eastAsia="Times New Roman" w:hAnsi="Times New Roman"/>
          <w:sz w:val="22"/>
          <w:szCs w:val="22"/>
          <w:color w:val="auto"/>
        </w:rPr>
        <w:t>perquisites to our</w:t>
      </w:r>
    </w:p>
    <w:p>
      <w:pPr>
        <w:ind w:left="1140"/>
        <w:spacing w:after="0"/>
        <w:rPr>
          <w:sz w:val="20"/>
          <w:szCs w:val="20"/>
          <w:color w:val="auto"/>
        </w:rPr>
      </w:pPr>
      <w:r>
        <w:rPr>
          <w:rFonts w:ascii="Times New Roman" w:cs="Times New Roman" w:eastAsia="Times New Roman" w:hAnsi="Times New Roman"/>
          <w:sz w:val="22"/>
          <w:szCs w:val="22"/>
          <w:color w:val="auto"/>
        </w:rPr>
        <w:t>executives.</w:t>
      </w:r>
    </w:p>
    <w:p>
      <w:pPr>
        <w:spacing w:after="0" w:line="20" w:lineRule="exact"/>
        <w:rPr>
          <w:sz w:val="20"/>
          <w:szCs w:val="20"/>
          <w:color w:val="auto"/>
        </w:rPr>
      </w:pPr>
      <w:r>
        <w:rPr>
          <w:sz w:val="20"/>
          <w:szCs w:val="20"/>
          <w:color w:val="auto"/>
        </w:rPr>
        <w:br w:type="column"/>
      </w:r>
    </w:p>
    <w:p>
      <w:pPr>
        <w:spacing w:after="0"/>
        <w:tabs>
          <w:tab w:leader="none" w:pos="2980" w:val="left"/>
        </w:tabs>
        <w:rPr>
          <w:sz w:val="20"/>
          <w:szCs w:val="20"/>
          <w:color w:val="auto"/>
        </w:rPr>
      </w:pPr>
      <w:r>
        <w:rPr>
          <w:rFonts w:ascii="Times New Roman" w:cs="Times New Roman" w:eastAsia="Times New Roman" w:hAnsi="Times New Roman"/>
          <w:sz w:val="22"/>
          <w:szCs w:val="22"/>
          <w:color w:val="auto"/>
        </w:rPr>
        <w:t>Assist in the attraction and</w:t>
      </w:r>
      <w:r>
        <w:rPr>
          <w:sz w:val="20"/>
          <w:szCs w:val="20"/>
          <w:color w:val="auto"/>
        </w:rPr>
        <w:tab/>
      </w:r>
      <w:r>
        <w:rPr>
          <w:rFonts w:ascii="Times New Roman" w:cs="Times New Roman" w:eastAsia="Times New Roman" w:hAnsi="Times New Roman"/>
          <w:sz w:val="22"/>
          <w:szCs w:val="22"/>
          <w:color w:val="auto"/>
        </w:rPr>
        <w:t>No significant changes were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-1647825</wp:posOffset>
                </wp:positionH>
                <wp:positionV relativeFrom="paragraph">
                  <wp:posOffset>-149860</wp:posOffset>
                </wp:positionV>
                <wp:extent cx="526732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673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499pt,-11.7999pt" to="285pt,-11.7999pt" o:allowincell="f" strokecolor="#000000" strokeweight="0.4799pt"/>
            </w:pict>
          </mc:Fallback>
        </mc:AlternateContent>
      </w:r>
    </w:p>
    <w:p>
      <w:pPr>
        <w:spacing w:after="0" w:line="11"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22"/>
          <w:szCs w:val="22"/>
          <w:color w:val="auto"/>
        </w:rPr>
        <w:t>retention of executives.</w:t>
      </w:r>
      <w:r>
        <w:rPr>
          <w:sz w:val="20"/>
          <w:szCs w:val="20"/>
          <w:color w:val="auto"/>
        </w:rPr>
        <w:tab/>
      </w:r>
      <w:r>
        <w:rPr>
          <w:rFonts w:ascii="Times New Roman" w:cs="Times New Roman" w:eastAsia="Times New Roman" w:hAnsi="Times New Roman"/>
          <w:sz w:val="21"/>
          <w:szCs w:val="21"/>
          <w:color w:val="auto"/>
        </w:rPr>
        <w:t>made.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-2332990</wp:posOffset>
                </wp:positionH>
                <wp:positionV relativeFrom="paragraph">
                  <wp:posOffset>479425</wp:posOffset>
                </wp:positionV>
                <wp:extent cx="595249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2490" cy="4763"/>
                        </a:xfrm>
                        <a:prstGeom prst="line">
                          <a:avLst/>
                        </a:prstGeom>
                        <a:solidFill>
                          <a:srgbClr val="FFFFFF"/>
                        </a:solidFill>
                        <a:ln w="6109">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6999pt,37.75pt" to="285pt,37.75pt" o:allowincell="f" strokecolor="#000000" strokeweight="0.481pt"/>
            </w:pict>
          </mc:Fallback>
        </mc:AlternateContent>
      </w:r>
    </w:p>
    <w:p>
      <w:pPr>
        <w:spacing w:after="0" w:line="959" w:lineRule="exact"/>
        <w:rPr>
          <w:sz w:val="20"/>
          <w:szCs w:val="20"/>
          <w:color w:val="auto"/>
        </w:rPr>
      </w:pPr>
    </w:p>
    <w:p>
      <w:pPr>
        <w:sectPr>
          <w:pgSz w:w="12240" w:h="15840" w:orient="portrait"/>
          <w:cols w:equalWidth="0" w:num="2">
            <w:col w:w="3560" w:space="100"/>
            <w:col w:w="5700"/>
          </w:cols>
          <w:pgMar w:left="1440" w:top="1440" w:right="1440" w:bottom="178" w:gutter="0" w:footer="0" w:header="0"/>
          <w:type w:val="continuous"/>
        </w:sectPr>
      </w:pPr>
    </w:p>
    <w:p>
      <w:pPr>
        <w:spacing w:after="0" w:line="18"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2"/>
          <w:szCs w:val="22"/>
          <w:color w:val="auto"/>
        </w:rPr>
        <w:t>We describe each key element of our executive compensation program in more detail in the following pages, along with the compensation decisions made in fiscal 2025.</w:t>
      </w:r>
    </w:p>
    <w:p>
      <w:pPr>
        <w:spacing w:after="0" w:line="16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We provide a base salary for our named executive officers, which, unlike some of the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elements of our executive compensation program, is not subject to company or individual performance risk. We recognize the need for most executives to receive at least a portion of their total compensation in the form of a guaranteed base salary that is paid in cash regularly throughout the year.</w:t>
      </w:r>
    </w:p>
    <w:p>
      <w:pPr>
        <w:spacing w:after="0" w:line="189"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2"/>
          <w:szCs w:val="22"/>
          <w:color w:val="auto"/>
        </w:rPr>
        <w:t>We initially fix base salaries for our executives at a level that we believe enables us to hire and retain them in a competitive environment and to reward satisfactory individual performance and a satisfactory level of contribution to our overall business objectives. The Compensation Committee reviews base salaries for our named executive officers each year typically in August and generally recommends to the Board of Directors any increases for the following fiscal year in August. Any increases in base salaries are effective as of September 1.</w:t>
      </w:r>
    </w:p>
    <w:p>
      <w:pPr>
        <w:spacing w:after="0" w:line="19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Compensation Committee’s recommendations to the Board of Directors regarding the base salaries of our named executive officers are based on a number of factors, including: the executive’s level of responsibility, prior experience and base salary for the prior year, the skills and experiences required by the position, length of service with NTIC, past individual performance, cost of living increases and other considerations the Compensation Committee deems relevant. The Compensation Committee also recognizes that in addition to the typical responsibilities and duties held by our executives, by virtue of their positions, our executives, due to the small number of our executives and employees, often possess additional responsibilities and perform additional duties that would be typically delegated to others in most organizations with additional personnel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2240" w:h="15840" w:orient="portrait"/>
          <w:cols w:equalWidth="0" w:num="1">
            <w:col w:w="9360"/>
          </w:cols>
          <w:pgMar w:left="1440" w:top="1440" w:right="1440" w:bottom="178" w:gutter="0" w:footer="0" w:header="0"/>
          <w:type w:val="continuous"/>
        </w:sectPr>
      </w:pPr>
    </w:p>
    <w:bookmarkStart w:id="62" w:name="page63"/>
    <w:bookmarkEnd w:id="62"/>
    <w:p>
      <w:pPr>
        <w:ind w:left="100" w:right="460"/>
        <w:spacing w:after="0" w:line="278" w:lineRule="auto"/>
        <w:rPr>
          <w:sz w:val="20"/>
          <w:szCs w:val="20"/>
          <w:color w:val="auto"/>
        </w:rPr>
      </w:pPr>
      <w:r>
        <w:rPr>
          <w:rFonts w:ascii="Times New Roman" w:cs="Times New Roman" w:eastAsia="Times New Roman" w:hAnsi="Times New Roman"/>
          <w:sz w:val="22"/>
          <w:szCs w:val="22"/>
          <w:color w:val="auto"/>
        </w:rPr>
        <w:t>Annualized base salary rates for fiscal 2024 and fiscal 2025 for our named executive officers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shd w:val="clear" w:color="auto" w:fill="D9D9D9"/>
          </w:tcPr>
          <w:p>
            <w:pPr>
              <w:spacing w:after="0"/>
              <w:rPr>
                <w:sz w:val="19"/>
                <w:szCs w:val="19"/>
                <w:color w:val="auto"/>
              </w:rPr>
            </w:pPr>
          </w:p>
        </w:tc>
        <w:tc>
          <w:tcPr>
            <w:tcW w:w="29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880" w:type="dxa"/>
            <w:vAlign w:val="bottom"/>
            <w:gridSpan w:val="2"/>
            <w:shd w:val="clear" w:color="auto" w:fill="D9D9D9"/>
          </w:tcPr>
          <w:p>
            <w:pPr>
              <w:ind w:left="640"/>
              <w:spacing w:after="0"/>
              <w:rPr>
                <w:sz w:val="20"/>
                <w:szCs w:val="20"/>
                <w:color w:val="auto"/>
              </w:rPr>
            </w:pPr>
            <w:r>
              <w:rPr>
                <w:rFonts w:ascii="Times New Roman" w:cs="Times New Roman" w:eastAsia="Times New Roman" w:hAnsi="Times New Roman"/>
                <w:sz w:val="20"/>
                <w:szCs w:val="20"/>
                <w:b w:val="1"/>
                <w:bCs w:val="1"/>
                <w:color w:val="auto"/>
              </w:rPr>
              <w:t>Fiscal</w:t>
            </w:r>
          </w:p>
        </w:tc>
        <w:tc>
          <w:tcPr>
            <w:tcW w:w="80" w:type="dxa"/>
            <w:vAlign w:val="bottom"/>
            <w:tcBorders>
              <w:right w:val="single" w:sz="8" w:color="D9D9D9"/>
            </w:tcBorders>
          </w:tcPr>
          <w:p>
            <w:pPr>
              <w:spacing w:after="0"/>
              <w:rPr>
                <w:sz w:val="19"/>
                <w:szCs w:val="19"/>
                <w:color w:val="auto"/>
              </w:rPr>
            </w:pPr>
          </w:p>
        </w:tc>
        <w:tc>
          <w:tcPr>
            <w:tcW w:w="1800" w:type="dxa"/>
            <w:vAlign w:val="bottom"/>
            <w:shd w:val="clear" w:color="auto" w:fill="D9D9D9"/>
          </w:tcPr>
          <w:p>
            <w:pPr>
              <w:jc w:val="right"/>
              <w:ind w:right="537"/>
              <w:spacing w:after="0"/>
              <w:rPr>
                <w:sz w:val="20"/>
                <w:szCs w:val="20"/>
                <w:color w:val="auto"/>
              </w:rPr>
            </w:pPr>
            <w:r>
              <w:rPr>
                <w:rFonts w:ascii="Times New Roman" w:cs="Times New Roman" w:eastAsia="Times New Roman" w:hAnsi="Times New Roman"/>
                <w:sz w:val="20"/>
                <w:szCs w:val="20"/>
                <w:b w:val="1"/>
                <w:bCs w:val="1"/>
                <w:color w:val="auto"/>
              </w:rPr>
              <w:t>Fiscal</w:t>
            </w:r>
          </w:p>
        </w:tc>
        <w:tc>
          <w:tcPr>
            <w:tcW w:w="160" w:type="dxa"/>
            <w:vAlign w:val="bottom"/>
            <w:shd w:val="clear" w:color="auto" w:fill="D9D9D9"/>
          </w:tcPr>
          <w:p>
            <w:pPr>
              <w:spacing w:after="0"/>
              <w:rPr>
                <w:sz w:val="19"/>
                <w:szCs w:val="19"/>
                <w:color w:val="auto"/>
              </w:rPr>
            </w:pPr>
          </w:p>
        </w:tc>
        <w:tc>
          <w:tcPr>
            <w:tcW w:w="1880" w:type="dxa"/>
            <w:vAlign w:val="bottom"/>
            <w:gridSpan w:val="2"/>
            <w:shd w:val="clear" w:color="auto" w:fill="D9D9D9"/>
          </w:tcPr>
          <w:p>
            <w:pPr>
              <w:ind w:left="180"/>
              <w:spacing w:after="0"/>
              <w:rPr>
                <w:sz w:val="20"/>
                <w:szCs w:val="20"/>
                <w:color w:val="auto"/>
              </w:rPr>
            </w:pPr>
            <w:r>
              <w:rPr>
                <w:rFonts w:ascii="Times New Roman" w:cs="Times New Roman" w:eastAsia="Times New Roman" w:hAnsi="Times New Roman"/>
                <w:sz w:val="20"/>
                <w:szCs w:val="20"/>
                <w:b w:val="1"/>
                <w:bCs w:val="1"/>
                <w:color w:val="auto"/>
              </w:rPr>
              <w:t>% Change From</w:t>
            </w:r>
          </w:p>
        </w:tc>
      </w:tr>
      <w:tr>
        <w:trPr>
          <w:trHeight w:val="273"/>
        </w:trPr>
        <w:tc>
          <w:tcPr>
            <w:tcW w:w="80" w:type="dxa"/>
            <w:vAlign w:val="bottom"/>
            <w:tcBorders>
              <w:bottom w:val="single" w:sz="8" w:color="D9D9D9"/>
            </w:tcBorders>
            <w:shd w:val="clear" w:color="auto" w:fill="D9D9D9"/>
          </w:tcPr>
          <w:p>
            <w:pPr>
              <w:spacing w:after="0"/>
              <w:rPr>
                <w:sz w:val="23"/>
                <w:szCs w:val="23"/>
                <w:color w:val="auto"/>
              </w:rPr>
            </w:pPr>
          </w:p>
        </w:tc>
        <w:tc>
          <w:tcPr>
            <w:tcW w:w="2960" w:type="dxa"/>
            <w:vAlign w:val="bottom"/>
            <w:tcBorders>
              <w:bottom w:val="single" w:sz="8" w:color="auto"/>
            </w:tcBorders>
            <w:shd w:val="clear" w:color="auto" w:fill="D9D9D9"/>
          </w:tcPr>
          <w:p>
            <w:pPr>
              <w:jc w:val="right"/>
              <w:ind w:right="2333"/>
              <w:spacing w:after="0"/>
              <w:rPr>
                <w:sz w:val="20"/>
                <w:szCs w:val="20"/>
                <w:color w:val="auto"/>
              </w:rPr>
            </w:pPr>
            <w:r>
              <w:rPr>
                <w:rFonts w:ascii="Times New Roman" w:cs="Times New Roman" w:eastAsia="Times New Roman" w:hAnsi="Times New Roman"/>
                <w:sz w:val="20"/>
                <w:szCs w:val="20"/>
                <w:b w:val="1"/>
                <w:bCs w:val="1"/>
                <w:color w:val="auto"/>
                <w:w w:val="99"/>
              </w:rPr>
              <w:t>Name</w:t>
            </w:r>
          </w:p>
        </w:tc>
        <w:tc>
          <w:tcPr>
            <w:tcW w:w="160" w:type="dxa"/>
            <w:vAlign w:val="bottom"/>
            <w:tcBorders>
              <w:bottom w:val="single" w:sz="8" w:color="D9D9D9"/>
            </w:tcBorders>
            <w:shd w:val="clear" w:color="auto" w:fill="D9D9D9"/>
          </w:tcPr>
          <w:p>
            <w:pPr>
              <w:spacing w:after="0"/>
              <w:rPr>
                <w:sz w:val="23"/>
                <w:szCs w:val="23"/>
                <w:color w:val="auto"/>
              </w:rPr>
            </w:pPr>
          </w:p>
        </w:tc>
        <w:tc>
          <w:tcPr>
            <w:tcW w:w="1800" w:type="dxa"/>
            <w:vAlign w:val="bottom"/>
            <w:tcBorders>
              <w:bottom w:val="single" w:sz="8" w:color="auto"/>
            </w:tcBorders>
            <w:shd w:val="clear" w:color="auto" w:fill="D9D9D9"/>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D9D9D9"/>
            </w:tcBorders>
            <w:shd w:val="clear" w:color="auto" w:fill="D9D9D9"/>
          </w:tcPr>
          <w:p>
            <w:pPr>
              <w:spacing w:after="0"/>
              <w:rPr>
                <w:sz w:val="23"/>
                <w:szCs w:val="23"/>
                <w:color w:val="auto"/>
              </w:rPr>
            </w:pPr>
          </w:p>
        </w:tc>
        <w:tc>
          <w:tcPr>
            <w:tcW w:w="80" w:type="dxa"/>
            <w:vAlign w:val="bottom"/>
            <w:tcBorders>
              <w:right w:val="single" w:sz="8" w:color="D9D9D9"/>
            </w:tcBorders>
          </w:tcPr>
          <w:p>
            <w:pPr>
              <w:spacing w:after="0"/>
              <w:rPr>
                <w:sz w:val="23"/>
                <w:szCs w:val="23"/>
                <w:color w:val="auto"/>
              </w:rPr>
            </w:pPr>
          </w:p>
        </w:tc>
        <w:tc>
          <w:tcPr>
            <w:tcW w:w="1800" w:type="dxa"/>
            <w:vAlign w:val="bottom"/>
            <w:tcBorders>
              <w:bottom w:val="single" w:sz="8" w:color="auto"/>
            </w:tcBorders>
            <w:shd w:val="clear" w:color="auto" w:fill="D9D9D9"/>
          </w:tcPr>
          <w:p>
            <w:pPr>
              <w:jc w:val="right"/>
              <w:ind w:right="597"/>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Borders>
              <w:bottom w:val="single" w:sz="8" w:color="D9D9D9"/>
            </w:tcBorders>
            <w:shd w:val="clear" w:color="auto" w:fill="D9D9D9"/>
          </w:tcPr>
          <w:p>
            <w:pPr>
              <w:spacing w:after="0"/>
              <w:rPr>
                <w:sz w:val="23"/>
                <w:szCs w:val="23"/>
                <w:color w:val="auto"/>
              </w:rPr>
            </w:pPr>
          </w:p>
        </w:tc>
        <w:tc>
          <w:tcPr>
            <w:tcW w:w="1800" w:type="dxa"/>
            <w:vAlign w:val="bottom"/>
            <w:tcBorders>
              <w:bottom w:val="single" w:sz="8" w:color="auto"/>
            </w:tcBorders>
            <w:shd w:val="clear" w:color="auto" w:fill="D9D9D9"/>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Fiscal 2024</w:t>
            </w:r>
          </w:p>
        </w:tc>
        <w:tc>
          <w:tcPr>
            <w:tcW w:w="80" w:type="dxa"/>
            <w:vAlign w:val="bottom"/>
            <w:tcBorders>
              <w:bottom w:val="single" w:sz="8" w:color="D9D9D9"/>
            </w:tcBorders>
            <w:shd w:val="clear" w:color="auto" w:fill="D9D9D9"/>
          </w:tcPr>
          <w:p>
            <w:pPr>
              <w:spacing w:after="0"/>
              <w:rPr>
                <w:sz w:val="23"/>
                <w:szCs w:val="23"/>
                <w:color w:val="auto"/>
              </w:rPr>
            </w:pPr>
          </w:p>
        </w:tc>
      </w:tr>
      <w:tr>
        <w:trPr>
          <w:trHeight w:val="235"/>
        </w:trPr>
        <w:tc>
          <w:tcPr>
            <w:tcW w:w="80" w:type="dxa"/>
            <w:vAlign w:val="bottom"/>
          </w:tcPr>
          <w:p>
            <w:pPr>
              <w:spacing w:after="0"/>
              <w:rPr>
                <w:sz w:val="20"/>
                <w:szCs w:val="20"/>
                <w:color w:val="auto"/>
              </w:rPr>
            </w:pPr>
          </w:p>
        </w:tc>
        <w:tc>
          <w:tcPr>
            <w:tcW w:w="2960" w:type="dxa"/>
            <w:vAlign w:val="bottom"/>
          </w:tcPr>
          <w:p>
            <w:pPr>
              <w:jc w:val="right"/>
              <w:ind w:right="33"/>
              <w:spacing w:after="0" w:line="235" w:lineRule="exact"/>
              <w:rPr>
                <w:sz w:val="20"/>
                <w:szCs w:val="20"/>
                <w:color w:val="auto"/>
              </w:rPr>
            </w:pPr>
            <w:r>
              <w:rPr>
                <w:rFonts w:ascii="Times New Roman" w:cs="Times New Roman" w:eastAsia="Times New Roman" w:hAnsi="Times New Roman"/>
                <w:sz w:val="22"/>
                <w:szCs w:val="22"/>
                <w:color w:val="auto"/>
              </w:rPr>
              <w:t>G. Patrick Lynch ......................</w:t>
            </w:r>
          </w:p>
        </w:tc>
        <w:tc>
          <w:tcPr>
            <w:tcW w:w="1960" w:type="dxa"/>
            <w:vAlign w:val="bottom"/>
            <w:gridSpan w:val="2"/>
          </w:tcPr>
          <w:p>
            <w:pPr>
              <w:jc w:val="right"/>
              <w:ind w:right="260"/>
              <w:spacing w:after="0" w:line="235" w:lineRule="exact"/>
              <w:rPr>
                <w:sz w:val="20"/>
                <w:szCs w:val="20"/>
                <w:color w:val="auto"/>
              </w:rPr>
            </w:pPr>
            <w:r>
              <w:rPr>
                <w:rFonts w:ascii="Times New Roman" w:cs="Times New Roman" w:eastAsia="Times New Roman" w:hAnsi="Times New Roman"/>
                <w:sz w:val="22"/>
                <w:szCs w:val="22"/>
                <w:color w:val="auto"/>
              </w:rPr>
              <w:t>$ 503,610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jc w:val="right"/>
              <w:ind w:right="237"/>
              <w:spacing w:after="0" w:line="235" w:lineRule="exact"/>
              <w:rPr>
                <w:sz w:val="20"/>
                <w:szCs w:val="20"/>
                <w:color w:val="auto"/>
              </w:rPr>
            </w:pPr>
            <w:r>
              <w:rPr>
                <w:rFonts w:ascii="Times New Roman" w:cs="Times New Roman" w:eastAsia="Times New Roman" w:hAnsi="Times New Roman"/>
                <w:sz w:val="22"/>
                <w:szCs w:val="22"/>
                <w:color w:val="auto"/>
              </w:rPr>
              <w:t>$ 523,754</w:t>
            </w:r>
          </w:p>
        </w:tc>
        <w:tc>
          <w:tcPr>
            <w:tcW w:w="1960" w:type="dxa"/>
            <w:vAlign w:val="bottom"/>
            <w:gridSpan w:val="2"/>
          </w:tcPr>
          <w:p>
            <w:pPr>
              <w:jc w:val="right"/>
              <w:ind w:right="640"/>
              <w:spacing w:after="0" w:line="235" w:lineRule="exact"/>
              <w:rPr>
                <w:sz w:val="20"/>
                <w:szCs w:val="20"/>
                <w:color w:val="auto"/>
              </w:rPr>
            </w:pPr>
            <w:r>
              <w:rPr>
                <w:rFonts w:ascii="Times New Roman" w:cs="Times New Roman" w:eastAsia="Times New Roman" w:hAnsi="Times New Roman"/>
                <w:sz w:val="22"/>
                <w:szCs w:val="22"/>
                <w:color w:val="auto"/>
              </w:rPr>
              <w:t>4.0%</w:t>
            </w:r>
          </w:p>
        </w:tc>
        <w:tc>
          <w:tcPr>
            <w:tcW w:w="80" w:type="dxa"/>
            <w:vAlign w:val="bottom"/>
          </w:tcPr>
          <w:p>
            <w:pPr>
              <w:spacing w:after="0"/>
              <w:rPr>
                <w:sz w:val="20"/>
                <w:szCs w:val="20"/>
                <w:color w:val="auto"/>
              </w:rPr>
            </w:pPr>
          </w:p>
        </w:tc>
      </w:tr>
      <w:tr>
        <w:trPr>
          <w:trHeight w:val="294"/>
        </w:trPr>
        <w:tc>
          <w:tcPr>
            <w:tcW w:w="80" w:type="dxa"/>
            <w:vAlign w:val="bottom"/>
          </w:tcPr>
          <w:p>
            <w:pPr>
              <w:spacing w:after="0"/>
              <w:rPr>
                <w:sz w:val="24"/>
                <w:szCs w:val="24"/>
                <w:color w:val="auto"/>
              </w:rPr>
            </w:pPr>
          </w:p>
        </w:tc>
        <w:tc>
          <w:tcPr>
            <w:tcW w:w="2960" w:type="dxa"/>
            <w:vAlign w:val="bottom"/>
          </w:tcPr>
          <w:p>
            <w:pPr>
              <w:jc w:val="right"/>
              <w:ind w:right="13"/>
              <w:spacing w:after="0"/>
              <w:rPr>
                <w:sz w:val="20"/>
                <w:szCs w:val="20"/>
                <w:color w:val="auto"/>
              </w:rPr>
            </w:pPr>
            <w:r>
              <w:rPr>
                <w:rFonts w:ascii="Times New Roman" w:cs="Times New Roman" w:eastAsia="Times New Roman" w:hAnsi="Times New Roman"/>
                <w:sz w:val="22"/>
                <w:szCs w:val="22"/>
                <w:color w:val="auto"/>
                <w:w w:val="99"/>
              </w:rPr>
              <w:t>Matthew C. Wolsfeld ................</w:t>
            </w:r>
          </w:p>
        </w:tc>
        <w:tc>
          <w:tcPr>
            <w:tcW w:w="196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372,233</w:t>
            </w:r>
          </w:p>
        </w:tc>
        <w:tc>
          <w:tcPr>
            <w:tcW w:w="80" w:type="dxa"/>
            <w:vAlign w:val="bottom"/>
          </w:tcPr>
          <w:p>
            <w:pPr>
              <w:spacing w:after="0"/>
              <w:rPr>
                <w:sz w:val="24"/>
                <w:szCs w:val="24"/>
                <w:color w:val="auto"/>
              </w:rPr>
            </w:pPr>
          </w:p>
        </w:tc>
        <w:tc>
          <w:tcPr>
            <w:tcW w:w="1880" w:type="dxa"/>
            <w:vAlign w:val="bottom"/>
            <w:gridSpan w:val="2"/>
          </w:tcPr>
          <w:p>
            <w:pPr>
              <w:jc w:val="right"/>
              <w:ind w:right="237"/>
              <w:spacing w:after="0"/>
              <w:rPr>
                <w:sz w:val="20"/>
                <w:szCs w:val="20"/>
                <w:color w:val="auto"/>
              </w:rPr>
            </w:pPr>
            <w:r>
              <w:rPr>
                <w:rFonts w:ascii="Times New Roman" w:cs="Times New Roman" w:eastAsia="Times New Roman" w:hAnsi="Times New Roman"/>
                <w:sz w:val="22"/>
                <w:szCs w:val="22"/>
                <w:color w:val="auto"/>
              </w:rPr>
              <w:t>387,123</w:t>
            </w:r>
          </w:p>
        </w:tc>
        <w:tc>
          <w:tcPr>
            <w:tcW w:w="1960" w:type="dxa"/>
            <w:vAlign w:val="bottom"/>
            <w:gridSpan w:val="2"/>
          </w:tcPr>
          <w:p>
            <w:pPr>
              <w:jc w:val="right"/>
              <w:ind w:right="640"/>
              <w:spacing w:after="0"/>
              <w:rPr>
                <w:sz w:val="20"/>
                <w:szCs w:val="20"/>
                <w:color w:val="auto"/>
              </w:rPr>
            </w:pPr>
            <w:r>
              <w:rPr>
                <w:rFonts w:ascii="Times New Roman" w:cs="Times New Roman" w:eastAsia="Times New Roman" w:hAnsi="Times New Roman"/>
                <w:sz w:val="22"/>
                <w:szCs w:val="22"/>
                <w:color w:val="auto"/>
              </w:rPr>
              <w:t>4.0%</w:t>
            </w:r>
          </w:p>
        </w:tc>
        <w:tc>
          <w:tcPr>
            <w:tcW w:w="80" w:type="dxa"/>
            <w:vAlign w:val="bottom"/>
          </w:tcPr>
          <w:p>
            <w:pPr>
              <w:spacing w:after="0"/>
              <w:rPr>
                <w:sz w:val="24"/>
                <w:szCs w:val="24"/>
                <w:color w:val="auto"/>
              </w:rPr>
            </w:pPr>
          </w:p>
        </w:tc>
      </w:tr>
    </w:tbl>
    <w:p>
      <w:pPr>
        <w:spacing w:after="0" w:line="200" w:lineRule="exact"/>
        <w:rPr>
          <w:sz w:val="20"/>
          <w:szCs w:val="20"/>
          <w:color w:val="auto"/>
        </w:rPr>
      </w:pPr>
    </w:p>
    <w:p>
      <w:pPr>
        <w:ind w:left="100" w:right="40"/>
        <w:spacing w:after="0" w:line="259" w:lineRule="auto"/>
        <w:rPr>
          <w:sz w:val="20"/>
          <w:szCs w:val="20"/>
          <w:color w:val="auto"/>
        </w:rPr>
      </w:pPr>
      <w:r>
        <w:rPr>
          <w:rFonts w:ascii="Times New Roman" w:cs="Times New Roman" w:eastAsia="Times New Roman" w:hAnsi="Times New Roman"/>
          <w:sz w:val="22"/>
          <w:szCs w:val="22"/>
          <w:color w:val="auto"/>
        </w:rPr>
        <w:t>The Board of Directors, upon recommendation of the Compensation Committee, recently set base salaries for fiscal 2026. Both Mr. Lynch’s and Mr. Wolsfeld’s base salaries for fiscal 2026 remained the same as base salaries for fiscal 2025.</w:t>
      </w:r>
    </w:p>
    <w:p>
      <w:pPr>
        <w:spacing w:after="0" w:line="181" w:lineRule="exact"/>
        <w:rPr>
          <w:sz w:val="20"/>
          <w:szCs w:val="20"/>
          <w:color w:val="auto"/>
        </w:rPr>
      </w:pPr>
    </w:p>
    <w:p>
      <w:pPr>
        <w:ind w:left="100" w:right="40"/>
        <w:spacing w:after="0" w:line="246" w:lineRule="auto"/>
        <w:rPr>
          <w:sz w:val="20"/>
          <w:szCs w:val="20"/>
          <w:color w:val="auto"/>
        </w:rPr>
      </w:pPr>
      <w:r>
        <w:rPr>
          <w:rFonts w:ascii="Times New Roman" w:cs="Times New Roman" w:eastAsia="Times New Roman" w:hAnsi="Times New Roman"/>
          <w:sz w:val="22"/>
          <w:szCs w:val="22"/>
          <w:i w:val="1"/>
          <w:iCs w:val="1"/>
          <w:color w:val="auto"/>
        </w:rPr>
        <w:t>Annual Incentive Compensation</w:t>
      </w:r>
      <w:r>
        <w:rPr>
          <w:rFonts w:ascii="Times New Roman" w:cs="Times New Roman" w:eastAsia="Times New Roman" w:hAnsi="Times New Roman"/>
          <w:sz w:val="22"/>
          <w:szCs w:val="22"/>
          <w:color w:val="auto"/>
        </w:rPr>
        <w:t>. In addition to base compensation, we provide our named executive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officers the opportunity to earn annual incentive compensation based on the achievement of certain company and individual related performance goals. Our annual bonus program, along with our stock ownership guidelines, directly aligns the interests of our executive officers and stockholders by providing an incentive for the achievement of key corporate and individual performance measures that are critical to the success of NTIC and linking a significant portion of each executive’s annual compensation to the achievement of such measures.</w:t>
      </w:r>
    </w:p>
    <w:p>
      <w:pPr>
        <w:spacing w:after="0" w:line="195" w:lineRule="exact"/>
        <w:rPr>
          <w:sz w:val="20"/>
          <w:szCs w:val="20"/>
          <w:color w:val="auto"/>
        </w:rPr>
      </w:pPr>
    </w:p>
    <w:p>
      <w:pPr>
        <w:ind w:left="100"/>
        <w:spacing w:after="0" w:line="244" w:lineRule="auto"/>
        <w:rPr>
          <w:sz w:val="20"/>
          <w:szCs w:val="20"/>
          <w:color w:val="auto"/>
        </w:rPr>
      </w:pPr>
      <w:r>
        <w:rPr>
          <w:rFonts w:ascii="Times New Roman" w:cs="Times New Roman" w:eastAsia="Times New Roman" w:hAnsi="Times New Roman"/>
          <w:sz w:val="22"/>
          <w:szCs w:val="22"/>
          <w:color w:val="auto"/>
        </w:rPr>
        <w:t>Under the annual bonus plan for fiscal 2025, the total amount available under the bonus plan for all plan participants, including our two executive officers, as in past years, was a percent (25%) of NTIC’s earnings before interest, taxes and other income, as adjusted to take into account amounts to be paid under the bonus plan and certain other adjustments (referred to as “Adjusted EBITOI”). For fiscal 2025, the other adjustments included amounts paid under NTIC’s sales and management bonus plan and profit sharing plan and a portion of stock-based compensation expense. As in past years, for fiscal 2025, for each named executive officer participant, 75% of the amount of their individual bonus payout was determined based upon their individual allocation percentage of the total amount available under the bonus plan, and 25% of their individual payout was determined based upon their achievement of certain pre-established but more qualitative individual performance objectives.</w:t>
      </w:r>
    </w:p>
    <w:p>
      <w:pPr>
        <w:spacing w:after="0" w:line="198" w:lineRule="exact"/>
        <w:rPr>
          <w:sz w:val="20"/>
          <w:szCs w:val="20"/>
          <w:color w:val="auto"/>
        </w:rPr>
      </w:pPr>
    </w:p>
    <w:p>
      <w:pPr>
        <w:ind w:left="100" w:right="240"/>
        <w:spacing w:after="0" w:line="246" w:lineRule="auto"/>
        <w:rPr>
          <w:sz w:val="20"/>
          <w:szCs w:val="20"/>
          <w:color w:val="auto"/>
        </w:rPr>
      </w:pPr>
      <w:r>
        <w:rPr>
          <w:rFonts w:ascii="Times New Roman" w:cs="Times New Roman" w:eastAsia="Times New Roman" w:hAnsi="Times New Roman"/>
          <w:sz w:val="22"/>
          <w:szCs w:val="22"/>
          <w:color w:val="auto"/>
        </w:rPr>
        <w:t>A plan participant’s individual allocation percentage of the total amount available under the bonus plan was based on the number of plan participants (which for fiscal 2025 was seven participants), the individual’s annual base salary for fiscal 2025 and the individual’s position and level of responsibility within NTIC. Individual allocation percentages ranged from approximately 5% to 23%. Mr. Lynch’s individual allocation percentage for fiscal 2025 was approximately 23% and Mr. Wolsfeld’s individual allocation percentage for fiscal 2025 was approximately 17% of a total cash management bonus pool of $105,409.</w:t>
      </w:r>
    </w:p>
    <w:p>
      <w:pPr>
        <w:spacing w:after="0" w:line="196" w:lineRule="exact"/>
        <w:rPr>
          <w:sz w:val="20"/>
          <w:szCs w:val="20"/>
          <w:color w:val="auto"/>
        </w:rPr>
      </w:pPr>
    </w:p>
    <w:p>
      <w:pPr>
        <w:ind w:left="100" w:right="60" w:firstLine="1"/>
        <w:spacing w:after="0" w:line="245" w:lineRule="auto"/>
        <w:rPr>
          <w:sz w:val="20"/>
          <w:szCs w:val="20"/>
          <w:color w:val="auto"/>
        </w:rPr>
      </w:pPr>
      <w:r>
        <w:rPr>
          <w:rFonts w:ascii="Times New Roman" w:cs="Times New Roman" w:eastAsia="Times New Roman" w:hAnsi="Times New Roman"/>
          <w:sz w:val="21"/>
          <w:szCs w:val="21"/>
          <w:color w:val="auto"/>
        </w:rPr>
        <w:t>Mr. Lynch’s individual performance objectives for fiscal 2025 related primarily to NTIC’s infrastructure backbone, enterprise software platform and artificial intelligence strategy, oversight of ZERUST</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Industrial and oil and gas sales and marketing, management of pending litigation, improvement and maintenance of key joint venture relationships, improvement and maintenance of investor relations and retention and improvement of key personnel. Mr. Wolsfeld’s individual performance objectives for fiscal 2025 related primarily to investor relations, subsidiary gross margins, operating margins and profitability, qualified suppliers and management of NTIC’s enterprise software platform. In the case of both</w:t>
      </w:r>
    </w:p>
    <w:p>
      <w:pPr>
        <w:spacing w:after="0" w:line="7" w:lineRule="exact"/>
        <w:rPr>
          <w:sz w:val="20"/>
          <w:szCs w:val="20"/>
          <w:color w:val="auto"/>
        </w:rPr>
      </w:pPr>
    </w:p>
    <w:p>
      <w:pPr>
        <w:ind w:left="100" w:right="520"/>
        <w:spacing w:after="0" w:line="248" w:lineRule="auto"/>
        <w:rPr>
          <w:sz w:val="20"/>
          <w:szCs w:val="20"/>
          <w:color w:val="auto"/>
        </w:rPr>
      </w:pPr>
      <w:r>
        <w:rPr>
          <w:rFonts w:ascii="Times New Roman" w:cs="Times New Roman" w:eastAsia="Times New Roman" w:hAnsi="Times New Roman"/>
          <w:sz w:val="22"/>
          <w:szCs w:val="22"/>
          <w:color w:val="auto"/>
        </w:rPr>
        <w:t>Mr. Lynch and Mr. Wolsfeld, the Compensation Committee determined each executive achieved his individual performance objectives at a 100% achievement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56</w:t>
      </w:r>
    </w:p>
    <w:p>
      <w:pPr>
        <w:sectPr>
          <w:pgSz w:w="12240" w:h="15840" w:orient="portrait"/>
          <w:cols w:equalWidth="0" w:num="1">
            <w:col w:w="9460"/>
          </w:cols>
          <w:pgMar w:left="1340" w:top="1417" w:right="1440" w:bottom="178" w:gutter="0" w:footer="0" w:header="0"/>
        </w:sectPr>
      </w:pPr>
    </w:p>
    <w:bookmarkStart w:id="63" w:name="page64"/>
    <w:bookmarkEnd w:id="63"/>
    <w:p>
      <w:pPr>
        <w:ind w:right="60"/>
        <w:spacing w:after="0" w:line="259" w:lineRule="auto"/>
        <w:rPr>
          <w:sz w:val="20"/>
          <w:szCs w:val="20"/>
          <w:color w:val="auto"/>
        </w:rPr>
      </w:pPr>
      <w:r>
        <w:rPr>
          <w:rFonts w:ascii="Times New Roman" w:cs="Times New Roman" w:eastAsia="Times New Roman" w:hAnsi="Times New Roman"/>
          <w:sz w:val="22"/>
          <w:szCs w:val="22"/>
          <w:color w:val="auto"/>
        </w:rPr>
        <w:t>Mr. Lynch received a total cash bonus of $ 23,759 for fiscal 2025 and Mr. Wolsfeld received a total bonus of $17,561 for fiscal 2025. Additionally, a portion of the annual bonus earned was paid in the form of a stock option grant on September 1, 2024.</w:t>
      </w:r>
    </w:p>
    <w:p>
      <w:pPr>
        <w:spacing w:after="0" w:line="17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2"/>
          <w:szCs w:val="22"/>
          <w:color w:val="auto"/>
        </w:rPr>
        <w:t>The structure and material terms of our annual bonus plan for fiscal 2026 are similar to the annual bonus plan for fiscal 2025. As in past years, the payment of bonuses under the plan for fiscal 2026 will be discretionary and may be paid to participants in cash and/or shares of NTIC common stock.</w:t>
      </w:r>
    </w:p>
    <w:p>
      <w:pPr>
        <w:spacing w:after="0" w:line="1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i w:val="1"/>
          <w:iCs w:val="1"/>
          <w:color w:val="auto"/>
        </w:rPr>
        <w:t>Long-Term Equity-Based Incentive Compensation</w:t>
      </w:r>
      <w:r>
        <w:rPr>
          <w:rFonts w:ascii="Times New Roman" w:cs="Times New Roman" w:eastAsia="Times New Roman" w:hAnsi="Times New Roman"/>
          <w:sz w:val="22"/>
          <w:szCs w:val="22"/>
          <w:color w:val="auto"/>
        </w:rPr>
        <w:t>. The long-term equity-based incentive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component of our executive compensation program consists of annual option grants to our executives and certain other employees. The stock options are typically granted on the first business day of each fiscal year.</w:t>
      </w:r>
    </w:p>
    <w:p>
      <w:pPr>
        <w:spacing w:after="0" w:line="18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2"/>
          <w:szCs w:val="22"/>
          <w:color w:val="auto"/>
        </w:rPr>
        <w:t>Accordingly, on September 1, 2024, NTIC granted Mr. Lynch an option to purchase 44,858 shares of common stock and Mr. Wolsfeld an option to purchase 33,156 shares of common stock. These options vest annually over three years. More recently, on September 1, 2025, NTIC granted Mr. Lynch an option to purchase 44,051 shares of common stock and Mr. Wolsfeld an option to purchase 32,559 shares of common stock. These stock options also vest annually over three years.</w:t>
      </w:r>
    </w:p>
    <w:p>
      <w:pPr>
        <w:spacing w:after="0" w:line="19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In determining the number of stock options to grant to our executives and other employees, the Board of Directors, upon recommendation of the Compensation Committee, considered the anticipated amount to be earned under the annual bonus plan and a portion of which it preferred to pay out in the form of a stock option grant and the total amount of stock -based compensation expense budgeted for such options and divided that amount by the grant date fair value per share to obtain a total option pool. Of the total option pool, the number of options to be granted to each executive and employee receiving options was then determined based on the individual’s base salary as a percentage of the total aggregate base salaries of all executives and employees receiving option grants. For the most recent option grants, the Board of Directors and Compensation Committee also considered the number of shares remaining available under our stockholder-approved stock incentive plan.</w:t>
      </w:r>
    </w:p>
    <w:p>
      <w:pPr>
        <w:spacing w:after="0" w:line="19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Compensation Committee’s primary objectives with respect to long-term equity-based incentive compensation, along with our stock ownership guidelines, are to align the interests of our executives with the long-term interests of our stockholders, promote stock ownership and create significant incentives for executive retention. Long-term equity-based incentives are intended to comprise a significant portion of each executive’s compensation package, consistent with our executive compensation objective to align the interests of our executives with the interests of our stockholders. For fiscal 2025, equity-based compensation comprised approximately 28.6% of the total compensation for Mr. Lynch and Mr. Wolsfeld, assuming grant date fair value for equity awards. All equity-based compensation granted to our executives and other employees is granted under our current stockholder-approved stock incentive plan.</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1"/>
          <w:szCs w:val="21"/>
          <w:color w:val="auto"/>
        </w:rPr>
        <w:t>The Compensation Committee uses stock options as opposed to other equity-based incentive awards since the Compensation Committee believes that options effectively incentivize executives to maximize company performance, as the value of awards is directly tied to an appreciation in the value of our common stock. Stock options also provide an effective retention mechanism because of vesting provisions. An important objective of our long-term equity-based incentive program is to strengthen the relationship between the long-term value of our common stock and the potential financial gain for our executives. Stock options provide recipients with the opportunity to purchase our common stock at a price fixed on the grant date regardless of future market price. The vesting of our stock options is time -based – over three years and previously upon the one-year anniversary of the date of grant. Our policy is to grant options only with an exercise price equal to or more than the fair market value of our common stock on the grant date. Under the terms of our incentive plan, fair market value is defined as the mean between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2240" w:h="15840" w:orient="portrait"/>
          <w:cols w:equalWidth="0" w:num="1">
            <w:col w:w="9360"/>
          </w:cols>
          <w:pgMar w:left="1440" w:top="1417" w:right="1440" w:bottom="178" w:gutter="0" w:footer="0" w:header="0"/>
        </w:sectPr>
      </w:pPr>
    </w:p>
    <w:bookmarkStart w:id="64" w:name="page65"/>
    <w:bookmarkEnd w:id="64"/>
    <w:p>
      <w:pPr>
        <w:ind w:right="60"/>
        <w:spacing w:after="0" w:line="246" w:lineRule="auto"/>
        <w:rPr>
          <w:sz w:val="20"/>
          <w:szCs w:val="20"/>
          <w:color w:val="auto"/>
        </w:rPr>
      </w:pPr>
      <w:r>
        <w:rPr>
          <w:rFonts w:ascii="Times New Roman" w:cs="Times New Roman" w:eastAsia="Times New Roman" w:hAnsi="Times New Roman"/>
          <w:sz w:val="22"/>
          <w:szCs w:val="22"/>
          <w:color w:val="auto"/>
        </w:rPr>
        <w:t>reported high and low sale prices of our common stock as of the grant date at the end of the regular trading session, as reported on the Nasdaq Global Market. Because stock options become valuable only if the share price increases above the exercise price and the option holder remains employed during the period required for the option to vest, they provide an incentive for an executive to remain employed. In addition, stock options link a portion of an employee’s compensation to the interests of our stockholders by providing an incentive to achieve corporate goals and increase the market price of our common stock over the vesting period.</w:t>
      </w:r>
    </w:p>
    <w:p>
      <w:pPr>
        <w:spacing w:after="0" w:line="19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2"/>
          <w:szCs w:val="22"/>
          <w:color w:val="auto"/>
        </w:rPr>
        <w:t>Through the grant of stock options, we seek to align the long-term interests of our executives with the long-term interests of our stockholders by creating a strong and direct link between compensation and long-term stockholder return. When our executives deliver returns to our stockholders, in the form of increases in our stock price or otherwise, stock options permit an increase in their compensation. We also believe that stock options enable our executives to achieve meaningful equity ownership in NTIC and enable us to attract, retain and motivate our executives by maintaining competitive levels of total compensation.</w:t>
      </w:r>
    </w:p>
    <w:p>
      <w:pPr>
        <w:spacing w:after="0" w:line="195"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2"/>
          <w:szCs w:val="22"/>
          <w:color w:val="auto"/>
        </w:rPr>
        <w:t>As described in more detail below, we maintain stock ownership guidelines to align the interests of our executives with the interests of our stockholders, and under the terms of our insider trading policy, our executives are prohibited from engaging in any hedging or significant pledging of their shares of our common stock.</w:t>
      </w:r>
    </w:p>
    <w:p>
      <w:pPr>
        <w:spacing w:after="0" w:line="18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2"/>
          <w:szCs w:val="22"/>
          <w:i w:val="1"/>
          <w:iCs w:val="1"/>
          <w:color w:val="auto"/>
        </w:rPr>
        <w:t>All Other Compensation</w:t>
      </w:r>
      <w:r>
        <w:rPr>
          <w:rFonts w:ascii="Times New Roman" w:cs="Times New Roman" w:eastAsia="Times New Roman" w:hAnsi="Times New Roman"/>
          <w:sz w:val="22"/>
          <w:szCs w:val="22"/>
          <w:color w:val="auto"/>
        </w:rPr>
        <w:t>. It is generally our policy not to extend significant perquisites to our executives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are not available to our employees generally. The only significant perquisite that we provide to our executives is the personal use of a company-owned vehicle. Our executives also receive benefits, which are also received by our other employees, including participation in the Northern Technologies International Corporation 401(k) Plan and health, dental and life insurance benefits. Under the 401(k) plan, all eligible participants, including our executives, may voluntarily request that we reduce his or her pre-tax compensation by up to 10% (subject to certain special limitations) and contribute such amounts to a trust. We typically contribute an amount equal to 50% of the first 7% of the amount that each participant contributed under this plan. We do not provide pension arrangements or post-retirement health coverage for our executives or employees. We also do not provide any nonqualified defined contribution or other deferred compensation plans.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Change in Control and Post-Termination Severance Arrangements</w:t>
      </w:r>
    </w:p>
    <w:p>
      <w:pPr>
        <w:spacing w:after="0" w:line="23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i w:val="1"/>
          <w:iCs w:val="1"/>
          <w:color w:val="auto"/>
        </w:rPr>
        <w:t>Change in Control Arrangements</w:t>
      </w:r>
      <w:r>
        <w:rPr>
          <w:rFonts w:ascii="Times New Roman" w:cs="Times New Roman" w:eastAsia="Times New Roman" w:hAnsi="Times New Roman"/>
          <w:sz w:val="22"/>
          <w:szCs w:val="22"/>
          <w:color w:val="auto"/>
        </w:rPr>
        <w:t>. To encourage continuity, stability and retention when considering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potential disruptive impact of an actual or potential corporate transaction, we have established change in control arrangements, including provisions in our stock incentive plans and written employment agreements with our executives. These arrangements are designed to incentivize our executives to remain with NTIC in the event of a change in control or a potential change in control.</w:t>
      </w:r>
    </w:p>
    <w:p>
      <w:pPr>
        <w:spacing w:after="0" w:line="19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Under the terms of our stock incentive plans and the individual award documents provided to recipients of awards under those plans, all stock options become immediately vested and exercisable upon the completion of a change in control of NTIC. For more information, see “</w:t>
      </w:r>
      <w:r>
        <w:rPr>
          <w:rFonts w:ascii="Times New Roman" w:cs="Times New Roman" w:eastAsia="Times New Roman" w:hAnsi="Times New Roman"/>
          <w:sz w:val="22"/>
          <w:szCs w:val="22"/>
          <w:i w:val="1"/>
          <w:iCs w:val="1"/>
          <w:color w:val="auto"/>
        </w:rPr>
        <w:t>—Potential Payments Upon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Termination or Change in Control—Change in Control Arrangements</w:t>
      </w:r>
      <w:r>
        <w:rPr>
          <w:rFonts w:ascii="Times New Roman" w:cs="Times New Roman" w:eastAsia="Times New Roman" w:hAnsi="Times New Roman"/>
          <w:sz w:val="22"/>
          <w:szCs w:val="22"/>
          <w:color w:val="auto"/>
        </w:rPr>
        <w:t>.” Thus, the immediate vesting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options is triggered by the change in control, itself, and thus is known as a “single trigger” change in control arrangement. We believe these “single trigger” equity acceleration change in control arrangements provide important retention incentives during what can often be an uncertain time for executives. They also provide executives with additional monetary motivation to focus on and complete a transaction that the Board of Directors believes is in the best interests of our stockholders rather than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2240" w:h="15840" w:orient="portrait"/>
          <w:cols w:equalWidth="0" w:num="1">
            <w:col w:w="9360"/>
          </w:cols>
          <w:pgMar w:left="1440" w:top="1417" w:right="1440" w:bottom="178" w:gutter="0" w:footer="0" w:header="0"/>
        </w:sectPr>
      </w:pPr>
    </w:p>
    <w:bookmarkStart w:id="65" w:name="page66"/>
    <w:bookmarkEnd w:id="65"/>
    <w:p>
      <w:pPr>
        <w:ind w:right="80"/>
        <w:spacing w:after="0" w:line="278" w:lineRule="auto"/>
        <w:rPr>
          <w:sz w:val="20"/>
          <w:szCs w:val="20"/>
          <w:color w:val="auto"/>
        </w:rPr>
      </w:pPr>
      <w:r>
        <w:rPr>
          <w:rFonts w:ascii="Times New Roman" w:cs="Times New Roman" w:eastAsia="Times New Roman" w:hAnsi="Times New Roman"/>
          <w:sz w:val="22"/>
          <w:szCs w:val="22"/>
          <w:color w:val="auto"/>
        </w:rPr>
        <w:t>seek new employment opportunities. If an executive were to leave before the completion of the change in control, non-vested options held by the executive would terminate.</w:t>
      </w:r>
    </w:p>
    <w:p>
      <w:pPr>
        <w:spacing w:after="0" w:line="15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2"/>
          <w:szCs w:val="22"/>
          <w:color w:val="auto"/>
        </w:rPr>
        <w:t>In addition, we have entered into employment agreements with our named executive officers to provide certain payments and benefits in the event of a change in control, which are payable only in the event their employment is terminated in connection with the change in control (“double-trigger” provisions). These change in control protections provide consideration to executives for certain restrictive covenants that apply following termination of employment and provide continuity of management in connection with a threatened or actual change in control transaction. If an executive’s employment is terminated without “cause” or by the executive for “good reason” (as defined in the employment agreements) within 24 months following a change in control, the executive will be entitled to receive a lump sum payment equal to two times, in the case of the CEO, and one and one-half times, in the case of the CFO, his average total annual compensation for the two most recently completed fiscal years. The average total annual compensation will be determined based on the calculation used to determine total compensation in the Summary Compensation Table. Accordingly, it will not include equity gains; only, the grant date fair value of equity grants. Additionally, each of the CEO and CFO is eligible to receive a pro rata portion of the target bonus that the executive otherwise would have been eligible to receive under our bonus plan for the fiscal year during which the executive’s employment is terminated, with such pro rata portion based on the number of completed months during the fiscal year that the executive was employed with NTIC. These arrangements, and a quantification of the payment and benefits provided under these arrangements, are described in more detail under “</w:t>
      </w:r>
      <w:r>
        <w:rPr>
          <w:rFonts w:ascii="Times New Roman" w:cs="Times New Roman" w:eastAsia="Times New Roman" w:hAnsi="Times New Roman"/>
          <w:sz w:val="22"/>
          <w:szCs w:val="22"/>
          <w:i w:val="1"/>
          <w:iCs w:val="1"/>
          <w:color w:val="auto"/>
        </w:rPr>
        <w:t>—Potential Payments Upon Termination or Change in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Change in Control Arrangements</w:t>
      </w:r>
      <w:r>
        <w:rPr>
          <w:rFonts w:ascii="Times New Roman" w:cs="Times New Roman" w:eastAsia="Times New Roman" w:hAnsi="Times New Roman"/>
          <w:sz w:val="22"/>
          <w:szCs w:val="22"/>
          <w:color w:val="auto"/>
        </w:rPr>
        <w:t>.” Other than the immediate acceleration of equity-based awards,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we believe aligns our executives’ interests with those of our stockholders by allowing executives to participate fully in the benefits of a change in control as to all of their equity, in order for a named executive officer to receive any other payments or benefits as a result of a change in control of NTIC, there must be a termination of the executive’s employment, either by us without cause or by the executive for good reason. The termination of the executive’s employment by the executive without good reason will not give rise to additional payments or benefits either in a change in control situation or otherwise. Thus, these additional payments and benefits will not just be triggered by a change in control, but also will require a termination event not within the control of the executive, and thus are known as “double trigger” change in control arrangements. As opposed to the immediate acceleration of stock options, we believe that other change in control payments and benefits should properly be tied to termination following a change in control, given the intent that these amounts provide economic security to ease the executive’s transition into new employment.</w:t>
      </w:r>
    </w:p>
    <w:p>
      <w:pPr>
        <w:spacing w:after="0" w:line="209"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We believe these change in control arrangements are an important part of our executive compensation program in part because they mitigate some of the risk for executives working in a smaller company where there is a meaningful risk that NTIC may be acquired. Change in control benefits are intended to attract and retain qualified executives who, absent these arrangements and in anticipation of a possible change in control of NTIC, might consider seeking employment alternatives to be less risky than remaining with NTIC through the transaction. We believe that relative to NTIC’s overall value, our potential change in control benefits are relatively small. We also believe that the form and amount of these change in control benefits are fair and reasonable to both NTIC and our executives. The Compensation Committee reviews our change of control arrangements periodically to ensure that they remain necessary and appropriate.</w:t>
      </w:r>
    </w:p>
    <w:p>
      <w:pPr>
        <w:spacing w:after="0" w:line="19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i w:val="1"/>
          <w:iCs w:val="1"/>
          <w:color w:val="auto"/>
        </w:rPr>
        <w:t>Other Severance Arrangements</w:t>
      </w:r>
      <w:r>
        <w:rPr>
          <w:rFonts w:ascii="Times New Roman" w:cs="Times New Roman" w:eastAsia="Times New Roman" w:hAnsi="Times New Roman"/>
          <w:sz w:val="22"/>
          <w:szCs w:val="22"/>
          <w:color w:val="auto"/>
        </w:rPr>
        <w:t>. Each of our named executive officers is entitled to receive severance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benefits upon certain other qualifying terminations of employment, other than a change in control, pursuant to the provisions of such executive’s employment agreement. These severance arrangements are primarily intended to retain our executives and provide consideration to those executives for certain restrictive covenants that apply following termination of employment. Additionally, we entered into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2240" w:h="15840" w:orient="portrait"/>
          <w:cols w:equalWidth="0" w:num="1">
            <w:col w:w="9360"/>
          </w:cols>
          <w:pgMar w:left="1440" w:top="1417" w:right="1440" w:bottom="178" w:gutter="0" w:footer="0" w:header="0"/>
        </w:sectPr>
      </w:pPr>
    </w:p>
    <w:bookmarkStart w:id="66" w:name="page67"/>
    <w:bookmarkEnd w:id="66"/>
    <w:p>
      <w:pPr>
        <w:ind w:left="120" w:right="420"/>
        <w:spacing w:after="0" w:line="246" w:lineRule="auto"/>
        <w:rPr>
          <w:sz w:val="20"/>
          <w:szCs w:val="20"/>
          <w:color w:val="auto"/>
        </w:rPr>
      </w:pPr>
      <w:r>
        <w:rPr>
          <w:rFonts w:ascii="Times New Roman" w:cs="Times New Roman" w:eastAsia="Times New Roman" w:hAnsi="Times New Roman"/>
          <w:sz w:val="22"/>
          <w:szCs w:val="22"/>
          <w:color w:val="auto"/>
        </w:rPr>
        <w:t>employment agreements because they provide us valuable protection by subjecting the executives to restrictive covenants that prohibit the disclosure of confidential information during and following their employment and limit their ability to engage in competition with us or otherwise interfere with our business relationships following their termination of employment. For more information on our employment agreements and severance arrangements with our named executive officers, see the discussions below under “—</w:t>
      </w:r>
      <w:r>
        <w:rPr>
          <w:rFonts w:ascii="Times New Roman" w:cs="Times New Roman" w:eastAsia="Times New Roman" w:hAnsi="Times New Roman"/>
          <w:sz w:val="22"/>
          <w:szCs w:val="22"/>
          <w:i w:val="1"/>
          <w:iCs w:val="1"/>
          <w:color w:val="auto"/>
        </w:rPr>
        <w:t>Summary Compensation—Employment Agreements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Potential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Payments Upon a Termination or Change in Control</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left="120" w:right="100"/>
        <w:spacing w:after="0" w:line="258" w:lineRule="auto"/>
        <w:rPr>
          <w:sz w:val="20"/>
          <w:szCs w:val="20"/>
          <w:color w:val="auto"/>
        </w:rPr>
      </w:pPr>
      <w:r>
        <w:rPr>
          <w:rFonts w:ascii="Times New Roman" w:cs="Times New Roman" w:eastAsia="Times New Roman" w:hAnsi="Times New Roman"/>
          <w:sz w:val="22"/>
          <w:szCs w:val="22"/>
          <w:color w:val="auto"/>
        </w:rPr>
        <w:t>We believe that the form and amount of these severance benefits are fair and reasonable to both NTIC and our executives. The Compensation Committee reviews our severance arrangements periodically to ensure that they remain necessary and appropriate.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Stock Ownership Guidelines</w:t>
      </w:r>
    </w:p>
    <w:p>
      <w:pPr>
        <w:spacing w:after="0" w:line="236" w:lineRule="exact"/>
        <w:rPr>
          <w:sz w:val="20"/>
          <w:szCs w:val="20"/>
          <w:color w:val="auto"/>
        </w:rPr>
      </w:pPr>
    </w:p>
    <w:p>
      <w:pPr>
        <w:ind w:left="120" w:right="240"/>
        <w:spacing w:after="0" w:line="252" w:lineRule="auto"/>
        <w:rPr>
          <w:sz w:val="20"/>
          <w:szCs w:val="20"/>
          <w:color w:val="auto"/>
        </w:rPr>
      </w:pPr>
      <w:r>
        <w:rPr>
          <w:rFonts w:ascii="Times New Roman" w:cs="Times New Roman" w:eastAsia="Times New Roman" w:hAnsi="Times New Roman"/>
          <w:sz w:val="22"/>
          <w:szCs w:val="22"/>
          <w:color w:val="auto"/>
        </w:rPr>
        <w:t>We maintain stock ownership guidelines that are intended to align the interests of our executive officers with those of our stockholders. As of the date of this proxy statement, each of our executive officers required to meet the stock ownership guidelines had met such guideline. The stock ownership guidelines for our executive officers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80" w:type="dxa"/>
            <w:vAlign w:val="bottom"/>
            <w:tcBorders>
              <w:bottom w:val="single" w:sz="8" w:color="auto"/>
            </w:tcBorders>
            <w:shd w:val="clear" w:color="auto" w:fill="D9D9D9"/>
          </w:tcPr>
          <w:p>
            <w:pPr>
              <w:ind w:left="2040"/>
              <w:spacing w:after="0"/>
              <w:rPr>
                <w:sz w:val="20"/>
                <w:szCs w:val="20"/>
                <w:color w:val="auto"/>
              </w:rPr>
            </w:pPr>
            <w:r>
              <w:rPr>
                <w:rFonts w:ascii="Times New Roman" w:cs="Times New Roman" w:eastAsia="Times New Roman" w:hAnsi="Times New Roman"/>
                <w:sz w:val="20"/>
                <w:szCs w:val="20"/>
                <w:b w:val="1"/>
                <w:bCs w:val="1"/>
                <w:color w:val="auto"/>
              </w:rPr>
              <w:t>Position</w:t>
            </w:r>
          </w:p>
        </w:tc>
        <w:tc>
          <w:tcPr>
            <w:tcW w:w="478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Guideline</w:t>
            </w:r>
          </w:p>
        </w:tc>
      </w:tr>
      <w:tr>
        <w:trPr>
          <w:trHeight w:val="243"/>
        </w:trPr>
        <w:tc>
          <w:tcPr>
            <w:tcW w:w="20" w:type="dxa"/>
            <w:vAlign w:val="bottom"/>
          </w:tcPr>
          <w:p>
            <w:pPr>
              <w:spacing w:after="0"/>
              <w:rPr>
                <w:sz w:val="21"/>
                <w:szCs w:val="21"/>
                <w:color w:val="auto"/>
              </w:rPr>
            </w:pPr>
          </w:p>
        </w:tc>
        <w:tc>
          <w:tcPr>
            <w:tcW w:w="4780" w:type="dxa"/>
            <w:vAlign w:val="bottom"/>
            <w:tcBorders>
              <w:bottom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Chief Executive Officer</w:t>
            </w:r>
          </w:p>
        </w:tc>
        <w:tc>
          <w:tcPr>
            <w:tcW w:w="47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rPr>
              <w:t>6x annual base salary</w:t>
            </w:r>
          </w:p>
        </w:tc>
      </w:tr>
      <w:tr>
        <w:trPr>
          <w:trHeight w:val="243"/>
        </w:trPr>
        <w:tc>
          <w:tcPr>
            <w:tcW w:w="20" w:type="dxa"/>
            <w:vAlign w:val="bottom"/>
            <w:tcBorders>
              <w:bottom w:val="single" w:sz="8" w:color="auto"/>
            </w:tcBorders>
          </w:tcPr>
          <w:p>
            <w:pPr>
              <w:spacing w:after="0"/>
              <w:rPr>
                <w:sz w:val="21"/>
                <w:szCs w:val="21"/>
                <w:color w:val="auto"/>
              </w:rPr>
            </w:pPr>
          </w:p>
        </w:tc>
        <w:tc>
          <w:tcPr>
            <w:tcW w:w="4780" w:type="dxa"/>
            <w:vAlign w:val="bottom"/>
            <w:tcBorders>
              <w:bottom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Other Executive Officers</w:t>
            </w:r>
          </w:p>
        </w:tc>
        <w:tc>
          <w:tcPr>
            <w:tcW w:w="47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3x annual base salary</w:t>
            </w:r>
          </w:p>
        </w:tc>
      </w:tr>
    </w:tbl>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Hedging and Pledging Policies</w:t>
      </w:r>
    </w:p>
    <w:p>
      <w:pPr>
        <w:spacing w:after="0" w:line="236" w:lineRule="exact"/>
        <w:rPr>
          <w:sz w:val="20"/>
          <w:szCs w:val="20"/>
          <w:color w:val="auto"/>
        </w:rPr>
      </w:pPr>
    </w:p>
    <w:p>
      <w:pPr>
        <w:ind w:left="120" w:right="200"/>
        <w:spacing w:after="0" w:line="244" w:lineRule="auto"/>
        <w:rPr>
          <w:sz w:val="20"/>
          <w:szCs w:val="20"/>
          <w:color w:val="auto"/>
        </w:rPr>
      </w:pPr>
      <w:r>
        <w:rPr>
          <w:rFonts w:ascii="Times New Roman" w:cs="Times New Roman" w:eastAsia="Times New Roman" w:hAnsi="Times New Roman"/>
          <w:sz w:val="22"/>
          <w:szCs w:val="22"/>
          <w:color w:val="auto"/>
        </w:rPr>
        <w:t>Our insider trading policy prohibits NTIC directors, officers, employees, consultants and their immediate family members, other household members and controlled entities from engaging in hedging or monetization transactions that hedge or offset, or are designed to hedge or offset, any decrease in the market value of NTIC securities, including, without limitation, prepaid variable forward contracts, equity swaps, collars and exchange funds. In addition, our insider trading policy limits the ability of the individuals listed above to pledge NTIC securities. NTIC securities may only be pledged in an insignificant manner if the individual has a compelling reason for the pledge and is able to demonstrate the financial capacity to repay the loan without resort to the pledged securities. The proposed transaction must be submitted at least two weeks prior to its proposed execution in order for the Chief Financial Officer to review and approve the transaction.</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Clawback Policy</w:t>
      </w:r>
    </w:p>
    <w:p>
      <w:pPr>
        <w:spacing w:after="0" w:line="236" w:lineRule="exact"/>
        <w:rPr>
          <w:sz w:val="20"/>
          <w:szCs w:val="20"/>
          <w:color w:val="auto"/>
        </w:rPr>
      </w:pPr>
    </w:p>
    <w:p>
      <w:pPr>
        <w:ind w:left="120" w:right="160" w:firstLine="1"/>
        <w:spacing w:after="0" w:line="245" w:lineRule="auto"/>
        <w:rPr>
          <w:sz w:val="20"/>
          <w:szCs w:val="20"/>
          <w:color w:val="auto"/>
        </w:rPr>
      </w:pPr>
      <w:r>
        <w:rPr>
          <w:rFonts w:ascii="Times New Roman" w:cs="Times New Roman" w:eastAsia="Times New Roman" w:hAnsi="Times New Roman"/>
          <w:sz w:val="22"/>
          <w:szCs w:val="22"/>
          <w:color w:val="auto"/>
        </w:rPr>
        <w:t>We maintain a robust, Nasdaq-compliant clawback policy pursuant to which we are required to recover erroneously paid compensation from current or former executive officers in the event of certain financial restatements as provided under the Nasdaq rules. This policy also provides that we may recover certain incentive compensation, including all equity awards, if a financial metric used to determine the vesting or payment of compensation was calculated incorrectly, whether or not a restatement occurs, or if an executive engages in egregious conduct that is substantially detrimental to NTIC. In addition, our stock incentive plan and related award agreements include a “clawback” mechanism to recoup incentive compensation if it is determined that executives engaged in certain conduct adverse to our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ectPr>
          <w:pgSz w:w="12240" w:h="15840" w:orient="portrait"/>
          <w:cols w:equalWidth="0" w:num="1">
            <w:col w:w="9580"/>
          </w:cols>
          <w:pgMar w:left="1320" w:top="1417" w:right="1340" w:bottom="178" w:gutter="0" w:footer="0" w:header="0"/>
        </w:sectPr>
      </w:pPr>
    </w:p>
    <w:bookmarkStart w:id="67" w:name="page68"/>
    <w:bookmarkEnd w:id="67"/>
    <w:p>
      <w:pPr>
        <w:ind w:left="100"/>
        <w:spacing w:after="0"/>
        <w:rPr>
          <w:sz w:val="20"/>
          <w:szCs w:val="20"/>
          <w:color w:val="auto"/>
        </w:rPr>
      </w:pPr>
      <w:r>
        <w:rPr>
          <w:rFonts w:ascii="Times New Roman" w:cs="Times New Roman" w:eastAsia="Times New Roman" w:hAnsi="Times New Roman"/>
          <w:sz w:val="22"/>
          <w:szCs w:val="22"/>
          <w:b w:val="1"/>
          <w:bCs w:val="1"/>
          <w:color w:val="auto"/>
        </w:rPr>
        <w:t>Summary of Cash and Other Compensation</w:t>
      </w:r>
    </w:p>
    <w:p>
      <w:pPr>
        <w:spacing w:after="0" w:line="244" w:lineRule="exact"/>
        <w:rPr>
          <w:sz w:val="20"/>
          <w:szCs w:val="20"/>
          <w:color w:val="auto"/>
        </w:rPr>
      </w:pPr>
    </w:p>
    <w:p>
      <w:pPr>
        <w:ind w:left="100" w:right="240"/>
        <w:spacing w:after="0" w:line="249" w:lineRule="auto"/>
        <w:rPr>
          <w:sz w:val="20"/>
          <w:szCs w:val="20"/>
          <w:color w:val="auto"/>
        </w:rPr>
      </w:pPr>
      <w:r>
        <w:rPr>
          <w:rFonts w:ascii="Times New Roman" w:cs="Times New Roman" w:eastAsia="Times New Roman" w:hAnsi="Times New Roman"/>
          <w:sz w:val="22"/>
          <w:szCs w:val="22"/>
          <w:color w:val="auto"/>
        </w:rPr>
        <w:t>The table below provides summary information concerning all compensation awarded to, earned by or paid to named executive officers. G. Patrick Lynch, our President and Chief Executive Officer, serves as our principal executive officer, and Matthew C. Wolsfeld, our Chief Financial Officer and Corporate Secretary, serves as our principal financial officer. Mr. Lynch and Mr. Wolsfeld are the only two individuals who have been designated by our Board of Directors as “executive officers” of NTIC.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SUMMARY COMPENSATION TABLE – FISCAL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shd w:val="clear" w:color="auto" w:fill="D9D9D9"/>
          </w:tcPr>
          <w:p>
            <w:pPr>
              <w:spacing w:after="0"/>
              <w:rPr>
                <w:sz w:val="17"/>
                <w:szCs w:val="17"/>
                <w:color w:val="auto"/>
              </w:rPr>
            </w:pPr>
          </w:p>
        </w:tc>
        <w:tc>
          <w:tcPr>
            <w:tcW w:w="202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5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9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60" w:type="dxa"/>
            <w:vAlign w:val="bottom"/>
            <w:tcBorders>
              <w:right w:val="single" w:sz="8" w:color="D9D9D9"/>
            </w:tcBorders>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320" w:type="dxa"/>
            <w:vAlign w:val="bottom"/>
            <w:shd w:val="clear" w:color="auto" w:fill="D9D9D9"/>
          </w:tcPr>
          <w:p>
            <w:pPr>
              <w:jc w:val="center"/>
              <w:ind w:right="43"/>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0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r>
      <w:tr>
        <w:trPr>
          <w:trHeight w:val="208"/>
        </w:trPr>
        <w:tc>
          <w:tcPr>
            <w:tcW w:w="80" w:type="dxa"/>
            <w:vAlign w:val="bottom"/>
            <w:shd w:val="clear" w:color="auto" w:fill="D9D9D9"/>
          </w:tcPr>
          <w:p>
            <w:pPr>
              <w:spacing w:after="0"/>
              <w:rPr>
                <w:sz w:val="18"/>
                <w:szCs w:val="18"/>
                <w:color w:val="auto"/>
              </w:rPr>
            </w:pPr>
          </w:p>
        </w:tc>
        <w:tc>
          <w:tcPr>
            <w:tcW w:w="202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40" w:type="dxa"/>
            <w:vAlign w:val="bottom"/>
            <w:shd w:val="clear" w:color="auto" w:fill="D9D9D9"/>
          </w:tcPr>
          <w:p>
            <w:pPr>
              <w:spacing w:after="0"/>
              <w:rPr>
                <w:sz w:val="18"/>
                <w:szCs w:val="18"/>
                <w:color w:val="auto"/>
              </w:rPr>
            </w:pPr>
          </w:p>
        </w:tc>
        <w:tc>
          <w:tcPr>
            <w:tcW w:w="5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40" w:type="dxa"/>
            <w:vAlign w:val="bottom"/>
            <w:shd w:val="clear" w:color="auto" w:fill="D9D9D9"/>
          </w:tcPr>
          <w:p>
            <w:pPr>
              <w:spacing w:after="0"/>
              <w:rPr>
                <w:sz w:val="18"/>
                <w:szCs w:val="18"/>
                <w:color w:val="auto"/>
              </w:rPr>
            </w:pPr>
          </w:p>
        </w:tc>
        <w:tc>
          <w:tcPr>
            <w:tcW w:w="92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100" w:type="dxa"/>
            <w:vAlign w:val="bottom"/>
            <w:gridSpan w:val="2"/>
            <w:shd w:val="clear" w:color="auto" w:fill="D9D9D9"/>
          </w:tcPr>
          <w:p>
            <w:pPr>
              <w:ind w:left="24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60" w:type="dxa"/>
            <w:vAlign w:val="bottom"/>
            <w:tcBorders>
              <w:right w:val="single" w:sz="8" w:color="D9D9D9"/>
            </w:tcBorders>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1320" w:type="dxa"/>
            <w:vAlign w:val="bottom"/>
            <w:shd w:val="clear" w:color="auto" w:fill="D9D9D9"/>
          </w:tcPr>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420" w:type="dxa"/>
            <w:vAlign w:val="bottom"/>
            <w:shd w:val="clear" w:color="auto" w:fill="D9D9D9"/>
          </w:tcPr>
          <w:p>
            <w:pPr>
              <w:jc w:val="right"/>
              <w:ind w:right="323"/>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shd w:val="clear" w:color="auto" w:fill="D9D9D9"/>
          </w:tcPr>
          <w:p>
            <w:pPr>
              <w:spacing w:after="0"/>
              <w:rPr>
                <w:sz w:val="18"/>
                <w:szCs w:val="18"/>
                <w:color w:val="auto"/>
              </w:rPr>
            </w:pPr>
          </w:p>
        </w:tc>
        <w:tc>
          <w:tcPr>
            <w:tcW w:w="102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r>
      <w:tr>
        <w:trPr>
          <w:trHeight w:val="246"/>
        </w:trPr>
        <w:tc>
          <w:tcPr>
            <w:tcW w:w="80" w:type="dxa"/>
            <w:vAlign w:val="bottom"/>
            <w:tcBorders>
              <w:bottom w:val="single" w:sz="8" w:color="D9D9D9"/>
            </w:tcBorders>
            <w:shd w:val="clear" w:color="auto" w:fill="D9D9D9"/>
          </w:tcPr>
          <w:p>
            <w:pPr>
              <w:spacing w:after="0"/>
              <w:rPr>
                <w:sz w:val="21"/>
                <w:szCs w:val="21"/>
                <w:color w:val="auto"/>
              </w:rPr>
            </w:pPr>
          </w:p>
        </w:tc>
        <w:tc>
          <w:tcPr>
            <w:tcW w:w="202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40" w:type="dxa"/>
            <w:vAlign w:val="bottom"/>
            <w:tcBorders>
              <w:bottom w:val="single" w:sz="8" w:color="D9D9D9"/>
            </w:tcBorders>
            <w:shd w:val="clear" w:color="auto" w:fill="D9D9D9"/>
          </w:tcPr>
          <w:p>
            <w:pPr>
              <w:spacing w:after="0"/>
              <w:rPr>
                <w:sz w:val="21"/>
                <w:szCs w:val="21"/>
                <w:color w:val="auto"/>
              </w:rPr>
            </w:pPr>
          </w:p>
        </w:tc>
        <w:tc>
          <w:tcPr>
            <w:tcW w:w="58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40" w:type="dxa"/>
            <w:vAlign w:val="bottom"/>
            <w:tcBorders>
              <w:bottom w:val="single" w:sz="8" w:color="D9D9D9"/>
            </w:tcBorders>
            <w:shd w:val="clear" w:color="auto" w:fill="D9D9D9"/>
          </w:tcPr>
          <w:p>
            <w:pPr>
              <w:spacing w:after="0"/>
              <w:rPr>
                <w:sz w:val="21"/>
                <w:szCs w:val="21"/>
                <w:color w:val="auto"/>
              </w:rPr>
            </w:pPr>
          </w:p>
        </w:tc>
        <w:tc>
          <w:tcPr>
            <w:tcW w:w="920" w:type="dxa"/>
            <w:vAlign w:val="bottom"/>
            <w:tcBorders>
              <w:bottom w:val="single" w:sz="8" w:color="auto"/>
            </w:tcBorders>
            <w:shd w:val="clear" w:color="auto" w:fill="D9D9D9"/>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80" w:type="dxa"/>
            <w:vAlign w:val="bottom"/>
            <w:tcBorders>
              <w:bottom w:val="single" w:sz="8" w:color="D9D9D9"/>
            </w:tcBorders>
            <w:shd w:val="clear" w:color="auto" w:fill="D9D9D9"/>
          </w:tcPr>
          <w:p>
            <w:pPr>
              <w:spacing w:after="0"/>
              <w:rPr>
                <w:sz w:val="21"/>
                <w:szCs w:val="21"/>
                <w:color w:val="auto"/>
              </w:rPr>
            </w:pPr>
          </w:p>
        </w:tc>
        <w:tc>
          <w:tcPr>
            <w:tcW w:w="1020" w:type="dxa"/>
            <w:vAlign w:val="bottom"/>
            <w:tcBorders>
              <w:bottom w:val="single" w:sz="8" w:color="auto"/>
            </w:tcBorders>
            <w:shd w:val="clear" w:color="auto" w:fill="D9D9D9"/>
          </w:tcPr>
          <w:p>
            <w:pPr>
              <w:jc w:val="right"/>
              <w:ind w:right="50"/>
              <w:spacing w:after="0" w:line="245" w:lineRule="exact"/>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24"/>
                <w:szCs w:val="24"/>
                <w:b w:val="1"/>
                <w:bCs w:val="1"/>
                <w:color w:val="auto"/>
                <w:vertAlign w:val="superscript"/>
              </w:rPr>
              <w:t>(1)</w:t>
            </w:r>
          </w:p>
        </w:tc>
        <w:tc>
          <w:tcPr>
            <w:tcW w:w="80" w:type="dxa"/>
            <w:vAlign w:val="bottom"/>
            <w:tcBorders>
              <w:bottom w:val="single" w:sz="8" w:color="D9D9D9"/>
            </w:tcBorders>
            <w:shd w:val="clear" w:color="auto" w:fill="D9D9D9"/>
          </w:tcPr>
          <w:p>
            <w:pPr>
              <w:spacing w:after="0"/>
              <w:rPr>
                <w:sz w:val="21"/>
                <w:szCs w:val="21"/>
                <w:color w:val="auto"/>
              </w:rPr>
            </w:pPr>
          </w:p>
        </w:tc>
        <w:tc>
          <w:tcPr>
            <w:tcW w:w="60" w:type="dxa"/>
            <w:vAlign w:val="bottom"/>
            <w:tcBorders>
              <w:right w:val="single" w:sz="8" w:color="D9D9D9"/>
            </w:tcBorders>
          </w:tcPr>
          <w:p>
            <w:pPr>
              <w:spacing w:after="0"/>
              <w:rPr>
                <w:sz w:val="21"/>
                <w:szCs w:val="21"/>
                <w:color w:val="auto"/>
              </w:rPr>
            </w:pPr>
          </w:p>
        </w:tc>
        <w:tc>
          <w:tcPr>
            <w:tcW w:w="1480" w:type="dxa"/>
            <w:vAlign w:val="bottom"/>
            <w:tcBorders>
              <w:bottom w:val="single" w:sz="8" w:color="auto"/>
            </w:tcBorders>
            <w:gridSpan w:val="2"/>
            <w:shd w:val="clear" w:color="auto" w:fill="D9D9D9"/>
          </w:tcPr>
          <w:p>
            <w:pPr>
              <w:jc w:val="center"/>
              <w:spacing w:after="0" w:line="245"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4"/>
                <w:szCs w:val="24"/>
                <w:b w:val="1"/>
                <w:bCs w:val="1"/>
                <w:color w:val="auto"/>
                <w:w w:val="95"/>
                <w:vertAlign w:val="superscript"/>
              </w:rPr>
              <w:t>(2)</w:t>
            </w:r>
          </w:p>
        </w:tc>
        <w:tc>
          <w:tcPr>
            <w:tcW w:w="140" w:type="dxa"/>
            <w:vAlign w:val="bottom"/>
            <w:tcBorders>
              <w:bottom w:val="single" w:sz="8" w:color="D9D9D9"/>
            </w:tcBorders>
            <w:shd w:val="clear" w:color="auto" w:fill="D9D9D9"/>
          </w:tcPr>
          <w:p>
            <w:pPr>
              <w:spacing w:after="0"/>
              <w:rPr>
                <w:sz w:val="21"/>
                <w:szCs w:val="21"/>
                <w:color w:val="auto"/>
              </w:rPr>
            </w:pPr>
          </w:p>
        </w:tc>
        <w:tc>
          <w:tcPr>
            <w:tcW w:w="140" w:type="dxa"/>
            <w:vAlign w:val="bottom"/>
            <w:tcBorders>
              <w:bottom w:val="single" w:sz="8" w:color="auto"/>
            </w:tcBorders>
            <w:shd w:val="clear" w:color="auto" w:fill="D9D9D9"/>
          </w:tcPr>
          <w:p>
            <w:pPr>
              <w:spacing w:after="0"/>
              <w:rPr>
                <w:sz w:val="21"/>
                <w:szCs w:val="21"/>
                <w:color w:val="auto"/>
              </w:rPr>
            </w:pPr>
          </w:p>
        </w:tc>
        <w:tc>
          <w:tcPr>
            <w:tcW w:w="1420" w:type="dxa"/>
            <w:vAlign w:val="bottom"/>
            <w:tcBorders>
              <w:bottom w:val="single" w:sz="8" w:color="auto"/>
            </w:tcBorders>
            <w:shd w:val="clear" w:color="auto" w:fill="D9D9D9"/>
          </w:tcPr>
          <w:p>
            <w:pPr>
              <w:jc w:val="right"/>
              <w:ind w:right="63"/>
              <w:spacing w:after="0" w:line="245"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4"/>
                <w:szCs w:val="24"/>
                <w:b w:val="1"/>
                <w:bCs w:val="1"/>
                <w:color w:val="auto"/>
                <w:w w:val="95"/>
                <w:vertAlign w:val="superscript"/>
              </w:rPr>
              <w:t>(3)</w:t>
            </w:r>
          </w:p>
        </w:tc>
        <w:tc>
          <w:tcPr>
            <w:tcW w:w="140" w:type="dxa"/>
            <w:vAlign w:val="bottom"/>
            <w:tcBorders>
              <w:bottom w:val="single" w:sz="8" w:color="D9D9D9"/>
            </w:tcBorders>
            <w:shd w:val="clear" w:color="auto" w:fill="D9D9D9"/>
          </w:tcPr>
          <w:p>
            <w:pPr>
              <w:spacing w:after="0"/>
              <w:rPr>
                <w:sz w:val="21"/>
                <w:szCs w:val="21"/>
                <w:color w:val="auto"/>
              </w:rPr>
            </w:pPr>
          </w:p>
        </w:tc>
        <w:tc>
          <w:tcPr>
            <w:tcW w:w="1020" w:type="dxa"/>
            <w:vAlign w:val="bottom"/>
            <w:tcBorders>
              <w:bottom w:val="single" w:sz="8" w:color="auto"/>
            </w:tcBorders>
            <w:shd w:val="clear" w:color="auto" w:fill="D9D9D9"/>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D9D9D9"/>
            </w:tcBorders>
            <w:shd w:val="clear" w:color="auto" w:fill="D9D9D9"/>
          </w:tcPr>
          <w:p>
            <w:pPr>
              <w:spacing w:after="0"/>
              <w:rPr>
                <w:sz w:val="21"/>
                <w:szCs w:val="21"/>
                <w:color w:val="auto"/>
              </w:rPr>
            </w:pPr>
          </w:p>
        </w:tc>
      </w:tr>
      <w:tr>
        <w:trPr>
          <w:trHeight w:val="201"/>
        </w:trPr>
        <w:tc>
          <w:tcPr>
            <w:tcW w:w="80" w:type="dxa"/>
            <w:vAlign w:val="bottom"/>
          </w:tcPr>
          <w:p>
            <w:pPr>
              <w:spacing w:after="0"/>
              <w:rPr>
                <w:sz w:val="17"/>
                <w:szCs w:val="17"/>
                <w:color w:val="auto"/>
              </w:rPr>
            </w:pPr>
          </w:p>
        </w:tc>
        <w:tc>
          <w:tcPr>
            <w:tcW w:w="2020" w:type="dxa"/>
            <w:vAlign w:val="bottom"/>
          </w:tcPr>
          <w:p>
            <w:pPr>
              <w:ind w:left="20"/>
              <w:spacing w:after="0" w:line="201" w:lineRule="exact"/>
              <w:rPr>
                <w:sz w:val="20"/>
                <w:szCs w:val="20"/>
                <w:color w:val="auto"/>
              </w:rPr>
            </w:pPr>
            <w:r>
              <w:rPr>
                <w:rFonts w:ascii="Times New Roman" w:cs="Times New Roman" w:eastAsia="Times New Roman" w:hAnsi="Times New Roman"/>
                <w:sz w:val="20"/>
                <w:szCs w:val="20"/>
                <w:color w:val="auto"/>
              </w:rPr>
              <w:t>G. Patrick Lynch ...........</w:t>
            </w:r>
          </w:p>
        </w:tc>
        <w:tc>
          <w:tcPr>
            <w:tcW w:w="720" w:type="dxa"/>
            <w:vAlign w:val="bottom"/>
            <w:gridSpan w:val="2"/>
          </w:tcPr>
          <w:p>
            <w:pPr>
              <w:jc w:val="center"/>
              <w:ind w:left="20"/>
              <w:spacing w:after="0" w:line="201" w:lineRule="exact"/>
              <w:rPr>
                <w:sz w:val="20"/>
                <w:szCs w:val="20"/>
                <w:color w:val="auto"/>
              </w:rPr>
            </w:pPr>
            <w:r>
              <w:rPr>
                <w:rFonts w:ascii="Times New Roman" w:cs="Times New Roman" w:eastAsia="Times New Roman" w:hAnsi="Times New Roman"/>
                <w:sz w:val="20"/>
                <w:szCs w:val="20"/>
                <w:color w:val="auto"/>
                <w:w w:val="99"/>
              </w:rPr>
              <w:t>2025</w:t>
            </w:r>
          </w:p>
        </w:tc>
        <w:tc>
          <w:tcPr>
            <w:tcW w:w="1060" w:type="dxa"/>
            <w:vAlign w:val="bottom"/>
            <w:gridSpan w:val="2"/>
          </w:tcPr>
          <w:p>
            <w:pPr>
              <w:jc w:val="right"/>
              <w:ind w:right="50"/>
              <w:spacing w:after="0" w:line="201" w:lineRule="exact"/>
              <w:rPr>
                <w:sz w:val="20"/>
                <w:szCs w:val="20"/>
                <w:color w:val="auto"/>
              </w:rPr>
            </w:pPr>
            <w:r>
              <w:rPr>
                <w:rFonts w:ascii="Times New Roman" w:cs="Times New Roman" w:eastAsia="Times New Roman" w:hAnsi="Times New Roman"/>
                <w:sz w:val="20"/>
                <w:szCs w:val="20"/>
                <w:color w:val="auto"/>
              </w:rPr>
              <w:t>$523,754</w:t>
            </w:r>
          </w:p>
        </w:tc>
        <w:tc>
          <w:tcPr>
            <w:tcW w:w="1100" w:type="dxa"/>
            <w:vAlign w:val="bottom"/>
            <w:gridSpan w:val="2"/>
          </w:tcPr>
          <w:p>
            <w:pPr>
              <w:jc w:val="right"/>
              <w:ind w:right="10"/>
              <w:spacing w:after="0" w:line="201" w:lineRule="exact"/>
              <w:rPr>
                <w:sz w:val="20"/>
                <w:szCs w:val="20"/>
                <w:color w:val="auto"/>
              </w:rPr>
            </w:pPr>
            <w:r>
              <w:rPr>
                <w:rFonts w:ascii="Times New Roman" w:cs="Times New Roman" w:eastAsia="Times New Roman" w:hAnsi="Times New Roman"/>
                <w:sz w:val="20"/>
                <w:szCs w:val="20"/>
                <w:color w:val="auto"/>
              </w:rPr>
              <w:t>$ 224,768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283"/>
              <w:spacing w:after="0" w:line="201" w:lineRule="exact"/>
              <w:rPr>
                <w:sz w:val="20"/>
                <w:szCs w:val="20"/>
                <w:color w:val="auto"/>
              </w:rPr>
            </w:pPr>
            <w:r>
              <w:rPr>
                <w:rFonts w:ascii="Times New Roman" w:cs="Times New Roman" w:eastAsia="Times New Roman" w:hAnsi="Times New Roman"/>
                <w:sz w:val="20"/>
                <w:szCs w:val="20"/>
                <w:color w:val="auto"/>
              </w:rPr>
              <w:t>23,759</w:t>
            </w:r>
          </w:p>
        </w:tc>
        <w:tc>
          <w:tcPr>
            <w:tcW w:w="2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363"/>
              <w:spacing w:after="0" w:line="201" w:lineRule="exact"/>
              <w:rPr>
                <w:sz w:val="20"/>
                <w:szCs w:val="20"/>
                <w:color w:val="auto"/>
              </w:rPr>
            </w:pPr>
            <w:r>
              <w:rPr>
                <w:rFonts w:ascii="Times New Roman" w:cs="Times New Roman" w:eastAsia="Times New Roman" w:hAnsi="Times New Roman"/>
                <w:sz w:val="20"/>
                <w:szCs w:val="20"/>
                <w:color w:val="auto"/>
              </w:rPr>
              <w:t>13,102</w:t>
            </w:r>
          </w:p>
        </w:tc>
        <w:tc>
          <w:tcPr>
            <w:tcW w:w="1160" w:type="dxa"/>
            <w:vAlign w:val="bottom"/>
            <w:gridSpan w:val="2"/>
          </w:tcPr>
          <w:p>
            <w:pPr>
              <w:jc w:val="right"/>
              <w:ind w:right="10"/>
              <w:spacing w:after="0" w:line="201" w:lineRule="exact"/>
              <w:rPr>
                <w:sz w:val="20"/>
                <w:szCs w:val="20"/>
                <w:color w:val="auto"/>
              </w:rPr>
            </w:pPr>
            <w:r>
              <w:rPr>
                <w:rFonts w:ascii="Times New Roman" w:cs="Times New Roman" w:eastAsia="Times New Roman" w:hAnsi="Times New Roman"/>
                <w:sz w:val="20"/>
                <w:szCs w:val="20"/>
                <w:color w:val="auto"/>
              </w:rPr>
              <w:t>$  785,383</w:t>
            </w:r>
          </w:p>
        </w:tc>
        <w:tc>
          <w:tcPr>
            <w:tcW w:w="80" w:type="dxa"/>
            <w:vAlign w:val="bottom"/>
          </w:tcPr>
          <w:p>
            <w:pPr>
              <w:spacing w:after="0"/>
              <w:rPr>
                <w:sz w:val="17"/>
                <w:szCs w:val="17"/>
                <w:color w:val="auto"/>
              </w:rPr>
            </w:pPr>
          </w:p>
        </w:tc>
      </w:tr>
      <w:tr>
        <w:trPr>
          <w:trHeight w:val="232"/>
        </w:trPr>
        <w:tc>
          <w:tcPr>
            <w:tcW w:w="80" w:type="dxa"/>
            <w:vAlign w:val="bottom"/>
          </w:tcPr>
          <w:p>
            <w:pPr>
              <w:spacing w:after="0"/>
              <w:rPr>
                <w:sz w:val="20"/>
                <w:szCs w:val="20"/>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President and Chief</w:t>
            </w:r>
          </w:p>
        </w:tc>
        <w:tc>
          <w:tcPr>
            <w:tcW w:w="7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2024</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503,610</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228,721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auto"/>
              </w:rPr>
              <w:t>201,164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rPr>
              <w:t>13,102</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946,597</w:t>
            </w:r>
          </w:p>
        </w:tc>
        <w:tc>
          <w:tcPr>
            <w:tcW w:w="80" w:type="dxa"/>
            <w:vAlign w:val="bottom"/>
          </w:tcPr>
          <w:p>
            <w:pPr>
              <w:spacing w:after="0"/>
              <w:rPr>
                <w:sz w:val="20"/>
                <w:szCs w:val="20"/>
                <w:color w:val="auto"/>
              </w:rPr>
            </w:pPr>
          </w:p>
        </w:tc>
      </w:tr>
      <w:tr>
        <w:trPr>
          <w:trHeight w:val="265"/>
        </w:trPr>
        <w:tc>
          <w:tcPr>
            <w:tcW w:w="80" w:type="dxa"/>
            <w:vAlign w:val="bottom"/>
          </w:tcPr>
          <w:p>
            <w:pPr>
              <w:spacing w:after="0"/>
              <w:rPr>
                <w:sz w:val="23"/>
                <w:szCs w:val="23"/>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Executive Officer</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313"/>
        </w:trPr>
        <w:tc>
          <w:tcPr>
            <w:tcW w:w="80" w:type="dxa"/>
            <w:vAlign w:val="bottom"/>
          </w:tcPr>
          <w:p>
            <w:pPr>
              <w:spacing w:after="0"/>
              <w:rPr>
                <w:sz w:val="24"/>
                <w:szCs w:val="24"/>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Matthew C. Wolsfeld ....</w:t>
            </w:r>
          </w:p>
        </w:tc>
        <w:tc>
          <w:tcPr>
            <w:tcW w:w="7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2025</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387,123</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166,133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auto"/>
              </w:rPr>
              <w:t>17,561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rPr>
              <w:t>12,875</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583,692</w:t>
            </w:r>
          </w:p>
        </w:tc>
        <w:tc>
          <w:tcPr>
            <w:tcW w:w="80" w:type="dxa"/>
            <w:vAlign w:val="bottom"/>
          </w:tcPr>
          <w:p>
            <w:pPr>
              <w:spacing w:after="0"/>
              <w:rPr>
                <w:sz w:val="24"/>
                <w:szCs w:val="24"/>
                <w:color w:val="auto"/>
              </w:rPr>
            </w:pPr>
          </w:p>
        </w:tc>
      </w:tr>
      <w:tr>
        <w:trPr>
          <w:trHeight w:val="232"/>
        </w:trPr>
        <w:tc>
          <w:tcPr>
            <w:tcW w:w="80" w:type="dxa"/>
            <w:vAlign w:val="bottom"/>
          </w:tcPr>
          <w:p>
            <w:pPr>
              <w:spacing w:after="0"/>
              <w:rPr>
                <w:sz w:val="20"/>
                <w:szCs w:val="20"/>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Chief Financial Officer</w:t>
            </w:r>
          </w:p>
        </w:tc>
        <w:tc>
          <w:tcPr>
            <w:tcW w:w="7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2024</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372,233</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169,054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auto"/>
              </w:rPr>
              <w:t>148,686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63"/>
              <w:spacing w:after="0"/>
              <w:rPr>
                <w:sz w:val="20"/>
                <w:szCs w:val="20"/>
                <w:color w:val="auto"/>
              </w:rPr>
            </w:pPr>
            <w:r>
              <w:rPr>
                <w:rFonts w:ascii="Times New Roman" w:cs="Times New Roman" w:eastAsia="Times New Roman" w:hAnsi="Times New Roman"/>
                <w:sz w:val="20"/>
                <w:szCs w:val="20"/>
                <w:color w:val="auto"/>
              </w:rPr>
              <w:t>12,875</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702,848</w:t>
            </w:r>
          </w:p>
        </w:tc>
        <w:tc>
          <w:tcPr>
            <w:tcW w:w="80" w:type="dxa"/>
            <w:vAlign w:val="bottom"/>
          </w:tcPr>
          <w:p>
            <w:pPr>
              <w:spacing w:after="0"/>
              <w:rPr>
                <w:sz w:val="20"/>
                <w:szCs w:val="20"/>
                <w:color w:val="auto"/>
              </w:rPr>
            </w:pPr>
          </w:p>
        </w:tc>
      </w:tr>
      <w:tr>
        <w:trPr>
          <w:trHeight w:val="230"/>
        </w:trPr>
        <w:tc>
          <w:tcPr>
            <w:tcW w:w="80" w:type="dxa"/>
            <w:vAlign w:val="bottom"/>
          </w:tcPr>
          <w:p>
            <w:pPr>
              <w:spacing w:after="0"/>
              <w:rPr>
                <w:sz w:val="20"/>
                <w:szCs w:val="20"/>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and Corporate</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5"/>
        </w:trPr>
        <w:tc>
          <w:tcPr>
            <w:tcW w:w="80" w:type="dxa"/>
            <w:vAlign w:val="bottom"/>
          </w:tcPr>
          <w:p>
            <w:pPr>
              <w:spacing w:after="0"/>
              <w:rPr>
                <w:sz w:val="23"/>
                <w:szCs w:val="23"/>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Secretary</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28" w:lineRule="exact"/>
        <w:rPr>
          <w:sz w:val="20"/>
          <w:szCs w:val="20"/>
          <w:color w:val="auto"/>
        </w:rPr>
      </w:pPr>
    </w:p>
    <w:p>
      <w:pPr>
        <w:ind w:left="820" w:right="120" w:hanging="720"/>
        <w:spacing w:after="0" w:line="241" w:lineRule="auto"/>
        <w:tabs>
          <w:tab w:leader="none" w:pos="82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September 1, 2024, each of the named executive officers was granted a stock option under the Northern Technologies International Corporation 2024 Stock Incentive Plan. We refer you to the information under the heading “</w:t>
      </w:r>
      <w:r>
        <w:rPr>
          <w:rFonts w:ascii="Times New Roman" w:cs="Times New Roman" w:eastAsia="Times New Roman" w:hAnsi="Times New Roman"/>
          <w:sz w:val="20"/>
          <w:szCs w:val="20"/>
          <w:i w:val="1"/>
          <w:iCs w:val="1"/>
          <w:color w:val="auto"/>
        </w:rPr>
        <w:t>Compensation Review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Elements of Our Executive Compensation Program—Long-Term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Equity-Based Incentive Compensation</w:t>
      </w:r>
      <w:r>
        <w:rPr>
          <w:rFonts w:ascii="Times New Roman" w:cs="Times New Roman" w:eastAsia="Times New Roman" w:hAnsi="Times New Roman"/>
          <w:sz w:val="20"/>
          <w:szCs w:val="20"/>
          <w:color w:val="auto"/>
        </w:rPr>
        <w:t>” for a discussion of the option grants and their terms. The amounts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reflected in the column entitled “Option Awards” for each officer represent the aggregate grant date fair value for the option awards, as computed in accordance with FASB ASC Topic 718. The grant date fair value is determined based on a Black-Scholes option pricing model. The grant date fair value per share for the options granted on September 1, 2024 was $5.07 and was determined using the following specific assumptions: risk free interest rate: 3.66%; expected life: 10.0 years; expected volatility: 47.4%; and expected dividend yield: 0%.</w:t>
      </w:r>
    </w:p>
    <w:p>
      <w:pPr>
        <w:spacing w:after="0" w:line="203" w:lineRule="exact"/>
        <w:rPr>
          <w:rFonts w:ascii="Times New Roman" w:cs="Times New Roman" w:eastAsia="Times New Roman" w:hAnsi="Times New Roman"/>
          <w:sz w:val="20"/>
          <w:szCs w:val="20"/>
          <w:color w:val="auto"/>
        </w:rPr>
      </w:pPr>
    </w:p>
    <w:p>
      <w:pPr>
        <w:ind w:left="820" w:right="80" w:hanging="720"/>
        <w:spacing w:after="0" w:line="246" w:lineRule="auto"/>
        <w:tabs>
          <w:tab w:leader="none" w:pos="82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reflected in the column entitled “Non-Equity Incentive Plan Compensation” reflect the cash amount of bonus earned by each of the officers in consideration for their fiscal 2025 and 2024 performance, respectively, but paid to such officers during fiscal 2026 and 2025, respectively. We refer you to the information under “</w:t>
      </w:r>
      <w:r>
        <w:rPr>
          <w:rFonts w:ascii="Times New Roman" w:cs="Times New Roman" w:eastAsia="Times New Roman" w:hAnsi="Times New Roman"/>
          <w:sz w:val="20"/>
          <w:szCs w:val="20"/>
          <w:i w:val="1"/>
          <w:iCs w:val="1"/>
          <w:color w:val="auto"/>
        </w:rPr>
        <w:t>Compensation Review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Elements of Our Executive Compensation Program—Annual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Incentive Compensation</w:t>
      </w:r>
      <w:r>
        <w:rPr>
          <w:rFonts w:ascii="Times New Roman" w:cs="Times New Roman" w:eastAsia="Times New Roman" w:hAnsi="Times New Roman"/>
          <w:sz w:val="20"/>
          <w:szCs w:val="20"/>
          <w:color w:val="auto"/>
        </w:rPr>
        <w:t>” for a discussion of the factors taken into consideration by the Board of Directors,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upon recommendation of the Compensation Committee, in determining the amount of bonus paid to each named executive officer.</w:t>
      </w:r>
    </w:p>
    <w:p>
      <w:pPr>
        <w:spacing w:after="0" w:line="199" w:lineRule="exact"/>
        <w:rPr>
          <w:rFonts w:ascii="Times New Roman" w:cs="Times New Roman" w:eastAsia="Times New Roman" w:hAnsi="Times New Roman"/>
          <w:sz w:val="20"/>
          <w:szCs w:val="20"/>
          <w:color w:val="auto"/>
        </w:rPr>
      </w:pPr>
    </w:p>
    <w:p>
      <w:pPr>
        <w:ind w:left="820" w:right="140" w:hanging="720"/>
        <w:spacing w:after="0" w:line="278" w:lineRule="auto"/>
        <w:tabs>
          <w:tab w:leader="none" w:pos="8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shown in the column entitled “All Other Compensation” for fiscal 2025 include the following with respect to each named executive officer:</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80" w:type="dxa"/>
            <w:vAlign w:val="bottom"/>
            <w:shd w:val="clear" w:color="auto" w:fill="D9D9D9"/>
          </w:tcPr>
          <w:p>
            <w:pPr>
              <w:spacing w:after="0"/>
              <w:rPr>
                <w:sz w:val="18"/>
                <w:szCs w:val="18"/>
                <w:color w:val="auto"/>
              </w:rPr>
            </w:pPr>
          </w:p>
        </w:tc>
        <w:tc>
          <w:tcPr>
            <w:tcW w:w="360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80" w:type="dxa"/>
            <w:vAlign w:val="bottom"/>
            <w:tcBorders>
              <w:right w:val="single" w:sz="8" w:color="D9D9D9"/>
            </w:tcBorders>
          </w:tcPr>
          <w:p>
            <w:pPr>
              <w:spacing w:after="0"/>
              <w:rPr>
                <w:sz w:val="18"/>
                <w:szCs w:val="18"/>
                <w:color w:val="auto"/>
              </w:rPr>
            </w:pPr>
          </w:p>
        </w:tc>
        <w:tc>
          <w:tcPr>
            <w:tcW w:w="1100" w:type="dxa"/>
            <w:vAlign w:val="bottom"/>
            <w:shd w:val="clear" w:color="auto" w:fill="D9D9D9"/>
          </w:tcPr>
          <w:p>
            <w:pPr>
              <w:jc w:val="right"/>
              <w:ind w:right="207"/>
              <w:spacing w:after="0"/>
              <w:rPr>
                <w:sz w:val="20"/>
                <w:szCs w:val="20"/>
                <w:color w:val="auto"/>
              </w:rPr>
            </w:pPr>
            <w:r>
              <w:rPr>
                <w:rFonts w:ascii="Times New Roman" w:cs="Times New Roman" w:eastAsia="Times New Roman" w:hAnsi="Times New Roman"/>
                <w:sz w:val="18"/>
                <w:szCs w:val="18"/>
                <w:b w:val="1"/>
                <w:bCs w:val="1"/>
                <w:color w:val="auto"/>
              </w:rPr>
              <w:t>401(k)</w:t>
            </w:r>
          </w:p>
        </w:tc>
        <w:tc>
          <w:tcPr>
            <w:tcW w:w="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11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b w:val="1"/>
                <w:bCs w:val="1"/>
                <w:color w:val="auto"/>
              </w:rPr>
              <w:t>Personal Use</w:t>
            </w:r>
          </w:p>
        </w:tc>
        <w:tc>
          <w:tcPr>
            <w:tcW w:w="80" w:type="dxa"/>
            <w:vAlign w:val="bottom"/>
            <w:shd w:val="clear" w:color="auto" w:fill="D9D9D9"/>
          </w:tcPr>
          <w:p>
            <w:pPr>
              <w:spacing w:after="0"/>
              <w:rPr>
                <w:sz w:val="18"/>
                <w:szCs w:val="18"/>
                <w:color w:val="auto"/>
              </w:rPr>
            </w:pPr>
          </w:p>
        </w:tc>
      </w:tr>
      <w:tr>
        <w:trPr>
          <w:trHeight w:val="246"/>
        </w:trPr>
        <w:tc>
          <w:tcPr>
            <w:tcW w:w="80" w:type="dxa"/>
            <w:vAlign w:val="bottom"/>
            <w:tcBorders>
              <w:bottom w:val="single" w:sz="8" w:color="D9D9D9"/>
            </w:tcBorders>
            <w:shd w:val="clear" w:color="auto" w:fill="D9D9D9"/>
          </w:tcPr>
          <w:p>
            <w:pPr>
              <w:spacing w:after="0"/>
              <w:rPr>
                <w:sz w:val="21"/>
                <w:szCs w:val="21"/>
                <w:color w:val="auto"/>
              </w:rPr>
            </w:pPr>
          </w:p>
        </w:tc>
        <w:tc>
          <w:tcPr>
            <w:tcW w:w="360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Borders>
              <w:bottom w:val="single" w:sz="8" w:color="D9D9D9"/>
            </w:tcBorders>
            <w:shd w:val="clear" w:color="auto" w:fill="D9D9D9"/>
          </w:tcPr>
          <w:p>
            <w:pPr>
              <w:spacing w:after="0"/>
              <w:rPr>
                <w:sz w:val="21"/>
                <w:szCs w:val="21"/>
                <w:color w:val="auto"/>
              </w:rPr>
            </w:pPr>
          </w:p>
        </w:tc>
        <w:tc>
          <w:tcPr>
            <w:tcW w:w="80" w:type="dxa"/>
            <w:vAlign w:val="bottom"/>
            <w:tcBorders>
              <w:right w:val="single" w:sz="8" w:color="D9D9D9"/>
            </w:tcBorders>
          </w:tcPr>
          <w:p>
            <w:pPr>
              <w:spacing w:after="0"/>
              <w:rPr>
                <w:sz w:val="21"/>
                <w:szCs w:val="21"/>
                <w:color w:val="auto"/>
              </w:rPr>
            </w:pPr>
          </w:p>
        </w:tc>
        <w:tc>
          <w:tcPr>
            <w:tcW w:w="1100" w:type="dxa"/>
            <w:vAlign w:val="bottom"/>
            <w:tcBorders>
              <w:bottom w:val="single" w:sz="8" w:color="auto"/>
            </w:tcBorders>
            <w:shd w:val="clear" w:color="auto" w:fill="D9D9D9"/>
          </w:tcPr>
          <w:p>
            <w:pPr>
              <w:jc w:val="right"/>
              <w:ind w:right="187"/>
              <w:spacing w:after="0"/>
              <w:rPr>
                <w:sz w:val="20"/>
                <w:szCs w:val="20"/>
                <w:color w:val="auto"/>
              </w:rPr>
            </w:pPr>
            <w:r>
              <w:rPr>
                <w:rFonts w:ascii="Times New Roman" w:cs="Times New Roman" w:eastAsia="Times New Roman" w:hAnsi="Times New Roman"/>
                <w:sz w:val="18"/>
                <w:szCs w:val="18"/>
                <w:b w:val="1"/>
                <w:bCs w:val="1"/>
                <w:color w:val="auto"/>
              </w:rPr>
              <w:t>Match</w:t>
            </w:r>
          </w:p>
        </w:tc>
        <w:tc>
          <w:tcPr>
            <w:tcW w:w="20" w:type="dxa"/>
            <w:vAlign w:val="bottom"/>
            <w:tcBorders>
              <w:bottom w:val="single" w:sz="8" w:color="auto"/>
            </w:tcBorders>
            <w:shd w:val="clear" w:color="auto" w:fill="D9D9D9"/>
          </w:tcPr>
          <w:p>
            <w:pPr>
              <w:spacing w:after="0"/>
              <w:rPr>
                <w:sz w:val="21"/>
                <w:szCs w:val="21"/>
                <w:color w:val="auto"/>
              </w:rPr>
            </w:pPr>
          </w:p>
        </w:tc>
        <w:tc>
          <w:tcPr>
            <w:tcW w:w="160" w:type="dxa"/>
            <w:vAlign w:val="bottom"/>
            <w:tcBorders>
              <w:bottom w:val="single" w:sz="8" w:color="D9D9D9"/>
            </w:tcBorders>
            <w:shd w:val="clear" w:color="auto" w:fill="D9D9D9"/>
          </w:tcPr>
          <w:p>
            <w:pPr>
              <w:spacing w:after="0"/>
              <w:rPr>
                <w:sz w:val="21"/>
                <w:szCs w:val="21"/>
                <w:color w:val="auto"/>
              </w:rPr>
            </w:pPr>
          </w:p>
        </w:tc>
        <w:tc>
          <w:tcPr>
            <w:tcW w:w="1100" w:type="dxa"/>
            <w:vAlign w:val="bottom"/>
            <w:tcBorders>
              <w:bottom w:val="single" w:sz="8" w:color="auto"/>
            </w:tcBorders>
            <w:shd w:val="clear" w:color="auto" w:fill="D9D9D9"/>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of Auto</w:t>
            </w:r>
          </w:p>
        </w:tc>
        <w:tc>
          <w:tcPr>
            <w:tcW w:w="80" w:type="dxa"/>
            <w:vAlign w:val="bottom"/>
            <w:tcBorders>
              <w:bottom w:val="single" w:sz="8" w:color="D9D9D9"/>
            </w:tcBorders>
            <w:shd w:val="clear" w:color="auto" w:fill="D9D9D9"/>
          </w:tcPr>
          <w:p>
            <w:pPr>
              <w:spacing w:after="0"/>
              <w:rPr>
                <w:sz w:val="21"/>
                <w:szCs w:val="21"/>
                <w:color w:val="auto"/>
              </w:rPr>
            </w:pPr>
          </w:p>
        </w:tc>
      </w:tr>
      <w:tr>
        <w:trPr>
          <w:trHeight w:val="201"/>
        </w:trPr>
        <w:tc>
          <w:tcPr>
            <w:tcW w:w="80" w:type="dxa"/>
            <w:vAlign w:val="bottom"/>
          </w:tcPr>
          <w:p>
            <w:pPr>
              <w:spacing w:after="0"/>
              <w:rPr>
                <w:sz w:val="17"/>
                <w:szCs w:val="17"/>
                <w:color w:val="auto"/>
              </w:rPr>
            </w:pPr>
          </w:p>
        </w:tc>
        <w:tc>
          <w:tcPr>
            <w:tcW w:w="37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20"/>
                <w:szCs w:val="20"/>
                <w:color w:val="auto"/>
              </w:rPr>
              <w:t>G. Patrick Lynch .............................................</w:t>
            </w:r>
          </w:p>
        </w:tc>
        <w:tc>
          <w:tcPr>
            <w:tcW w:w="1100" w:type="dxa"/>
            <w:vAlign w:val="bottom"/>
          </w:tcPr>
          <w:p>
            <w:pPr>
              <w:jc w:val="right"/>
              <w:ind w:right="167"/>
              <w:spacing w:after="0" w:line="202" w:lineRule="exact"/>
              <w:rPr>
                <w:sz w:val="20"/>
                <w:szCs w:val="20"/>
                <w:color w:val="auto"/>
              </w:rPr>
            </w:pPr>
            <w:r>
              <w:rPr>
                <w:rFonts w:ascii="Times New Roman" w:cs="Times New Roman" w:eastAsia="Times New Roman" w:hAnsi="Times New Roman"/>
                <w:sz w:val="20"/>
                <w:szCs w:val="20"/>
                <w:color w:val="auto"/>
              </w:rPr>
              <w:t>$   8,750</w:t>
            </w:r>
          </w:p>
        </w:tc>
        <w:tc>
          <w:tcPr>
            <w:tcW w:w="1280" w:type="dxa"/>
            <w:vAlign w:val="bottom"/>
            <w:gridSpan w:val="3"/>
          </w:tcPr>
          <w:p>
            <w:pPr>
              <w:jc w:val="right"/>
              <w:ind w:right="290"/>
              <w:spacing w:after="0" w:line="202" w:lineRule="exact"/>
              <w:rPr>
                <w:sz w:val="20"/>
                <w:szCs w:val="20"/>
                <w:color w:val="auto"/>
              </w:rPr>
            </w:pPr>
            <w:r>
              <w:rPr>
                <w:rFonts w:ascii="Times New Roman" w:cs="Times New Roman" w:eastAsia="Times New Roman" w:hAnsi="Times New Roman"/>
                <w:sz w:val="20"/>
                <w:szCs w:val="20"/>
                <w:color w:val="auto"/>
              </w:rPr>
              <w:t>$  4,352</w:t>
            </w:r>
          </w:p>
        </w:tc>
        <w:tc>
          <w:tcPr>
            <w:tcW w:w="80" w:type="dxa"/>
            <w:vAlign w:val="bottom"/>
          </w:tcPr>
          <w:p>
            <w:pPr>
              <w:spacing w:after="0"/>
              <w:rPr>
                <w:sz w:val="17"/>
                <w:szCs w:val="17"/>
                <w:color w:val="auto"/>
              </w:rPr>
            </w:pPr>
          </w:p>
        </w:tc>
      </w:tr>
      <w:tr>
        <w:trPr>
          <w:trHeight w:val="267"/>
        </w:trPr>
        <w:tc>
          <w:tcPr>
            <w:tcW w:w="80" w:type="dxa"/>
            <w:vAlign w:val="bottom"/>
          </w:tcPr>
          <w:p>
            <w:pPr>
              <w:spacing w:after="0"/>
              <w:rPr>
                <w:sz w:val="23"/>
                <w:szCs w:val="23"/>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8"/>
              </w:rPr>
              <w:t>Matthew C. Wolsfeld ......................................</w:t>
            </w:r>
          </w:p>
        </w:tc>
        <w:tc>
          <w:tcPr>
            <w:tcW w:w="1180" w:type="dxa"/>
            <w:vAlign w:val="bottom"/>
            <w:gridSpan w:val="2"/>
          </w:tcPr>
          <w:p>
            <w:pPr>
              <w:jc w:val="right"/>
              <w:ind w:right="167"/>
              <w:spacing w:after="0"/>
              <w:rPr>
                <w:sz w:val="20"/>
                <w:szCs w:val="20"/>
                <w:color w:val="auto"/>
              </w:rPr>
            </w:pPr>
            <w:r>
              <w:rPr>
                <w:rFonts w:ascii="Times New Roman" w:cs="Times New Roman" w:eastAsia="Times New Roman" w:hAnsi="Times New Roman"/>
                <w:sz w:val="20"/>
                <w:szCs w:val="20"/>
                <w:color w:val="auto"/>
              </w:rPr>
              <w:t>8,750</w:t>
            </w:r>
          </w:p>
        </w:tc>
        <w:tc>
          <w:tcPr>
            <w:tcW w:w="1280" w:type="dxa"/>
            <w:vAlign w:val="bottom"/>
            <w:gridSpan w:val="3"/>
          </w:tcPr>
          <w:p>
            <w:pPr>
              <w:jc w:val="right"/>
              <w:ind w:right="290"/>
              <w:spacing w:after="0"/>
              <w:rPr>
                <w:sz w:val="20"/>
                <w:szCs w:val="20"/>
                <w:color w:val="auto"/>
              </w:rPr>
            </w:pPr>
            <w:r>
              <w:rPr>
                <w:rFonts w:ascii="Times New Roman" w:cs="Times New Roman" w:eastAsia="Times New Roman" w:hAnsi="Times New Roman"/>
                <w:sz w:val="20"/>
                <w:szCs w:val="20"/>
                <w:color w:val="auto"/>
              </w:rPr>
              <w:t>4,125</w:t>
            </w:r>
          </w:p>
        </w:tc>
        <w:tc>
          <w:tcPr>
            <w:tcW w:w="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61</w:t>
      </w:r>
    </w:p>
    <w:p>
      <w:pPr>
        <w:sectPr>
          <w:pgSz w:w="12240" w:h="15840" w:orient="portrait"/>
          <w:cols w:equalWidth="0" w:num="1">
            <w:col w:w="9540"/>
          </w:cols>
          <w:pgMar w:left="1340" w:top="1413" w:right="1360" w:bottom="178" w:gutter="0" w:footer="0" w:header="0"/>
        </w:sectPr>
      </w:pPr>
    </w:p>
    <w:bookmarkStart w:id="68" w:name="page69"/>
    <w:bookmarkEnd w:id="68"/>
    <w:p>
      <w:pPr>
        <w:ind w:left="100"/>
        <w:spacing w:after="0"/>
        <w:rPr>
          <w:sz w:val="20"/>
          <w:szCs w:val="20"/>
          <w:color w:val="auto"/>
        </w:rPr>
      </w:pPr>
      <w:r>
        <w:rPr>
          <w:rFonts w:ascii="Times New Roman" w:cs="Times New Roman" w:eastAsia="Times New Roman" w:hAnsi="Times New Roman"/>
          <w:sz w:val="22"/>
          <w:szCs w:val="22"/>
          <w:b w:val="1"/>
          <w:bCs w:val="1"/>
          <w:color w:val="auto"/>
        </w:rPr>
        <w:t>Outstanding Equity Awards at Fiscal Year End</w:t>
      </w:r>
    </w:p>
    <w:p>
      <w:pPr>
        <w:spacing w:after="0" w:line="244" w:lineRule="exact"/>
        <w:rPr>
          <w:sz w:val="20"/>
          <w:szCs w:val="20"/>
          <w:color w:val="auto"/>
        </w:rPr>
      </w:pPr>
    </w:p>
    <w:p>
      <w:pPr>
        <w:jc w:val="both"/>
        <w:ind w:left="100" w:right="340"/>
        <w:spacing w:after="0" w:line="252" w:lineRule="auto"/>
        <w:rPr>
          <w:sz w:val="20"/>
          <w:szCs w:val="20"/>
          <w:color w:val="auto"/>
        </w:rPr>
      </w:pPr>
      <w:r>
        <w:rPr>
          <w:rFonts w:ascii="Times New Roman" w:cs="Times New Roman" w:eastAsia="Times New Roman" w:hAnsi="Times New Roman"/>
          <w:sz w:val="22"/>
          <w:szCs w:val="22"/>
          <w:color w:val="auto"/>
        </w:rPr>
        <w:t>The table set forth below provides information regarding stock options for each of our named executive officers that remained outstanding at August 31, 2025. Note that because of the grant date, the table set forth below does not reflect option grants on September 1, 2025. We did not have any equity incentive plan awards or stock awards outstanding at August 31,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OUTSTANDING EQUITY AWARDS AT FISCAL YEAR END—FISCAL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 w:type="dxa"/>
            <w:vAlign w:val="bottom"/>
            <w:tcBorders>
              <w:bottom w:val="single" w:sz="8" w:color="D9D9D9"/>
            </w:tcBorders>
            <w:shd w:val="clear" w:color="auto" w:fill="D9D9D9"/>
          </w:tcPr>
          <w:p>
            <w:pPr>
              <w:spacing w:after="0"/>
              <w:rPr>
                <w:sz w:val="21"/>
                <w:szCs w:val="21"/>
                <w:color w:val="auto"/>
              </w:rPr>
            </w:pPr>
          </w:p>
        </w:tc>
        <w:tc>
          <w:tcPr>
            <w:tcW w:w="2240" w:type="dxa"/>
            <w:vAlign w:val="bottom"/>
            <w:tcBorders>
              <w:bottom w:val="single" w:sz="8" w:color="D9D9D9"/>
            </w:tcBorders>
            <w:shd w:val="clear" w:color="auto" w:fill="D9D9D9"/>
          </w:tcPr>
          <w:p>
            <w:pPr>
              <w:spacing w:after="0"/>
              <w:rPr>
                <w:sz w:val="21"/>
                <w:szCs w:val="21"/>
                <w:color w:val="auto"/>
              </w:rPr>
            </w:pPr>
          </w:p>
        </w:tc>
        <w:tc>
          <w:tcPr>
            <w:tcW w:w="40" w:type="dxa"/>
            <w:vAlign w:val="bottom"/>
            <w:tcBorders>
              <w:bottom w:val="single" w:sz="8" w:color="D9D9D9"/>
            </w:tcBorders>
            <w:shd w:val="clear" w:color="auto" w:fill="D9D9D9"/>
          </w:tcPr>
          <w:p>
            <w:pPr>
              <w:spacing w:after="0"/>
              <w:rPr>
                <w:sz w:val="21"/>
                <w:szCs w:val="21"/>
                <w:color w:val="auto"/>
              </w:rPr>
            </w:pPr>
          </w:p>
        </w:tc>
        <w:tc>
          <w:tcPr>
            <w:tcW w:w="160" w:type="dxa"/>
            <w:vAlign w:val="bottom"/>
            <w:tcBorders>
              <w:bottom w:val="single" w:sz="8" w:color="D9D9D9"/>
            </w:tcBorders>
            <w:shd w:val="clear" w:color="auto" w:fill="D9D9D9"/>
          </w:tcPr>
          <w:p>
            <w:pPr>
              <w:spacing w:after="0"/>
              <w:rPr>
                <w:sz w:val="21"/>
                <w:szCs w:val="21"/>
                <w:color w:val="auto"/>
              </w:rPr>
            </w:pPr>
          </w:p>
        </w:tc>
        <w:tc>
          <w:tcPr>
            <w:tcW w:w="1940" w:type="dxa"/>
            <w:vAlign w:val="bottom"/>
            <w:tcBorders>
              <w:bottom w:val="single" w:sz="8" w:color="D9D9D9"/>
            </w:tcBorders>
            <w:shd w:val="clear" w:color="auto" w:fill="D9D9D9"/>
          </w:tcPr>
          <w:p>
            <w:pPr>
              <w:spacing w:after="0"/>
              <w:rPr>
                <w:sz w:val="21"/>
                <w:szCs w:val="21"/>
                <w:color w:val="auto"/>
              </w:rPr>
            </w:pPr>
          </w:p>
        </w:tc>
        <w:tc>
          <w:tcPr>
            <w:tcW w:w="80" w:type="dxa"/>
            <w:vAlign w:val="bottom"/>
            <w:tcBorders>
              <w:bottom w:val="single" w:sz="8" w:color="D9D9D9"/>
            </w:tcBorders>
            <w:shd w:val="clear" w:color="auto" w:fill="D9D9D9"/>
          </w:tcPr>
          <w:p>
            <w:pPr>
              <w:spacing w:after="0"/>
              <w:rPr>
                <w:sz w:val="21"/>
                <w:szCs w:val="21"/>
                <w:color w:val="auto"/>
              </w:rPr>
            </w:pPr>
          </w:p>
        </w:tc>
        <w:tc>
          <w:tcPr>
            <w:tcW w:w="80" w:type="dxa"/>
            <w:vAlign w:val="bottom"/>
            <w:tcBorders>
              <w:bottom w:val="single" w:sz="8" w:color="D9D9D9"/>
              <w:right w:val="single" w:sz="8" w:color="D9D9D9"/>
            </w:tcBorders>
            <w:shd w:val="clear" w:color="auto" w:fill="D9D9D9"/>
          </w:tcPr>
          <w:p>
            <w:pPr>
              <w:spacing w:after="0"/>
              <w:rPr>
                <w:sz w:val="21"/>
                <w:szCs w:val="21"/>
                <w:color w:val="auto"/>
              </w:rPr>
            </w:pPr>
          </w:p>
        </w:tc>
        <w:tc>
          <w:tcPr>
            <w:tcW w:w="2140" w:type="dxa"/>
            <w:vAlign w:val="bottom"/>
            <w:tcBorders>
              <w:bottom w:val="single" w:sz="8" w:color="D9D9D9"/>
            </w:tcBorders>
            <w:shd w:val="clear" w:color="auto" w:fill="D9D9D9"/>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0" w:type="dxa"/>
            <w:vAlign w:val="bottom"/>
            <w:tcBorders>
              <w:bottom w:val="single" w:sz="8" w:color="D9D9D9"/>
            </w:tcBorders>
            <w:shd w:val="clear" w:color="auto" w:fill="D9D9D9"/>
          </w:tcPr>
          <w:p>
            <w:pPr>
              <w:spacing w:after="0"/>
              <w:rPr>
                <w:sz w:val="21"/>
                <w:szCs w:val="21"/>
                <w:color w:val="auto"/>
              </w:rPr>
            </w:pPr>
          </w:p>
        </w:tc>
        <w:tc>
          <w:tcPr>
            <w:tcW w:w="16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D9D9D9"/>
            </w:tcBorders>
            <w:shd w:val="clear" w:color="auto" w:fill="D9D9D9"/>
          </w:tcPr>
          <w:p>
            <w:pPr>
              <w:spacing w:after="0"/>
              <w:rPr>
                <w:sz w:val="21"/>
                <w:szCs w:val="21"/>
                <w:color w:val="auto"/>
              </w:rPr>
            </w:pPr>
          </w:p>
        </w:tc>
        <w:tc>
          <w:tcPr>
            <w:tcW w:w="20" w:type="dxa"/>
            <w:vAlign w:val="bottom"/>
            <w:tcBorders>
              <w:bottom w:val="single" w:sz="8" w:color="D9D9D9"/>
            </w:tcBorders>
            <w:shd w:val="clear" w:color="auto" w:fill="D9D9D9"/>
          </w:tcPr>
          <w:p>
            <w:pPr>
              <w:spacing w:after="0"/>
              <w:rPr>
                <w:sz w:val="21"/>
                <w:szCs w:val="21"/>
                <w:color w:val="auto"/>
              </w:rPr>
            </w:pPr>
          </w:p>
        </w:tc>
        <w:tc>
          <w:tcPr>
            <w:tcW w:w="160" w:type="dxa"/>
            <w:vAlign w:val="bottom"/>
            <w:tcBorders>
              <w:bottom w:val="single" w:sz="8" w:color="D9D9D9"/>
            </w:tcBorders>
            <w:shd w:val="clear" w:color="auto" w:fill="D9D9D9"/>
          </w:tcPr>
          <w:p>
            <w:pPr>
              <w:spacing w:after="0"/>
              <w:rPr>
                <w:sz w:val="21"/>
                <w:szCs w:val="21"/>
                <w:color w:val="auto"/>
              </w:rPr>
            </w:pPr>
          </w:p>
        </w:tc>
        <w:tc>
          <w:tcPr>
            <w:tcW w:w="1320" w:type="dxa"/>
            <w:vAlign w:val="bottom"/>
            <w:tcBorders>
              <w:bottom w:val="single" w:sz="8" w:color="D9D9D9"/>
            </w:tcBorders>
            <w:shd w:val="clear" w:color="auto" w:fill="D9D9D9"/>
          </w:tcPr>
          <w:p>
            <w:pPr>
              <w:spacing w:after="0"/>
              <w:rPr>
                <w:sz w:val="21"/>
                <w:szCs w:val="21"/>
                <w:color w:val="auto"/>
              </w:rPr>
            </w:pPr>
          </w:p>
        </w:tc>
        <w:tc>
          <w:tcPr>
            <w:tcW w:w="80" w:type="dxa"/>
            <w:vAlign w:val="bottom"/>
            <w:tcBorders>
              <w:bottom w:val="single" w:sz="8" w:color="D9D9D9"/>
            </w:tcBorders>
            <w:shd w:val="clear" w:color="auto" w:fill="D9D9D9"/>
          </w:tcPr>
          <w:p>
            <w:pPr>
              <w:spacing w:after="0"/>
              <w:rPr>
                <w:sz w:val="21"/>
                <w:szCs w:val="21"/>
                <w:color w:val="auto"/>
              </w:rPr>
            </w:pPr>
          </w:p>
        </w:tc>
      </w:tr>
      <w:tr>
        <w:trPr>
          <w:trHeight w:val="182"/>
        </w:trPr>
        <w:tc>
          <w:tcPr>
            <w:tcW w:w="80" w:type="dxa"/>
            <w:vAlign w:val="bottom"/>
            <w:tcBorders>
              <w:top w:val="single" w:sz="8" w:color="D9D9D9"/>
            </w:tcBorders>
            <w:shd w:val="clear" w:color="auto" w:fill="D9D9D9"/>
          </w:tcPr>
          <w:p>
            <w:pPr>
              <w:spacing w:after="0"/>
              <w:rPr>
                <w:sz w:val="15"/>
                <w:szCs w:val="15"/>
                <w:color w:val="auto"/>
              </w:rPr>
            </w:pPr>
          </w:p>
        </w:tc>
        <w:tc>
          <w:tcPr>
            <w:tcW w:w="2240" w:type="dxa"/>
            <w:vAlign w:val="bottom"/>
            <w:tcBorders>
              <w:top w:val="single" w:sz="8" w:color="D9D9D9"/>
            </w:tcBorders>
            <w:shd w:val="clear" w:color="auto" w:fill="D9D9D9"/>
          </w:tcPr>
          <w:p>
            <w:pPr>
              <w:spacing w:after="0"/>
              <w:rPr>
                <w:sz w:val="15"/>
                <w:szCs w:val="15"/>
                <w:color w:val="auto"/>
              </w:rPr>
            </w:pPr>
          </w:p>
        </w:tc>
        <w:tc>
          <w:tcPr>
            <w:tcW w:w="40" w:type="dxa"/>
            <w:vAlign w:val="bottom"/>
            <w:tcBorders>
              <w:top w:val="single" w:sz="8" w:color="D9D9D9"/>
            </w:tcBorders>
            <w:shd w:val="clear" w:color="auto" w:fill="D9D9D9"/>
          </w:tcPr>
          <w:p>
            <w:pPr>
              <w:spacing w:after="0"/>
              <w:rPr>
                <w:sz w:val="15"/>
                <w:szCs w:val="15"/>
                <w:color w:val="auto"/>
              </w:rPr>
            </w:pPr>
          </w:p>
        </w:tc>
        <w:tc>
          <w:tcPr>
            <w:tcW w:w="160" w:type="dxa"/>
            <w:vAlign w:val="bottom"/>
            <w:tcBorders>
              <w:top w:val="single" w:sz="8" w:color="D9D9D9"/>
            </w:tcBorders>
            <w:shd w:val="clear" w:color="auto" w:fill="D9D9D9"/>
          </w:tcPr>
          <w:p>
            <w:pPr>
              <w:spacing w:after="0"/>
              <w:rPr>
                <w:sz w:val="15"/>
                <w:szCs w:val="15"/>
                <w:color w:val="auto"/>
              </w:rPr>
            </w:pPr>
          </w:p>
        </w:tc>
        <w:tc>
          <w:tcPr>
            <w:tcW w:w="1940" w:type="dxa"/>
            <w:vAlign w:val="bottom"/>
            <w:tcBorders>
              <w:top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80" w:type="dxa"/>
            <w:vAlign w:val="bottom"/>
            <w:tcBorders>
              <w:top w:val="single" w:sz="8" w:color="auto"/>
            </w:tcBorders>
            <w:shd w:val="clear" w:color="auto" w:fill="D9D9D9"/>
          </w:tcPr>
          <w:p>
            <w:pPr>
              <w:spacing w:after="0"/>
              <w:rPr>
                <w:sz w:val="15"/>
                <w:szCs w:val="15"/>
                <w:color w:val="auto"/>
              </w:rPr>
            </w:pPr>
          </w:p>
        </w:tc>
        <w:tc>
          <w:tcPr>
            <w:tcW w:w="80" w:type="dxa"/>
            <w:vAlign w:val="bottom"/>
            <w:tcBorders>
              <w:top w:val="single" w:sz="8" w:color="auto"/>
              <w:right w:val="single" w:sz="8" w:color="D9D9D9"/>
            </w:tcBorders>
          </w:tcPr>
          <w:p>
            <w:pPr>
              <w:spacing w:after="0"/>
              <w:rPr>
                <w:sz w:val="15"/>
                <w:szCs w:val="15"/>
                <w:color w:val="auto"/>
              </w:rPr>
            </w:pPr>
          </w:p>
        </w:tc>
        <w:tc>
          <w:tcPr>
            <w:tcW w:w="2140" w:type="dxa"/>
            <w:vAlign w:val="bottom"/>
            <w:tcBorders>
              <w:top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Number of Securities</w:t>
            </w:r>
          </w:p>
        </w:tc>
        <w:tc>
          <w:tcPr>
            <w:tcW w:w="20" w:type="dxa"/>
            <w:vAlign w:val="bottom"/>
            <w:tcBorders>
              <w:top w:val="single" w:sz="8" w:color="auto"/>
            </w:tcBorders>
            <w:shd w:val="clear" w:color="auto" w:fill="D9D9D9"/>
          </w:tcPr>
          <w:p>
            <w:pPr>
              <w:spacing w:after="0"/>
              <w:rPr>
                <w:sz w:val="15"/>
                <w:szCs w:val="15"/>
                <w:color w:val="auto"/>
              </w:rPr>
            </w:pPr>
          </w:p>
        </w:tc>
        <w:tc>
          <w:tcPr>
            <w:tcW w:w="160" w:type="dxa"/>
            <w:vAlign w:val="bottom"/>
            <w:tcBorders>
              <w:top w:val="single" w:sz="8" w:color="auto"/>
            </w:tcBorders>
            <w:shd w:val="clear" w:color="auto" w:fill="D9D9D9"/>
          </w:tcPr>
          <w:p>
            <w:pPr>
              <w:spacing w:after="0"/>
              <w:rPr>
                <w:sz w:val="15"/>
                <w:szCs w:val="15"/>
                <w:color w:val="auto"/>
              </w:rPr>
            </w:pPr>
          </w:p>
        </w:tc>
        <w:tc>
          <w:tcPr>
            <w:tcW w:w="1040" w:type="dxa"/>
            <w:vAlign w:val="bottom"/>
            <w:tcBorders>
              <w:top w:val="single" w:sz="8" w:color="auto"/>
            </w:tcBorders>
            <w:shd w:val="clear" w:color="auto" w:fill="D9D9D9"/>
          </w:tcPr>
          <w:p>
            <w:pPr>
              <w:spacing w:after="0"/>
              <w:rPr>
                <w:sz w:val="15"/>
                <w:szCs w:val="15"/>
                <w:color w:val="auto"/>
              </w:rPr>
            </w:pPr>
          </w:p>
        </w:tc>
        <w:tc>
          <w:tcPr>
            <w:tcW w:w="20" w:type="dxa"/>
            <w:vAlign w:val="bottom"/>
            <w:tcBorders>
              <w:top w:val="single" w:sz="8" w:color="auto"/>
            </w:tcBorders>
            <w:shd w:val="clear" w:color="auto" w:fill="D9D9D9"/>
          </w:tcPr>
          <w:p>
            <w:pPr>
              <w:spacing w:after="0"/>
              <w:rPr>
                <w:sz w:val="15"/>
                <w:szCs w:val="15"/>
                <w:color w:val="auto"/>
              </w:rPr>
            </w:pPr>
          </w:p>
        </w:tc>
        <w:tc>
          <w:tcPr>
            <w:tcW w:w="160" w:type="dxa"/>
            <w:vAlign w:val="bottom"/>
            <w:tcBorders>
              <w:top w:val="single" w:sz="8" w:color="auto"/>
            </w:tcBorders>
            <w:shd w:val="clear" w:color="auto" w:fill="D9D9D9"/>
          </w:tcPr>
          <w:p>
            <w:pPr>
              <w:spacing w:after="0"/>
              <w:rPr>
                <w:sz w:val="15"/>
                <w:szCs w:val="15"/>
                <w:color w:val="auto"/>
              </w:rPr>
            </w:pPr>
          </w:p>
        </w:tc>
        <w:tc>
          <w:tcPr>
            <w:tcW w:w="1320" w:type="dxa"/>
            <w:vAlign w:val="bottom"/>
            <w:tcBorders>
              <w:top w:val="single" w:sz="8" w:color="auto"/>
            </w:tcBorders>
            <w:shd w:val="clear" w:color="auto" w:fill="D9D9D9"/>
          </w:tcPr>
          <w:p>
            <w:pPr>
              <w:spacing w:after="0"/>
              <w:rPr>
                <w:sz w:val="15"/>
                <w:szCs w:val="15"/>
                <w:color w:val="auto"/>
              </w:rPr>
            </w:pPr>
          </w:p>
        </w:tc>
        <w:tc>
          <w:tcPr>
            <w:tcW w:w="80" w:type="dxa"/>
            <w:vAlign w:val="bottom"/>
            <w:tcBorders>
              <w:top w:val="single" w:sz="8" w:color="D9D9D9"/>
            </w:tcBorders>
            <w:shd w:val="clear" w:color="auto" w:fill="D9D9D9"/>
          </w:tcPr>
          <w:p>
            <w:pPr>
              <w:spacing w:after="0"/>
              <w:rPr>
                <w:sz w:val="15"/>
                <w:szCs w:val="15"/>
                <w:color w:val="auto"/>
              </w:rPr>
            </w:pPr>
          </w:p>
        </w:tc>
      </w:tr>
      <w:tr>
        <w:trPr>
          <w:trHeight w:val="187"/>
        </w:trPr>
        <w:tc>
          <w:tcPr>
            <w:tcW w:w="80" w:type="dxa"/>
            <w:vAlign w:val="bottom"/>
            <w:shd w:val="clear" w:color="auto" w:fill="D9D9D9"/>
          </w:tcPr>
          <w:p>
            <w:pPr>
              <w:spacing w:after="0"/>
              <w:rPr>
                <w:sz w:val="16"/>
                <w:szCs w:val="16"/>
                <w:color w:val="auto"/>
              </w:rPr>
            </w:pPr>
          </w:p>
        </w:tc>
        <w:tc>
          <w:tcPr>
            <w:tcW w:w="224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940" w:type="dxa"/>
            <w:vAlign w:val="bottom"/>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Underlying Unexercised</w:t>
            </w:r>
          </w:p>
        </w:tc>
        <w:tc>
          <w:tcPr>
            <w:tcW w:w="80" w:type="dxa"/>
            <w:vAlign w:val="bottom"/>
            <w:shd w:val="clear" w:color="auto" w:fill="D9D9D9"/>
          </w:tcPr>
          <w:p>
            <w:pPr>
              <w:spacing w:after="0"/>
              <w:rPr>
                <w:sz w:val="16"/>
                <w:szCs w:val="16"/>
                <w:color w:val="auto"/>
              </w:rPr>
            </w:pPr>
          </w:p>
        </w:tc>
        <w:tc>
          <w:tcPr>
            <w:tcW w:w="80" w:type="dxa"/>
            <w:vAlign w:val="bottom"/>
            <w:tcBorders>
              <w:right w:val="single" w:sz="8" w:color="D9D9D9"/>
            </w:tcBorders>
          </w:tcPr>
          <w:p>
            <w:pPr>
              <w:spacing w:after="0"/>
              <w:rPr>
                <w:sz w:val="16"/>
                <w:szCs w:val="16"/>
                <w:color w:val="auto"/>
              </w:rPr>
            </w:pPr>
          </w:p>
        </w:tc>
        <w:tc>
          <w:tcPr>
            <w:tcW w:w="2140" w:type="dxa"/>
            <w:vAlign w:val="bottom"/>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Underlying Unexercised</w:t>
            </w:r>
          </w:p>
        </w:tc>
        <w:tc>
          <w:tcPr>
            <w:tcW w:w="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040" w:type="dxa"/>
            <w:vAlign w:val="bottom"/>
            <w:shd w:val="clear" w:color="auto" w:fill="D9D9D9"/>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Option</w:t>
            </w:r>
          </w:p>
        </w:tc>
        <w:tc>
          <w:tcPr>
            <w:tcW w:w="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3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r>
      <w:tr>
        <w:trPr>
          <w:trHeight w:val="227"/>
        </w:trPr>
        <w:tc>
          <w:tcPr>
            <w:tcW w:w="80" w:type="dxa"/>
            <w:vAlign w:val="bottom"/>
            <w:shd w:val="clear" w:color="auto" w:fill="D9D9D9"/>
          </w:tcPr>
          <w:p>
            <w:pPr>
              <w:spacing w:after="0"/>
              <w:rPr>
                <w:sz w:val="19"/>
                <w:szCs w:val="19"/>
                <w:color w:val="auto"/>
              </w:rPr>
            </w:pPr>
          </w:p>
        </w:tc>
        <w:tc>
          <w:tcPr>
            <w:tcW w:w="224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9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80" w:type="dxa"/>
            <w:vAlign w:val="bottom"/>
            <w:shd w:val="clear" w:color="auto" w:fill="D9D9D9"/>
          </w:tcPr>
          <w:p>
            <w:pPr>
              <w:spacing w:after="0"/>
              <w:rPr>
                <w:sz w:val="19"/>
                <w:szCs w:val="19"/>
                <w:color w:val="auto"/>
              </w:rPr>
            </w:pPr>
          </w:p>
        </w:tc>
        <w:tc>
          <w:tcPr>
            <w:tcW w:w="80" w:type="dxa"/>
            <w:vAlign w:val="bottom"/>
            <w:tcBorders>
              <w:right w:val="single" w:sz="8" w:color="D9D9D9"/>
            </w:tcBorders>
          </w:tcPr>
          <w:p>
            <w:pPr>
              <w:spacing w:after="0"/>
              <w:rPr>
                <w:sz w:val="19"/>
                <w:szCs w:val="19"/>
                <w:color w:val="auto"/>
              </w:rPr>
            </w:pPr>
          </w:p>
        </w:tc>
        <w:tc>
          <w:tcPr>
            <w:tcW w:w="21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040" w:type="dxa"/>
            <w:vAlign w:val="bottom"/>
            <w:shd w:val="clear" w:color="auto" w:fill="D9D9D9"/>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3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shd w:val="clear" w:color="auto" w:fill="D9D9D9"/>
          </w:tcPr>
          <w:p>
            <w:pPr>
              <w:spacing w:after="0"/>
              <w:rPr>
                <w:sz w:val="19"/>
                <w:szCs w:val="19"/>
                <w:color w:val="auto"/>
              </w:rPr>
            </w:pPr>
          </w:p>
        </w:tc>
      </w:tr>
      <w:tr>
        <w:trPr>
          <w:trHeight w:val="227"/>
        </w:trPr>
        <w:tc>
          <w:tcPr>
            <w:tcW w:w="80" w:type="dxa"/>
            <w:vAlign w:val="bottom"/>
            <w:tcBorders>
              <w:bottom w:val="single" w:sz="8" w:color="D9D9D9"/>
            </w:tcBorders>
            <w:shd w:val="clear" w:color="auto" w:fill="D9D9D9"/>
          </w:tcPr>
          <w:p>
            <w:pPr>
              <w:spacing w:after="0"/>
              <w:rPr>
                <w:sz w:val="19"/>
                <w:szCs w:val="19"/>
                <w:color w:val="auto"/>
              </w:rPr>
            </w:pPr>
          </w:p>
        </w:tc>
        <w:tc>
          <w:tcPr>
            <w:tcW w:w="224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 w:type="dxa"/>
            <w:vAlign w:val="bottom"/>
            <w:tcBorders>
              <w:bottom w:val="single" w:sz="8" w:color="auto"/>
            </w:tcBorders>
            <w:shd w:val="clear" w:color="auto" w:fill="D9D9D9"/>
          </w:tcPr>
          <w:p>
            <w:pPr>
              <w:spacing w:after="0"/>
              <w:rPr>
                <w:sz w:val="19"/>
                <w:szCs w:val="19"/>
                <w:color w:val="auto"/>
              </w:rPr>
            </w:pPr>
          </w:p>
        </w:tc>
        <w:tc>
          <w:tcPr>
            <w:tcW w:w="160" w:type="dxa"/>
            <w:vAlign w:val="bottom"/>
            <w:tcBorders>
              <w:bottom w:val="single" w:sz="8" w:color="D9D9D9"/>
            </w:tcBorders>
            <w:shd w:val="clear" w:color="auto" w:fill="D9D9D9"/>
          </w:tcPr>
          <w:p>
            <w:pPr>
              <w:spacing w:after="0"/>
              <w:rPr>
                <w:sz w:val="19"/>
                <w:szCs w:val="19"/>
                <w:color w:val="auto"/>
              </w:rPr>
            </w:pPr>
          </w:p>
        </w:tc>
        <w:tc>
          <w:tcPr>
            <w:tcW w:w="194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80" w:type="dxa"/>
            <w:vAlign w:val="bottom"/>
            <w:tcBorders>
              <w:bottom w:val="single" w:sz="8" w:color="D9D9D9"/>
            </w:tcBorders>
            <w:shd w:val="clear" w:color="auto" w:fill="D9D9D9"/>
          </w:tcPr>
          <w:p>
            <w:pPr>
              <w:spacing w:after="0"/>
              <w:rPr>
                <w:sz w:val="19"/>
                <w:szCs w:val="19"/>
                <w:color w:val="auto"/>
              </w:rPr>
            </w:pPr>
          </w:p>
        </w:tc>
        <w:tc>
          <w:tcPr>
            <w:tcW w:w="80" w:type="dxa"/>
            <w:vAlign w:val="bottom"/>
            <w:tcBorders>
              <w:right w:val="single" w:sz="8" w:color="D9D9D9"/>
            </w:tcBorders>
          </w:tcPr>
          <w:p>
            <w:pPr>
              <w:spacing w:after="0"/>
              <w:rPr>
                <w:sz w:val="19"/>
                <w:szCs w:val="19"/>
                <w:color w:val="auto"/>
              </w:rPr>
            </w:pPr>
          </w:p>
        </w:tc>
        <w:tc>
          <w:tcPr>
            <w:tcW w:w="2140" w:type="dxa"/>
            <w:vAlign w:val="bottom"/>
            <w:tcBorders>
              <w:bottom w:val="single" w:sz="8" w:color="auto"/>
            </w:tcBorders>
            <w:shd w:val="clear" w:color="auto" w:fill="D9D9D9"/>
          </w:tcPr>
          <w:p>
            <w:pPr>
              <w:jc w:val="center"/>
              <w:spacing w:after="0" w:line="227" w:lineRule="exact"/>
              <w:rPr>
                <w:sz w:val="20"/>
                <w:szCs w:val="20"/>
                <w:color w:val="auto"/>
              </w:rPr>
            </w:pPr>
            <w:r>
              <w:rPr>
                <w:rFonts w:ascii="Times New Roman" w:cs="Times New Roman" w:eastAsia="Times New Roman" w:hAnsi="Times New Roman"/>
                <w:sz w:val="18"/>
                <w:szCs w:val="18"/>
                <w:b w:val="1"/>
                <w:bCs w:val="1"/>
                <w:color w:val="auto"/>
                <w:w w:val="97"/>
              </w:rPr>
              <w:t>Unexercisable</w:t>
            </w:r>
            <w:r>
              <w:rPr>
                <w:rFonts w:ascii="Times New Roman" w:cs="Times New Roman" w:eastAsia="Times New Roman" w:hAnsi="Times New Roman"/>
                <w:sz w:val="24"/>
                <w:szCs w:val="24"/>
                <w:b w:val="1"/>
                <w:bCs w:val="1"/>
                <w:color w:val="auto"/>
                <w:w w:val="97"/>
                <w:vertAlign w:val="superscript"/>
              </w:rPr>
              <w:t>(1)</w:t>
            </w:r>
          </w:p>
        </w:tc>
        <w:tc>
          <w:tcPr>
            <w:tcW w:w="20" w:type="dxa"/>
            <w:vAlign w:val="bottom"/>
            <w:tcBorders>
              <w:bottom w:val="single" w:sz="8" w:color="auto"/>
            </w:tcBorders>
            <w:shd w:val="clear" w:color="auto" w:fill="D9D9D9"/>
          </w:tcPr>
          <w:p>
            <w:pPr>
              <w:spacing w:after="0"/>
              <w:rPr>
                <w:sz w:val="19"/>
                <w:szCs w:val="19"/>
                <w:color w:val="auto"/>
              </w:rPr>
            </w:pPr>
          </w:p>
        </w:tc>
        <w:tc>
          <w:tcPr>
            <w:tcW w:w="160" w:type="dxa"/>
            <w:vAlign w:val="bottom"/>
            <w:tcBorders>
              <w:bottom w:val="single" w:sz="8" w:color="D9D9D9"/>
            </w:tcBorders>
            <w:shd w:val="clear" w:color="auto" w:fill="D9D9D9"/>
          </w:tcPr>
          <w:p>
            <w:pPr>
              <w:spacing w:after="0"/>
              <w:rPr>
                <w:sz w:val="19"/>
                <w:szCs w:val="19"/>
                <w:color w:val="auto"/>
              </w:rPr>
            </w:pPr>
          </w:p>
        </w:tc>
        <w:tc>
          <w:tcPr>
            <w:tcW w:w="1040" w:type="dxa"/>
            <w:vAlign w:val="bottom"/>
            <w:tcBorders>
              <w:bottom w:val="single" w:sz="8" w:color="auto"/>
            </w:tcBorders>
            <w:shd w:val="clear" w:color="auto" w:fill="D9D9D9"/>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0" w:type="dxa"/>
            <w:vAlign w:val="bottom"/>
            <w:tcBorders>
              <w:bottom w:val="single" w:sz="8" w:color="auto"/>
            </w:tcBorders>
            <w:shd w:val="clear" w:color="auto" w:fill="D9D9D9"/>
          </w:tcPr>
          <w:p>
            <w:pPr>
              <w:spacing w:after="0"/>
              <w:rPr>
                <w:sz w:val="19"/>
                <w:szCs w:val="19"/>
                <w:color w:val="auto"/>
              </w:rPr>
            </w:pPr>
          </w:p>
        </w:tc>
        <w:tc>
          <w:tcPr>
            <w:tcW w:w="160" w:type="dxa"/>
            <w:vAlign w:val="bottom"/>
            <w:tcBorders>
              <w:bottom w:val="single" w:sz="8" w:color="D9D9D9"/>
            </w:tcBorders>
            <w:shd w:val="clear" w:color="auto" w:fill="D9D9D9"/>
          </w:tcPr>
          <w:p>
            <w:pPr>
              <w:spacing w:after="0"/>
              <w:rPr>
                <w:sz w:val="19"/>
                <w:szCs w:val="19"/>
                <w:color w:val="auto"/>
              </w:rPr>
            </w:pPr>
          </w:p>
        </w:tc>
        <w:tc>
          <w:tcPr>
            <w:tcW w:w="132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highlight w:val="lightGray"/>
              </w:rPr>
              <w:t>Expiration Date</w:t>
            </w:r>
          </w:p>
        </w:tc>
        <w:tc>
          <w:tcPr>
            <w:tcW w:w="80" w:type="dxa"/>
            <w:vAlign w:val="bottom"/>
            <w:tcBorders>
              <w:bottom w:val="single" w:sz="8" w:color="D9D9D9"/>
            </w:tcBorders>
            <w:shd w:val="clear" w:color="auto" w:fill="D9D9D9"/>
          </w:tcPr>
          <w:p>
            <w:pPr>
              <w:spacing w:after="0"/>
              <w:rPr>
                <w:sz w:val="19"/>
                <w:szCs w:val="19"/>
                <w:color w:val="auto"/>
              </w:rPr>
            </w:pPr>
          </w:p>
        </w:tc>
      </w:tr>
      <w:tr>
        <w:trPr>
          <w:trHeight w:val="205"/>
        </w:trPr>
        <w:tc>
          <w:tcPr>
            <w:tcW w:w="80" w:type="dxa"/>
            <w:vAlign w:val="bottom"/>
          </w:tcPr>
          <w:p>
            <w:pPr>
              <w:spacing w:after="0"/>
              <w:rPr>
                <w:sz w:val="17"/>
                <w:szCs w:val="17"/>
                <w:color w:val="auto"/>
              </w:rPr>
            </w:pPr>
          </w:p>
        </w:tc>
        <w:tc>
          <w:tcPr>
            <w:tcW w:w="2240" w:type="dxa"/>
            <w:vAlign w:val="bottom"/>
          </w:tcPr>
          <w:p>
            <w:pPr>
              <w:ind w:left="20"/>
              <w:spacing w:after="0" w:line="206" w:lineRule="exact"/>
              <w:rPr>
                <w:sz w:val="20"/>
                <w:szCs w:val="20"/>
                <w:color w:val="auto"/>
              </w:rPr>
            </w:pPr>
            <w:r>
              <w:rPr>
                <w:rFonts w:ascii="Times New Roman" w:cs="Times New Roman" w:eastAsia="Times New Roman" w:hAnsi="Times New Roman"/>
                <w:sz w:val="20"/>
                <w:szCs w:val="20"/>
                <w:color w:val="auto"/>
              </w:rPr>
              <w:t>G. Patrick Lynch...............</w:t>
            </w:r>
          </w:p>
        </w:tc>
        <w:tc>
          <w:tcPr>
            <w:tcW w:w="2140" w:type="dxa"/>
            <w:vAlign w:val="bottom"/>
            <w:gridSpan w:val="3"/>
          </w:tcPr>
          <w:p>
            <w:pPr>
              <w:jc w:val="right"/>
              <w:ind w:right="670"/>
              <w:spacing w:after="0" w:line="206" w:lineRule="exact"/>
              <w:rPr>
                <w:sz w:val="20"/>
                <w:szCs w:val="20"/>
                <w:color w:val="auto"/>
              </w:rPr>
            </w:pPr>
            <w:r>
              <w:rPr>
                <w:rFonts w:ascii="Times New Roman" w:cs="Times New Roman" w:eastAsia="Times New Roman" w:hAnsi="Times New Roman"/>
                <w:sz w:val="20"/>
                <w:szCs w:val="20"/>
                <w:color w:val="auto"/>
              </w:rPr>
              <w:t>16,072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jc w:val="right"/>
              <w:ind w:right="848"/>
              <w:spacing w:after="0" w:line="206" w:lineRule="exact"/>
              <w:rPr>
                <w:sz w:val="20"/>
                <w:szCs w:val="20"/>
                <w:color w:val="auto"/>
              </w:rPr>
            </w:pPr>
            <w:r>
              <w:rPr>
                <w:rFonts w:ascii="Times New Roman" w:cs="Times New Roman" w:eastAsia="Times New Roman" w:hAnsi="Times New Roman"/>
                <w:sz w:val="20"/>
                <w:szCs w:val="20"/>
                <w:color w:val="auto"/>
              </w:rPr>
              <w:t>0</w:t>
            </w:r>
          </w:p>
        </w:tc>
        <w:tc>
          <w:tcPr>
            <w:tcW w:w="1220" w:type="dxa"/>
            <w:vAlign w:val="bottom"/>
            <w:gridSpan w:val="3"/>
          </w:tcPr>
          <w:p>
            <w:pPr>
              <w:jc w:val="right"/>
              <w:ind w:right="170"/>
              <w:spacing w:after="0" w:line="206" w:lineRule="exact"/>
              <w:rPr>
                <w:sz w:val="20"/>
                <w:szCs w:val="20"/>
                <w:color w:val="auto"/>
              </w:rPr>
            </w:pPr>
            <w:r>
              <w:rPr>
                <w:rFonts w:ascii="Times New Roman" w:cs="Times New Roman" w:eastAsia="Times New Roman" w:hAnsi="Times New Roman"/>
                <w:sz w:val="20"/>
                <w:szCs w:val="20"/>
                <w:color w:val="auto"/>
              </w:rPr>
              <w:t>6.70</w:t>
            </w:r>
          </w:p>
        </w:tc>
        <w:tc>
          <w:tcPr>
            <w:tcW w:w="1500" w:type="dxa"/>
            <w:vAlign w:val="bottom"/>
            <w:gridSpan w:val="3"/>
          </w:tcPr>
          <w:p>
            <w:pPr>
              <w:jc w:val="center"/>
              <w:ind w:left="80"/>
              <w:spacing w:after="0" w:line="206" w:lineRule="exact"/>
              <w:rPr>
                <w:sz w:val="20"/>
                <w:szCs w:val="20"/>
                <w:color w:val="auto"/>
              </w:rPr>
            </w:pPr>
            <w:r>
              <w:rPr>
                <w:rFonts w:ascii="Times New Roman" w:cs="Times New Roman" w:eastAsia="Times New Roman" w:hAnsi="Times New Roman"/>
                <w:sz w:val="20"/>
                <w:szCs w:val="20"/>
                <w:color w:val="auto"/>
              </w:rPr>
              <w:t>08/31/2026</w:t>
            </w:r>
          </w:p>
        </w:tc>
        <w:tc>
          <w:tcPr>
            <w:tcW w:w="80" w:type="dxa"/>
            <w:vAlign w:val="bottom"/>
          </w:tcPr>
          <w:p>
            <w:pPr>
              <w:spacing w:after="0"/>
              <w:rPr>
                <w:sz w:val="17"/>
                <w:szCs w:val="17"/>
                <w:color w:val="auto"/>
              </w:rPr>
            </w:pPr>
          </w:p>
        </w:tc>
      </w:tr>
      <w:tr>
        <w:trPr>
          <w:trHeight w:val="230"/>
        </w:trPr>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11,704</w:t>
            </w:r>
          </w:p>
        </w:tc>
        <w:tc>
          <w:tcPr>
            <w:tcW w:w="80" w:type="dxa"/>
            <w:vAlign w:val="bottom"/>
          </w:tcPr>
          <w:p>
            <w:pPr>
              <w:spacing w:after="0"/>
              <w:rPr>
                <w:sz w:val="20"/>
                <w:szCs w:val="20"/>
                <w:color w:val="auto"/>
              </w:rPr>
            </w:pPr>
          </w:p>
        </w:tc>
        <w:tc>
          <w:tcPr>
            <w:tcW w:w="2220" w:type="dxa"/>
            <w:vAlign w:val="bottom"/>
            <w:gridSpan w:val="2"/>
          </w:tcPr>
          <w:p>
            <w:pPr>
              <w:jc w:val="right"/>
              <w:ind w:right="848"/>
              <w:spacing w:after="0"/>
              <w:rPr>
                <w:sz w:val="20"/>
                <w:szCs w:val="20"/>
                <w:color w:val="auto"/>
              </w:rPr>
            </w:pPr>
            <w:r>
              <w:rPr>
                <w:rFonts w:ascii="Times New Roman" w:cs="Times New Roman" w:eastAsia="Times New Roman" w:hAnsi="Times New Roman"/>
                <w:sz w:val="20"/>
                <w:szCs w:val="20"/>
                <w:color w:val="auto"/>
              </w:rPr>
              <w:t>0</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9.18</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08/31/2027</w:t>
            </w:r>
          </w:p>
        </w:tc>
        <w:tc>
          <w:tcPr>
            <w:tcW w:w="80" w:type="dxa"/>
            <w:vAlign w:val="bottom"/>
          </w:tcPr>
          <w:p>
            <w:pPr>
              <w:spacing w:after="0"/>
              <w:rPr>
                <w:sz w:val="20"/>
                <w:szCs w:val="20"/>
                <w:color w:val="auto"/>
              </w:rPr>
            </w:pPr>
          </w:p>
        </w:tc>
      </w:tr>
      <w:tr>
        <w:trPr>
          <w:trHeight w:val="229"/>
        </w:trPr>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27,596</w:t>
            </w:r>
          </w:p>
        </w:tc>
        <w:tc>
          <w:tcPr>
            <w:tcW w:w="80" w:type="dxa"/>
            <w:vAlign w:val="bottom"/>
          </w:tcPr>
          <w:p>
            <w:pPr>
              <w:spacing w:after="0"/>
              <w:rPr>
                <w:sz w:val="19"/>
                <w:szCs w:val="19"/>
                <w:color w:val="auto"/>
              </w:rPr>
            </w:pPr>
          </w:p>
        </w:tc>
        <w:tc>
          <w:tcPr>
            <w:tcW w:w="2220" w:type="dxa"/>
            <w:vAlign w:val="bottom"/>
            <w:gridSpan w:val="2"/>
          </w:tcPr>
          <w:p>
            <w:pPr>
              <w:jc w:val="right"/>
              <w:ind w:right="848"/>
              <w:spacing w:after="0"/>
              <w:rPr>
                <w:sz w:val="20"/>
                <w:szCs w:val="20"/>
                <w:color w:val="auto"/>
              </w:rPr>
            </w:pPr>
            <w:r>
              <w:rPr>
                <w:rFonts w:ascii="Times New Roman" w:cs="Times New Roman" w:eastAsia="Times New Roman" w:hAnsi="Times New Roman"/>
                <w:sz w:val="20"/>
                <w:szCs w:val="20"/>
                <w:color w:val="auto"/>
              </w:rPr>
              <w:t>0</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18.23</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08/31/2028</w:t>
            </w: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58,651</w:t>
            </w:r>
          </w:p>
        </w:tc>
        <w:tc>
          <w:tcPr>
            <w:tcW w:w="80" w:type="dxa"/>
            <w:vAlign w:val="bottom"/>
          </w:tcPr>
          <w:p>
            <w:pPr>
              <w:spacing w:after="0"/>
              <w:rPr>
                <w:sz w:val="20"/>
                <w:szCs w:val="20"/>
                <w:color w:val="auto"/>
              </w:rPr>
            </w:pPr>
          </w:p>
        </w:tc>
        <w:tc>
          <w:tcPr>
            <w:tcW w:w="2220" w:type="dxa"/>
            <w:vAlign w:val="bottom"/>
            <w:gridSpan w:val="2"/>
          </w:tcPr>
          <w:p>
            <w:pPr>
              <w:jc w:val="right"/>
              <w:ind w:right="848"/>
              <w:spacing w:after="0"/>
              <w:rPr>
                <w:sz w:val="20"/>
                <w:szCs w:val="20"/>
                <w:color w:val="auto"/>
              </w:rPr>
            </w:pPr>
            <w:r>
              <w:rPr>
                <w:rFonts w:ascii="Times New Roman" w:cs="Times New Roman" w:eastAsia="Times New Roman" w:hAnsi="Times New Roman"/>
                <w:sz w:val="20"/>
                <w:szCs w:val="20"/>
                <w:color w:val="auto"/>
              </w:rPr>
              <w:t>0</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10.80</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08/31/2029</w:t>
            </w:r>
          </w:p>
        </w:tc>
        <w:tc>
          <w:tcPr>
            <w:tcW w:w="80" w:type="dxa"/>
            <w:vAlign w:val="bottom"/>
          </w:tcPr>
          <w:p>
            <w:pPr>
              <w:spacing w:after="0"/>
              <w:rPr>
                <w:sz w:val="20"/>
                <w:szCs w:val="20"/>
                <w:color w:val="auto"/>
              </w:rPr>
            </w:pPr>
          </w:p>
        </w:tc>
      </w:tr>
      <w:tr>
        <w:trPr>
          <w:trHeight w:val="230"/>
        </w:trPr>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74,742</w:t>
            </w:r>
          </w:p>
        </w:tc>
        <w:tc>
          <w:tcPr>
            <w:tcW w:w="80" w:type="dxa"/>
            <w:vAlign w:val="bottom"/>
          </w:tcPr>
          <w:p>
            <w:pPr>
              <w:spacing w:after="0"/>
              <w:rPr>
                <w:sz w:val="20"/>
                <w:szCs w:val="20"/>
                <w:color w:val="auto"/>
              </w:rPr>
            </w:pPr>
          </w:p>
        </w:tc>
        <w:tc>
          <w:tcPr>
            <w:tcW w:w="2220" w:type="dxa"/>
            <w:vAlign w:val="bottom"/>
            <w:gridSpan w:val="2"/>
          </w:tcPr>
          <w:p>
            <w:pPr>
              <w:jc w:val="right"/>
              <w:ind w:right="848"/>
              <w:spacing w:after="0"/>
              <w:rPr>
                <w:sz w:val="20"/>
                <w:szCs w:val="20"/>
                <w:color w:val="auto"/>
              </w:rPr>
            </w:pPr>
            <w:r>
              <w:rPr>
                <w:rFonts w:ascii="Times New Roman" w:cs="Times New Roman" w:eastAsia="Times New Roman" w:hAnsi="Times New Roman"/>
                <w:sz w:val="20"/>
                <w:szCs w:val="20"/>
                <w:color w:val="auto"/>
              </w:rPr>
              <w:t>0</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8.24</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08/31/2030</w:t>
            </w:r>
          </w:p>
        </w:tc>
        <w:tc>
          <w:tcPr>
            <w:tcW w:w="80" w:type="dxa"/>
            <w:vAlign w:val="bottom"/>
          </w:tcPr>
          <w:p>
            <w:pPr>
              <w:spacing w:after="0"/>
              <w:rPr>
                <w:sz w:val="20"/>
                <w:szCs w:val="20"/>
                <w:color w:val="auto"/>
              </w:rPr>
            </w:pPr>
          </w:p>
        </w:tc>
      </w:tr>
      <w:tr>
        <w:trPr>
          <w:trHeight w:val="229"/>
        </w:trPr>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32,540</w:t>
            </w:r>
          </w:p>
        </w:tc>
        <w:tc>
          <w:tcPr>
            <w:tcW w:w="80" w:type="dxa"/>
            <w:vAlign w:val="bottom"/>
          </w:tcPr>
          <w:p>
            <w:pPr>
              <w:spacing w:after="0"/>
              <w:rPr>
                <w:sz w:val="19"/>
                <w:szCs w:val="19"/>
                <w:color w:val="auto"/>
              </w:rPr>
            </w:pPr>
          </w:p>
        </w:tc>
        <w:tc>
          <w:tcPr>
            <w:tcW w:w="2220" w:type="dxa"/>
            <w:vAlign w:val="bottom"/>
            <w:gridSpan w:val="2"/>
          </w:tcPr>
          <w:p>
            <w:pPr>
              <w:jc w:val="right"/>
              <w:ind w:right="848"/>
              <w:spacing w:after="0"/>
              <w:rPr>
                <w:sz w:val="20"/>
                <w:szCs w:val="20"/>
                <w:color w:val="auto"/>
              </w:rPr>
            </w:pPr>
            <w:r>
              <w:rPr>
                <w:rFonts w:ascii="Times New Roman" w:cs="Times New Roman" w:eastAsia="Times New Roman" w:hAnsi="Times New Roman"/>
                <w:sz w:val="20"/>
                <w:szCs w:val="20"/>
                <w:color w:val="auto"/>
              </w:rPr>
              <w:t>0</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16.97</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08/31/2031</w:t>
            </w: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31,678</w:t>
            </w:r>
          </w:p>
        </w:tc>
        <w:tc>
          <w:tcPr>
            <w:tcW w:w="80" w:type="dxa"/>
            <w:vAlign w:val="bottom"/>
          </w:tcPr>
          <w:p>
            <w:pPr>
              <w:spacing w:after="0"/>
              <w:rPr>
                <w:sz w:val="20"/>
                <w:szCs w:val="20"/>
                <w:color w:val="auto"/>
              </w:rPr>
            </w:pPr>
          </w:p>
        </w:tc>
        <w:tc>
          <w:tcPr>
            <w:tcW w:w="2220" w:type="dxa"/>
            <w:vAlign w:val="bottom"/>
            <w:gridSpan w:val="2"/>
          </w:tcPr>
          <w:p>
            <w:pPr>
              <w:jc w:val="right"/>
              <w:ind w:right="708"/>
              <w:spacing w:after="0" w:line="230" w:lineRule="exact"/>
              <w:rPr>
                <w:sz w:val="20"/>
                <w:szCs w:val="20"/>
                <w:color w:val="auto"/>
              </w:rPr>
            </w:pPr>
            <w:r>
              <w:rPr>
                <w:rFonts w:ascii="Times New Roman" w:cs="Times New Roman" w:eastAsia="Times New Roman" w:hAnsi="Times New Roman"/>
                <w:sz w:val="20"/>
                <w:szCs w:val="20"/>
                <w:color w:val="auto"/>
              </w:rPr>
              <w:t>15,839</w:t>
            </w:r>
            <w:r>
              <w:rPr>
                <w:rFonts w:ascii="Times New Roman" w:cs="Times New Roman" w:eastAsia="Times New Roman" w:hAnsi="Times New Roman"/>
                <w:sz w:val="25"/>
                <w:szCs w:val="25"/>
                <w:color w:val="auto"/>
                <w:vertAlign w:val="superscript"/>
              </w:rPr>
              <w:t>(2)</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11.38</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08/31/2032</w:t>
            </w:r>
          </w:p>
        </w:tc>
        <w:tc>
          <w:tcPr>
            <w:tcW w:w="80" w:type="dxa"/>
            <w:vAlign w:val="bottom"/>
          </w:tcPr>
          <w:p>
            <w:pPr>
              <w:spacing w:after="0"/>
              <w:rPr>
                <w:sz w:val="20"/>
                <w:szCs w:val="20"/>
                <w:color w:val="auto"/>
              </w:rPr>
            </w:pPr>
          </w:p>
        </w:tc>
      </w:tr>
      <w:tr>
        <w:trPr>
          <w:trHeight w:val="230"/>
        </w:trPr>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15,127</w:t>
            </w:r>
          </w:p>
        </w:tc>
        <w:tc>
          <w:tcPr>
            <w:tcW w:w="80" w:type="dxa"/>
            <w:vAlign w:val="bottom"/>
          </w:tcPr>
          <w:p>
            <w:pPr>
              <w:spacing w:after="0"/>
              <w:rPr>
                <w:sz w:val="20"/>
                <w:szCs w:val="20"/>
                <w:color w:val="auto"/>
              </w:rPr>
            </w:pPr>
          </w:p>
        </w:tc>
        <w:tc>
          <w:tcPr>
            <w:tcW w:w="2220" w:type="dxa"/>
            <w:vAlign w:val="bottom"/>
            <w:gridSpan w:val="2"/>
          </w:tcPr>
          <w:p>
            <w:pPr>
              <w:jc w:val="right"/>
              <w:ind w:right="708"/>
              <w:spacing w:after="0" w:line="230" w:lineRule="exact"/>
              <w:rPr>
                <w:sz w:val="20"/>
                <w:szCs w:val="20"/>
                <w:color w:val="auto"/>
              </w:rPr>
            </w:pPr>
            <w:r>
              <w:rPr>
                <w:rFonts w:ascii="Times New Roman" w:cs="Times New Roman" w:eastAsia="Times New Roman" w:hAnsi="Times New Roman"/>
                <w:sz w:val="20"/>
                <w:szCs w:val="20"/>
                <w:color w:val="auto"/>
              </w:rPr>
              <w:t>30,254</w:t>
            </w:r>
            <w:r>
              <w:rPr>
                <w:rFonts w:ascii="Times New Roman" w:cs="Times New Roman" w:eastAsia="Times New Roman" w:hAnsi="Times New Roman"/>
                <w:sz w:val="25"/>
                <w:szCs w:val="25"/>
                <w:color w:val="auto"/>
                <w:vertAlign w:val="superscript"/>
              </w:rPr>
              <w:t>(3)</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13.25</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08/31/2033</w:t>
            </w:r>
          </w:p>
        </w:tc>
        <w:tc>
          <w:tcPr>
            <w:tcW w:w="80" w:type="dxa"/>
            <w:vAlign w:val="bottom"/>
          </w:tcPr>
          <w:p>
            <w:pPr>
              <w:spacing w:after="0"/>
              <w:rPr>
                <w:sz w:val="20"/>
                <w:szCs w:val="20"/>
                <w:color w:val="auto"/>
              </w:rPr>
            </w:pPr>
          </w:p>
        </w:tc>
      </w:tr>
      <w:tr>
        <w:trPr>
          <w:trHeight w:val="250"/>
        </w:trPr>
        <w:tc>
          <w:tcPr>
            <w:tcW w:w="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2"/>
          </w:tcPr>
          <w:p>
            <w:pPr>
              <w:jc w:val="right"/>
              <w:ind w:right="708"/>
              <w:spacing w:after="0" w:line="250" w:lineRule="exact"/>
              <w:rPr>
                <w:sz w:val="20"/>
                <w:szCs w:val="20"/>
                <w:color w:val="auto"/>
              </w:rPr>
            </w:pPr>
            <w:r>
              <w:rPr>
                <w:rFonts w:ascii="Times New Roman" w:cs="Times New Roman" w:eastAsia="Times New Roman" w:hAnsi="Times New Roman"/>
                <w:sz w:val="20"/>
                <w:szCs w:val="20"/>
                <w:color w:val="auto"/>
              </w:rPr>
              <w:t>44,858</w:t>
            </w:r>
            <w:r>
              <w:rPr>
                <w:rFonts w:ascii="Times New Roman" w:cs="Times New Roman" w:eastAsia="Times New Roman" w:hAnsi="Times New Roman"/>
                <w:sz w:val="25"/>
                <w:szCs w:val="25"/>
                <w:color w:val="auto"/>
                <w:vertAlign w:val="superscript"/>
              </w:rPr>
              <w:t>(4)</w:t>
            </w:r>
          </w:p>
        </w:tc>
        <w:tc>
          <w:tcPr>
            <w:tcW w:w="12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13.26</w:t>
            </w:r>
          </w:p>
        </w:tc>
        <w:tc>
          <w:tcPr>
            <w:tcW w:w="1500" w:type="dxa"/>
            <w:vAlign w:val="bottom"/>
            <w:tcBorders>
              <w:bottom w:val="single" w:sz="8" w:color="auto"/>
            </w:tcBorders>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08/31/2034</w:t>
            </w:r>
          </w:p>
        </w:tc>
        <w:tc>
          <w:tcPr>
            <w:tcW w:w="80" w:type="dxa"/>
            <w:vAlign w:val="bottom"/>
            <w:tcBorders>
              <w:bottom w:val="single" w:sz="8" w:color="auto"/>
            </w:tcBorders>
          </w:tcPr>
          <w:p>
            <w:pPr>
              <w:spacing w:after="0"/>
              <w:rPr>
                <w:sz w:val="21"/>
                <w:szCs w:val="21"/>
                <w:color w:val="auto"/>
              </w:rPr>
            </w:pPr>
          </w:p>
        </w:tc>
      </w:tr>
      <w:tr>
        <w:trPr>
          <w:trHeight w:val="199"/>
        </w:trPr>
        <w:tc>
          <w:tcPr>
            <w:tcW w:w="80" w:type="dxa"/>
            <w:vAlign w:val="bottom"/>
          </w:tcPr>
          <w:p>
            <w:pPr>
              <w:spacing w:after="0"/>
              <w:rPr>
                <w:sz w:val="17"/>
                <w:szCs w:val="17"/>
                <w:color w:val="auto"/>
              </w:rPr>
            </w:pPr>
          </w:p>
        </w:tc>
        <w:tc>
          <w:tcPr>
            <w:tcW w:w="224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Matthew C. Wolsfeld ........</w:t>
            </w:r>
          </w:p>
        </w:tc>
        <w:tc>
          <w:tcPr>
            <w:tcW w:w="2140" w:type="dxa"/>
            <w:vAlign w:val="bottom"/>
            <w:gridSpan w:val="3"/>
          </w:tcPr>
          <w:p>
            <w:pPr>
              <w:jc w:val="right"/>
              <w:ind w:right="670"/>
              <w:spacing w:after="0" w:line="200" w:lineRule="exact"/>
              <w:rPr>
                <w:sz w:val="20"/>
                <w:szCs w:val="20"/>
                <w:color w:val="auto"/>
              </w:rPr>
            </w:pPr>
            <w:r>
              <w:rPr>
                <w:rFonts w:ascii="Times New Roman" w:cs="Times New Roman" w:eastAsia="Times New Roman" w:hAnsi="Times New Roman"/>
                <w:sz w:val="20"/>
                <w:szCs w:val="20"/>
                <w:color w:val="auto"/>
              </w:rPr>
              <w:t>11,880</w:t>
            </w:r>
          </w:p>
        </w:tc>
        <w:tc>
          <w:tcPr>
            <w:tcW w:w="80" w:type="dxa"/>
            <w:vAlign w:val="bottom"/>
          </w:tcPr>
          <w:p>
            <w:pPr>
              <w:spacing w:after="0"/>
              <w:rPr>
                <w:sz w:val="17"/>
                <w:szCs w:val="17"/>
                <w:color w:val="auto"/>
              </w:rPr>
            </w:pPr>
          </w:p>
        </w:tc>
        <w:tc>
          <w:tcPr>
            <w:tcW w:w="2220" w:type="dxa"/>
            <w:vAlign w:val="bottom"/>
            <w:gridSpan w:val="2"/>
          </w:tcPr>
          <w:p>
            <w:pPr>
              <w:jc w:val="right"/>
              <w:ind w:right="848"/>
              <w:spacing w:after="0" w:line="200" w:lineRule="exact"/>
              <w:rPr>
                <w:sz w:val="20"/>
                <w:szCs w:val="20"/>
                <w:color w:val="auto"/>
              </w:rPr>
            </w:pPr>
            <w:r>
              <w:rPr>
                <w:rFonts w:ascii="Times New Roman" w:cs="Times New Roman" w:eastAsia="Times New Roman" w:hAnsi="Times New Roman"/>
                <w:sz w:val="20"/>
                <w:szCs w:val="20"/>
                <w:color w:val="auto"/>
              </w:rPr>
              <w:t>0</w:t>
            </w:r>
          </w:p>
        </w:tc>
        <w:tc>
          <w:tcPr>
            <w:tcW w:w="1220" w:type="dxa"/>
            <w:vAlign w:val="bottom"/>
            <w:gridSpan w:val="3"/>
          </w:tcPr>
          <w:p>
            <w:pPr>
              <w:jc w:val="right"/>
              <w:ind w:right="170"/>
              <w:spacing w:after="0" w:line="200" w:lineRule="exact"/>
              <w:rPr>
                <w:sz w:val="20"/>
                <w:szCs w:val="20"/>
                <w:color w:val="auto"/>
              </w:rPr>
            </w:pPr>
            <w:r>
              <w:rPr>
                <w:rFonts w:ascii="Times New Roman" w:cs="Times New Roman" w:eastAsia="Times New Roman" w:hAnsi="Times New Roman"/>
                <w:sz w:val="20"/>
                <w:szCs w:val="20"/>
                <w:color w:val="auto"/>
              </w:rPr>
              <w:t>6.70</w:t>
            </w:r>
          </w:p>
        </w:tc>
        <w:tc>
          <w:tcPr>
            <w:tcW w:w="1500" w:type="dxa"/>
            <w:vAlign w:val="bottom"/>
            <w:gridSpan w:val="3"/>
          </w:tcPr>
          <w:p>
            <w:pPr>
              <w:jc w:val="center"/>
              <w:ind w:left="80"/>
              <w:spacing w:after="0" w:line="200" w:lineRule="exact"/>
              <w:rPr>
                <w:sz w:val="20"/>
                <w:szCs w:val="20"/>
                <w:color w:val="auto"/>
              </w:rPr>
            </w:pPr>
            <w:r>
              <w:rPr>
                <w:rFonts w:ascii="Times New Roman" w:cs="Times New Roman" w:eastAsia="Times New Roman" w:hAnsi="Times New Roman"/>
                <w:sz w:val="20"/>
                <w:szCs w:val="20"/>
                <w:color w:val="auto"/>
              </w:rPr>
              <w:t>08/31/2026</w:t>
            </w:r>
          </w:p>
        </w:tc>
        <w:tc>
          <w:tcPr>
            <w:tcW w:w="80" w:type="dxa"/>
            <w:vAlign w:val="bottom"/>
          </w:tcPr>
          <w:p>
            <w:pPr>
              <w:spacing w:after="0"/>
              <w:rPr>
                <w:sz w:val="17"/>
                <w:szCs w:val="17"/>
                <w:color w:val="auto"/>
              </w:rPr>
            </w:pPr>
          </w:p>
        </w:tc>
      </w:tr>
      <w:tr>
        <w:trPr>
          <w:trHeight w:val="230"/>
        </w:trPr>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8,650</w:t>
            </w:r>
          </w:p>
        </w:tc>
        <w:tc>
          <w:tcPr>
            <w:tcW w:w="80" w:type="dxa"/>
            <w:vAlign w:val="bottom"/>
          </w:tcPr>
          <w:p>
            <w:pPr>
              <w:spacing w:after="0"/>
              <w:rPr>
                <w:sz w:val="20"/>
                <w:szCs w:val="20"/>
                <w:color w:val="auto"/>
              </w:rPr>
            </w:pPr>
          </w:p>
        </w:tc>
        <w:tc>
          <w:tcPr>
            <w:tcW w:w="2220" w:type="dxa"/>
            <w:vAlign w:val="bottom"/>
            <w:gridSpan w:val="2"/>
          </w:tcPr>
          <w:p>
            <w:pPr>
              <w:jc w:val="right"/>
              <w:ind w:right="848"/>
              <w:spacing w:after="0"/>
              <w:rPr>
                <w:sz w:val="20"/>
                <w:szCs w:val="20"/>
                <w:color w:val="auto"/>
              </w:rPr>
            </w:pPr>
            <w:r>
              <w:rPr>
                <w:rFonts w:ascii="Times New Roman" w:cs="Times New Roman" w:eastAsia="Times New Roman" w:hAnsi="Times New Roman"/>
                <w:sz w:val="20"/>
                <w:szCs w:val="20"/>
                <w:color w:val="auto"/>
              </w:rPr>
              <w:t>0</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9.18</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08/31/2027</w:t>
            </w:r>
          </w:p>
        </w:tc>
        <w:tc>
          <w:tcPr>
            <w:tcW w:w="80" w:type="dxa"/>
            <w:vAlign w:val="bottom"/>
          </w:tcPr>
          <w:p>
            <w:pPr>
              <w:spacing w:after="0"/>
              <w:rPr>
                <w:sz w:val="20"/>
                <w:szCs w:val="20"/>
                <w:color w:val="auto"/>
              </w:rPr>
            </w:pPr>
          </w:p>
        </w:tc>
      </w:tr>
      <w:tr>
        <w:trPr>
          <w:trHeight w:val="229"/>
        </w:trPr>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20,396</w:t>
            </w:r>
          </w:p>
        </w:tc>
        <w:tc>
          <w:tcPr>
            <w:tcW w:w="80" w:type="dxa"/>
            <w:vAlign w:val="bottom"/>
          </w:tcPr>
          <w:p>
            <w:pPr>
              <w:spacing w:after="0"/>
              <w:rPr>
                <w:sz w:val="19"/>
                <w:szCs w:val="19"/>
                <w:color w:val="auto"/>
              </w:rPr>
            </w:pPr>
          </w:p>
        </w:tc>
        <w:tc>
          <w:tcPr>
            <w:tcW w:w="2220" w:type="dxa"/>
            <w:vAlign w:val="bottom"/>
            <w:gridSpan w:val="2"/>
          </w:tcPr>
          <w:p>
            <w:pPr>
              <w:jc w:val="right"/>
              <w:ind w:right="848"/>
              <w:spacing w:after="0"/>
              <w:rPr>
                <w:sz w:val="20"/>
                <w:szCs w:val="20"/>
                <w:color w:val="auto"/>
              </w:rPr>
            </w:pPr>
            <w:r>
              <w:rPr>
                <w:rFonts w:ascii="Times New Roman" w:cs="Times New Roman" w:eastAsia="Times New Roman" w:hAnsi="Times New Roman"/>
                <w:sz w:val="20"/>
                <w:szCs w:val="20"/>
                <w:color w:val="auto"/>
              </w:rPr>
              <w:t>0</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18.23</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08/31/2028</w:t>
            </w: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43,351</w:t>
            </w:r>
          </w:p>
        </w:tc>
        <w:tc>
          <w:tcPr>
            <w:tcW w:w="80" w:type="dxa"/>
            <w:vAlign w:val="bottom"/>
          </w:tcPr>
          <w:p>
            <w:pPr>
              <w:spacing w:after="0"/>
              <w:rPr>
                <w:sz w:val="20"/>
                <w:szCs w:val="20"/>
                <w:color w:val="auto"/>
              </w:rPr>
            </w:pPr>
          </w:p>
        </w:tc>
        <w:tc>
          <w:tcPr>
            <w:tcW w:w="2220" w:type="dxa"/>
            <w:vAlign w:val="bottom"/>
            <w:gridSpan w:val="2"/>
          </w:tcPr>
          <w:p>
            <w:pPr>
              <w:jc w:val="right"/>
              <w:ind w:right="848"/>
              <w:spacing w:after="0"/>
              <w:rPr>
                <w:sz w:val="20"/>
                <w:szCs w:val="20"/>
                <w:color w:val="auto"/>
              </w:rPr>
            </w:pPr>
            <w:r>
              <w:rPr>
                <w:rFonts w:ascii="Times New Roman" w:cs="Times New Roman" w:eastAsia="Times New Roman" w:hAnsi="Times New Roman"/>
                <w:sz w:val="20"/>
                <w:szCs w:val="20"/>
                <w:color w:val="auto"/>
              </w:rPr>
              <w:t>0</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10.80</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08/31/2029</w:t>
            </w:r>
          </w:p>
        </w:tc>
        <w:tc>
          <w:tcPr>
            <w:tcW w:w="80" w:type="dxa"/>
            <w:vAlign w:val="bottom"/>
          </w:tcPr>
          <w:p>
            <w:pPr>
              <w:spacing w:after="0"/>
              <w:rPr>
                <w:sz w:val="20"/>
                <w:szCs w:val="20"/>
                <w:color w:val="auto"/>
              </w:rPr>
            </w:pPr>
          </w:p>
        </w:tc>
      </w:tr>
      <w:tr>
        <w:trPr>
          <w:trHeight w:val="230"/>
        </w:trPr>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55,244</w:t>
            </w:r>
          </w:p>
        </w:tc>
        <w:tc>
          <w:tcPr>
            <w:tcW w:w="80" w:type="dxa"/>
            <w:vAlign w:val="bottom"/>
          </w:tcPr>
          <w:p>
            <w:pPr>
              <w:spacing w:after="0"/>
              <w:rPr>
                <w:sz w:val="20"/>
                <w:szCs w:val="20"/>
                <w:color w:val="auto"/>
              </w:rPr>
            </w:pPr>
          </w:p>
        </w:tc>
        <w:tc>
          <w:tcPr>
            <w:tcW w:w="2220" w:type="dxa"/>
            <w:vAlign w:val="bottom"/>
            <w:gridSpan w:val="2"/>
          </w:tcPr>
          <w:p>
            <w:pPr>
              <w:jc w:val="right"/>
              <w:ind w:right="848"/>
              <w:spacing w:after="0"/>
              <w:rPr>
                <w:sz w:val="20"/>
                <w:szCs w:val="20"/>
                <w:color w:val="auto"/>
              </w:rPr>
            </w:pPr>
            <w:r>
              <w:rPr>
                <w:rFonts w:ascii="Times New Roman" w:cs="Times New Roman" w:eastAsia="Times New Roman" w:hAnsi="Times New Roman"/>
                <w:sz w:val="20"/>
                <w:szCs w:val="20"/>
                <w:color w:val="auto"/>
              </w:rPr>
              <w:t>0</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8.24</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08/31/2030</w:t>
            </w:r>
          </w:p>
        </w:tc>
        <w:tc>
          <w:tcPr>
            <w:tcW w:w="80" w:type="dxa"/>
            <w:vAlign w:val="bottom"/>
          </w:tcPr>
          <w:p>
            <w:pPr>
              <w:spacing w:after="0"/>
              <w:rPr>
                <w:sz w:val="20"/>
                <w:szCs w:val="20"/>
                <w:color w:val="auto"/>
              </w:rPr>
            </w:pPr>
          </w:p>
        </w:tc>
      </w:tr>
      <w:tr>
        <w:trPr>
          <w:trHeight w:val="229"/>
        </w:trPr>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24,051</w:t>
            </w:r>
          </w:p>
        </w:tc>
        <w:tc>
          <w:tcPr>
            <w:tcW w:w="80" w:type="dxa"/>
            <w:vAlign w:val="bottom"/>
          </w:tcPr>
          <w:p>
            <w:pPr>
              <w:spacing w:after="0"/>
              <w:rPr>
                <w:sz w:val="19"/>
                <w:szCs w:val="19"/>
                <w:color w:val="auto"/>
              </w:rPr>
            </w:pPr>
          </w:p>
        </w:tc>
        <w:tc>
          <w:tcPr>
            <w:tcW w:w="2220" w:type="dxa"/>
            <w:vAlign w:val="bottom"/>
            <w:gridSpan w:val="2"/>
          </w:tcPr>
          <w:p>
            <w:pPr>
              <w:jc w:val="right"/>
              <w:ind w:right="848"/>
              <w:spacing w:after="0"/>
              <w:rPr>
                <w:sz w:val="20"/>
                <w:szCs w:val="20"/>
                <w:color w:val="auto"/>
              </w:rPr>
            </w:pPr>
            <w:r>
              <w:rPr>
                <w:rFonts w:ascii="Times New Roman" w:cs="Times New Roman" w:eastAsia="Times New Roman" w:hAnsi="Times New Roman"/>
                <w:sz w:val="20"/>
                <w:szCs w:val="20"/>
                <w:color w:val="auto"/>
              </w:rPr>
              <w:t>0</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16.97</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08/31/2031</w:t>
            </w: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23,414</w:t>
            </w:r>
          </w:p>
        </w:tc>
        <w:tc>
          <w:tcPr>
            <w:tcW w:w="80" w:type="dxa"/>
            <w:vAlign w:val="bottom"/>
          </w:tcPr>
          <w:p>
            <w:pPr>
              <w:spacing w:after="0"/>
              <w:rPr>
                <w:sz w:val="20"/>
                <w:szCs w:val="20"/>
                <w:color w:val="auto"/>
              </w:rPr>
            </w:pPr>
          </w:p>
        </w:tc>
        <w:tc>
          <w:tcPr>
            <w:tcW w:w="2220" w:type="dxa"/>
            <w:vAlign w:val="bottom"/>
            <w:gridSpan w:val="2"/>
          </w:tcPr>
          <w:p>
            <w:pPr>
              <w:jc w:val="right"/>
              <w:ind w:right="708"/>
              <w:spacing w:after="0" w:line="230" w:lineRule="exact"/>
              <w:rPr>
                <w:sz w:val="20"/>
                <w:szCs w:val="20"/>
                <w:color w:val="auto"/>
              </w:rPr>
            </w:pPr>
            <w:r>
              <w:rPr>
                <w:rFonts w:ascii="Times New Roman" w:cs="Times New Roman" w:eastAsia="Times New Roman" w:hAnsi="Times New Roman"/>
                <w:sz w:val="20"/>
                <w:szCs w:val="20"/>
                <w:color w:val="auto"/>
              </w:rPr>
              <w:t>11,707</w:t>
            </w:r>
            <w:r>
              <w:rPr>
                <w:rFonts w:ascii="Times New Roman" w:cs="Times New Roman" w:eastAsia="Times New Roman" w:hAnsi="Times New Roman"/>
                <w:sz w:val="25"/>
                <w:szCs w:val="25"/>
                <w:color w:val="auto"/>
                <w:vertAlign w:val="superscript"/>
              </w:rPr>
              <w:t>(2)</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11.38</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08/31/2032</w:t>
            </w:r>
          </w:p>
        </w:tc>
        <w:tc>
          <w:tcPr>
            <w:tcW w:w="80" w:type="dxa"/>
            <w:vAlign w:val="bottom"/>
          </w:tcPr>
          <w:p>
            <w:pPr>
              <w:spacing w:after="0"/>
              <w:rPr>
                <w:sz w:val="20"/>
                <w:szCs w:val="20"/>
                <w:color w:val="auto"/>
              </w:rPr>
            </w:pPr>
          </w:p>
        </w:tc>
      </w:tr>
      <w:tr>
        <w:trPr>
          <w:trHeight w:val="230"/>
        </w:trPr>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11,181</w:t>
            </w:r>
          </w:p>
        </w:tc>
        <w:tc>
          <w:tcPr>
            <w:tcW w:w="80" w:type="dxa"/>
            <w:vAlign w:val="bottom"/>
          </w:tcPr>
          <w:p>
            <w:pPr>
              <w:spacing w:after="0"/>
              <w:rPr>
                <w:sz w:val="20"/>
                <w:szCs w:val="20"/>
                <w:color w:val="auto"/>
              </w:rPr>
            </w:pPr>
          </w:p>
        </w:tc>
        <w:tc>
          <w:tcPr>
            <w:tcW w:w="2220" w:type="dxa"/>
            <w:vAlign w:val="bottom"/>
            <w:gridSpan w:val="2"/>
          </w:tcPr>
          <w:p>
            <w:pPr>
              <w:jc w:val="right"/>
              <w:ind w:right="708"/>
              <w:spacing w:after="0" w:line="230" w:lineRule="exact"/>
              <w:rPr>
                <w:sz w:val="20"/>
                <w:szCs w:val="20"/>
                <w:color w:val="auto"/>
              </w:rPr>
            </w:pPr>
            <w:r>
              <w:rPr>
                <w:rFonts w:ascii="Times New Roman" w:cs="Times New Roman" w:eastAsia="Times New Roman" w:hAnsi="Times New Roman"/>
                <w:sz w:val="20"/>
                <w:szCs w:val="20"/>
                <w:color w:val="auto"/>
              </w:rPr>
              <w:t>22,362</w:t>
            </w:r>
            <w:r>
              <w:rPr>
                <w:rFonts w:ascii="Times New Roman" w:cs="Times New Roman" w:eastAsia="Times New Roman" w:hAnsi="Times New Roman"/>
                <w:sz w:val="25"/>
                <w:szCs w:val="25"/>
                <w:color w:val="auto"/>
                <w:vertAlign w:val="superscript"/>
              </w:rPr>
              <w:t>(3)</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13.25</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08/31/2033</w:t>
            </w:r>
          </w:p>
        </w:tc>
        <w:tc>
          <w:tcPr>
            <w:tcW w:w="80" w:type="dxa"/>
            <w:vAlign w:val="bottom"/>
          </w:tcPr>
          <w:p>
            <w:pPr>
              <w:spacing w:after="0"/>
              <w:rPr>
                <w:sz w:val="20"/>
                <w:szCs w:val="20"/>
                <w:color w:val="auto"/>
              </w:rPr>
            </w:pPr>
          </w:p>
        </w:tc>
      </w:tr>
      <w:tr>
        <w:trPr>
          <w:trHeight w:val="259"/>
        </w:trPr>
        <w:tc>
          <w:tcPr>
            <w:tcW w:w="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2"/>
                <w:szCs w:val="22"/>
                <w:color w:val="auto"/>
              </w:rPr>
            </w:pPr>
          </w:p>
        </w:tc>
        <w:tc>
          <w:tcPr>
            <w:tcW w:w="2220" w:type="dxa"/>
            <w:vAlign w:val="bottom"/>
            <w:gridSpan w:val="2"/>
          </w:tcPr>
          <w:p>
            <w:pPr>
              <w:jc w:val="right"/>
              <w:ind w:right="728"/>
              <w:spacing w:after="0" w:line="259" w:lineRule="exact"/>
              <w:rPr>
                <w:sz w:val="20"/>
                <w:szCs w:val="20"/>
                <w:color w:val="auto"/>
              </w:rPr>
            </w:pPr>
            <w:r>
              <w:rPr>
                <w:rFonts w:ascii="Times New Roman" w:cs="Times New Roman" w:eastAsia="Times New Roman" w:hAnsi="Times New Roman"/>
                <w:sz w:val="20"/>
                <w:szCs w:val="20"/>
                <w:color w:val="auto"/>
              </w:rPr>
              <w:t>33,156</w:t>
            </w:r>
            <w:r>
              <w:rPr>
                <w:rFonts w:ascii="Times New Roman" w:cs="Times New Roman" w:eastAsia="Times New Roman" w:hAnsi="Times New Roman"/>
                <w:sz w:val="25"/>
                <w:szCs w:val="25"/>
                <w:color w:val="auto"/>
                <w:vertAlign w:val="superscript"/>
              </w:rPr>
              <w:t>(4)</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20"/>
                <w:szCs w:val="20"/>
                <w:color w:val="auto"/>
              </w:rPr>
              <w:t>13.26</w:t>
            </w:r>
          </w:p>
        </w:tc>
        <w:tc>
          <w:tcPr>
            <w:tcW w:w="1500" w:type="dxa"/>
            <w:vAlign w:val="bottom"/>
            <w:gridSpan w:val="3"/>
          </w:tcPr>
          <w:p>
            <w:pPr>
              <w:jc w:val="center"/>
              <w:ind w:left="80"/>
              <w:spacing w:after="0"/>
              <w:rPr>
                <w:sz w:val="20"/>
                <w:szCs w:val="20"/>
                <w:color w:val="auto"/>
              </w:rPr>
            </w:pPr>
            <w:r>
              <w:rPr>
                <w:rFonts w:ascii="Times New Roman" w:cs="Times New Roman" w:eastAsia="Times New Roman" w:hAnsi="Times New Roman"/>
                <w:sz w:val="20"/>
                <w:szCs w:val="20"/>
                <w:color w:val="auto"/>
              </w:rPr>
              <w:t>08/31/2034</w:t>
            </w:r>
          </w:p>
        </w:tc>
        <w:tc>
          <w:tcPr>
            <w:tcW w:w="80" w:type="dxa"/>
            <w:vAlign w:val="bottom"/>
          </w:tcPr>
          <w:p>
            <w:pPr>
              <w:spacing w:after="0"/>
              <w:rPr>
                <w:sz w:val="22"/>
                <w:szCs w:val="22"/>
                <w:color w:val="auto"/>
              </w:rPr>
            </w:pPr>
          </w:p>
        </w:tc>
      </w:tr>
    </w:tbl>
    <w:p>
      <w:pPr>
        <w:ind w:left="100"/>
        <w:spacing w:after="0" w:line="238" w:lineRule="auto"/>
        <w:rPr>
          <w:sz w:val="20"/>
          <w:szCs w:val="20"/>
          <w:color w:val="auto"/>
        </w:rPr>
      </w:pPr>
      <w:r>
        <w:rPr>
          <w:rFonts w:ascii="Times New Roman" w:cs="Times New Roman" w:eastAsia="Times New Roman" w:hAnsi="Times New Roman"/>
          <w:sz w:val="22"/>
          <w:szCs w:val="22"/>
          <w:color w:val="auto"/>
        </w:rPr>
        <w:t>__________________________</w:t>
      </w:r>
    </w:p>
    <w:p>
      <w:pPr>
        <w:ind w:left="820" w:right="140" w:hanging="720"/>
        <w:spacing w:after="0" w:line="242" w:lineRule="auto"/>
        <w:tabs>
          <w:tab w:leader="none" w:pos="8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options described in this table were granted under the Northern Technologies International Corporation 2019 Stock Incentive Plan or the Northern Technologies International Corporation Amended and Restated 2007 Stock Incentive Plan. Under these plans, upon the occurrence of a change in control, the unvested and unexercisable options will be accelerated and become fully vested and immediately exercisable as of the date of the change in control. For more information, we refer you to the discussion below under “—</w:t>
      </w:r>
      <w:r>
        <w:rPr>
          <w:rFonts w:ascii="Times New Roman" w:cs="Times New Roman" w:eastAsia="Times New Roman" w:hAnsi="Times New Roman"/>
          <w:sz w:val="20"/>
          <w:szCs w:val="20"/>
          <w:i w:val="1"/>
          <w:iCs w:val="1"/>
          <w:color w:val="auto"/>
        </w:rPr>
        <w:t>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Incentive Plans</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ind w:left="820" w:right="180" w:hanging="720"/>
        <w:spacing w:after="0" w:line="305" w:lineRule="auto"/>
        <w:tabs>
          <w:tab w:leader="none" w:pos="8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These options vest over a three-year period, with one-third of the underlying shares vesting on each of September 1, 2023, 2024 and 2025 so long as the individual remains an employee of NTIC as of such date.</w:t>
      </w:r>
    </w:p>
    <w:p>
      <w:pPr>
        <w:spacing w:after="0" w:line="144" w:lineRule="exact"/>
        <w:rPr>
          <w:rFonts w:ascii="Times New Roman" w:cs="Times New Roman" w:eastAsia="Times New Roman" w:hAnsi="Times New Roman"/>
          <w:sz w:val="19"/>
          <w:szCs w:val="19"/>
          <w:color w:val="auto"/>
        </w:rPr>
      </w:pPr>
    </w:p>
    <w:p>
      <w:pPr>
        <w:ind w:left="820" w:right="180" w:hanging="720"/>
        <w:spacing w:after="0" w:line="305" w:lineRule="auto"/>
        <w:tabs>
          <w:tab w:leader="none" w:pos="8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These options vest over a three-year period, with one-third of the underlying shares vesting on each of September 1, 2024, 2025 and 2026 so long as the individual remains an employee of NTIC as of such date.</w:t>
      </w:r>
    </w:p>
    <w:p>
      <w:pPr>
        <w:spacing w:after="0" w:line="145" w:lineRule="exact"/>
        <w:rPr>
          <w:rFonts w:ascii="Times New Roman" w:cs="Times New Roman" w:eastAsia="Times New Roman" w:hAnsi="Times New Roman"/>
          <w:sz w:val="19"/>
          <w:szCs w:val="19"/>
          <w:color w:val="auto"/>
        </w:rPr>
      </w:pPr>
    </w:p>
    <w:p>
      <w:pPr>
        <w:ind w:left="820" w:right="180" w:hanging="720"/>
        <w:spacing w:after="0" w:line="305" w:lineRule="auto"/>
        <w:tabs>
          <w:tab w:leader="none" w:pos="8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These options vest over a three-year period, with one-third of the underlying shares vesting on each of September 1, 2025, 2026 and 2027 so long as the individual remains an employee of NTIC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2240" w:h="15840" w:orient="portrait"/>
          <w:cols w:equalWidth="0" w:num="1">
            <w:col w:w="9560"/>
          </w:cols>
          <w:pgMar w:left="1340" w:top="1413" w:right="1340" w:bottom="178" w:gutter="0" w:footer="0" w:header="0"/>
        </w:sectPr>
      </w:pPr>
    </w:p>
    <w:bookmarkStart w:id="69" w:name="page70"/>
    <w:bookmarkEnd w:id="69"/>
    <w:p>
      <w:pPr>
        <w:ind w:right="140"/>
        <w:spacing w:after="0" w:line="288" w:lineRule="auto"/>
        <w:rPr>
          <w:sz w:val="20"/>
          <w:szCs w:val="20"/>
          <w:color w:val="auto"/>
        </w:rPr>
      </w:pPr>
      <w:r>
        <w:rPr>
          <w:rFonts w:ascii="Times New Roman" w:cs="Times New Roman" w:eastAsia="Times New Roman" w:hAnsi="Times New Roman"/>
          <w:sz w:val="22"/>
          <w:szCs w:val="22"/>
          <w:b w:val="1"/>
          <w:bCs w:val="1"/>
          <w:color w:val="auto"/>
        </w:rPr>
        <w:t>Policies and Practices Related to the Grant of Certain Equity Awards Close to Time to the Release of Material Nonpublic Information</w:t>
      </w:r>
    </w:p>
    <w:p>
      <w:pPr>
        <w:spacing w:after="0" w:line="14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With respect to the timing of equity awards, our practice is to grant annual equity awards on September 1 of each year. This timing is dependent upon a sufficient number of shares of our common stock reserved under our stockholder-approved equity plan. If there is an insufficient number of shares of our common stock reserved under our stockholder-approved equity plan, then the timing of our equity grants may be delayed until shortly after stockholder approval of a new equity plan or an increase in the share reserve under the existing plan. We intend not to grant stock options or similar awards in anticipation of the release of material nonpublic information that is likely to result in changes to the price of our common stock, such as a significant positive or negative earnings announcement, and not to time the public release of such information based on stock option grant dates.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Incentive Plans</w:t>
      </w:r>
    </w:p>
    <w:p>
      <w:pPr>
        <w:spacing w:after="0" w:line="24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2"/>
          <w:szCs w:val="22"/>
          <w:color w:val="auto"/>
        </w:rPr>
        <w:t>We have three stock incentive plans under which stock options are currently outstanding: the Northern Technologies International Corporation 2024 Stock Incentive Plan, the Northern Technologies International Corporation Amended and Restated 2019 Stock Incentive Plan and the Northern Technologies International Corporation Amended and Restated 2007 Stock Incentive Plan. However, future stock incentive awards may only be granted under the Northern Technologies International Corporation 2024 Stock Incentive Plan. Under the terms of the 2024 plan, our named executive officers, in addition to other employees and individuals, are eligible to receive stock-based compensation awards, such as stock options, stock appreciation rights, restricted stock awards, restricted stock units, deferred stock units, performance awards, and other stock- based awards. To date, only incentive and non-statutory stock options and restricted stock units have been granted under the 2024 plan. The 2024 plan contains both an overall limit on the number of shares of our common stock that may be issued and a limit on the number of full-value awards. The 2024 plan also contains a limit on total non-employee director compensation.</w:t>
      </w:r>
    </w:p>
    <w:p>
      <w:pPr>
        <w:spacing w:after="0" w:line="19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2"/>
          <w:szCs w:val="22"/>
          <w:color w:val="auto"/>
        </w:rPr>
        <w:t>Incentive stock options must be granted with a per share exercise price equal to at least the fair market value of a share of our common stock on the date of grant. For the purposes of the 2024 plan, the fair market value of our common stock is the mean between the reported high and low sale price of our common stock, as reported by the Nasdaq Global Market. We generally set the per share exercise price of all stock options granted under the 2024 plan at an amount equal to the fair market value of a share of our common stock on the date of grant.</w:t>
      </w:r>
    </w:p>
    <w:p>
      <w:pPr>
        <w:spacing w:after="0" w:line="196" w:lineRule="exact"/>
        <w:rPr>
          <w:sz w:val="20"/>
          <w:szCs w:val="20"/>
          <w:color w:val="auto"/>
        </w:rPr>
      </w:pPr>
    </w:p>
    <w:p>
      <w:pPr>
        <w:ind w:right="60" w:firstLine="1"/>
        <w:spacing w:after="0" w:line="243" w:lineRule="auto"/>
        <w:rPr>
          <w:sz w:val="20"/>
          <w:szCs w:val="20"/>
          <w:color w:val="auto"/>
        </w:rPr>
      </w:pPr>
      <w:r>
        <w:rPr>
          <w:rFonts w:ascii="Times New Roman" w:cs="Times New Roman" w:eastAsia="Times New Roman" w:hAnsi="Times New Roman"/>
          <w:sz w:val="22"/>
          <w:szCs w:val="22"/>
          <w:color w:val="auto"/>
        </w:rPr>
        <w:t>Except in connection with certain specified changes in our corporate structure or shares, the Board of Directors or Compensation Committee may not, without prior approval of our stockholders, seek to effect any re-pricing of any previously granted, “underwater” option or stock appreciation right by amending or modifying the terms of the underwater option or stock appreciation right to lower the exercise price or grant price, cancelling the underwater option or stock appreciation right in exchange for cash, replacement options or stock appreciation rights having a lower exercise price or grant price, or other incentive awards, repurchasing the underwater options or stock appreciation rights and granting new incentive awards under the 2024 plan or a re-pricing within the meaning of the applicable accounting standard. For purposes of the 2024 plan, an option or stock appreciation right is deemed to be “underwater” at any time when the fair market value of our common stock is less than the exercise price or grant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2240" w:h="15840" w:orient="portrait"/>
          <w:cols w:equalWidth="0" w:num="1">
            <w:col w:w="9360"/>
          </w:cols>
          <w:pgMar w:left="1440" w:top="1413" w:right="1440" w:bottom="178" w:gutter="0" w:footer="0" w:header="0"/>
        </w:sectPr>
      </w:pPr>
    </w:p>
    <w:bookmarkStart w:id="70" w:name="page71"/>
    <w:bookmarkEnd w:id="70"/>
    <w:p>
      <w:pPr>
        <w:ind w:right="60"/>
        <w:spacing w:after="0" w:line="252" w:lineRule="auto"/>
        <w:rPr>
          <w:sz w:val="20"/>
          <w:szCs w:val="20"/>
          <w:color w:val="auto"/>
        </w:rPr>
      </w:pPr>
      <w:r>
        <w:rPr>
          <w:rFonts w:ascii="Times New Roman" w:cs="Times New Roman" w:eastAsia="Times New Roman" w:hAnsi="Times New Roman"/>
          <w:sz w:val="22"/>
          <w:szCs w:val="22"/>
          <w:color w:val="auto"/>
        </w:rPr>
        <w:t>We generally provide for the vesting of stock options in equal annual installments over a three -year period commencing on the one-year anniversary of the date of grant for employees and in full on the one-year anniversary of the date of grant for non-employee directors. We generally provide option terms of ten years.</w:t>
      </w:r>
    </w:p>
    <w:p>
      <w:pPr>
        <w:spacing w:after="0" w:line="18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Optionees may pay the exercise price of stock options in cash, except that the Compensation Committee may allow payment to be made (in whole or in part) by (1) using a broker-assisted cashless exercise procedure pursuant to which the optionee, upon exercise of an option, irrevocably instructs a broker or dealer to sell a sufficient number of shares of our common stock or loan a sufficient amount of money to pay all or a portion of the exercise price of the option and/or any related withholding tax obligations and remit such sums to us and directs us to deliver stock certificates to be issued upon such exercise directly to such broker or dealer; (2) using a cashless exercise procedure pursuant to which the optionee surrenders to us shares of our common stock either underlying the option or that are otherwise held by the optionee; or (3) by any other method approved or accepted by the Compensation Committee in its sole discretion.</w:t>
      </w:r>
    </w:p>
    <w:p>
      <w:pPr>
        <w:spacing w:after="0" w:line="19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1"/>
          <w:szCs w:val="21"/>
          <w:color w:val="auto"/>
        </w:rPr>
        <w:t>Under the terms of the 2024 plan, unless otherwise provided in a separate agreement or amended in connection with an optionee’s termination of employment, if a named executive officer’s employment or service with NTIC terminates for any reason, the unvested portion of the options held by such officer will immediately terminate, and the executive’s right to exercise the then vested portion of the options will:</w:t>
      </w:r>
    </w:p>
    <w:p>
      <w:pPr>
        <w:spacing w:after="0" w:line="190" w:lineRule="exact"/>
        <w:rPr>
          <w:sz w:val="20"/>
          <w:szCs w:val="20"/>
          <w:color w:val="auto"/>
        </w:rPr>
      </w:pPr>
    </w:p>
    <w:p>
      <w:pPr>
        <w:ind w:left="1080" w:right="540" w:hanging="360"/>
        <w:spacing w:after="0" w:line="258" w:lineRule="auto"/>
        <w:tabs>
          <w:tab w:leader="none" w:pos="1080" w:val="left"/>
        </w:tabs>
        <w:numPr>
          <w:ilvl w:val="0"/>
          <w:numId w:val="50"/>
        </w:numPr>
        <w:rPr>
          <w:rFonts w:ascii="Arial" w:cs="Arial" w:eastAsia="Arial" w:hAnsi="Arial"/>
          <w:sz w:val="22"/>
          <w:szCs w:val="22"/>
          <w:color w:val="auto"/>
        </w:rPr>
      </w:pPr>
      <w:r>
        <w:rPr>
          <w:rFonts w:ascii="Times New Roman" w:cs="Times New Roman" w:eastAsia="Times New Roman" w:hAnsi="Times New Roman"/>
          <w:sz w:val="22"/>
          <w:szCs w:val="22"/>
          <w:color w:val="auto"/>
        </w:rPr>
        <w:t>immediately terminate if the executive’s employment or service relationship with NTIC terminates for “cause”;</w:t>
      </w:r>
    </w:p>
    <w:p>
      <w:pPr>
        <w:ind w:left="1080" w:right="40" w:hanging="360"/>
        <w:spacing w:after="0" w:line="247" w:lineRule="auto"/>
        <w:tabs>
          <w:tab w:leader="none" w:pos="1080" w:val="left"/>
        </w:tabs>
        <w:numPr>
          <w:ilvl w:val="0"/>
          <w:numId w:val="50"/>
        </w:numPr>
        <w:rPr>
          <w:rFonts w:ascii="Arial" w:cs="Arial" w:eastAsia="Arial" w:hAnsi="Arial"/>
          <w:sz w:val="22"/>
          <w:szCs w:val="22"/>
          <w:color w:val="auto"/>
        </w:rPr>
      </w:pPr>
      <w:r>
        <w:rPr>
          <w:rFonts w:ascii="Times New Roman" w:cs="Times New Roman" w:eastAsia="Times New Roman" w:hAnsi="Times New Roman"/>
          <w:sz w:val="22"/>
          <w:szCs w:val="22"/>
          <w:color w:val="auto"/>
        </w:rPr>
        <w:t>continue for a period of 12 months if the executive’s employment or service relationship with NTIC terminates as a result of the executive’s death, disability or retirement; or</w:t>
      </w:r>
    </w:p>
    <w:p>
      <w:pPr>
        <w:ind w:left="1080" w:right="260" w:hanging="360"/>
        <w:spacing w:after="0" w:line="247" w:lineRule="auto"/>
        <w:tabs>
          <w:tab w:leader="none" w:pos="1080" w:val="left"/>
        </w:tabs>
        <w:numPr>
          <w:ilvl w:val="0"/>
          <w:numId w:val="50"/>
        </w:numPr>
        <w:rPr>
          <w:rFonts w:ascii="Arial" w:cs="Arial" w:eastAsia="Arial" w:hAnsi="Arial"/>
          <w:sz w:val="22"/>
          <w:szCs w:val="22"/>
          <w:color w:val="auto"/>
        </w:rPr>
      </w:pPr>
      <w:r>
        <w:rPr>
          <w:rFonts w:ascii="Times New Roman" w:cs="Times New Roman" w:eastAsia="Times New Roman" w:hAnsi="Times New Roman"/>
          <w:sz w:val="22"/>
          <w:szCs w:val="22"/>
          <w:color w:val="auto"/>
        </w:rPr>
        <w:t>continue for a period of three months if the executive’s employment or service relationship with NTIC terminates for any reason, other than for cause or upon death, disability or retirement.</w:t>
      </w:r>
    </w:p>
    <w:p>
      <w:pPr>
        <w:spacing w:after="0" w:line="193"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22"/>
          <w:szCs w:val="22"/>
          <w:color w:val="auto"/>
        </w:rPr>
        <w:t>As set forth in the 2024 plan, the term “cause” is as defined in any employment or other agreement or policy applicable to the named executive officer or, if no such agreement or policy exists, means</w:t>
      </w:r>
    </w:p>
    <w:p>
      <w:pPr>
        <w:spacing w:after="0" w:line="2" w:lineRule="exact"/>
        <w:rPr>
          <w:sz w:val="20"/>
          <w:szCs w:val="20"/>
          <w:color w:val="auto"/>
        </w:rPr>
      </w:pPr>
    </w:p>
    <w:p>
      <w:pPr>
        <w:ind w:right="20"/>
        <w:spacing w:after="0" w:line="242" w:lineRule="auto"/>
        <w:tabs>
          <w:tab w:leader="none" w:pos="26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dishonesty, fraud, misrepresentation, embezzlement or other act of dishonesty with respect to us or any subsidiary, (ii) any unlawful or criminal activity of a serious nature, (iii) any intentional and deliberate breach of a duty or duties that, individually or in the aggregate, are material in relation to the overall duties, or (iv) any material breach by a participant of any employment, service, confidentiality or non-compete agreement entered into with us or any subsidiary.</w:t>
      </w:r>
    </w:p>
    <w:p>
      <w:pPr>
        <w:spacing w:after="0" w:line="19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Under the terms of the 2024 plan, if a participant is determined by the committee to have taken any action that would constitute “cause” or an “adverse action” during or within one year after the termination of the participant’s employment or other service with NTIC, all rights of the participant under the 2024 plan and any incentive award agreements then held by the participant will terminate and be forfeited without notice of any kind, and the committee may rescind the exercise, vesting or issuance of, or payment in respect of, any incentive awards of the participant that were exercised, vested or issued, or as to which such payment was made, and require the participant to pay any amount received or the amount of any gain realized as a result of such rescinded exercise, vesting, issuance or payment. Additionally, as applicable, we may defer the exercise of any option or stock appreciation right for a period of up to six months after receipt of a participant’s written notice of exercise or the issuance of share certificates upon the vesting of any incentive award for a period of up to six months after the date of such vesting in order for the committee to make any determination as to the existence of cause or an adverse action. An “adverse action” includes any of the following actions or conduct that the committee determines to be injurious, detrimental, prejudicial or adverse to our interests: (i) disclosing any confidential information of NTIC or any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2240" w:h="15840" w:orient="portrait"/>
          <w:cols w:equalWidth="0" w:num="1">
            <w:col w:w="9360"/>
          </w:cols>
          <w:pgMar w:left="1440" w:top="1417" w:right="1440" w:bottom="178" w:gutter="0" w:footer="0" w:header="0"/>
        </w:sectPr>
      </w:pPr>
    </w:p>
    <w:bookmarkStart w:id="71" w:name="page72"/>
    <w:bookmarkEnd w:id="71"/>
    <w:p>
      <w:pPr>
        <w:ind w:right="160"/>
        <w:spacing w:after="0" w:line="249" w:lineRule="auto"/>
        <w:rPr>
          <w:sz w:val="20"/>
          <w:szCs w:val="20"/>
          <w:color w:val="auto"/>
        </w:rPr>
      </w:pPr>
      <w:r>
        <w:rPr>
          <w:rFonts w:ascii="Times New Roman" w:cs="Times New Roman" w:eastAsia="Times New Roman" w:hAnsi="Times New Roman"/>
          <w:sz w:val="22"/>
          <w:szCs w:val="22"/>
          <w:color w:val="auto"/>
        </w:rPr>
        <w:t>subsidiary to any person not authorized to receive it; (ii) engaging, directly or indirectly, in any commercial activity that in the judgment of the committee competes with our business or the business of any of our subsidiaries; or (iii) interfering with our relationships or the relationships of our subsidiaries and our and their respective employees, independent contractors, customers, prospective customers and vendors.</w:t>
      </w:r>
    </w:p>
    <w:p>
      <w:pPr>
        <w:spacing w:after="0" w:line="19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As described in more detail under “—</w:t>
      </w:r>
      <w:r>
        <w:rPr>
          <w:rFonts w:ascii="Times New Roman" w:cs="Times New Roman" w:eastAsia="Times New Roman" w:hAnsi="Times New Roman"/>
          <w:sz w:val="22"/>
          <w:szCs w:val="22"/>
          <w:i w:val="1"/>
          <w:iCs w:val="1"/>
          <w:color w:val="auto"/>
        </w:rPr>
        <w:t>Post-Termination Severance and Change in Control Arrangements</w:t>
      </w:r>
      <w:r>
        <w:rPr>
          <w:rFonts w:ascii="Times New Roman" w:cs="Times New Roman" w:eastAsia="Times New Roman" w:hAnsi="Times New Roman"/>
          <w:sz w:val="22"/>
          <w:szCs w:val="22"/>
          <w:color w:val="auto"/>
        </w:rPr>
        <w:t>” if there is a change in control of NTIC, then, under the terms of agreements evidencing options granted to our named executive officers and other employees under the 2024 plan, all outstanding options will become immediately exercisable in full and will remain exercisable for the remainder of their terms, regardless of whether the executive to whom such options have been granted remains in the employ or service of us or any of our subsidiaries.</w:t>
      </w:r>
    </w:p>
    <w:p>
      <w:pPr>
        <w:spacing w:after="0" w:line="196"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2"/>
          <w:szCs w:val="22"/>
          <w:color w:val="auto"/>
        </w:rPr>
        <w:t>For the most part, the material terms of the prior two stock incentive plans are substantially similar to the 2024 plan described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Post-Termination Severance and Change in Control Arrangements</w:t>
      </w:r>
    </w:p>
    <w:p>
      <w:pPr>
        <w:spacing w:after="0" w:line="243"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22"/>
          <w:szCs w:val="22"/>
          <w:color w:val="auto"/>
        </w:rPr>
        <w:t>We have entered into employment agreements with G. Patrick Lynch, NTIC’s President and Chief Executive Officer, and Matthew C. Wolsfeld, NTIC’s Chief Financial Officer and Corporate Secretary. Although each executive’s employment with NTIC remains “at will,” the employment agreements provide each executive with certain severance benefits in the event the executive’s employment is terminated by us without “cause” or by the executive for “good reason” and the executive executes and does not revoke a separation agreement and a release of all claims.</w:t>
      </w:r>
    </w:p>
    <w:p>
      <w:pPr>
        <w:spacing w:after="0" w:line="19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2"/>
          <w:szCs w:val="22"/>
          <w:color w:val="auto"/>
        </w:rPr>
        <w:t>If an executive’s employment is terminated by us without “cause” or by the executive for “good reason,” in addition to any accrued but unpaid salary and benefits through the date of termination, the executive will be entitled to a severance cash payment from us in an amount equal to two times (one and one-half times, in the case of Mr. Wolsfeld) the executive’s average total annual compensation for the two most recently completed fiscal years. The average total annual compensation will be determined based on the calculation used to determine total compensation in the Summary Compensation Table. Accordingly, it will not include equity gains; only, the grant date fair value of equity grants. Additionally, the CEO and CFO are eligible to receive a pro rata portion of the target bonus that the executive otherwise would have been eligible to receive under our bonus plan for the fiscal year during which the executive’s employment is terminated, with such pro rata portion based on the number of complete months during the fiscal year that the executive was employed with NTIC. The severance payment will be paid in several installments in the form of salary continuation in accordance with our normal payroll practices over a 24-month period (18 month period, in the case of Mr. Wolsfeld). If, however, the termination event occurs within 24 months after a change in control of NTIC, the severance payment will be paid in one lump sum. If the executive is eligible for and timely elects continued coverage under our group medical plan, group dental plan and/or group vision plan pursuant to Section 4980B of the Internal Revenue Code of 1986, as amended (referred to as “COBRA”), for each of the first 18 months of the COBRA continuation period, we also will reimburse the executive in an amount equal to the difference between the amount the executive pays for such COBRA continuation coverage each month and the amount paid by a full-time active employee each month for the same level of coverage elected by the executive. In addition, all outstanding and unvested options to purchase shares of our common stock and other stock incentive awards granted to the executive under our stock incentive plan will become immediately vested and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2240" w:h="15840" w:orient="portrait"/>
          <w:cols w:equalWidth="0" w:num="1">
            <w:col w:w="9360"/>
          </w:cols>
          <w:pgMar w:left="1440" w:top="1417" w:right="1440" w:bottom="178" w:gutter="0" w:footer="0" w:header="0"/>
        </w:sectPr>
      </w:pPr>
    </w:p>
    <w:bookmarkStart w:id="72" w:name="page73"/>
    <w:bookmarkEnd w:id="72"/>
    <w:p>
      <w:pPr>
        <w:ind w:right="40"/>
        <w:spacing w:after="0" w:line="244" w:lineRule="auto"/>
        <w:rPr>
          <w:sz w:val="20"/>
          <w:szCs w:val="20"/>
          <w:color w:val="auto"/>
        </w:rPr>
      </w:pPr>
      <w:r>
        <w:rPr>
          <w:rFonts w:ascii="Times New Roman" w:cs="Times New Roman" w:eastAsia="Times New Roman" w:hAnsi="Times New Roman"/>
          <w:sz w:val="22"/>
          <w:szCs w:val="22"/>
          <w:color w:val="auto"/>
        </w:rPr>
        <w:t>Under the employment agreements, “cause” is defined as (i) the executive’s material breach of any of the executive’s obligations under the employment agreement or the executive’s willful and continued failure or refusal to perform his duties, responsibilities and obligations as an executive officer of NTIC, for reasons other than the executive’s disability, to the satisfaction of the Board of Directors; (ii) the executive’s commission of an act of dishonesty, fraud, embezzlement, misappropriation, or intentional and deliberate injury or material breach of fiduciary duty, or material breach of the duty of loyalty related to or against us or our business, or any unlawful or criminal activity of a serious nature involving any felony, or conviction by a court of competent jurisdiction of, or pleading guilty or nolo contendere to, any felony or any crime involving moral turpitude; or (iii) the existence of any court order or settlement agreement prohibiting the executive’s continued employment with NTIC.</w:t>
      </w:r>
    </w:p>
    <w:p>
      <w:pPr>
        <w:spacing w:after="0" w:line="19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“Good reason” is defined as (i) a material diminution in the executive’s authority, duties or responsibilities; (ii) a material diminution in the executive’s annual base salary; (iii) a material change in the geographic location at which we require the executive to provide services, except for travel reasonably required in the performance of the executive’s responsibilities; or (iv) any action or inaction that constitutes a material breach by us of the employment agreement.</w:t>
      </w:r>
    </w:p>
    <w:p>
      <w:pPr>
        <w:spacing w:after="0" w:line="19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“Change in control” has the meaning assigned to such term in our stock incentive plan as in effect from time to time to the extent such change in control is a “change of control event” as defined under Code Section 409A and applicable Internal Revenue Service regulations. Under the terms of our stock incentive plan, a “change in control” means:</w:t>
      </w:r>
    </w:p>
    <w:p>
      <w:pPr>
        <w:spacing w:after="0" w:line="200" w:lineRule="exact"/>
        <w:rPr>
          <w:sz w:val="20"/>
          <w:szCs w:val="20"/>
          <w:color w:val="auto"/>
        </w:rPr>
      </w:pPr>
    </w:p>
    <w:p>
      <w:pPr>
        <w:ind w:left="1080" w:right="920" w:hanging="360"/>
        <w:spacing w:after="0" w:line="258" w:lineRule="auto"/>
        <w:tabs>
          <w:tab w:leader="none" w:pos="1080" w:val="left"/>
        </w:tabs>
        <w:numPr>
          <w:ilvl w:val="0"/>
          <w:numId w:val="52"/>
        </w:numPr>
        <w:rPr>
          <w:rFonts w:ascii="Arial" w:cs="Arial" w:eastAsia="Arial" w:hAnsi="Arial"/>
          <w:sz w:val="22"/>
          <w:szCs w:val="22"/>
          <w:color w:val="auto"/>
        </w:rPr>
      </w:pPr>
      <w:r>
        <w:rPr>
          <w:rFonts w:ascii="Times New Roman" w:cs="Times New Roman" w:eastAsia="Times New Roman" w:hAnsi="Times New Roman"/>
          <w:sz w:val="22"/>
          <w:szCs w:val="22"/>
          <w:color w:val="auto"/>
        </w:rPr>
        <w:t>the sale, lease, exchange or other transfer of all or substantially all of our assets to a corporation that is not controlled by us;</w:t>
      </w:r>
    </w:p>
    <w:p>
      <w:pPr>
        <w:spacing w:after="0" w:line="1" w:lineRule="exact"/>
        <w:rPr>
          <w:rFonts w:ascii="Arial" w:cs="Arial" w:eastAsia="Arial" w:hAnsi="Arial"/>
          <w:sz w:val="22"/>
          <w:szCs w:val="22"/>
          <w:color w:val="auto"/>
        </w:rPr>
      </w:pPr>
    </w:p>
    <w:p>
      <w:pPr>
        <w:ind w:left="1080" w:hanging="360"/>
        <w:spacing w:after="0"/>
        <w:tabs>
          <w:tab w:leader="none" w:pos="1080" w:val="left"/>
        </w:tabs>
        <w:numPr>
          <w:ilvl w:val="0"/>
          <w:numId w:val="52"/>
        </w:numPr>
        <w:rPr>
          <w:rFonts w:ascii="Arial" w:cs="Arial" w:eastAsia="Arial" w:hAnsi="Arial"/>
          <w:sz w:val="22"/>
          <w:szCs w:val="22"/>
          <w:color w:val="auto"/>
        </w:rPr>
      </w:pPr>
      <w:r>
        <w:rPr>
          <w:rFonts w:ascii="Times New Roman" w:cs="Times New Roman" w:eastAsia="Times New Roman" w:hAnsi="Times New Roman"/>
          <w:sz w:val="22"/>
          <w:szCs w:val="22"/>
          <w:color w:val="auto"/>
        </w:rPr>
        <w:t>the approval by our stockholders of any plan or proposal for our liquidation or dissolution;</w:t>
      </w:r>
    </w:p>
    <w:p>
      <w:pPr>
        <w:spacing w:after="0" w:line="14" w:lineRule="exact"/>
        <w:rPr>
          <w:rFonts w:ascii="Arial" w:cs="Arial" w:eastAsia="Arial" w:hAnsi="Arial"/>
          <w:sz w:val="22"/>
          <w:szCs w:val="22"/>
          <w:color w:val="auto"/>
        </w:rPr>
      </w:pPr>
    </w:p>
    <w:p>
      <w:pPr>
        <w:ind w:left="1080" w:hanging="360"/>
        <w:spacing w:after="0"/>
        <w:tabs>
          <w:tab w:leader="none" w:pos="1080" w:val="left"/>
        </w:tabs>
        <w:numPr>
          <w:ilvl w:val="0"/>
          <w:numId w:val="52"/>
        </w:numPr>
        <w:rPr>
          <w:rFonts w:ascii="Arial" w:cs="Arial" w:eastAsia="Arial" w:hAnsi="Arial"/>
          <w:sz w:val="22"/>
          <w:szCs w:val="22"/>
          <w:color w:val="auto"/>
        </w:rPr>
      </w:pPr>
      <w:r>
        <w:rPr>
          <w:rFonts w:ascii="Times New Roman" w:cs="Times New Roman" w:eastAsia="Times New Roman" w:hAnsi="Times New Roman"/>
          <w:sz w:val="22"/>
          <w:szCs w:val="22"/>
          <w:color w:val="auto"/>
        </w:rPr>
        <w:t>certain merger or business combination transactions;</w:t>
      </w:r>
    </w:p>
    <w:p>
      <w:pPr>
        <w:spacing w:after="0" w:line="14" w:lineRule="exact"/>
        <w:rPr>
          <w:rFonts w:ascii="Arial" w:cs="Arial" w:eastAsia="Arial" w:hAnsi="Arial"/>
          <w:sz w:val="22"/>
          <w:szCs w:val="22"/>
          <w:color w:val="auto"/>
        </w:rPr>
      </w:pPr>
    </w:p>
    <w:p>
      <w:pPr>
        <w:ind w:left="1080" w:right="240" w:hanging="361"/>
        <w:spacing w:after="0" w:line="258" w:lineRule="auto"/>
        <w:tabs>
          <w:tab w:leader="none" w:pos="1080" w:val="left"/>
        </w:tabs>
        <w:numPr>
          <w:ilvl w:val="0"/>
          <w:numId w:val="52"/>
        </w:numPr>
        <w:rPr>
          <w:rFonts w:ascii="Arial" w:cs="Arial" w:eastAsia="Arial" w:hAnsi="Arial"/>
          <w:sz w:val="21"/>
          <w:szCs w:val="21"/>
          <w:color w:val="auto"/>
        </w:rPr>
      </w:pPr>
      <w:r>
        <w:rPr>
          <w:rFonts w:ascii="Times New Roman" w:cs="Times New Roman" w:eastAsia="Times New Roman" w:hAnsi="Times New Roman"/>
          <w:sz w:val="21"/>
          <w:szCs w:val="21"/>
          <w:color w:val="auto"/>
        </w:rPr>
        <w:t>more than 40% of our outstanding voting shares are acquired by any person or group of persons who did not own any shares of common stock on the effective date of the plan; and</w:t>
      </w:r>
    </w:p>
    <w:p>
      <w:pPr>
        <w:spacing w:after="0" w:line="1" w:lineRule="exact"/>
        <w:rPr>
          <w:rFonts w:ascii="Arial" w:cs="Arial" w:eastAsia="Arial" w:hAnsi="Arial"/>
          <w:sz w:val="21"/>
          <w:szCs w:val="21"/>
          <w:color w:val="auto"/>
        </w:rPr>
      </w:pPr>
    </w:p>
    <w:p>
      <w:pPr>
        <w:ind w:left="1080" w:hanging="361"/>
        <w:spacing w:after="0"/>
        <w:tabs>
          <w:tab w:leader="none" w:pos="1080" w:val="left"/>
        </w:tabs>
        <w:numPr>
          <w:ilvl w:val="0"/>
          <w:numId w:val="52"/>
        </w:numPr>
        <w:rPr>
          <w:rFonts w:ascii="Arial" w:cs="Arial" w:eastAsia="Arial" w:hAnsi="Arial"/>
          <w:sz w:val="22"/>
          <w:szCs w:val="22"/>
          <w:color w:val="auto"/>
        </w:rPr>
      </w:pPr>
      <w:r>
        <w:rPr>
          <w:rFonts w:ascii="Times New Roman" w:cs="Times New Roman" w:eastAsia="Times New Roman" w:hAnsi="Times New Roman"/>
          <w:sz w:val="22"/>
          <w:szCs w:val="22"/>
          <w:color w:val="auto"/>
        </w:rPr>
        <w:t>certain changes in the composition of our Board of Directors.</w:t>
      </w:r>
    </w:p>
    <w:p>
      <w:pPr>
        <w:spacing w:after="0" w:line="21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If a change in control of NTIC had occurred on August 31, 2025, the number of options indicated in the table below held by each of our named executive officers would have been automatically accelerated and exercisable. The estimated value of the automatic acceleration of the vesting of unvested stock options held by a named executive officer as of August 31, 2025 is also indicated in the table below and is based on the difference between: (i) the market price of the shares of our common stock underlying the unvested stock options held by such officer as of August 31, 2025 (based on the closing sale price of our common stock on the last trading day of fiscal 2025, August 29, 2025 — $7.40), and (ii) the exercise price of the options.</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0" w:type="dxa"/>
            <w:vAlign w:val="bottom"/>
            <w:shd w:val="clear" w:color="auto" w:fill="D9D9D9"/>
          </w:tcPr>
          <w:p>
            <w:pPr>
              <w:spacing w:after="0"/>
              <w:rPr>
                <w:sz w:val="19"/>
                <w:szCs w:val="19"/>
                <w:color w:val="auto"/>
              </w:rPr>
            </w:pPr>
          </w:p>
        </w:tc>
        <w:tc>
          <w:tcPr>
            <w:tcW w:w="23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3080" w:type="dxa"/>
            <w:vAlign w:val="bottom"/>
            <w:shd w:val="clear" w:color="auto" w:fill="D9D9D9"/>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Number of Unvested Options</w:t>
            </w:r>
          </w:p>
        </w:tc>
        <w:tc>
          <w:tcPr>
            <w:tcW w:w="80" w:type="dxa"/>
            <w:vAlign w:val="bottom"/>
            <w:shd w:val="clear" w:color="auto" w:fill="D9D9D9"/>
          </w:tcPr>
          <w:p>
            <w:pPr>
              <w:spacing w:after="0"/>
              <w:rPr>
                <w:sz w:val="19"/>
                <w:szCs w:val="19"/>
                <w:color w:val="auto"/>
              </w:rPr>
            </w:pPr>
          </w:p>
        </w:tc>
        <w:tc>
          <w:tcPr>
            <w:tcW w:w="80" w:type="dxa"/>
            <w:vAlign w:val="bottom"/>
            <w:tcBorders>
              <w:right w:val="single" w:sz="8" w:color="D9D9D9"/>
            </w:tcBorders>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2740" w:type="dxa"/>
            <w:vAlign w:val="bottom"/>
            <w:shd w:val="clear" w:color="auto" w:fill="D9D9D9"/>
          </w:tcPr>
          <w:p>
            <w:pPr>
              <w:jc w:val="right"/>
              <w:ind w:right="55"/>
              <w:spacing w:after="0"/>
              <w:rPr>
                <w:sz w:val="20"/>
                <w:szCs w:val="20"/>
                <w:color w:val="auto"/>
              </w:rPr>
            </w:pPr>
            <w:r>
              <w:rPr>
                <w:rFonts w:ascii="Times New Roman" w:cs="Times New Roman" w:eastAsia="Times New Roman" w:hAnsi="Times New Roman"/>
                <w:sz w:val="20"/>
                <w:szCs w:val="20"/>
                <w:b w:val="1"/>
                <w:bCs w:val="1"/>
                <w:color w:val="auto"/>
                <w:highlight w:val="lightGray"/>
                <w:w w:val="99"/>
              </w:rPr>
              <w:t>Estimated Value of Automatic</w:t>
            </w:r>
          </w:p>
        </w:tc>
        <w:tc>
          <w:tcPr>
            <w:tcW w:w="60" w:type="dxa"/>
            <w:vAlign w:val="bottom"/>
            <w:shd w:val="clear" w:color="auto" w:fill="D9D9D9"/>
          </w:tcPr>
          <w:p>
            <w:pPr>
              <w:spacing w:after="0"/>
              <w:rPr>
                <w:sz w:val="19"/>
                <w:szCs w:val="19"/>
                <w:color w:val="auto"/>
              </w:rPr>
            </w:pPr>
          </w:p>
        </w:tc>
      </w:tr>
      <w:tr>
        <w:trPr>
          <w:trHeight w:val="250"/>
        </w:trPr>
        <w:tc>
          <w:tcPr>
            <w:tcW w:w="80" w:type="dxa"/>
            <w:vAlign w:val="bottom"/>
            <w:tcBorders>
              <w:bottom w:val="single" w:sz="8" w:color="D9D9D9"/>
            </w:tcBorders>
            <w:shd w:val="clear" w:color="auto" w:fill="D9D9D9"/>
          </w:tcPr>
          <w:p>
            <w:pPr>
              <w:spacing w:after="0"/>
              <w:rPr>
                <w:sz w:val="21"/>
                <w:szCs w:val="21"/>
                <w:color w:val="auto"/>
              </w:rPr>
            </w:pPr>
          </w:p>
        </w:tc>
        <w:tc>
          <w:tcPr>
            <w:tcW w:w="238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20"/>
                <w:szCs w:val="20"/>
                <w:b w:val="1"/>
                <w:bCs w:val="1"/>
                <w:color w:val="auto"/>
              </w:rPr>
              <w:t>Executive Officer</w:t>
            </w:r>
          </w:p>
        </w:tc>
        <w:tc>
          <w:tcPr>
            <w:tcW w:w="20" w:type="dxa"/>
            <w:vAlign w:val="bottom"/>
            <w:tcBorders>
              <w:bottom w:val="single" w:sz="8" w:color="auto"/>
            </w:tcBorders>
            <w:shd w:val="clear" w:color="auto" w:fill="D9D9D9"/>
          </w:tcPr>
          <w:p>
            <w:pPr>
              <w:spacing w:after="0"/>
              <w:rPr>
                <w:sz w:val="21"/>
                <w:szCs w:val="21"/>
                <w:color w:val="auto"/>
              </w:rPr>
            </w:pPr>
          </w:p>
        </w:tc>
        <w:tc>
          <w:tcPr>
            <w:tcW w:w="160" w:type="dxa"/>
            <w:vAlign w:val="bottom"/>
            <w:tcBorders>
              <w:bottom w:val="single" w:sz="8" w:color="D9D9D9"/>
            </w:tcBorders>
            <w:shd w:val="clear" w:color="auto" w:fill="D9D9D9"/>
          </w:tcPr>
          <w:p>
            <w:pPr>
              <w:spacing w:after="0"/>
              <w:rPr>
                <w:sz w:val="21"/>
                <w:szCs w:val="21"/>
                <w:color w:val="auto"/>
              </w:rPr>
            </w:pPr>
          </w:p>
        </w:tc>
        <w:tc>
          <w:tcPr>
            <w:tcW w:w="30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b w:val="1"/>
                <w:bCs w:val="1"/>
                <w:color w:val="auto"/>
                <w:highlight w:val="lightGray"/>
              </w:rPr>
              <w:t>Subject to Automatic Acceleration</w:t>
            </w:r>
          </w:p>
        </w:tc>
        <w:tc>
          <w:tcPr>
            <w:tcW w:w="80" w:type="dxa"/>
            <w:vAlign w:val="bottom"/>
            <w:tcBorders>
              <w:bottom w:val="single" w:sz="8" w:color="D9D9D9"/>
            </w:tcBorders>
            <w:shd w:val="clear" w:color="auto" w:fill="D9D9D9"/>
          </w:tcPr>
          <w:p>
            <w:pPr>
              <w:spacing w:after="0"/>
              <w:rPr>
                <w:sz w:val="21"/>
                <w:szCs w:val="21"/>
                <w:color w:val="auto"/>
              </w:rPr>
            </w:pPr>
          </w:p>
        </w:tc>
        <w:tc>
          <w:tcPr>
            <w:tcW w:w="80" w:type="dxa"/>
            <w:vAlign w:val="bottom"/>
            <w:tcBorders>
              <w:right w:val="single" w:sz="8" w:color="D9D9D9"/>
            </w:tcBorders>
          </w:tcPr>
          <w:p>
            <w:pPr>
              <w:spacing w:after="0"/>
              <w:rPr>
                <w:sz w:val="21"/>
                <w:szCs w:val="21"/>
                <w:color w:val="auto"/>
              </w:rPr>
            </w:pPr>
          </w:p>
        </w:tc>
        <w:tc>
          <w:tcPr>
            <w:tcW w:w="140" w:type="dxa"/>
            <w:vAlign w:val="bottom"/>
            <w:tcBorders>
              <w:bottom w:val="single" w:sz="8" w:color="auto"/>
            </w:tcBorders>
            <w:shd w:val="clear" w:color="auto" w:fill="D9D9D9"/>
          </w:tcPr>
          <w:p>
            <w:pPr>
              <w:spacing w:after="0"/>
              <w:rPr>
                <w:sz w:val="21"/>
                <w:szCs w:val="21"/>
                <w:color w:val="auto"/>
              </w:rPr>
            </w:pPr>
          </w:p>
        </w:tc>
        <w:tc>
          <w:tcPr>
            <w:tcW w:w="2740" w:type="dxa"/>
            <w:vAlign w:val="bottom"/>
            <w:tcBorders>
              <w:bottom w:val="single" w:sz="8" w:color="auto"/>
            </w:tcBorders>
            <w:shd w:val="clear" w:color="auto" w:fill="D9D9D9"/>
          </w:tcPr>
          <w:p>
            <w:pPr>
              <w:jc w:val="right"/>
              <w:ind w:right="335"/>
              <w:spacing w:after="0"/>
              <w:rPr>
                <w:sz w:val="20"/>
                <w:szCs w:val="20"/>
                <w:color w:val="auto"/>
              </w:rPr>
            </w:pPr>
            <w:r>
              <w:rPr>
                <w:rFonts w:ascii="Times New Roman" w:cs="Times New Roman" w:eastAsia="Times New Roman" w:hAnsi="Times New Roman"/>
                <w:sz w:val="20"/>
                <w:szCs w:val="20"/>
                <w:b w:val="1"/>
                <w:bCs w:val="1"/>
                <w:color w:val="auto"/>
              </w:rPr>
              <w:t>Acceleration of Vesting</w:t>
            </w:r>
          </w:p>
        </w:tc>
        <w:tc>
          <w:tcPr>
            <w:tcW w:w="60" w:type="dxa"/>
            <w:vAlign w:val="bottom"/>
            <w:tcBorders>
              <w:bottom w:val="single" w:sz="8" w:color="D9D9D9"/>
            </w:tcBorders>
            <w:shd w:val="clear" w:color="auto" w:fill="D9D9D9"/>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380" w:type="dxa"/>
            <w:vAlign w:val="bottom"/>
          </w:tcPr>
          <w:p>
            <w:pPr>
              <w:ind w:left="20"/>
              <w:spacing w:after="0" w:line="221" w:lineRule="exact"/>
              <w:rPr>
                <w:sz w:val="20"/>
                <w:szCs w:val="20"/>
                <w:color w:val="auto"/>
              </w:rPr>
            </w:pPr>
            <w:r>
              <w:rPr>
                <w:rFonts w:ascii="Times New Roman" w:cs="Times New Roman" w:eastAsia="Times New Roman" w:hAnsi="Times New Roman"/>
                <w:sz w:val="22"/>
                <w:szCs w:val="22"/>
                <w:color w:val="auto"/>
              </w:rPr>
              <w:t>G. Patrick Lynch .............</w:t>
            </w:r>
          </w:p>
        </w:tc>
        <w:tc>
          <w:tcPr>
            <w:tcW w:w="3260" w:type="dxa"/>
            <w:vAlign w:val="bottom"/>
            <w:gridSpan w:val="3"/>
          </w:tcPr>
          <w:p>
            <w:pPr>
              <w:jc w:val="right"/>
              <w:ind w:right="1240"/>
              <w:spacing w:after="0" w:line="221" w:lineRule="exact"/>
              <w:rPr>
                <w:sz w:val="20"/>
                <w:szCs w:val="20"/>
                <w:color w:val="auto"/>
              </w:rPr>
            </w:pPr>
            <w:r>
              <w:rPr>
                <w:rFonts w:ascii="Times New Roman" w:cs="Times New Roman" w:eastAsia="Times New Roman" w:hAnsi="Times New Roman"/>
                <w:sz w:val="22"/>
                <w:szCs w:val="22"/>
                <w:color w:val="auto"/>
              </w:rPr>
              <w:t>106,790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line="221" w:lineRule="exact"/>
              <w:rPr>
                <w:sz w:val="20"/>
                <w:szCs w:val="20"/>
                <w:color w:val="auto"/>
              </w:rPr>
            </w:pPr>
            <w:r>
              <w:rPr>
                <w:rFonts w:ascii="Times New Roman" w:cs="Times New Roman" w:eastAsia="Times New Roman" w:hAnsi="Times New Roman"/>
                <w:sz w:val="22"/>
                <w:szCs w:val="22"/>
                <w:color w:val="auto"/>
              </w:rPr>
              <w:t>$</w:t>
            </w:r>
          </w:p>
        </w:tc>
        <w:tc>
          <w:tcPr>
            <w:tcW w:w="2740" w:type="dxa"/>
            <w:vAlign w:val="bottom"/>
          </w:tcPr>
          <w:p>
            <w:pPr>
              <w:jc w:val="right"/>
              <w:ind w:right="975"/>
              <w:spacing w:after="0" w:line="221" w:lineRule="exact"/>
              <w:rPr>
                <w:sz w:val="20"/>
                <w:szCs w:val="20"/>
                <w:color w:val="auto"/>
              </w:rPr>
            </w:pPr>
            <w:r>
              <w:rPr>
                <w:rFonts w:ascii="Times New Roman" w:cs="Times New Roman" w:eastAsia="Times New Roman" w:hAnsi="Times New Roman"/>
                <w:sz w:val="22"/>
                <w:szCs w:val="22"/>
                <w:color w:val="auto"/>
              </w:rPr>
              <w:t>0</w:t>
            </w:r>
          </w:p>
        </w:tc>
        <w:tc>
          <w:tcPr>
            <w:tcW w:w="60" w:type="dxa"/>
            <w:vAlign w:val="bottom"/>
          </w:tcPr>
          <w:p>
            <w:pPr>
              <w:spacing w:after="0"/>
              <w:rPr>
                <w:sz w:val="19"/>
                <w:szCs w:val="19"/>
                <w:color w:val="auto"/>
              </w:rPr>
            </w:pPr>
          </w:p>
        </w:tc>
      </w:tr>
      <w:tr>
        <w:trPr>
          <w:trHeight w:val="294"/>
        </w:trPr>
        <w:tc>
          <w:tcPr>
            <w:tcW w:w="8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Matthew C. Wolsfeld ......</w:t>
            </w:r>
          </w:p>
        </w:tc>
        <w:tc>
          <w:tcPr>
            <w:tcW w:w="3260" w:type="dxa"/>
            <w:vAlign w:val="bottom"/>
            <w:gridSpan w:val="3"/>
          </w:tcPr>
          <w:p>
            <w:pPr>
              <w:jc w:val="right"/>
              <w:ind w:right="1240"/>
              <w:spacing w:after="0"/>
              <w:rPr>
                <w:sz w:val="20"/>
                <w:szCs w:val="20"/>
                <w:color w:val="auto"/>
              </w:rPr>
            </w:pPr>
            <w:r>
              <w:rPr>
                <w:rFonts w:ascii="Times New Roman" w:cs="Times New Roman" w:eastAsia="Times New Roman" w:hAnsi="Times New Roman"/>
                <w:sz w:val="22"/>
                <w:szCs w:val="22"/>
                <w:color w:val="auto"/>
              </w:rPr>
              <w:t>67,225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tcPr>
          <w:p>
            <w:pPr>
              <w:jc w:val="right"/>
              <w:ind w:right="975"/>
              <w:spacing w:after="0"/>
              <w:rPr>
                <w:sz w:val="20"/>
                <w:szCs w:val="20"/>
                <w:color w:val="auto"/>
              </w:rPr>
            </w:pPr>
            <w:r>
              <w:rPr>
                <w:rFonts w:ascii="Times New Roman" w:cs="Times New Roman" w:eastAsia="Times New Roman" w:hAnsi="Times New Roman"/>
                <w:sz w:val="22"/>
                <w:szCs w:val="22"/>
                <w:color w:val="auto"/>
              </w:rPr>
              <w:t>0</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2240" w:h="15840" w:orient="portrait"/>
          <w:cols w:equalWidth="0" w:num="1">
            <w:col w:w="9360"/>
          </w:cols>
          <w:pgMar w:left="1440" w:top="1417" w:right="1440" w:bottom="178" w:gutter="0" w:footer="0" w:header="0"/>
        </w:sectPr>
      </w:pPr>
    </w:p>
    <w:bookmarkStart w:id="73" w:name="page74"/>
    <w:bookmarkEnd w:id="73"/>
    <w:p>
      <w:pPr>
        <w:ind w:right="160"/>
        <w:spacing w:after="0" w:line="259" w:lineRule="auto"/>
        <w:rPr>
          <w:sz w:val="20"/>
          <w:szCs w:val="20"/>
          <w:color w:val="auto"/>
        </w:rPr>
      </w:pPr>
      <w:r>
        <w:rPr>
          <w:rFonts w:ascii="Times New Roman" w:cs="Times New Roman" w:eastAsia="Times New Roman" w:hAnsi="Times New Roman"/>
          <w:sz w:val="22"/>
          <w:szCs w:val="22"/>
          <w:color w:val="auto"/>
        </w:rPr>
        <w:t>If the employment of our named executive officers was terminated as of August 31, 2025, they would have been entitled to the following compensation and benefits, depending upon the applicable triggering event: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0"/>
                <w:szCs w:val="20"/>
                <w:color w:val="auto"/>
              </w:rPr>
            </w:pPr>
          </w:p>
        </w:tc>
        <w:tc>
          <w:tcPr>
            <w:tcW w:w="162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176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auto"/>
            </w:tcBorders>
            <w:shd w:val="clear" w:color="auto" w:fill="D9D9D9"/>
          </w:tcPr>
          <w:p>
            <w:pPr>
              <w:spacing w:after="0"/>
              <w:rPr>
                <w:sz w:val="20"/>
                <w:szCs w:val="20"/>
                <w:color w:val="auto"/>
              </w:rPr>
            </w:pPr>
          </w:p>
        </w:tc>
        <w:tc>
          <w:tcPr>
            <w:tcW w:w="980" w:type="dxa"/>
            <w:vAlign w:val="bottom"/>
            <w:tcBorders>
              <w:bottom w:val="single" w:sz="8" w:color="auto"/>
            </w:tcBorders>
            <w:shd w:val="clear" w:color="auto" w:fill="D9D9D9"/>
          </w:tcPr>
          <w:p>
            <w:pPr>
              <w:spacing w:after="0"/>
              <w:rPr>
                <w:sz w:val="20"/>
                <w:szCs w:val="20"/>
                <w:color w:val="auto"/>
              </w:rPr>
            </w:pPr>
          </w:p>
        </w:tc>
        <w:tc>
          <w:tcPr>
            <w:tcW w:w="80" w:type="dxa"/>
            <w:vAlign w:val="bottom"/>
            <w:tcBorders>
              <w:bottom w:val="single" w:sz="8" w:color="auto"/>
            </w:tcBorders>
            <w:shd w:val="clear" w:color="auto" w:fill="D9D9D9"/>
          </w:tcPr>
          <w:p>
            <w:pPr>
              <w:spacing w:after="0"/>
              <w:rPr>
                <w:sz w:val="20"/>
                <w:szCs w:val="20"/>
                <w:color w:val="auto"/>
              </w:rPr>
            </w:pPr>
          </w:p>
        </w:tc>
        <w:tc>
          <w:tcPr>
            <w:tcW w:w="100" w:type="dxa"/>
            <w:vAlign w:val="bottom"/>
            <w:tcBorders>
              <w:bottom w:val="single" w:sz="8" w:color="auto"/>
              <w:right w:val="single" w:sz="8" w:color="D9D9D9"/>
            </w:tcBorders>
            <w:shd w:val="clear" w:color="auto" w:fill="D9D9D9"/>
          </w:tcPr>
          <w:p>
            <w:pPr>
              <w:spacing w:after="0"/>
              <w:rPr>
                <w:sz w:val="20"/>
                <w:szCs w:val="20"/>
                <w:color w:val="auto"/>
              </w:rPr>
            </w:pPr>
          </w:p>
        </w:tc>
        <w:tc>
          <w:tcPr>
            <w:tcW w:w="100" w:type="dxa"/>
            <w:vAlign w:val="bottom"/>
            <w:tcBorders>
              <w:bottom w:val="single" w:sz="8" w:color="auto"/>
            </w:tcBorders>
            <w:shd w:val="clear" w:color="auto" w:fill="D9D9D9"/>
          </w:tcPr>
          <w:p>
            <w:pPr>
              <w:spacing w:after="0"/>
              <w:rPr>
                <w:sz w:val="20"/>
                <w:szCs w:val="20"/>
                <w:color w:val="auto"/>
              </w:rPr>
            </w:pPr>
          </w:p>
        </w:tc>
        <w:tc>
          <w:tcPr>
            <w:tcW w:w="2200" w:type="dxa"/>
            <w:vAlign w:val="bottom"/>
            <w:tcBorders>
              <w:bottom w:val="single" w:sz="8" w:color="auto"/>
            </w:tcBorders>
            <w:gridSpan w:val="5"/>
            <w:shd w:val="clear" w:color="auto" w:fill="D9D9D9"/>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Triggering Event</w:t>
            </w:r>
          </w:p>
        </w:tc>
        <w:tc>
          <w:tcPr>
            <w:tcW w:w="40" w:type="dxa"/>
            <w:vAlign w:val="bottom"/>
            <w:tcBorders>
              <w:bottom w:val="single" w:sz="8" w:color="auto"/>
            </w:tcBorders>
            <w:shd w:val="clear" w:color="auto" w:fill="D9D9D9"/>
          </w:tcPr>
          <w:p>
            <w:pPr>
              <w:spacing w:after="0"/>
              <w:rPr>
                <w:sz w:val="20"/>
                <w:szCs w:val="20"/>
                <w:color w:val="auto"/>
              </w:rPr>
            </w:pPr>
          </w:p>
        </w:tc>
        <w:tc>
          <w:tcPr>
            <w:tcW w:w="140" w:type="dxa"/>
            <w:vAlign w:val="bottom"/>
            <w:tcBorders>
              <w:bottom w:val="single" w:sz="8" w:color="auto"/>
            </w:tcBorders>
            <w:shd w:val="clear" w:color="auto" w:fill="D9D9D9"/>
          </w:tcPr>
          <w:p>
            <w:pPr>
              <w:spacing w:after="0"/>
              <w:rPr>
                <w:sz w:val="20"/>
                <w:szCs w:val="20"/>
                <w:color w:val="auto"/>
              </w:rPr>
            </w:pPr>
          </w:p>
        </w:tc>
        <w:tc>
          <w:tcPr>
            <w:tcW w:w="620" w:type="dxa"/>
            <w:vAlign w:val="bottom"/>
            <w:tcBorders>
              <w:bottom w:val="single" w:sz="8" w:color="auto"/>
            </w:tcBorders>
            <w:shd w:val="clear" w:color="auto" w:fill="D9D9D9"/>
          </w:tcPr>
          <w:p>
            <w:pPr>
              <w:spacing w:after="0"/>
              <w:rPr>
                <w:sz w:val="20"/>
                <w:szCs w:val="20"/>
                <w:color w:val="auto"/>
              </w:rPr>
            </w:pPr>
          </w:p>
        </w:tc>
        <w:tc>
          <w:tcPr>
            <w:tcW w:w="140" w:type="dxa"/>
            <w:vAlign w:val="bottom"/>
            <w:tcBorders>
              <w:bottom w:val="single" w:sz="8" w:color="auto"/>
            </w:tcBorders>
            <w:shd w:val="clear" w:color="auto" w:fill="D9D9D9"/>
          </w:tcPr>
          <w:p>
            <w:pPr>
              <w:spacing w:after="0"/>
              <w:rPr>
                <w:sz w:val="20"/>
                <w:szCs w:val="20"/>
                <w:color w:val="auto"/>
              </w:rPr>
            </w:pPr>
          </w:p>
        </w:tc>
        <w:tc>
          <w:tcPr>
            <w:tcW w:w="140" w:type="dxa"/>
            <w:vAlign w:val="bottom"/>
            <w:tcBorders>
              <w:bottom w:val="single" w:sz="8" w:color="auto"/>
            </w:tcBorders>
            <w:shd w:val="clear" w:color="auto" w:fill="D9D9D9"/>
          </w:tcPr>
          <w:p>
            <w:pPr>
              <w:spacing w:after="0"/>
              <w:rPr>
                <w:sz w:val="20"/>
                <w:szCs w:val="20"/>
                <w:color w:val="auto"/>
              </w:rPr>
            </w:pPr>
          </w:p>
        </w:tc>
        <w:tc>
          <w:tcPr>
            <w:tcW w:w="420" w:type="dxa"/>
            <w:vAlign w:val="bottom"/>
            <w:tcBorders>
              <w:bottom w:val="single" w:sz="8" w:color="auto"/>
            </w:tcBorders>
            <w:shd w:val="clear" w:color="auto" w:fill="D9D9D9"/>
          </w:tcPr>
          <w:p>
            <w:pPr>
              <w:spacing w:after="0"/>
              <w:rPr>
                <w:sz w:val="20"/>
                <w:szCs w:val="20"/>
                <w:color w:val="auto"/>
              </w:rPr>
            </w:pPr>
          </w:p>
        </w:tc>
        <w:tc>
          <w:tcPr>
            <w:tcW w:w="420" w:type="dxa"/>
            <w:vAlign w:val="bottom"/>
            <w:tcBorders>
              <w:bottom w:val="single" w:sz="8" w:color="auto"/>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1620" w:type="dxa"/>
            <w:vAlign w:val="bottom"/>
            <w:tcBorders>
              <w:top w:val="single" w:sz="8" w:color="D9D9D9"/>
            </w:tcBorders>
            <w:shd w:val="clear" w:color="auto" w:fill="D9D9D9"/>
          </w:tcPr>
          <w:p>
            <w:pPr>
              <w:spacing w:after="0"/>
              <w:rPr>
                <w:sz w:val="16"/>
                <w:szCs w:val="16"/>
                <w:color w:val="auto"/>
              </w:rPr>
            </w:pPr>
          </w:p>
        </w:tc>
        <w:tc>
          <w:tcPr>
            <w:tcW w:w="140" w:type="dxa"/>
            <w:vAlign w:val="bottom"/>
            <w:tcBorders>
              <w:top w:val="single" w:sz="8" w:color="D9D9D9"/>
            </w:tcBorders>
            <w:shd w:val="clear" w:color="auto" w:fill="D9D9D9"/>
          </w:tcPr>
          <w:p>
            <w:pPr>
              <w:spacing w:after="0"/>
              <w:rPr>
                <w:sz w:val="16"/>
                <w:szCs w:val="16"/>
                <w:color w:val="auto"/>
              </w:rPr>
            </w:pPr>
          </w:p>
        </w:tc>
        <w:tc>
          <w:tcPr>
            <w:tcW w:w="40" w:type="dxa"/>
            <w:vAlign w:val="bottom"/>
            <w:tcBorders>
              <w:top w:val="single" w:sz="8" w:color="D9D9D9"/>
            </w:tcBorders>
            <w:shd w:val="clear" w:color="auto" w:fill="D9D9D9"/>
          </w:tcPr>
          <w:p>
            <w:pPr>
              <w:spacing w:after="0"/>
              <w:rPr>
                <w:sz w:val="16"/>
                <w:szCs w:val="16"/>
                <w:color w:val="auto"/>
              </w:rPr>
            </w:pPr>
          </w:p>
        </w:tc>
        <w:tc>
          <w:tcPr>
            <w:tcW w:w="1760" w:type="dxa"/>
            <w:vAlign w:val="bottom"/>
            <w:tcBorders>
              <w:top w:val="single" w:sz="8" w:color="D9D9D9"/>
            </w:tcBorders>
            <w:shd w:val="clear" w:color="auto" w:fill="D9D9D9"/>
          </w:tcPr>
          <w:p>
            <w:pPr>
              <w:spacing w:after="0"/>
              <w:rPr>
                <w:sz w:val="16"/>
                <w:szCs w:val="16"/>
                <w:color w:val="auto"/>
              </w:rPr>
            </w:pPr>
          </w:p>
        </w:tc>
        <w:tc>
          <w:tcPr>
            <w:tcW w:w="40" w:type="dxa"/>
            <w:vAlign w:val="bottom"/>
            <w:tcBorders>
              <w:top w:val="single" w:sz="8" w:color="D9D9D9"/>
            </w:tcBorders>
            <w:shd w:val="clear" w:color="auto" w:fill="D9D9D9"/>
          </w:tcPr>
          <w:p>
            <w:pPr>
              <w:spacing w:after="0"/>
              <w:rPr>
                <w:sz w:val="16"/>
                <w:szCs w:val="16"/>
                <w:color w:val="auto"/>
              </w:rPr>
            </w:pPr>
          </w:p>
        </w:tc>
        <w:tc>
          <w:tcPr>
            <w:tcW w:w="140" w:type="dxa"/>
            <w:vAlign w:val="bottom"/>
            <w:tcBorders>
              <w:top w:val="single" w:sz="8" w:color="D9D9D9"/>
            </w:tcBorders>
            <w:shd w:val="clear" w:color="auto" w:fill="D9D9D9"/>
          </w:tcPr>
          <w:p>
            <w:pPr>
              <w:spacing w:after="0"/>
              <w:rPr>
                <w:sz w:val="16"/>
                <w:szCs w:val="16"/>
                <w:color w:val="auto"/>
              </w:rPr>
            </w:pPr>
          </w:p>
        </w:tc>
        <w:tc>
          <w:tcPr>
            <w:tcW w:w="140" w:type="dxa"/>
            <w:vAlign w:val="bottom"/>
            <w:tcBorders>
              <w:top w:val="single" w:sz="8" w:color="D9D9D9"/>
            </w:tcBorders>
            <w:shd w:val="clear" w:color="auto" w:fill="D9D9D9"/>
          </w:tcPr>
          <w:p>
            <w:pPr>
              <w:spacing w:after="0"/>
              <w:rPr>
                <w:sz w:val="16"/>
                <w:szCs w:val="16"/>
                <w:color w:val="auto"/>
              </w:rPr>
            </w:pPr>
          </w:p>
        </w:tc>
        <w:tc>
          <w:tcPr>
            <w:tcW w:w="980" w:type="dxa"/>
            <w:vAlign w:val="bottom"/>
            <w:tcBorders>
              <w:top w:val="single" w:sz="8" w:color="D9D9D9"/>
            </w:tcBorders>
            <w:shd w:val="clear" w:color="auto" w:fill="D9D9D9"/>
          </w:tcPr>
          <w:p>
            <w:pPr>
              <w:spacing w:after="0"/>
              <w:rPr>
                <w:sz w:val="16"/>
                <w:szCs w:val="16"/>
                <w:color w:val="auto"/>
              </w:rPr>
            </w:pPr>
          </w:p>
        </w:tc>
        <w:tc>
          <w:tcPr>
            <w:tcW w:w="80" w:type="dxa"/>
            <w:vAlign w:val="bottom"/>
            <w:tcBorders>
              <w:top w:val="single" w:sz="8" w:color="D9D9D9"/>
            </w:tcBorders>
            <w:shd w:val="clear" w:color="auto" w:fill="D9D9D9"/>
          </w:tcPr>
          <w:p>
            <w:pPr>
              <w:spacing w:after="0"/>
              <w:rPr>
                <w:sz w:val="16"/>
                <w:szCs w:val="16"/>
                <w:color w:val="auto"/>
              </w:rPr>
            </w:pPr>
          </w:p>
        </w:tc>
        <w:tc>
          <w:tcPr>
            <w:tcW w:w="100" w:type="dxa"/>
            <w:vAlign w:val="bottom"/>
            <w:tcBorders>
              <w:top w:val="single" w:sz="8" w:color="D9D9D9"/>
              <w:right w:val="single" w:sz="8" w:color="D9D9D9"/>
            </w:tcBorders>
          </w:tcPr>
          <w:p>
            <w:pPr>
              <w:spacing w:after="0"/>
              <w:rPr>
                <w:sz w:val="16"/>
                <w:szCs w:val="16"/>
                <w:color w:val="auto"/>
              </w:rPr>
            </w:pPr>
          </w:p>
        </w:tc>
        <w:tc>
          <w:tcPr>
            <w:tcW w:w="1040" w:type="dxa"/>
            <w:vAlign w:val="bottom"/>
            <w:tcBorders>
              <w:top w:val="single" w:sz="8" w:color="D9D9D9"/>
            </w:tcBorders>
            <w:gridSpan w:val="2"/>
            <w:shd w:val="clear" w:color="auto" w:fill="D9D9D9"/>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9"/>
              </w:rPr>
              <w:t>Involuntary</w:t>
            </w:r>
          </w:p>
        </w:tc>
        <w:tc>
          <w:tcPr>
            <w:tcW w:w="40" w:type="dxa"/>
            <w:vAlign w:val="bottom"/>
            <w:tcBorders>
              <w:top w:val="single" w:sz="8" w:color="D9D9D9"/>
            </w:tcBorders>
            <w:shd w:val="clear" w:color="auto" w:fill="D9D9D9"/>
          </w:tcPr>
          <w:p>
            <w:pPr>
              <w:spacing w:after="0"/>
              <w:rPr>
                <w:sz w:val="16"/>
                <w:szCs w:val="16"/>
                <w:color w:val="auto"/>
              </w:rPr>
            </w:pPr>
          </w:p>
        </w:tc>
        <w:tc>
          <w:tcPr>
            <w:tcW w:w="140" w:type="dxa"/>
            <w:vAlign w:val="bottom"/>
            <w:tcBorders>
              <w:top w:val="single" w:sz="8" w:color="D9D9D9"/>
            </w:tcBorders>
            <w:shd w:val="clear" w:color="auto" w:fill="D9D9D9"/>
          </w:tcPr>
          <w:p>
            <w:pPr>
              <w:spacing w:after="0"/>
              <w:rPr>
                <w:sz w:val="16"/>
                <w:szCs w:val="16"/>
                <w:color w:val="auto"/>
              </w:rPr>
            </w:pPr>
          </w:p>
        </w:tc>
        <w:tc>
          <w:tcPr>
            <w:tcW w:w="1080" w:type="dxa"/>
            <w:vAlign w:val="bottom"/>
            <w:tcBorders>
              <w:top w:val="single" w:sz="8" w:color="D9D9D9"/>
            </w:tcBorders>
            <w:gridSpan w:val="2"/>
            <w:shd w:val="clear" w:color="auto" w:fill="D9D9D9"/>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rPr>
              <w:t>Qualifying</w:t>
            </w:r>
          </w:p>
        </w:tc>
        <w:tc>
          <w:tcPr>
            <w:tcW w:w="40" w:type="dxa"/>
            <w:vAlign w:val="bottom"/>
            <w:tcBorders>
              <w:top w:val="single" w:sz="8" w:color="D9D9D9"/>
            </w:tcBorders>
            <w:shd w:val="clear" w:color="auto" w:fill="D9D9D9"/>
          </w:tcPr>
          <w:p>
            <w:pPr>
              <w:spacing w:after="0"/>
              <w:rPr>
                <w:sz w:val="16"/>
                <w:szCs w:val="16"/>
                <w:color w:val="auto"/>
              </w:rPr>
            </w:pPr>
          </w:p>
        </w:tc>
        <w:tc>
          <w:tcPr>
            <w:tcW w:w="140" w:type="dxa"/>
            <w:vAlign w:val="bottom"/>
            <w:tcBorders>
              <w:top w:val="single" w:sz="8" w:color="D9D9D9"/>
            </w:tcBorders>
            <w:shd w:val="clear" w:color="auto" w:fill="D9D9D9"/>
          </w:tcPr>
          <w:p>
            <w:pPr>
              <w:spacing w:after="0"/>
              <w:rPr>
                <w:sz w:val="16"/>
                <w:szCs w:val="16"/>
                <w:color w:val="auto"/>
              </w:rPr>
            </w:pPr>
          </w:p>
        </w:tc>
        <w:tc>
          <w:tcPr>
            <w:tcW w:w="620" w:type="dxa"/>
            <w:vAlign w:val="bottom"/>
            <w:tcBorders>
              <w:top w:val="single" w:sz="8" w:color="D9D9D9"/>
            </w:tcBorders>
            <w:shd w:val="clear" w:color="auto" w:fill="D9D9D9"/>
          </w:tcPr>
          <w:p>
            <w:pPr>
              <w:spacing w:after="0"/>
              <w:rPr>
                <w:sz w:val="16"/>
                <w:szCs w:val="16"/>
                <w:color w:val="auto"/>
              </w:rPr>
            </w:pPr>
          </w:p>
        </w:tc>
        <w:tc>
          <w:tcPr>
            <w:tcW w:w="140" w:type="dxa"/>
            <w:vAlign w:val="bottom"/>
            <w:tcBorders>
              <w:top w:val="single" w:sz="8" w:color="D9D9D9"/>
            </w:tcBorders>
            <w:shd w:val="clear" w:color="auto" w:fill="D9D9D9"/>
          </w:tcPr>
          <w:p>
            <w:pPr>
              <w:spacing w:after="0"/>
              <w:rPr>
                <w:sz w:val="16"/>
                <w:szCs w:val="16"/>
                <w:color w:val="auto"/>
              </w:rPr>
            </w:pPr>
          </w:p>
        </w:tc>
        <w:tc>
          <w:tcPr>
            <w:tcW w:w="140" w:type="dxa"/>
            <w:vAlign w:val="bottom"/>
            <w:tcBorders>
              <w:top w:val="single" w:sz="8" w:color="D9D9D9"/>
            </w:tcBorders>
            <w:shd w:val="clear" w:color="auto" w:fill="D9D9D9"/>
          </w:tcPr>
          <w:p>
            <w:pPr>
              <w:spacing w:after="0"/>
              <w:rPr>
                <w:sz w:val="16"/>
                <w:szCs w:val="16"/>
                <w:color w:val="auto"/>
              </w:rPr>
            </w:pPr>
          </w:p>
        </w:tc>
        <w:tc>
          <w:tcPr>
            <w:tcW w:w="420" w:type="dxa"/>
            <w:vAlign w:val="bottom"/>
            <w:tcBorders>
              <w:top w:val="single" w:sz="8" w:color="D9D9D9"/>
            </w:tcBorders>
            <w:shd w:val="clear" w:color="auto" w:fill="D9D9D9"/>
          </w:tcPr>
          <w:p>
            <w:pPr>
              <w:spacing w:after="0"/>
              <w:rPr>
                <w:sz w:val="16"/>
                <w:szCs w:val="16"/>
                <w:color w:val="auto"/>
              </w:rPr>
            </w:pPr>
          </w:p>
        </w:tc>
        <w:tc>
          <w:tcPr>
            <w:tcW w:w="420" w:type="dxa"/>
            <w:vAlign w:val="bottom"/>
            <w:tcBorders>
              <w:top w:val="single" w:sz="8" w:color="D9D9D9"/>
            </w:tcBorders>
            <w:shd w:val="clear" w:color="auto" w:fill="D9D9D9"/>
          </w:tcPr>
          <w:p>
            <w:pPr>
              <w:spacing w:after="0"/>
              <w:rPr>
                <w:sz w:val="16"/>
                <w:szCs w:val="16"/>
                <w:color w:val="auto"/>
              </w:rPr>
            </w:pPr>
          </w:p>
        </w:tc>
        <w:tc>
          <w:tcPr>
            <w:tcW w:w="80" w:type="dxa"/>
            <w:vAlign w:val="bottom"/>
            <w:tcBorders>
              <w:top w:val="single" w:sz="8" w:color="D9D9D9"/>
            </w:tcBorders>
            <w:shd w:val="clear" w:color="auto" w:fill="D9D9D9"/>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162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76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980" w:type="dxa"/>
            <w:vAlign w:val="bottom"/>
            <w:shd w:val="clear" w:color="auto" w:fill="D9D9D9"/>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Voluntary/</w:t>
            </w:r>
          </w:p>
        </w:tc>
        <w:tc>
          <w:tcPr>
            <w:tcW w:w="80" w:type="dxa"/>
            <w:vAlign w:val="bottom"/>
            <w:shd w:val="clear" w:color="auto" w:fill="D9D9D9"/>
          </w:tcPr>
          <w:p>
            <w:pPr>
              <w:spacing w:after="0"/>
              <w:rPr>
                <w:sz w:val="18"/>
                <w:szCs w:val="18"/>
                <w:color w:val="auto"/>
              </w:rPr>
            </w:pPr>
          </w:p>
        </w:tc>
        <w:tc>
          <w:tcPr>
            <w:tcW w:w="100" w:type="dxa"/>
            <w:vAlign w:val="bottom"/>
            <w:tcBorders>
              <w:right w:val="single" w:sz="8" w:color="D9D9D9"/>
            </w:tcBorders>
          </w:tcPr>
          <w:p>
            <w:pPr>
              <w:spacing w:after="0"/>
              <w:rPr>
                <w:sz w:val="18"/>
                <w:szCs w:val="18"/>
                <w:color w:val="auto"/>
              </w:rPr>
            </w:pPr>
          </w:p>
        </w:tc>
        <w:tc>
          <w:tcPr>
            <w:tcW w:w="1040" w:type="dxa"/>
            <w:vAlign w:val="bottom"/>
            <w:gridSpan w:val="2"/>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080" w:type="dxa"/>
            <w:vAlign w:val="bottom"/>
            <w:gridSpan w:val="2"/>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62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420" w:type="dxa"/>
            <w:vAlign w:val="bottom"/>
            <w:shd w:val="clear" w:color="auto" w:fill="D9D9D9"/>
          </w:tcPr>
          <w:p>
            <w:pPr>
              <w:spacing w:after="0"/>
              <w:rPr>
                <w:sz w:val="18"/>
                <w:szCs w:val="18"/>
                <w:color w:val="auto"/>
              </w:rPr>
            </w:pPr>
          </w:p>
        </w:tc>
        <w:tc>
          <w:tcPr>
            <w:tcW w:w="42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162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76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980" w:type="dxa"/>
            <w:vAlign w:val="bottom"/>
            <w:shd w:val="clear" w:color="auto" w:fill="D9D9D9"/>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rPr>
              <w:t>For Cause</w:t>
            </w:r>
          </w:p>
        </w:tc>
        <w:tc>
          <w:tcPr>
            <w:tcW w:w="80" w:type="dxa"/>
            <w:vAlign w:val="bottom"/>
            <w:shd w:val="clear" w:color="auto" w:fill="D9D9D9"/>
          </w:tcPr>
          <w:p>
            <w:pPr>
              <w:spacing w:after="0"/>
              <w:rPr>
                <w:sz w:val="17"/>
                <w:szCs w:val="17"/>
                <w:color w:val="auto"/>
              </w:rPr>
            </w:pPr>
          </w:p>
        </w:tc>
        <w:tc>
          <w:tcPr>
            <w:tcW w:w="100" w:type="dxa"/>
            <w:vAlign w:val="bottom"/>
            <w:tcBorders>
              <w:right w:val="single" w:sz="8" w:color="D9D9D9"/>
            </w:tcBorders>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940" w:type="dxa"/>
            <w:vAlign w:val="bottom"/>
            <w:shd w:val="clear" w:color="auto" w:fill="D9D9D9"/>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without</w:t>
            </w:r>
          </w:p>
        </w:tc>
        <w:tc>
          <w:tcPr>
            <w:tcW w:w="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860" w:type="dxa"/>
            <w:vAlign w:val="bottom"/>
            <w:shd w:val="clear" w:color="auto" w:fill="D9D9D9"/>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62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1620" w:type="dxa"/>
            <w:vAlign w:val="bottom"/>
            <w:tcBorders>
              <w:bottom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40" w:type="dxa"/>
            <w:vAlign w:val="bottom"/>
            <w:tcBorders>
              <w:bottom w:val="single" w:sz="8" w:color="D9D9D9"/>
            </w:tcBorders>
            <w:shd w:val="clear" w:color="auto" w:fill="D9D9D9"/>
          </w:tcPr>
          <w:p>
            <w:pPr>
              <w:spacing w:after="0"/>
              <w:rPr>
                <w:sz w:val="19"/>
                <w:szCs w:val="19"/>
                <w:color w:val="auto"/>
              </w:rPr>
            </w:pPr>
          </w:p>
        </w:tc>
        <w:tc>
          <w:tcPr>
            <w:tcW w:w="40" w:type="dxa"/>
            <w:vAlign w:val="bottom"/>
            <w:tcBorders>
              <w:bottom w:val="single" w:sz="8" w:color="auto"/>
            </w:tcBorders>
            <w:shd w:val="clear" w:color="auto" w:fill="D9D9D9"/>
          </w:tcPr>
          <w:p>
            <w:pPr>
              <w:spacing w:after="0"/>
              <w:rPr>
                <w:sz w:val="19"/>
                <w:szCs w:val="19"/>
                <w:color w:val="auto"/>
              </w:rPr>
            </w:pPr>
          </w:p>
        </w:tc>
        <w:tc>
          <w:tcPr>
            <w:tcW w:w="1760" w:type="dxa"/>
            <w:vAlign w:val="bottom"/>
            <w:tcBorders>
              <w:bottom w:val="single" w:sz="8" w:color="auto"/>
            </w:tcBorders>
            <w:shd w:val="clear" w:color="auto" w:fill="D9D9D9"/>
          </w:tcPr>
          <w:p>
            <w:pPr>
              <w:ind w:left="220"/>
              <w:spacing w:after="0"/>
              <w:rPr>
                <w:sz w:val="20"/>
                <w:szCs w:val="20"/>
                <w:color w:val="auto"/>
              </w:rPr>
            </w:pPr>
            <w:r>
              <w:rPr>
                <w:rFonts w:ascii="Times New Roman" w:cs="Times New Roman" w:eastAsia="Times New Roman" w:hAnsi="Times New Roman"/>
                <w:sz w:val="18"/>
                <w:szCs w:val="18"/>
                <w:b w:val="1"/>
                <w:bCs w:val="1"/>
                <w:color w:val="auto"/>
              </w:rPr>
              <w:t>Type of Payment</w:t>
            </w:r>
          </w:p>
        </w:tc>
        <w:tc>
          <w:tcPr>
            <w:tcW w:w="40" w:type="dxa"/>
            <w:vAlign w:val="bottom"/>
            <w:tcBorders>
              <w:bottom w:val="single" w:sz="8" w:color="auto"/>
            </w:tcBorders>
            <w:shd w:val="clear" w:color="auto" w:fill="D9D9D9"/>
          </w:tcPr>
          <w:p>
            <w:pPr>
              <w:spacing w:after="0"/>
              <w:rPr>
                <w:sz w:val="19"/>
                <w:szCs w:val="19"/>
                <w:color w:val="auto"/>
              </w:rPr>
            </w:pPr>
          </w:p>
        </w:tc>
        <w:tc>
          <w:tcPr>
            <w:tcW w:w="140" w:type="dxa"/>
            <w:vAlign w:val="bottom"/>
            <w:tcBorders>
              <w:bottom w:val="single" w:sz="8" w:color="D9D9D9"/>
            </w:tcBorders>
            <w:shd w:val="clear" w:color="auto" w:fill="D9D9D9"/>
          </w:tcPr>
          <w:p>
            <w:pPr>
              <w:spacing w:after="0"/>
              <w:rPr>
                <w:sz w:val="19"/>
                <w:szCs w:val="19"/>
                <w:color w:val="auto"/>
              </w:rPr>
            </w:pPr>
          </w:p>
        </w:tc>
        <w:tc>
          <w:tcPr>
            <w:tcW w:w="1120" w:type="dxa"/>
            <w:vAlign w:val="bottom"/>
            <w:tcBorders>
              <w:bottom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8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right w:val="single" w:sz="8" w:color="D9D9D9"/>
            </w:tcBorders>
          </w:tcPr>
          <w:p>
            <w:pPr>
              <w:spacing w:after="0"/>
              <w:rPr>
                <w:sz w:val="19"/>
                <w:szCs w:val="19"/>
                <w:color w:val="auto"/>
              </w:rPr>
            </w:pPr>
          </w:p>
        </w:tc>
        <w:tc>
          <w:tcPr>
            <w:tcW w:w="100" w:type="dxa"/>
            <w:vAlign w:val="bottom"/>
            <w:tcBorders>
              <w:bottom w:val="single" w:sz="8" w:color="auto"/>
            </w:tcBorders>
            <w:shd w:val="clear" w:color="auto" w:fill="D9D9D9"/>
          </w:tcPr>
          <w:p>
            <w:pPr>
              <w:spacing w:after="0"/>
              <w:rPr>
                <w:sz w:val="19"/>
                <w:szCs w:val="19"/>
                <w:color w:val="auto"/>
              </w:rPr>
            </w:pPr>
          </w:p>
        </w:tc>
        <w:tc>
          <w:tcPr>
            <w:tcW w:w="940" w:type="dxa"/>
            <w:vAlign w:val="bottom"/>
            <w:tcBorders>
              <w:bottom w:val="single" w:sz="8" w:color="auto"/>
            </w:tcBorders>
            <w:shd w:val="clear" w:color="auto" w:fill="D9D9D9"/>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Cause</w:t>
            </w:r>
          </w:p>
        </w:tc>
        <w:tc>
          <w:tcPr>
            <w:tcW w:w="40" w:type="dxa"/>
            <w:vAlign w:val="bottom"/>
            <w:tcBorders>
              <w:bottom w:val="single" w:sz="8" w:color="auto"/>
            </w:tcBorders>
            <w:shd w:val="clear" w:color="auto" w:fill="D9D9D9"/>
          </w:tcPr>
          <w:p>
            <w:pPr>
              <w:spacing w:after="0"/>
              <w:rPr>
                <w:sz w:val="19"/>
                <w:szCs w:val="19"/>
                <w:color w:val="auto"/>
              </w:rPr>
            </w:pPr>
          </w:p>
        </w:tc>
        <w:tc>
          <w:tcPr>
            <w:tcW w:w="140" w:type="dxa"/>
            <w:vAlign w:val="bottom"/>
            <w:tcBorders>
              <w:bottom w:val="single" w:sz="8" w:color="D9D9D9"/>
            </w:tcBorders>
            <w:shd w:val="clear" w:color="auto" w:fill="D9D9D9"/>
          </w:tcPr>
          <w:p>
            <w:pPr>
              <w:spacing w:after="0"/>
              <w:rPr>
                <w:sz w:val="19"/>
                <w:szCs w:val="19"/>
                <w:color w:val="auto"/>
              </w:rPr>
            </w:pPr>
          </w:p>
        </w:tc>
        <w:tc>
          <w:tcPr>
            <w:tcW w:w="1080" w:type="dxa"/>
            <w:vAlign w:val="bottom"/>
            <w:tcBorders>
              <w:bottom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40" w:type="dxa"/>
            <w:vAlign w:val="bottom"/>
            <w:tcBorders>
              <w:bottom w:val="single" w:sz="8" w:color="auto"/>
            </w:tcBorders>
            <w:shd w:val="clear" w:color="auto" w:fill="D9D9D9"/>
          </w:tcPr>
          <w:p>
            <w:pPr>
              <w:spacing w:after="0"/>
              <w:rPr>
                <w:sz w:val="19"/>
                <w:szCs w:val="19"/>
                <w:color w:val="auto"/>
              </w:rPr>
            </w:pPr>
          </w:p>
        </w:tc>
        <w:tc>
          <w:tcPr>
            <w:tcW w:w="140" w:type="dxa"/>
            <w:vAlign w:val="bottom"/>
            <w:tcBorders>
              <w:bottom w:val="single" w:sz="8" w:color="D9D9D9"/>
            </w:tcBorders>
            <w:shd w:val="clear" w:color="auto" w:fill="D9D9D9"/>
          </w:tcPr>
          <w:p>
            <w:pPr>
              <w:spacing w:after="0"/>
              <w:rPr>
                <w:sz w:val="19"/>
                <w:szCs w:val="19"/>
                <w:color w:val="auto"/>
              </w:rPr>
            </w:pPr>
          </w:p>
        </w:tc>
        <w:tc>
          <w:tcPr>
            <w:tcW w:w="6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b w:val="1"/>
                <w:bCs w:val="1"/>
                <w:color w:val="auto"/>
              </w:rPr>
              <w:t>Death</w:t>
            </w:r>
          </w:p>
        </w:tc>
        <w:tc>
          <w:tcPr>
            <w:tcW w:w="140" w:type="dxa"/>
            <w:vAlign w:val="bottom"/>
            <w:tcBorders>
              <w:bottom w:val="single" w:sz="8" w:color="auto"/>
            </w:tcBorders>
            <w:shd w:val="clear" w:color="auto" w:fill="D9D9D9"/>
          </w:tcPr>
          <w:p>
            <w:pPr>
              <w:spacing w:after="0"/>
              <w:rPr>
                <w:sz w:val="19"/>
                <w:szCs w:val="19"/>
                <w:color w:val="auto"/>
              </w:rPr>
            </w:pPr>
          </w:p>
        </w:tc>
        <w:tc>
          <w:tcPr>
            <w:tcW w:w="140" w:type="dxa"/>
            <w:vAlign w:val="bottom"/>
            <w:tcBorders>
              <w:bottom w:val="single" w:sz="8" w:color="D9D9D9"/>
            </w:tcBorders>
            <w:shd w:val="clear" w:color="auto" w:fill="D9D9D9"/>
          </w:tcPr>
          <w:p>
            <w:pPr>
              <w:spacing w:after="0"/>
              <w:rPr>
                <w:sz w:val="19"/>
                <w:szCs w:val="19"/>
                <w:color w:val="auto"/>
              </w:rPr>
            </w:pPr>
          </w:p>
        </w:tc>
        <w:tc>
          <w:tcPr>
            <w:tcW w:w="840" w:type="dxa"/>
            <w:vAlign w:val="bottom"/>
            <w:tcBorders>
              <w:bottom w:val="single" w:sz="8" w:color="auto"/>
            </w:tcBorders>
            <w:gridSpan w:val="2"/>
            <w:shd w:val="clear" w:color="auto" w:fill="D9D9D9"/>
          </w:tcPr>
          <w:p>
            <w:pPr>
              <w:ind w:left="60"/>
              <w:spacing w:after="0"/>
              <w:rPr>
                <w:sz w:val="20"/>
                <w:szCs w:val="20"/>
                <w:color w:val="auto"/>
              </w:rPr>
            </w:pPr>
            <w:r>
              <w:rPr>
                <w:rFonts w:ascii="Times New Roman" w:cs="Times New Roman" w:eastAsia="Times New Roman" w:hAnsi="Times New Roman"/>
                <w:sz w:val="18"/>
                <w:szCs w:val="18"/>
                <w:b w:val="1"/>
                <w:bCs w:val="1"/>
                <w:color w:val="auto"/>
                <w:highlight w:val="lightGray"/>
              </w:rPr>
              <w:t>Disability</w:t>
            </w:r>
          </w:p>
        </w:tc>
        <w:tc>
          <w:tcPr>
            <w:tcW w:w="80" w:type="dxa"/>
            <w:vAlign w:val="bottom"/>
            <w:tcBorders>
              <w:bottom w:val="single" w:sz="8" w:color="D9D9D9"/>
            </w:tcBorders>
            <w:shd w:val="clear" w:color="auto" w:fill="D9D9D9"/>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7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G. Patrick Lynch ..........</w:t>
            </w:r>
          </w:p>
        </w:tc>
        <w:tc>
          <w:tcPr>
            <w:tcW w:w="180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7"/>
                <w:szCs w:val="17"/>
                <w:color w:val="auto"/>
              </w:rPr>
              <w:t>Cash severance</w:t>
            </w:r>
            <w:r>
              <w:rPr>
                <w:rFonts w:ascii="Times New Roman" w:cs="Times New Roman" w:eastAsia="Times New Roman" w:hAnsi="Times New Roman"/>
                <w:sz w:val="23"/>
                <w:szCs w:val="23"/>
                <w:color w:val="auto"/>
                <w:vertAlign w:val="superscript"/>
              </w:rPr>
              <w:t>(1)</w:t>
            </w:r>
          </w:p>
        </w:tc>
        <w:tc>
          <w:tcPr>
            <w:tcW w:w="3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82"/>
              <w:spacing w:after="0" w:line="201" w:lineRule="exact"/>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ind w:right="43"/>
              <w:spacing w:after="0" w:line="201" w:lineRule="exact"/>
              <w:rPr>
                <w:sz w:val="20"/>
                <w:szCs w:val="20"/>
                <w:color w:val="auto"/>
              </w:rPr>
            </w:pPr>
            <w:r>
              <w:rPr>
                <w:rFonts w:ascii="Times New Roman" w:cs="Times New Roman" w:eastAsia="Times New Roman" w:hAnsi="Times New Roman"/>
                <w:sz w:val="20"/>
                <w:szCs w:val="20"/>
                <w:color w:val="auto"/>
                <w:w w:val="97"/>
              </w:rPr>
              <w:t>1,731,980</w:t>
            </w:r>
          </w:p>
        </w:tc>
        <w:tc>
          <w:tcPr>
            <w:tcW w:w="1260" w:type="dxa"/>
            <w:vAlign w:val="bottom"/>
            <w:gridSpan w:val="4"/>
          </w:tcPr>
          <w:p>
            <w:pPr>
              <w:jc w:val="right"/>
              <w:spacing w:after="0" w:line="201" w:lineRule="exact"/>
              <w:rPr>
                <w:sz w:val="20"/>
                <w:szCs w:val="20"/>
                <w:color w:val="auto"/>
              </w:rPr>
            </w:pPr>
            <w:r>
              <w:rPr>
                <w:rFonts w:ascii="Times New Roman" w:cs="Times New Roman" w:eastAsia="Times New Roman" w:hAnsi="Times New Roman"/>
                <w:sz w:val="20"/>
                <w:szCs w:val="20"/>
                <w:color w:val="auto"/>
              </w:rPr>
              <w:t>$ 1,731,980</w:t>
            </w:r>
          </w:p>
        </w:tc>
        <w:tc>
          <w:tcPr>
            <w:tcW w:w="800" w:type="dxa"/>
            <w:vAlign w:val="bottom"/>
            <w:gridSpan w:val="3"/>
          </w:tcPr>
          <w:p>
            <w:pPr>
              <w:jc w:val="right"/>
              <w:ind w:right="383"/>
              <w:spacing w:after="0" w:line="201"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99"/>
              </w:rPr>
              <w:t>0</w:t>
            </w:r>
          </w:p>
        </w:tc>
        <w:tc>
          <w:tcPr>
            <w:tcW w:w="56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17"/>
                <w:szCs w:val="17"/>
                <w:color w:val="auto"/>
              </w:rPr>
            </w:pPr>
          </w:p>
        </w:tc>
      </w:tr>
      <w:tr>
        <w:trPr>
          <w:trHeight w:val="253"/>
        </w:trPr>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Benefits continuation</w:t>
            </w:r>
            <w:r>
              <w:rPr>
                <w:rFonts w:ascii="Times New Roman" w:cs="Times New Roman" w:eastAsia="Times New Roman" w:hAnsi="Times New Roman"/>
                <w:sz w:val="24"/>
                <w:szCs w:val="24"/>
                <w:color w:val="auto"/>
                <w:vertAlign w:val="superscript"/>
              </w:rPr>
              <w:t>(2)</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29,940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29,940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0</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2"/>
                <w:szCs w:val="22"/>
                <w:color w:val="auto"/>
              </w:rPr>
            </w:pPr>
          </w:p>
        </w:tc>
      </w:tr>
      <w:tr>
        <w:trPr>
          <w:trHeight w:val="268"/>
        </w:trPr>
        <w:tc>
          <w:tcPr>
            <w:tcW w:w="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Equity acceleration</w:t>
            </w:r>
            <w:r>
              <w:rPr>
                <w:rFonts w:ascii="Times New Roman" w:cs="Times New Roman" w:eastAsia="Times New Roman" w:hAnsi="Times New Roman"/>
                <w:sz w:val="24"/>
                <w:szCs w:val="24"/>
                <w:color w:val="auto"/>
                <w:vertAlign w:val="superscript"/>
              </w:rPr>
              <w:t>(3)</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20"/>
                <w:szCs w:val="20"/>
                <w:color w:val="auto"/>
              </w:rPr>
              <w:t>0</w:t>
            </w:r>
          </w:p>
        </w:tc>
        <w:tc>
          <w:tcPr>
            <w:tcW w:w="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0</w:t>
            </w:r>
          </w:p>
        </w:tc>
        <w:tc>
          <w:tcPr>
            <w:tcW w:w="1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3"/>
                <w:szCs w:val="23"/>
                <w:color w:val="auto"/>
              </w:rPr>
            </w:pPr>
          </w:p>
        </w:tc>
      </w:tr>
      <w:tr>
        <w:trPr>
          <w:trHeight w:val="249"/>
        </w:trPr>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2"/>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20"/>
                <w:szCs w:val="20"/>
                <w:color w:val="auto"/>
                <w:w w:val="97"/>
              </w:rPr>
              <w:t>$1,761,920</w:t>
            </w: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$1,761,920</w:t>
            </w: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0</w:t>
            </w:r>
          </w:p>
        </w:tc>
        <w:tc>
          <w:tcPr>
            <w:tcW w:w="140" w:type="dxa"/>
            <w:vAlign w:val="bottom"/>
          </w:tcPr>
          <w:p>
            <w:pPr>
              <w:spacing w:after="0"/>
              <w:rPr>
                <w:sz w:val="21"/>
                <w:szCs w:val="21"/>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1"/>
                <w:szCs w:val="21"/>
                <w:color w:val="auto"/>
              </w:rPr>
            </w:pPr>
          </w:p>
        </w:tc>
      </w:tr>
      <w:tr>
        <w:trPr>
          <w:trHeight w:val="738"/>
        </w:trPr>
        <w:tc>
          <w:tcPr>
            <w:tcW w:w="3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Matthew C. Wolsfeld ... Cash severance</w:t>
            </w:r>
            <w:r>
              <w:rPr>
                <w:rFonts w:ascii="Times New Roman" w:cs="Times New Roman" w:eastAsia="Times New Roman" w:hAnsi="Times New Roman"/>
                <w:sz w:val="24"/>
                <w:szCs w:val="24"/>
                <w:color w:val="auto"/>
                <w:vertAlign w:val="superscript"/>
              </w:rPr>
              <w:t>(1)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964,905</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964,905</w:t>
            </w:r>
          </w:p>
        </w:tc>
        <w:tc>
          <w:tcPr>
            <w:tcW w:w="800" w:type="dxa"/>
            <w:vAlign w:val="bottom"/>
            <w:gridSpan w:val="3"/>
          </w:tcPr>
          <w:p>
            <w:pPr>
              <w:jc w:val="right"/>
              <w:ind w:right="38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0</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Benefits continuation</w:t>
            </w:r>
            <w:r>
              <w:rPr>
                <w:rFonts w:ascii="Times New Roman" w:cs="Times New Roman" w:eastAsia="Times New Roman" w:hAnsi="Times New Roman"/>
                <w:sz w:val="24"/>
                <w:szCs w:val="24"/>
                <w:color w:val="auto"/>
                <w:vertAlign w:val="superscript"/>
              </w:rPr>
              <w:t>(2)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29,940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29,940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0</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1"/>
                <w:szCs w:val="21"/>
                <w:color w:val="auto"/>
              </w:rPr>
            </w:pPr>
          </w:p>
        </w:tc>
      </w:tr>
      <w:tr>
        <w:trPr>
          <w:trHeight w:val="269"/>
        </w:trPr>
        <w:tc>
          <w:tcPr>
            <w:tcW w:w="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tcPr>
          <w:p>
            <w:pPr>
              <w:spacing w:after="0" w:line="268" w:lineRule="exact"/>
              <w:rPr>
                <w:sz w:val="20"/>
                <w:szCs w:val="20"/>
                <w:color w:val="auto"/>
              </w:rPr>
            </w:pPr>
            <w:r>
              <w:rPr>
                <w:rFonts w:ascii="Times New Roman" w:cs="Times New Roman" w:eastAsia="Times New Roman" w:hAnsi="Times New Roman"/>
                <w:sz w:val="18"/>
                <w:szCs w:val="18"/>
                <w:color w:val="auto"/>
              </w:rPr>
              <w:t>Equity acceleration</w:t>
            </w:r>
            <w:r>
              <w:rPr>
                <w:rFonts w:ascii="Times New Roman" w:cs="Times New Roman" w:eastAsia="Times New Roman" w:hAnsi="Times New Roman"/>
                <w:sz w:val="24"/>
                <w:szCs w:val="24"/>
                <w:color w:val="auto"/>
                <w:vertAlign w:val="superscript"/>
              </w:rPr>
              <w:t>(3)</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20"/>
                <w:szCs w:val="20"/>
                <w:color w:val="auto"/>
              </w:rPr>
              <w:t>0</w:t>
            </w:r>
          </w:p>
        </w:tc>
        <w:tc>
          <w:tcPr>
            <w:tcW w:w="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0</w:t>
            </w:r>
          </w:p>
        </w:tc>
        <w:tc>
          <w:tcPr>
            <w:tcW w:w="1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2"/>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994,845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994,845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38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0</w:t>
            </w:r>
          </w:p>
        </w:tc>
        <w:tc>
          <w:tcPr>
            <w:tcW w:w="140" w:type="dxa"/>
            <w:vAlign w:val="bottom"/>
          </w:tcPr>
          <w:p>
            <w:pPr>
              <w:spacing w:after="0"/>
              <w:rPr>
                <w:sz w:val="22"/>
                <w:szCs w:val="22"/>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2392680</wp:posOffset>
                </wp:positionH>
                <wp:positionV relativeFrom="paragraph">
                  <wp:posOffset>-6350</wp:posOffset>
                </wp:positionV>
                <wp:extent cx="70104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0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4pt,-0.4999pt" to="243.6pt,-0.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3192780</wp:posOffset>
                </wp:positionH>
                <wp:positionV relativeFrom="paragraph">
                  <wp:posOffset>-6350</wp:posOffset>
                </wp:positionV>
                <wp:extent cx="70104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0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4pt,-0.4999pt" to="306.6pt,-0.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3992880</wp:posOffset>
                </wp:positionH>
                <wp:positionV relativeFrom="paragraph">
                  <wp:posOffset>-6350</wp:posOffset>
                </wp:positionV>
                <wp:extent cx="70104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0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4pt,-0.4999pt" to="369.6pt,-0.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4792980</wp:posOffset>
                </wp:positionH>
                <wp:positionV relativeFrom="paragraph">
                  <wp:posOffset>-6350</wp:posOffset>
                </wp:positionV>
                <wp:extent cx="47244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24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4pt,-0.4999pt" to="414.6pt,-0.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5364480</wp:posOffset>
                </wp:positionH>
                <wp:positionV relativeFrom="paragraph">
                  <wp:posOffset>-6350</wp:posOffset>
                </wp:positionV>
                <wp:extent cx="52959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5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4pt,-0.4999pt" to="464.1pt,-0.4999pt" o:allowincell="f" strokecolor="#000000" strokeweight="0.48pt"/>
            </w:pict>
          </mc:Fallback>
        </mc:AlternateContent>
      </w:r>
    </w:p>
    <w:p>
      <w:pPr>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2392680</wp:posOffset>
                </wp:positionH>
                <wp:positionV relativeFrom="paragraph">
                  <wp:posOffset>-154940</wp:posOffset>
                </wp:positionV>
                <wp:extent cx="70104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0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4pt,-12.1999pt" to="243.6pt,-12.1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3192780</wp:posOffset>
                </wp:positionH>
                <wp:positionV relativeFrom="paragraph">
                  <wp:posOffset>-154940</wp:posOffset>
                </wp:positionV>
                <wp:extent cx="70104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0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4pt,-12.1999pt" to="306.6pt,-12.1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3992880</wp:posOffset>
                </wp:positionH>
                <wp:positionV relativeFrom="paragraph">
                  <wp:posOffset>-154940</wp:posOffset>
                </wp:positionV>
                <wp:extent cx="70104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0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4pt,-12.1999pt" to="369.6pt,-12.1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4792980</wp:posOffset>
                </wp:positionH>
                <wp:positionV relativeFrom="paragraph">
                  <wp:posOffset>-154940</wp:posOffset>
                </wp:positionV>
                <wp:extent cx="47244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24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4pt,-12.1999pt" to="414.6pt,-12.1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5364480</wp:posOffset>
                </wp:positionH>
                <wp:positionV relativeFrom="paragraph">
                  <wp:posOffset>-154940</wp:posOffset>
                </wp:positionV>
                <wp:extent cx="52959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5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4pt,-12.1999pt" to="464.1pt,-12.1999pt" o:allowincell="f" strokecolor="#000000" strokeweight="0.48pt"/>
            </w:pict>
          </mc:Fallback>
        </mc:AlternateContent>
      </w:r>
    </w:p>
    <w:p>
      <w:pPr>
        <w:spacing w:after="0" w:line="3" w:lineRule="exact"/>
        <w:rPr>
          <w:sz w:val="20"/>
          <w:szCs w:val="20"/>
          <w:color w:val="auto"/>
        </w:rPr>
      </w:pPr>
    </w:p>
    <w:p>
      <w:pPr>
        <w:ind w:left="700" w:right="80" w:hanging="700"/>
        <w:spacing w:after="0" w:line="242" w:lineRule="auto"/>
        <w:tabs>
          <w:tab w:leader="none" w:pos="69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value of two times (one and one-half times, in the case of Mr. Wolsfeld) the executive’s average total annual compensation for the two most recently completed fiscal years. Does not include a pro rata portion of the target bonus that the executive otherwise would have been eligible to receive under our bonus plan for the fiscal year during which the executive’s employment is terminated, since in light of the assumed termination date of August 31, 2025, the last day of the fiscal year, such bonus would have been earned.</w:t>
      </w:r>
    </w:p>
    <w:p>
      <w:pPr>
        <w:spacing w:after="0" w:line="200" w:lineRule="exact"/>
        <w:rPr>
          <w:rFonts w:ascii="Times New Roman" w:cs="Times New Roman" w:eastAsia="Times New Roman" w:hAnsi="Times New Roman"/>
          <w:sz w:val="20"/>
          <w:szCs w:val="20"/>
          <w:color w:val="auto"/>
        </w:rPr>
      </w:pPr>
    </w:p>
    <w:p>
      <w:pPr>
        <w:ind w:left="700" w:right="140" w:hanging="700"/>
        <w:spacing w:after="0" w:line="278" w:lineRule="auto"/>
        <w:tabs>
          <w:tab w:leader="none" w:pos="69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value of medical, dental and vision benefit continuation for each executive and their family for 18 months following the executive’s termination.</w:t>
      </w:r>
    </w:p>
    <w:p>
      <w:pPr>
        <w:spacing w:after="0" w:line="166" w:lineRule="exact"/>
        <w:rPr>
          <w:rFonts w:ascii="Times New Roman" w:cs="Times New Roman" w:eastAsia="Times New Roman" w:hAnsi="Times New Roman"/>
          <w:sz w:val="20"/>
          <w:szCs w:val="20"/>
          <w:color w:val="auto"/>
        </w:rPr>
      </w:pPr>
    </w:p>
    <w:p>
      <w:pPr>
        <w:ind w:left="700" w:right="60" w:hanging="700"/>
        <w:spacing w:after="0" w:line="259" w:lineRule="auto"/>
        <w:tabs>
          <w:tab w:leader="none" w:pos="69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value of acceleration of all unvested shares that are subject to options, based on the difference between the closing sale price of $7.40 per share as of the last trading day of fiscal 2025, August 29, 2025, and the exercise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 Interlocks and Insider Participation</w:t>
      </w:r>
    </w:p>
    <w:p>
      <w:pPr>
        <w:spacing w:after="0" w:line="24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1"/>
          <w:szCs w:val="21"/>
          <w:color w:val="auto"/>
        </w:rPr>
        <w:t>No member of the Compensation Committee has served as one of our officers or employees at any time. Except as otherwise disclosed in this proxy statement, no member of the Compensation Committee has had any relationship with NTIC requiring disclosure under Item 404 of Regulation S-K under the Exchange Act. None of our executive officers has served as a director, or member of the compensation committee (or other committee serving an equivalent function), of an organization that has an executive officer also serving as a member of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2240" w:h="15840" w:orient="portrait"/>
          <w:cols w:equalWidth="0" w:num="1">
            <w:col w:w="9360"/>
          </w:cols>
          <w:pgMar w:left="1440" w:top="1417" w:right="1440" w:bottom="178" w:gutter="0" w:footer="0" w:header="0"/>
        </w:sectPr>
      </w:pPr>
    </w:p>
    <w:bookmarkStart w:id="74" w:name="page75"/>
    <w:bookmarkEnd w:id="74"/>
    <w:p>
      <w:pPr>
        <w:ind w:left="100"/>
        <w:spacing w:after="0"/>
        <w:rPr>
          <w:sz w:val="20"/>
          <w:szCs w:val="20"/>
          <w:color w:val="auto"/>
        </w:rPr>
      </w:pPr>
      <w:r>
        <w:rPr>
          <w:rFonts w:ascii="Times New Roman" w:cs="Times New Roman" w:eastAsia="Times New Roman" w:hAnsi="Times New Roman"/>
          <w:sz w:val="22"/>
          <w:szCs w:val="22"/>
          <w:b w:val="1"/>
          <w:bCs w:val="1"/>
          <w:color w:val="auto"/>
        </w:rPr>
        <w:t>Pay Versus Performance Disclosure</w:t>
      </w:r>
    </w:p>
    <w:p>
      <w:pPr>
        <w:spacing w:after="0" w:line="2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i w:val="1"/>
          <w:iCs w:val="1"/>
          <w:color w:val="auto"/>
        </w:rPr>
        <w:t>Pay Versus Performance Table</w:t>
      </w:r>
    </w:p>
    <w:p>
      <w:pPr>
        <w:spacing w:after="0" w:line="235" w:lineRule="exact"/>
        <w:rPr>
          <w:sz w:val="20"/>
          <w:szCs w:val="20"/>
          <w:color w:val="auto"/>
        </w:rPr>
      </w:pPr>
    </w:p>
    <w:p>
      <w:pPr>
        <w:ind w:left="100"/>
        <w:spacing w:after="0" w:line="246" w:lineRule="auto"/>
        <w:rPr>
          <w:sz w:val="20"/>
          <w:szCs w:val="20"/>
          <w:color w:val="auto"/>
        </w:rPr>
      </w:pPr>
      <w:r>
        <w:rPr>
          <w:rFonts w:ascii="Times New Roman" w:cs="Times New Roman" w:eastAsia="Times New Roman" w:hAnsi="Times New Roman"/>
          <w:sz w:val="22"/>
          <w:szCs w:val="22"/>
          <w:color w:val="auto"/>
        </w:rPr>
        <w:t>As required by Section 953(a) of the Dodd -Frank Act and Item 402(v) of SEC Regulation S -K, we are providing the following information about the relationship between “compensation actually paid” to our “named executive officers,” within the meaning of such rules, and certain financial performance measures of our Company. The table below provides information regarding compensation actually paid to our CEO, who serves as our principal executive officer (“PEO”), and compensation actually paid to our CFO, our only other non-PEO named executive officer, during each of the past three fiscal years, as well as our total stockholder return and net income for each of the past three fiscal years.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 w:type="dxa"/>
            <w:vAlign w:val="bottom"/>
            <w:shd w:val="clear" w:color="auto" w:fill="D9D9D9"/>
          </w:tcPr>
          <w:p>
            <w:pPr>
              <w:spacing w:after="0"/>
              <w:rPr>
                <w:sz w:val="16"/>
                <w:szCs w:val="16"/>
                <w:color w:val="auto"/>
              </w:rPr>
            </w:pPr>
          </w:p>
        </w:tc>
        <w:tc>
          <w:tcPr>
            <w:tcW w:w="44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10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56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60" w:type="dxa"/>
            <w:vAlign w:val="bottom"/>
            <w:tcBorders>
              <w:right w:val="single" w:sz="8" w:color="D9D9D9"/>
            </w:tcBorders>
          </w:tcPr>
          <w:p>
            <w:pPr>
              <w:spacing w:after="0"/>
              <w:rPr>
                <w:sz w:val="16"/>
                <w:szCs w:val="16"/>
                <w:color w:val="auto"/>
              </w:rPr>
            </w:pPr>
          </w:p>
        </w:tc>
        <w:tc>
          <w:tcPr>
            <w:tcW w:w="400" w:type="dxa"/>
            <w:vAlign w:val="bottom"/>
            <w:shd w:val="clear" w:color="auto" w:fill="D9D9D9"/>
          </w:tcPr>
          <w:p>
            <w:pPr>
              <w:spacing w:after="0"/>
              <w:rPr>
                <w:sz w:val="16"/>
                <w:szCs w:val="16"/>
                <w:color w:val="auto"/>
              </w:rPr>
            </w:pPr>
          </w:p>
        </w:tc>
        <w:tc>
          <w:tcPr>
            <w:tcW w:w="1080" w:type="dxa"/>
            <w:vAlign w:val="bottom"/>
            <w:shd w:val="clear" w:color="auto" w:fill="D9D9D9"/>
          </w:tcPr>
          <w:p>
            <w:pPr>
              <w:jc w:val="center"/>
              <w:ind w:right="302"/>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shd w:val="clear" w:color="auto" w:fill="D9D9D9"/>
          </w:tcPr>
          <w:p>
            <w:pPr>
              <w:spacing w:after="0"/>
              <w:rPr>
                <w:sz w:val="16"/>
                <w:szCs w:val="16"/>
                <w:color w:val="auto"/>
              </w:rPr>
            </w:pPr>
          </w:p>
        </w:tc>
        <w:tc>
          <w:tcPr>
            <w:tcW w:w="360" w:type="dxa"/>
            <w:vAlign w:val="bottom"/>
            <w:shd w:val="clear" w:color="auto" w:fill="D9D9D9"/>
          </w:tcPr>
          <w:p>
            <w:pPr>
              <w:spacing w:after="0"/>
              <w:rPr>
                <w:sz w:val="16"/>
                <w:szCs w:val="16"/>
                <w:color w:val="auto"/>
              </w:rPr>
            </w:pPr>
          </w:p>
        </w:tc>
        <w:tc>
          <w:tcPr>
            <w:tcW w:w="126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r>
      <w:tr>
        <w:trPr>
          <w:trHeight w:val="184"/>
        </w:trPr>
        <w:tc>
          <w:tcPr>
            <w:tcW w:w="80" w:type="dxa"/>
            <w:vAlign w:val="bottom"/>
            <w:shd w:val="clear" w:color="auto" w:fill="D9D9D9"/>
          </w:tcPr>
          <w:p>
            <w:pPr>
              <w:spacing w:after="0"/>
              <w:rPr>
                <w:sz w:val="15"/>
                <w:szCs w:val="15"/>
                <w:color w:val="auto"/>
              </w:rPr>
            </w:pPr>
          </w:p>
        </w:tc>
        <w:tc>
          <w:tcPr>
            <w:tcW w:w="44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110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20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15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Summary</w:t>
            </w:r>
          </w:p>
        </w:tc>
        <w:tc>
          <w:tcPr>
            <w:tcW w:w="80" w:type="dxa"/>
            <w:vAlign w:val="bottom"/>
            <w:shd w:val="clear" w:color="auto" w:fill="D9D9D9"/>
          </w:tcPr>
          <w:p>
            <w:pPr>
              <w:spacing w:after="0"/>
              <w:rPr>
                <w:sz w:val="15"/>
                <w:szCs w:val="15"/>
                <w:color w:val="auto"/>
              </w:rPr>
            </w:pPr>
          </w:p>
        </w:tc>
        <w:tc>
          <w:tcPr>
            <w:tcW w:w="60" w:type="dxa"/>
            <w:vAlign w:val="bottom"/>
            <w:tcBorders>
              <w:right w:val="single" w:sz="8" w:color="D9D9D9"/>
            </w:tcBorders>
          </w:tcPr>
          <w:p>
            <w:pPr>
              <w:spacing w:after="0"/>
              <w:rPr>
                <w:sz w:val="15"/>
                <w:szCs w:val="15"/>
                <w:color w:val="auto"/>
              </w:rPr>
            </w:pPr>
          </w:p>
        </w:tc>
        <w:tc>
          <w:tcPr>
            <w:tcW w:w="1480" w:type="dxa"/>
            <w:vAlign w:val="bottom"/>
            <w:gridSpan w:val="2"/>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shd w:val="clear" w:color="auto" w:fill="D9D9D9"/>
          </w:tcPr>
          <w:p>
            <w:pPr>
              <w:spacing w:after="0"/>
              <w:rPr>
                <w:sz w:val="15"/>
                <w:szCs w:val="15"/>
                <w:color w:val="auto"/>
              </w:rPr>
            </w:pPr>
          </w:p>
        </w:tc>
        <w:tc>
          <w:tcPr>
            <w:tcW w:w="1620" w:type="dxa"/>
            <w:vAlign w:val="bottom"/>
            <w:gridSpan w:val="2"/>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Initial</w:t>
            </w:r>
          </w:p>
        </w:tc>
        <w:tc>
          <w:tcPr>
            <w:tcW w:w="60" w:type="dxa"/>
            <w:vAlign w:val="bottom"/>
            <w:shd w:val="clear" w:color="auto" w:fill="D9D9D9"/>
          </w:tcPr>
          <w:p>
            <w:pPr>
              <w:spacing w:after="0"/>
              <w:rPr>
                <w:sz w:val="15"/>
                <w:szCs w:val="15"/>
                <w:color w:val="auto"/>
              </w:rPr>
            </w:pPr>
          </w:p>
        </w:tc>
        <w:tc>
          <w:tcPr>
            <w:tcW w:w="120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r>
      <w:tr>
        <w:trPr>
          <w:trHeight w:val="184"/>
        </w:trPr>
        <w:tc>
          <w:tcPr>
            <w:tcW w:w="80" w:type="dxa"/>
            <w:vAlign w:val="bottom"/>
            <w:shd w:val="clear" w:color="auto" w:fill="D9D9D9"/>
          </w:tcPr>
          <w:p>
            <w:pPr>
              <w:spacing w:after="0"/>
              <w:rPr>
                <w:sz w:val="15"/>
                <w:szCs w:val="15"/>
                <w:color w:val="auto"/>
              </w:rPr>
            </w:pPr>
          </w:p>
        </w:tc>
        <w:tc>
          <w:tcPr>
            <w:tcW w:w="44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11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Summary</w:t>
            </w:r>
          </w:p>
        </w:tc>
        <w:tc>
          <w:tcPr>
            <w:tcW w:w="80" w:type="dxa"/>
            <w:vAlign w:val="bottom"/>
            <w:shd w:val="clear" w:color="auto" w:fill="D9D9D9"/>
          </w:tcPr>
          <w:p>
            <w:pPr>
              <w:spacing w:after="0"/>
              <w:rPr>
                <w:sz w:val="15"/>
                <w:szCs w:val="15"/>
                <w:color w:val="auto"/>
              </w:rPr>
            </w:pPr>
          </w:p>
        </w:tc>
        <w:tc>
          <w:tcPr>
            <w:tcW w:w="120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15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Table</w:t>
            </w:r>
          </w:p>
        </w:tc>
        <w:tc>
          <w:tcPr>
            <w:tcW w:w="80" w:type="dxa"/>
            <w:vAlign w:val="bottom"/>
            <w:shd w:val="clear" w:color="auto" w:fill="D9D9D9"/>
          </w:tcPr>
          <w:p>
            <w:pPr>
              <w:spacing w:after="0"/>
              <w:rPr>
                <w:sz w:val="15"/>
                <w:szCs w:val="15"/>
                <w:color w:val="auto"/>
              </w:rPr>
            </w:pPr>
          </w:p>
        </w:tc>
        <w:tc>
          <w:tcPr>
            <w:tcW w:w="60" w:type="dxa"/>
            <w:vAlign w:val="bottom"/>
            <w:tcBorders>
              <w:right w:val="single" w:sz="8" w:color="D9D9D9"/>
            </w:tcBorders>
          </w:tcPr>
          <w:p>
            <w:pPr>
              <w:spacing w:after="0"/>
              <w:rPr>
                <w:sz w:val="15"/>
                <w:szCs w:val="15"/>
                <w:color w:val="auto"/>
              </w:rPr>
            </w:pPr>
          </w:p>
        </w:tc>
        <w:tc>
          <w:tcPr>
            <w:tcW w:w="1480" w:type="dxa"/>
            <w:vAlign w:val="bottom"/>
            <w:gridSpan w:val="2"/>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Actually Paid to</w:t>
            </w:r>
          </w:p>
        </w:tc>
        <w:tc>
          <w:tcPr>
            <w:tcW w:w="80" w:type="dxa"/>
            <w:vAlign w:val="bottom"/>
            <w:shd w:val="clear" w:color="auto" w:fill="D9D9D9"/>
          </w:tcPr>
          <w:p>
            <w:pPr>
              <w:spacing w:after="0"/>
              <w:rPr>
                <w:sz w:val="15"/>
                <w:szCs w:val="15"/>
                <w:color w:val="auto"/>
              </w:rPr>
            </w:pPr>
          </w:p>
        </w:tc>
        <w:tc>
          <w:tcPr>
            <w:tcW w:w="360" w:type="dxa"/>
            <w:vAlign w:val="bottom"/>
            <w:shd w:val="clear" w:color="auto" w:fill="D9D9D9"/>
          </w:tcPr>
          <w:p>
            <w:pPr>
              <w:spacing w:after="0"/>
              <w:rPr>
                <w:sz w:val="15"/>
                <w:szCs w:val="15"/>
                <w:color w:val="auto"/>
              </w:rPr>
            </w:pPr>
          </w:p>
        </w:tc>
        <w:tc>
          <w:tcPr>
            <w:tcW w:w="1260" w:type="dxa"/>
            <w:vAlign w:val="bottom"/>
            <w:shd w:val="clear" w:color="auto" w:fill="D9D9D9"/>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rPr>
              <w:t>Fixed $100</w:t>
            </w:r>
          </w:p>
        </w:tc>
        <w:tc>
          <w:tcPr>
            <w:tcW w:w="60" w:type="dxa"/>
            <w:vAlign w:val="bottom"/>
            <w:shd w:val="clear" w:color="auto" w:fill="D9D9D9"/>
          </w:tcPr>
          <w:p>
            <w:pPr>
              <w:spacing w:after="0"/>
              <w:rPr>
                <w:sz w:val="15"/>
                <w:szCs w:val="15"/>
                <w:color w:val="auto"/>
              </w:rPr>
            </w:pPr>
          </w:p>
        </w:tc>
        <w:tc>
          <w:tcPr>
            <w:tcW w:w="120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r>
      <w:tr>
        <w:trPr>
          <w:trHeight w:val="165"/>
        </w:trPr>
        <w:tc>
          <w:tcPr>
            <w:tcW w:w="80" w:type="dxa"/>
            <w:vAlign w:val="bottom"/>
            <w:shd w:val="clear" w:color="auto" w:fill="D9D9D9"/>
          </w:tcPr>
          <w:p>
            <w:pPr>
              <w:spacing w:after="0"/>
              <w:rPr>
                <w:sz w:val="14"/>
                <w:szCs w:val="14"/>
                <w:color w:val="auto"/>
              </w:rPr>
            </w:pPr>
          </w:p>
        </w:tc>
        <w:tc>
          <w:tcPr>
            <w:tcW w:w="44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100" w:type="dxa"/>
            <w:vAlign w:val="bottom"/>
            <w:shd w:val="clear" w:color="auto" w:fill="D9D9D9"/>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Compensation</w:t>
            </w:r>
          </w:p>
        </w:tc>
        <w:tc>
          <w:tcPr>
            <w:tcW w:w="80" w:type="dxa"/>
            <w:vAlign w:val="bottom"/>
            <w:shd w:val="clear" w:color="auto" w:fill="D9D9D9"/>
          </w:tcPr>
          <w:p>
            <w:pPr>
              <w:spacing w:after="0"/>
              <w:rPr>
                <w:sz w:val="14"/>
                <w:szCs w:val="14"/>
                <w:color w:val="auto"/>
              </w:rPr>
            </w:pPr>
          </w:p>
        </w:tc>
        <w:tc>
          <w:tcPr>
            <w:tcW w:w="1200" w:type="dxa"/>
            <w:vAlign w:val="bottom"/>
            <w:shd w:val="clear" w:color="auto" w:fill="D9D9D9"/>
          </w:tcPr>
          <w:p>
            <w:pPr>
              <w:ind w:left="120"/>
              <w:spacing w:after="0" w:line="165"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60" w:type="dxa"/>
            <w:vAlign w:val="bottom"/>
            <w:shd w:val="clear" w:color="auto" w:fill="D9D9D9"/>
          </w:tcPr>
          <w:p>
            <w:pPr>
              <w:spacing w:after="0"/>
              <w:rPr>
                <w:sz w:val="14"/>
                <w:szCs w:val="14"/>
                <w:color w:val="auto"/>
              </w:rPr>
            </w:pPr>
          </w:p>
        </w:tc>
        <w:tc>
          <w:tcPr>
            <w:tcW w:w="1560" w:type="dxa"/>
            <w:vAlign w:val="bottom"/>
            <w:shd w:val="clear" w:color="auto" w:fill="D9D9D9"/>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Total for Non-PEO</w:t>
            </w:r>
          </w:p>
        </w:tc>
        <w:tc>
          <w:tcPr>
            <w:tcW w:w="80" w:type="dxa"/>
            <w:vAlign w:val="bottom"/>
            <w:shd w:val="clear" w:color="auto" w:fill="D9D9D9"/>
          </w:tcPr>
          <w:p>
            <w:pPr>
              <w:spacing w:after="0"/>
              <w:rPr>
                <w:sz w:val="14"/>
                <w:szCs w:val="14"/>
                <w:color w:val="auto"/>
              </w:rPr>
            </w:pPr>
          </w:p>
        </w:tc>
        <w:tc>
          <w:tcPr>
            <w:tcW w:w="60" w:type="dxa"/>
            <w:vAlign w:val="bottom"/>
            <w:tcBorders>
              <w:right w:val="single" w:sz="8" w:color="D9D9D9"/>
            </w:tcBorders>
          </w:tcPr>
          <w:p>
            <w:pPr>
              <w:spacing w:after="0"/>
              <w:rPr>
                <w:sz w:val="14"/>
                <w:szCs w:val="14"/>
                <w:color w:val="auto"/>
              </w:rPr>
            </w:pPr>
          </w:p>
        </w:tc>
        <w:tc>
          <w:tcPr>
            <w:tcW w:w="1480" w:type="dxa"/>
            <w:vAlign w:val="bottom"/>
            <w:gridSpan w:val="2"/>
            <w:shd w:val="clear" w:color="auto" w:fill="D9D9D9"/>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Non-PEO Named</w:t>
            </w:r>
          </w:p>
        </w:tc>
        <w:tc>
          <w:tcPr>
            <w:tcW w:w="8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1260" w:type="dxa"/>
            <w:vAlign w:val="bottom"/>
            <w:shd w:val="clear" w:color="auto" w:fill="D9D9D9"/>
          </w:tcPr>
          <w:p>
            <w:pPr>
              <w:jc w:val="center"/>
              <w:ind w:right="282"/>
              <w:spacing w:after="0" w:line="165" w:lineRule="exact"/>
              <w:rPr>
                <w:sz w:val="20"/>
                <w:szCs w:val="20"/>
                <w:color w:val="auto"/>
              </w:rPr>
            </w:pPr>
            <w:r>
              <w:rPr>
                <w:rFonts w:ascii="Times New Roman" w:cs="Times New Roman" w:eastAsia="Times New Roman" w:hAnsi="Times New Roman"/>
                <w:sz w:val="16"/>
                <w:szCs w:val="16"/>
                <w:b w:val="1"/>
                <w:bCs w:val="1"/>
                <w:color w:val="auto"/>
                <w:w w:val="99"/>
              </w:rPr>
              <w:t>Investment</w:t>
            </w:r>
          </w:p>
        </w:tc>
        <w:tc>
          <w:tcPr>
            <w:tcW w:w="60" w:type="dxa"/>
            <w:vAlign w:val="bottom"/>
            <w:shd w:val="clear" w:color="auto" w:fill="D9D9D9"/>
          </w:tcPr>
          <w:p>
            <w:pPr>
              <w:spacing w:after="0"/>
              <w:rPr>
                <w:sz w:val="14"/>
                <w:szCs w:val="14"/>
                <w:color w:val="auto"/>
              </w:rPr>
            </w:pPr>
          </w:p>
        </w:tc>
        <w:tc>
          <w:tcPr>
            <w:tcW w:w="120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r>
      <w:tr>
        <w:trPr>
          <w:trHeight w:val="203"/>
        </w:trPr>
        <w:tc>
          <w:tcPr>
            <w:tcW w:w="80" w:type="dxa"/>
            <w:vAlign w:val="bottom"/>
            <w:shd w:val="clear" w:color="auto" w:fill="D9D9D9"/>
          </w:tcPr>
          <w:p>
            <w:pPr>
              <w:spacing w:after="0"/>
              <w:rPr>
                <w:sz w:val="17"/>
                <w:szCs w:val="17"/>
                <w:color w:val="auto"/>
              </w:rPr>
            </w:pPr>
          </w:p>
        </w:tc>
        <w:tc>
          <w:tcPr>
            <w:tcW w:w="44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Table Total for</w:t>
            </w:r>
          </w:p>
        </w:tc>
        <w:tc>
          <w:tcPr>
            <w:tcW w:w="80" w:type="dxa"/>
            <w:vAlign w:val="bottom"/>
            <w:shd w:val="clear" w:color="auto" w:fill="D9D9D9"/>
          </w:tcPr>
          <w:p>
            <w:pPr>
              <w:spacing w:after="0"/>
              <w:rPr>
                <w:sz w:val="17"/>
                <w:szCs w:val="17"/>
                <w:color w:val="auto"/>
              </w:rPr>
            </w:pPr>
          </w:p>
        </w:tc>
        <w:tc>
          <w:tcPr>
            <w:tcW w:w="12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6"/>
                <w:szCs w:val="16"/>
                <w:b w:val="1"/>
                <w:bCs w:val="1"/>
                <w:color w:val="auto"/>
                <w:w w:val="96"/>
              </w:rPr>
              <w:t>Actually Paid to</w:t>
            </w:r>
          </w:p>
        </w:tc>
        <w:tc>
          <w:tcPr>
            <w:tcW w:w="160" w:type="dxa"/>
            <w:vAlign w:val="bottom"/>
            <w:shd w:val="clear" w:color="auto" w:fill="D9D9D9"/>
          </w:tcPr>
          <w:p>
            <w:pPr>
              <w:spacing w:after="0"/>
              <w:rPr>
                <w:sz w:val="17"/>
                <w:szCs w:val="17"/>
                <w:color w:val="auto"/>
              </w:rPr>
            </w:pPr>
          </w:p>
        </w:tc>
        <w:tc>
          <w:tcPr>
            <w:tcW w:w="15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Named Executive</w:t>
            </w:r>
          </w:p>
        </w:tc>
        <w:tc>
          <w:tcPr>
            <w:tcW w:w="80" w:type="dxa"/>
            <w:vAlign w:val="bottom"/>
            <w:shd w:val="clear" w:color="auto" w:fill="D9D9D9"/>
          </w:tcPr>
          <w:p>
            <w:pPr>
              <w:spacing w:after="0"/>
              <w:rPr>
                <w:sz w:val="17"/>
                <w:szCs w:val="17"/>
                <w:color w:val="auto"/>
              </w:rPr>
            </w:pPr>
          </w:p>
        </w:tc>
        <w:tc>
          <w:tcPr>
            <w:tcW w:w="60" w:type="dxa"/>
            <w:vAlign w:val="bottom"/>
            <w:tcBorders>
              <w:right w:val="single" w:sz="8" w:color="D9D9D9"/>
            </w:tcBorders>
          </w:tcPr>
          <w:p>
            <w:pPr>
              <w:spacing w:after="0"/>
              <w:rPr>
                <w:sz w:val="17"/>
                <w:szCs w:val="17"/>
                <w:color w:val="auto"/>
              </w:rPr>
            </w:pPr>
          </w:p>
        </w:tc>
        <w:tc>
          <w:tcPr>
            <w:tcW w:w="400" w:type="dxa"/>
            <w:vAlign w:val="bottom"/>
            <w:shd w:val="clear" w:color="auto" w:fill="D9D9D9"/>
          </w:tcPr>
          <w:p>
            <w:pPr>
              <w:spacing w:after="0"/>
              <w:rPr>
                <w:sz w:val="17"/>
                <w:szCs w:val="17"/>
                <w:color w:val="auto"/>
              </w:rPr>
            </w:pPr>
          </w:p>
        </w:tc>
        <w:tc>
          <w:tcPr>
            <w:tcW w:w="1080" w:type="dxa"/>
            <w:vAlign w:val="bottom"/>
            <w:shd w:val="clear" w:color="auto" w:fill="D9D9D9"/>
          </w:tcPr>
          <w:p>
            <w:pPr>
              <w:jc w:val="center"/>
              <w:ind w:right="302"/>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80" w:type="dxa"/>
            <w:vAlign w:val="bottom"/>
            <w:shd w:val="clear" w:color="auto" w:fill="D9D9D9"/>
          </w:tcPr>
          <w:p>
            <w:pPr>
              <w:spacing w:after="0"/>
              <w:rPr>
                <w:sz w:val="17"/>
                <w:szCs w:val="17"/>
                <w:color w:val="auto"/>
              </w:rPr>
            </w:pPr>
          </w:p>
        </w:tc>
        <w:tc>
          <w:tcPr>
            <w:tcW w:w="1620" w:type="dxa"/>
            <w:vAlign w:val="bottom"/>
            <w:gridSpan w:val="2"/>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Based On Total</w:t>
            </w:r>
          </w:p>
        </w:tc>
        <w:tc>
          <w:tcPr>
            <w:tcW w:w="6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r>
      <w:tr>
        <w:trPr>
          <w:trHeight w:val="203"/>
        </w:trPr>
        <w:tc>
          <w:tcPr>
            <w:tcW w:w="80" w:type="dxa"/>
            <w:vAlign w:val="bottom"/>
            <w:tcBorders>
              <w:bottom w:val="single" w:sz="8" w:color="D9D9D9"/>
            </w:tcBorders>
            <w:shd w:val="clear" w:color="auto" w:fill="D9D9D9"/>
          </w:tcPr>
          <w:p>
            <w:pPr>
              <w:spacing w:after="0"/>
              <w:rPr>
                <w:sz w:val="17"/>
                <w:szCs w:val="17"/>
                <w:color w:val="auto"/>
              </w:rPr>
            </w:pPr>
          </w:p>
        </w:tc>
        <w:tc>
          <w:tcPr>
            <w:tcW w:w="44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6"/>
                <w:szCs w:val="16"/>
                <w:b w:val="1"/>
                <w:bCs w:val="1"/>
                <w:color w:val="auto"/>
                <w:highlight w:val="lightGray"/>
              </w:rPr>
              <w:t>Year</w:t>
            </w:r>
          </w:p>
        </w:tc>
        <w:tc>
          <w:tcPr>
            <w:tcW w:w="20" w:type="dxa"/>
            <w:vAlign w:val="bottom"/>
            <w:tcBorders>
              <w:bottom w:val="single" w:sz="8" w:color="auto"/>
            </w:tcBorders>
            <w:shd w:val="clear" w:color="auto" w:fill="D9D9D9"/>
          </w:tcPr>
          <w:p>
            <w:pPr>
              <w:spacing w:after="0"/>
              <w:rPr>
                <w:sz w:val="17"/>
                <w:szCs w:val="17"/>
                <w:color w:val="auto"/>
              </w:rPr>
            </w:pPr>
          </w:p>
        </w:tc>
        <w:tc>
          <w:tcPr>
            <w:tcW w:w="160" w:type="dxa"/>
            <w:vAlign w:val="bottom"/>
            <w:tcBorders>
              <w:bottom w:val="single" w:sz="8" w:color="D9D9D9"/>
            </w:tcBorders>
            <w:shd w:val="clear" w:color="auto" w:fill="D9D9D9"/>
          </w:tcPr>
          <w:p>
            <w:pPr>
              <w:spacing w:after="0"/>
              <w:rPr>
                <w:sz w:val="17"/>
                <w:szCs w:val="17"/>
                <w:color w:val="auto"/>
              </w:rPr>
            </w:pPr>
          </w:p>
        </w:tc>
        <w:tc>
          <w:tcPr>
            <w:tcW w:w="1100" w:type="dxa"/>
            <w:vAlign w:val="bottom"/>
            <w:tcBorders>
              <w:bottom w:val="single" w:sz="8" w:color="auto"/>
            </w:tcBorders>
            <w:shd w:val="clear" w:color="auto" w:fill="D9D9D9"/>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auto"/>
                <w:w w:val="96"/>
              </w:rPr>
              <w:t>PEO</w:t>
            </w:r>
            <w:r>
              <w:rPr>
                <w:rFonts w:ascii="Times New Roman" w:cs="Times New Roman" w:eastAsia="Times New Roman" w:hAnsi="Times New Roman"/>
                <w:sz w:val="19"/>
                <w:szCs w:val="19"/>
                <w:b w:val="1"/>
                <w:bCs w:val="1"/>
                <w:color w:val="auto"/>
                <w:w w:val="96"/>
                <w:vertAlign w:val="superscript"/>
              </w:rPr>
              <w:t>(1)</w:t>
            </w:r>
          </w:p>
        </w:tc>
        <w:tc>
          <w:tcPr>
            <w:tcW w:w="80" w:type="dxa"/>
            <w:vAlign w:val="bottom"/>
            <w:tcBorders>
              <w:bottom w:val="single" w:sz="8" w:color="D9D9D9"/>
            </w:tcBorders>
            <w:shd w:val="clear" w:color="auto" w:fill="D9D9D9"/>
          </w:tcPr>
          <w:p>
            <w:pPr>
              <w:spacing w:after="0"/>
              <w:rPr>
                <w:sz w:val="17"/>
                <w:szCs w:val="17"/>
                <w:color w:val="auto"/>
              </w:rPr>
            </w:pPr>
          </w:p>
        </w:tc>
        <w:tc>
          <w:tcPr>
            <w:tcW w:w="1200" w:type="dxa"/>
            <w:vAlign w:val="bottom"/>
            <w:tcBorders>
              <w:bottom w:val="single" w:sz="8" w:color="auto"/>
            </w:tcBorders>
            <w:shd w:val="clear" w:color="auto" w:fill="D9D9D9"/>
          </w:tcPr>
          <w:p>
            <w:pPr>
              <w:jc w:val="right"/>
              <w:ind w:right="273"/>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PEO</w:t>
            </w:r>
            <w:r>
              <w:rPr>
                <w:rFonts w:ascii="Times New Roman" w:cs="Times New Roman" w:eastAsia="Times New Roman" w:hAnsi="Times New Roman"/>
                <w:sz w:val="8"/>
                <w:szCs w:val="8"/>
                <w:b w:val="1"/>
                <w:bCs w:val="1"/>
                <w:color w:val="auto"/>
              </w:rPr>
              <w:t>(2)(3)</w:t>
            </w:r>
          </w:p>
        </w:tc>
        <w:tc>
          <w:tcPr>
            <w:tcW w:w="160" w:type="dxa"/>
            <w:vAlign w:val="bottom"/>
            <w:tcBorders>
              <w:bottom w:val="single" w:sz="8" w:color="D9D9D9"/>
            </w:tcBorders>
            <w:shd w:val="clear" w:color="auto" w:fill="D9D9D9"/>
          </w:tcPr>
          <w:p>
            <w:pPr>
              <w:spacing w:after="0"/>
              <w:rPr>
                <w:sz w:val="17"/>
                <w:szCs w:val="17"/>
                <w:color w:val="auto"/>
              </w:rPr>
            </w:pPr>
          </w:p>
        </w:tc>
        <w:tc>
          <w:tcPr>
            <w:tcW w:w="1560" w:type="dxa"/>
            <w:vAlign w:val="bottom"/>
            <w:tcBorders>
              <w:bottom w:val="single" w:sz="8" w:color="auto"/>
            </w:tcBorders>
            <w:shd w:val="clear" w:color="auto" w:fill="D9D9D9"/>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auto"/>
                <w:w w:val="94"/>
              </w:rPr>
              <w:t>Officers</w:t>
            </w:r>
            <w:r>
              <w:rPr>
                <w:rFonts w:ascii="Times New Roman" w:cs="Times New Roman" w:eastAsia="Times New Roman" w:hAnsi="Times New Roman"/>
                <w:sz w:val="19"/>
                <w:szCs w:val="19"/>
                <w:b w:val="1"/>
                <w:bCs w:val="1"/>
                <w:color w:val="auto"/>
                <w:w w:val="94"/>
                <w:vertAlign w:val="superscript"/>
              </w:rPr>
              <w:t>(4)</w:t>
            </w:r>
          </w:p>
        </w:tc>
        <w:tc>
          <w:tcPr>
            <w:tcW w:w="80" w:type="dxa"/>
            <w:vAlign w:val="bottom"/>
            <w:tcBorders>
              <w:bottom w:val="single" w:sz="8" w:color="D9D9D9"/>
            </w:tcBorders>
            <w:shd w:val="clear" w:color="auto" w:fill="D9D9D9"/>
          </w:tcPr>
          <w:p>
            <w:pPr>
              <w:spacing w:after="0"/>
              <w:rPr>
                <w:sz w:val="17"/>
                <w:szCs w:val="17"/>
                <w:color w:val="auto"/>
              </w:rPr>
            </w:pPr>
          </w:p>
        </w:tc>
        <w:tc>
          <w:tcPr>
            <w:tcW w:w="60" w:type="dxa"/>
            <w:vAlign w:val="bottom"/>
            <w:tcBorders>
              <w:right w:val="single" w:sz="8" w:color="D9D9D9"/>
            </w:tcBorders>
          </w:tcPr>
          <w:p>
            <w:pPr>
              <w:spacing w:after="0"/>
              <w:rPr>
                <w:sz w:val="17"/>
                <w:szCs w:val="17"/>
                <w:color w:val="auto"/>
              </w:rPr>
            </w:pPr>
          </w:p>
        </w:tc>
        <w:tc>
          <w:tcPr>
            <w:tcW w:w="1480" w:type="dxa"/>
            <w:vAlign w:val="bottom"/>
            <w:tcBorders>
              <w:bottom w:val="single" w:sz="8" w:color="auto"/>
            </w:tcBorders>
            <w:gridSpan w:val="2"/>
            <w:shd w:val="clear" w:color="auto" w:fill="D9D9D9"/>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auto"/>
                <w:w w:val="94"/>
              </w:rPr>
              <w:t>Officers</w:t>
            </w:r>
            <w:r>
              <w:rPr>
                <w:rFonts w:ascii="Times New Roman" w:cs="Times New Roman" w:eastAsia="Times New Roman" w:hAnsi="Times New Roman"/>
                <w:sz w:val="19"/>
                <w:szCs w:val="19"/>
                <w:b w:val="1"/>
                <w:bCs w:val="1"/>
                <w:color w:val="auto"/>
                <w:w w:val="94"/>
                <w:vertAlign w:val="superscript"/>
              </w:rPr>
              <w:t>(5)(6)</w:t>
            </w:r>
          </w:p>
        </w:tc>
        <w:tc>
          <w:tcPr>
            <w:tcW w:w="80" w:type="dxa"/>
            <w:vAlign w:val="bottom"/>
            <w:tcBorders>
              <w:bottom w:val="single" w:sz="8" w:color="D9D9D9"/>
            </w:tcBorders>
            <w:shd w:val="clear" w:color="auto" w:fill="D9D9D9"/>
          </w:tcPr>
          <w:p>
            <w:pPr>
              <w:spacing w:after="0"/>
              <w:rPr>
                <w:sz w:val="17"/>
                <w:szCs w:val="17"/>
                <w:color w:val="auto"/>
              </w:rPr>
            </w:pPr>
          </w:p>
        </w:tc>
        <w:tc>
          <w:tcPr>
            <w:tcW w:w="1620" w:type="dxa"/>
            <w:vAlign w:val="bottom"/>
            <w:tcBorders>
              <w:bottom w:val="single" w:sz="8" w:color="auto"/>
            </w:tcBorders>
            <w:gridSpan w:val="2"/>
            <w:shd w:val="clear" w:color="auto" w:fill="D9D9D9"/>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auto"/>
                <w:w w:val="94"/>
              </w:rPr>
              <w:t>Shareholder Return</w:t>
            </w:r>
            <w:r>
              <w:rPr>
                <w:rFonts w:ascii="Times New Roman" w:cs="Times New Roman" w:eastAsia="Times New Roman" w:hAnsi="Times New Roman"/>
                <w:sz w:val="19"/>
                <w:szCs w:val="19"/>
                <w:b w:val="1"/>
                <w:bCs w:val="1"/>
                <w:color w:val="auto"/>
                <w:w w:val="94"/>
                <w:vertAlign w:val="superscript"/>
              </w:rPr>
              <w:t>(7)</w:t>
            </w:r>
          </w:p>
        </w:tc>
        <w:tc>
          <w:tcPr>
            <w:tcW w:w="60" w:type="dxa"/>
            <w:vAlign w:val="bottom"/>
            <w:tcBorders>
              <w:bottom w:val="single" w:sz="8" w:color="D9D9D9"/>
            </w:tcBorders>
            <w:shd w:val="clear" w:color="auto" w:fill="D9D9D9"/>
          </w:tcPr>
          <w:p>
            <w:pPr>
              <w:spacing w:after="0"/>
              <w:rPr>
                <w:sz w:val="17"/>
                <w:szCs w:val="17"/>
                <w:color w:val="auto"/>
              </w:rPr>
            </w:pPr>
          </w:p>
        </w:tc>
        <w:tc>
          <w:tcPr>
            <w:tcW w:w="1200" w:type="dxa"/>
            <w:vAlign w:val="bottom"/>
            <w:tcBorders>
              <w:bottom w:val="single" w:sz="8" w:color="auto"/>
            </w:tcBorders>
            <w:shd w:val="clear" w:color="auto" w:fill="D9D9D9"/>
          </w:tcPr>
          <w:p>
            <w:pPr>
              <w:jc w:val="right"/>
              <w:ind w:right="60"/>
              <w:spacing w:after="0" w:line="203" w:lineRule="exact"/>
              <w:rPr>
                <w:sz w:val="20"/>
                <w:szCs w:val="20"/>
                <w:color w:val="auto"/>
              </w:rPr>
            </w:pPr>
            <w:r>
              <w:rPr>
                <w:rFonts w:ascii="Times New Roman" w:cs="Times New Roman" w:eastAsia="Times New Roman" w:hAnsi="Times New Roman"/>
                <w:sz w:val="16"/>
                <w:szCs w:val="16"/>
                <w:b w:val="1"/>
                <w:bCs w:val="1"/>
                <w:color w:val="auto"/>
              </w:rPr>
              <w:t>Net Income</w:t>
            </w:r>
            <w:r>
              <w:rPr>
                <w:rFonts w:ascii="Times New Roman" w:cs="Times New Roman" w:eastAsia="Times New Roman" w:hAnsi="Times New Roman"/>
                <w:sz w:val="19"/>
                <w:szCs w:val="19"/>
                <w:b w:val="1"/>
                <w:bCs w:val="1"/>
                <w:color w:val="auto"/>
                <w:vertAlign w:val="superscript"/>
              </w:rPr>
              <w:t>(8)</w:t>
            </w:r>
          </w:p>
        </w:tc>
        <w:tc>
          <w:tcPr>
            <w:tcW w:w="80" w:type="dxa"/>
            <w:vAlign w:val="bottom"/>
            <w:tcBorders>
              <w:bottom w:val="single" w:sz="8" w:color="D9D9D9"/>
            </w:tcBorders>
            <w:shd w:val="clear" w:color="auto" w:fill="D9D9D9"/>
          </w:tcPr>
          <w:p>
            <w:pPr>
              <w:spacing w:after="0"/>
              <w:rPr>
                <w:sz w:val="17"/>
                <w:szCs w:val="17"/>
                <w:color w:val="auto"/>
              </w:rPr>
            </w:pPr>
          </w:p>
        </w:tc>
      </w:tr>
      <w:tr>
        <w:trPr>
          <w:trHeight w:val="222"/>
        </w:trPr>
        <w:tc>
          <w:tcPr>
            <w:tcW w:w="520" w:type="dxa"/>
            <w:vAlign w:val="bottom"/>
            <w:gridSpan w:val="2"/>
          </w:tcPr>
          <w:p>
            <w:pPr>
              <w:jc w:val="right"/>
              <w:spacing w:after="0" w:line="222" w:lineRule="exact"/>
              <w:rPr>
                <w:sz w:val="20"/>
                <w:szCs w:val="20"/>
                <w:color w:val="auto"/>
              </w:rPr>
            </w:pPr>
            <w:r>
              <w:rPr>
                <w:rFonts w:ascii="Times New Roman" w:cs="Times New Roman" w:eastAsia="Times New Roman" w:hAnsi="Times New Roman"/>
                <w:sz w:val="22"/>
                <w:szCs w:val="22"/>
                <w:color w:val="auto"/>
              </w:rPr>
              <w:t>2025</w:t>
            </w:r>
          </w:p>
        </w:tc>
        <w:tc>
          <w:tcPr>
            <w:tcW w:w="1280" w:type="dxa"/>
            <w:vAlign w:val="bottom"/>
            <w:gridSpan w:val="3"/>
          </w:tcPr>
          <w:p>
            <w:pPr>
              <w:jc w:val="right"/>
              <w:spacing w:after="0" w:line="222" w:lineRule="exact"/>
              <w:rPr>
                <w:sz w:val="20"/>
                <w:szCs w:val="20"/>
                <w:color w:val="auto"/>
              </w:rPr>
            </w:pPr>
            <w:r>
              <w:rPr>
                <w:rFonts w:ascii="Times New Roman" w:cs="Times New Roman" w:eastAsia="Times New Roman" w:hAnsi="Times New Roman"/>
                <w:sz w:val="22"/>
                <w:szCs w:val="22"/>
                <w:color w:val="auto"/>
              </w:rPr>
              <w:t>$ 785,383</w:t>
            </w:r>
          </w:p>
        </w:tc>
        <w:tc>
          <w:tcPr>
            <w:tcW w:w="1280" w:type="dxa"/>
            <w:vAlign w:val="bottom"/>
            <w:gridSpan w:val="2"/>
          </w:tcPr>
          <w:p>
            <w:pPr>
              <w:jc w:val="right"/>
              <w:spacing w:after="0" w:line="222" w:lineRule="exact"/>
              <w:rPr>
                <w:sz w:val="20"/>
                <w:szCs w:val="20"/>
                <w:color w:val="auto"/>
              </w:rPr>
            </w:pPr>
            <w:r>
              <w:rPr>
                <w:rFonts w:ascii="Times New Roman" w:cs="Times New Roman" w:eastAsia="Times New Roman" w:hAnsi="Times New Roman"/>
                <w:sz w:val="22"/>
                <w:szCs w:val="22"/>
                <w:color w:val="auto"/>
              </w:rPr>
              <w:t>$  453,021</w:t>
            </w:r>
          </w:p>
        </w:tc>
        <w:tc>
          <w:tcPr>
            <w:tcW w:w="1720" w:type="dxa"/>
            <w:vAlign w:val="bottom"/>
            <w:gridSpan w:val="2"/>
          </w:tcPr>
          <w:p>
            <w:pPr>
              <w:jc w:val="right"/>
              <w:ind w:right="200"/>
              <w:spacing w:after="0" w:line="222" w:lineRule="exact"/>
              <w:rPr>
                <w:sz w:val="20"/>
                <w:szCs w:val="20"/>
                <w:color w:val="auto"/>
              </w:rPr>
            </w:pPr>
            <w:r>
              <w:rPr>
                <w:rFonts w:ascii="Times New Roman" w:cs="Times New Roman" w:eastAsia="Times New Roman" w:hAnsi="Times New Roman"/>
                <w:sz w:val="22"/>
                <w:szCs w:val="22"/>
                <w:color w:val="auto"/>
              </w:rPr>
              <w:t>$ 583,692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line="222"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line="222" w:lineRule="exact"/>
              <w:rPr>
                <w:sz w:val="20"/>
                <w:szCs w:val="20"/>
                <w:color w:val="auto"/>
              </w:rPr>
            </w:pPr>
            <w:r>
              <w:rPr>
                <w:rFonts w:ascii="Times New Roman" w:cs="Times New Roman" w:eastAsia="Times New Roman" w:hAnsi="Times New Roman"/>
                <w:sz w:val="22"/>
                <w:szCs w:val="22"/>
                <w:color w:val="auto"/>
              </w:rPr>
              <w:t>338,033</w:t>
            </w:r>
          </w:p>
        </w:tc>
        <w:tc>
          <w:tcPr>
            <w:tcW w:w="440" w:type="dxa"/>
            <w:vAlign w:val="bottom"/>
            <w:gridSpan w:val="2"/>
          </w:tcPr>
          <w:p>
            <w:pPr>
              <w:jc w:val="right"/>
              <w:spacing w:after="0" w:line="222"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ind w:right="22"/>
              <w:spacing w:after="0" w:line="222" w:lineRule="exact"/>
              <w:rPr>
                <w:sz w:val="20"/>
                <w:szCs w:val="20"/>
                <w:color w:val="auto"/>
              </w:rPr>
            </w:pPr>
            <w:r>
              <w:rPr>
                <w:rFonts w:ascii="Times New Roman" w:cs="Times New Roman" w:eastAsia="Times New Roman" w:hAnsi="Times New Roman"/>
                <w:sz w:val="22"/>
                <w:szCs w:val="22"/>
                <w:color w:val="auto"/>
              </w:rPr>
              <w:t>68.93</w:t>
            </w:r>
          </w:p>
        </w:tc>
        <w:tc>
          <w:tcPr>
            <w:tcW w:w="1260" w:type="dxa"/>
            <w:vAlign w:val="bottom"/>
            <w:gridSpan w:val="2"/>
          </w:tcPr>
          <w:p>
            <w:pPr>
              <w:jc w:val="right"/>
              <w:spacing w:after="0" w:line="222" w:lineRule="exact"/>
              <w:rPr>
                <w:sz w:val="20"/>
                <w:szCs w:val="20"/>
                <w:color w:val="auto"/>
              </w:rPr>
            </w:pPr>
            <w:r>
              <w:rPr>
                <w:rFonts w:ascii="Times New Roman" w:cs="Times New Roman" w:eastAsia="Times New Roman" w:hAnsi="Times New Roman"/>
                <w:sz w:val="22"/>
                <w:szCs w:val="22"/>
                <w:color w:val="auto"/>
              </w:rPr>
              <w:t>$  986,393</w:t>
            </w:r>
          </w:p>
        </w:tc>
        <w:tc>
          <w:tcPr>
            <w:tcW w:w="80" w:type="dxa"/>
            <w:vAlign w:val="bottom"/>
          </w:tcPr>
          <w:p>
            <w:pPr>
              <w:spacing w:after="0"/>
              <w:rPr>
                <w:sz w:val="19"/>
                <w:szCs w:val="19"/>
                <w:color w:val="auto"/>
              </w:rPr>
            </w:pPr>
          </w:p>
        </w:tc>
      </w:tr>
      <w:tr>
        <w:trPr>
          <w:trHeight w:val="253"/>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2024</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946,597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957,026</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702,848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710,560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22"/>
                <w:szCs w:val="22"/>
                <w:color w:val="auto"/>
              </w:rPr>
              <w:t>116.30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6,321,384</w:t>
            </w:r>
          </w:p>
        </w:tc>
        <w:tc>
          <w:tcPr>
            <w:tcW w:w="80" w:type="dxa"/>
            <w:vAlign w:val="bottom"/>
          </w:tcPr>
          <w:p>
            <w:pPr>
              <w:spacing w:after="0"/>
              <w:rPr>
                <w:sz w:val="22"/>
                <w:szCs w:val="22"/>
                <w:color w:val="auto"/>
              </w:rPr>
            </w:pPr>
          </w:p>
        </w:tc>
      </w:tr>
      <w:tr>
        <w:trPr>
          <w:trHeight w:val="283"/>
        </w:trPr>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2023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889,044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979,458</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660,312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727,138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22"/>
                <w:szCs w:val="22"/>
                <w:color w:val="auto"/>
              </w:rPr>
              <w:t>111.88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4,237,731</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4189730</wp:posOffset>
                </wp:positionH>
                <wp:positionV relativeFrom="paragraph">
                  <wp:posOffset>-856615</wp:posOffset>
                </wp:positionV>
                <wp:extent cx="891540" cy="36957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1540" cy="369570"/>
                        </a:xfrm>
                        <a:prstGeom prst="rect">
                          <a:avLst/>
                        </a:prstGeom>
                        <a:solidFill>
                          <a:srgbClr val="D9D9D9"/>
                        </a:solidFill>
                      </wps:spPr>
                      <wps:bodyPr/>
                    </wps:wsp>
                  </a:graphicData>
                </a:graphic>
              </wp:anchor>
            </w:drawing>
          </mc:Choice>
          <mc:Fallback>
            <w:pict>
              <v:rect id="Shape 84" o:spid="_x0000_s1109" style="position:absolute;margin-left:329.9pt;margin-top:-67.4499pt;width:70.2pt;height:29.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ind w:left="100"/>
        <w:spacing w:after="0"/>
        <w:rPr>
          <w:sz w:val="20"/>
          <w:szCs w:val="20"/>
          <w:color w:val="auto"/>
        </w:rPr>
      </w:pPr>
      <w:r>
        <w:rPr>
          <w:rFonts w:ascii="Arial" w:cs="Arial" w:eastAsia="Arial" w:hAnsi="Arial"/>
          <w:sz w:val="22"/>
          <w:szCs w:val="22"/>
          <w:color w:val="auto"/>
        </w:rPr>
        <w:t>________________________</w:t>
      </w:r>
    </w:p>
    <w:p>
      <w:pPr>
        <w:spacing w:after="0" w:line="92" w:lineRule="exact"/>
        <w:rPr>
          <w:sz w:val="20"/>
          <w:szCs w:val="20"/>
          <w:color w:val="auto"/>
        </w:rPr>
      </w:pPr>
    </w:p>
    <w:p>
      <w:pPr>
        <w:ind w:left="820" w:right="420" w:hanging="720"/>
        <w:spacing w:after="0" w:line="278" w:lineRule="auto"/>
        <w:tabs>
          <w:tab w:leader="none" w:pos="8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reported represent the Summary Compensation Table total for our CEO for each of the fiscal years presented. See “</w:t>
      </w:r>
      <w:r>
        <w:rPr>
          <w:rFonts w:ascii="Times New Roman" w:cs="Times New Roman" w:eastAsia="Times New Roman" w:hAnsi="Times New Roman"/>
          <w:sz w:val="20"/>
          <w:szCs w:val="20"/>
          <w:i w:val="1"/>
          <w:iCs w:val="1"/>
          <w:color w:val="auto"/>
        </w:rPr>
        <w:t>Executive Compensation—Summary Compensation Table.</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ind w:left="820" w:right="160" w:hanging="720"/>
        <w:spacing w:after="0" w:line="259" w:lineRule="auto"/>
        <w:tabs>
          <w:tab w:leader="none" w:pos="8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reported represent compensation actually paid to our CEO for each of the fiscal years presented. The dollar amounts in this column do not reflect the actual amount of compensation earned by or paid to our CEO during the applicable fiscal year.</w:t>
      </w:r>
    </w:p>
    <w:p>
      <w:pPr>
        <w:spacing w:after="0" w:line="185" w:lineRule="exact"/>
        <w:rPr>
          <w:rFonts w:ascii="Times New Roman" w:cs="Times New Roman" w:eastAsia="Times New Roman" w:hAnsi="Times New Roman"/>
          <w:sz w:val="20"/>
          <w:szCs w:val="20"/>
          <w:color w:val="auto"/>
        </w:rPr>
      </w:pPr>
    </w:p>
    <w:p>
      <w:pPr>
        <w:ind w:left="820" w:right="260" w:hanging="720"/>
        <w:spacing w:after="0" w:line="278" w:lineRule="auto"/>
        <w:tabs>
          <w:tab w:leader="none" w:pos="8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actually paid to our PEO consists of the following amounts deducted from or added to the Summary Compensation Table total for our CEO for each of the fiscal years presented:</w:t>
      </w:r>
    </w:p>
    <w:p>
      <w:pPr>
        <w:spacing w:after="0" w:line="167" w:lineRule="exact"/>
        <w:rPr>
          <w:sz w:val="20"/>
          <w:szCs w:val="20"/>
          <w:color w:val="auto"/>
        </w:rPr>
      </w:pPr>
    </w:p>
    <w:tbl>
      <w:tblPr>
        <w:tblLayout w:type="fixed"/>
        <w:tblInd w:w="350" w:type="dxa"/>
        <w:tblCellMar>
          <w:top w:w="0" w:type="dxa"/>
          <w:left w:w="0" w:type="dxa"/>
          <w:bottom w:w="0" w:type="dxa"/>
          <w:right w:w="0" w:type="dxa"/>
        </w:tblCellMar>
      </w:tblPr>
      <w:tr>
        <w:trPr>
          <w:trHeight w:val="240"/>
        </w:trPr>
        <w:tc>
          <w:tcPr>
            <w:tcW w:w="660" w:type="dxa"/>
            <w:vAlign w:val="bottom"/>
            <w:tcBorders>
              <w:top w:val="single" w:sz="8" w:color="auto"/>
              <w:left w:val="single" w:sz="8" w:color="auto"/>
              <w:bottom w:val="single" w:sz="8" w:color="auto"/>
            </w:tcBorders>
          </w:tcPr>
          <w:p>
            <w:pPr>
              <w:spacing w:after="0"/>
              <w:rPr>
                <w:sz w:val="20"/>
                <w:szCs w:val="20"/>
                <w:color w:val="auto"/>
              </w:rPr>
            </w:pPr>
          </w:p>
        </w:tc>
        <w:tc>
          <w:tcPr>
            <w:tcW w:w="5760" w:type="dxa"/>
            <w:vAlign w:val="bottom"/>
            <w:tcBorders>
              <w:top w:val="single" w:sz="8" w:color="auto"/>
              <w:bottom w:val="single" w:sz="8" w:color="auto"/>
              <w:right w:val="single" w:sz="8" w:color="auto"/>
            </w:tcBorders>
          </w:tcPr>
          <w:p>
            <w:pPr>
              <w:spacing w:after="0"/>
              <w:rPr>
                <w:sz w:val="20"/>
                <w:szCs w:val="20"/>
                <w:color w:val="auto"/>
              </w:rPr>
            </w:pPr>
          </w:p>
        </w:tc>
        <w:tc>
          <w:tcPr>
            <w:tcW w:w="2520" w:type="dxa"/>
            <w:vAlign w:val="bottom"/>
            <w:tcBorders>
              <w:top w:val="single" w:sz="8" w:color="auto"/>
              <w:bottom w:val="single" w:sz="8" w:color="auto"/>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G. Patrick Lynch</w:t>
            </w:r>
          </w:p>
        </w:tc>
      </w:tr>
      <w:tr>
        <w:trPr>
          <w:trHeight w:val="220"/>
        </w:trPr>
        <w:tc>
          <w:tcPr>
            <w:tcW w:w="642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Summary Compensation Table Total for Fiscal 2025</w:t>
            </w:r>
          </w:p>
        </w:tc>
        <w:tc>
          <w:tcPr>
            <w:tcW w:w="900" w:type="dxa"/>
            <w:vAlign w:val="bottom"/>
            <w:tcBorders>
              <w:bottom w:val="single" w:sz="8" w:color="auto"/>
            </w:tcBorders>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20" w:type="dxa"/>
            <w:vAlign w:val="bottom"/>
            <w:tcBorders>
              <w:bottom w:val="single" w:sz="8" w:color="auto"/>
              <w:right w:val="single" w:sz="8" w:color="auto"/>
            </w:tcBorders>
          </w:tcPr>
          <w:p>
            <w:pPr>
              <w:jc w:val="right"/>
              <w:ind w:right="560"/>
              <w:spacing w:after="0" w:line="220" w:lineRule="exact"/>
              <w:rPr>
                <w:sz w:val="20"/>
                <w:szCs w:val="20"/>
                <w:color w:val="auto"/>
              </w:rPr>
            </w:pPr>
            <w:r>
              <w:rPr>
                <w:rFonts w:ascii="Times New Roman" w:cs="Times New Roman" w:eastAsia="Times New Roman" w:hAnsi="Times New Roman"/>
                <w:sz w:val="20"/>
                <w:szCs w:val="20"/>
                <w:color w:val="auto"/>
              </w:rPr>
              <w:t>785,383</w:t>
            </w:r>
          </w:p>
        </w:tc>
      </w:tr>
      <w:tr>
        <w:trPr>
          <w:trHeight w:val="220"/>
        </w:trPr>
        <w:tc>
          <w:tcPr>
            <w:tcW w:w="642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Deduct</w:t>
            </w:r>
            <w:r>
              <w:rPr>
                <w:rFonts w:ascii="Times New Roman" w:cs="Times New Roman" w:eastAsia="Times New Roman" w:hAnsi="Times New Roman"/>
                <w:sz w:val="20"/>
                <w:szCs w:val="20"/>
                <w:color w:val="auto"/>
              </w:rPr>
              <w:t>: Stock awards</w:t>
            </w:r>
            <w:r>
              <w:rPr>
                <w:rFonts w:ascii="Times New Roman" w:cs="Times New Roman" w:eastAsia="Times New Roman" w:hAnsi="Times New Roman"/>
                <w:sz w:val="25"/>
                <w:szCs w:val="25"/>
                <w:color w:val="auto"/>
                <w:vertAlign w:val="superscript"/>
              </w:rPr>
              <w:t>(a)</w:t>
            </w: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jc w:val="right"/>
              <w:ind w:right="560"/>
              <w:spacing w:after="0" w:line="220" w:lineRule="exact"/>
              <w:rPr>
                <w:sz w:val="20"/>
                <w:szCs w:val="20"/>
                <w:color w:val="auto"/>
              </w:rPr>
            </w:pPr>
            <w:r>
              <w:rPr>
                <w:rFonts w:ascii="Times New Roman" w:cs="Times New Roman" w:eastAsia="Times New Roman" w:hAnsi="Times New Roman"/>
                <w:sz w:val="20"/>
                <w:szCs w:val="20"/>
                <w:color w:val="auto"/>
              </w:rPr>
              <w:t>0</w:t>
            </w:r>
          </w:p>
        </w:tc>
      </w:tr>
      <w:tr>
        <w:trPr>
          <w:trHeight w:val="220"/>
        </w:trPr>
        <w:tc>
          <w:tcPr>
            <w:tcW w:w="642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Deduct</w:t>
            </w:r>
            <w:r>
              <w:rPr>
                <w:rFonts w:ascii="Times New Roman" w:cs="Times New Roman" w:eastAsia="Times New Roman" w:hAnsi="Times New Roman"/>
                <w:sz w:val="20"/>
                <w:szCs w:val="20"/>
                <w:color w:val="auto"/>
              </w:rPr>
              <w:t>: Option awards</w:t>
            </w:r>
            <w:r>
              <w:rPr>
                <w:rFonts w:ascii="Times New Roman" w:cs="Times New Roman" w:eastAsia="Times New Roman" w:hAnsi="Times New Roman"/>
                <w:sz w:val="25"/>
                <w:szCs w:val="25"/>
                <w:color w:val="auto"/>
                <w:vertAlign w:val="superscript"/>
              </w:rPr>
              <w:t>(b)</w:t>
            </w: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jc w:val="right"/>
              <w:ind w:right="560"/>
              <w:spacing w:after="0" w:line="220" w:lineRule="exact"/>
              <w:rPr>
                <w:sz w:val="20"/>
                <w:szCs w:val="20"/>
                <w:color w:val="auto"/>
              </w:rPr>
            </w:pPr>
            <w:r>
              <w:rPr>
                <w:rFonts w:ascii="Times New Roman" w:cs="Times New Roman" w:eastAsia="Times New Roman" w:hAnsi="Times New Roman"/>
                <w:sz w:val="20"/>
                <w:szCs w:val="20"/>
                <w:color w:val="auto"/>
              </w:rPr>
              <w:t>224,768</w:t>
            </w: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760" w:type="dxa"/>
            <w:vAlign w:val="bottom"/>
            <w:tcBorders>
              <w:right w:val="single" w:sz="8" w:color="auto"/>
            </w:tcBorders>
          </w:tcPr>
          <w:p>
            <w:pPr>
              <w:ind w:left="180"/>
              <w:spacing w:after="0" w:line="201" w:lineRule="exact"/>
              <w:rPr>
                <w:sz w:val="20"/>
                <w:szCs w:val="20"/>
                <w:color w:val="auto"/>
              </w:rPr>
            </w:pPr>
            <w:r>
              <w:rPr>
                <w:rFonts w:ascii="Times New Roman" w:cs="Times New Roman" w:eastAsia="Times New Roman" w:hAnsi="Times New Roman"/>
                <w:sz w:val="20"/>
                <w:szCs w:val="20"/>
                <w:color w:val="auto"/>
              </w:rPr>
              <w:t>Fiscal year-end value of equity awards granted during the fiscal</w:t>
            </w:r>
          </w:p>
        </w:tc>
        <w:tc>
          <w:tcPr>
            <w:tcW w:w="900" w:type="dxa"/>
            <w:vAlign w:val="bottom"/>
          </w:tcPr>
          <w:p>
            <w:pPr>
              <w:spacing w:after="0"/>
              <w:rPr>
                <w:sz w:val="17"/>
                <w:szCs w:val="17"/>
                <w:color w:val="auto"/>
              </w:rPr>
            </w:pPr>
          </w:p>
        </w:tc>
        <w:tc>
          <w:tcPr>
            <w:tcW w:w="1620" w:type="dxa"/>
            <w:vAlign w:val="bottom"/>
            <w:tcBorders>
              <w:right w:val="single" w:sz="8" w:color="auto"/>
            </w:tcBorders>
          </w:tcPr>
          <w:p>
            <w:pPr>
              <w:jc w:val="right"/>
              <w:ind w:right="560"/>
              <w:spacing w:after="0" w:line="201" w:lineRule="exact"/>
              <w:rPr>
                <w:sz w:val="20"/>
                <w:szCs w:val="20"/>
                <w:color w:val="auto"/>
              </w:rPr>
            </w:pPr>
            <w:r>
              <w:rPr>
                <w:rFonts w:ascii="Times New Roman" w:cs="Times New Roman" w:eastAsia="Times New Roman" w:hAnsi="Times New Roman"/>
                <w:sz w:val="20"/>
                <w:szCs w:val="20"/>
                <w:color w:val="auto"/>
              </w:rPr>
              <w:t>126,949</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180"/>
              <w:spacing w:after="0" w:line="250" w:lineRule="exact"/>
              <w:rPr>
                <w:sz w:val="20"/>
                <w:szCs w:val="20"/>
                <w:color w:val="auto"/>
              </w:rPr>
            </w:pPr>
            <w:r>
              <w:rPr>
                <w:rFonts w:ascii="Times New Roman" w:cs="Times New Roman" w:eastAsia="Times New Roman" w:hAnsi="Times New Roman"/>
                <w:sz w:val="20"/>
                <w:szCs w:val="20"/>
                <w:color w:val="auto"/>
              </w:rPr>
              <w:t>year that are outstanding and unvested</w:t>
            </w:r>
            <w:r>
              <w:rPr>
                <w:rFonts w:ascii="Times New Roman" w:cs="Times New Roman" w:eastAsia="Times New Roman" w:hAnsi="Times New Roman"/>
                <w:sz w:val="25"/>
                <w:szCs w:val="25"/>
                <w:color w:val="auto"/>
                <w:vertAlign w:val="superscript"/>
              </w:rPr>
              <w:t>(c)</w:t>
            </w:r>
          </w:p>
        </w:tc>
        <w:tc>
          <w:tcPr>
            <w:tcW w:w="900" w:type="dxa"/>
            <w:vAlign w:val="bottom"/>
            <w:tcBorders>
              <w:bottom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r>
      <w:tr>
        <w:trPr>
          <w:trHeight w:val="199"/>
        </w:trPr>
        <w:tc>
          <w:tcPr>
            <w:tcW w:w="660" w:type="dxa"/>
            <w:vAlign w:val="bottom"/>
            <w:tcBorders>
              <w:lef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760" w:type="dxa"/>
            <w:vAlign w:val="bottom"/>
            <w:tcBorders>
              <w:right w:val="single" w:sz="8" w:color="auto"/>
            </w:tcBorders>
          </w:tcPr>
          <w:p>
            <w:pPr>
              <w:ind w:left="180"/>
              <w:spacing w:after="0" w:line="200" w:lineRule="exact"/>
              <w:rPr>
                <w:sz w:val="20"/>
                <w:szCs w:val="20"/>
                <w:color w:val="auto"/>
              </w:rPr>
            </w:pPr>
            <w:r>
              <w:rPr>
                <w:rFonts w:ascii="Times New Roman" w:cs="Times New Roman" w:eastAsia="Times New Roman" w:hAnsi="Times New Roman"/>
                <w:sz w:val="20"/>
                <w:szCs w:val="20"/>
                <w:color w:val="auto"/>
              </w:rPr>
              <w:t>Change in fair value of equity awards granted in prior fiscal years</w:t>
            </w:r>
          </w:p>
        </w:tc>
        <w:tc>
          <w:tcPr>
            <w:tcW w:w="900" w:type="dxa"/>
            <w:vAlign w:val="bottom"/>
          </w:tcPr>
          <w:p>
            <w:pPr>
              <w:spacing w:after="0"/>
              <w:rPr>
                <w:sz w:val="17"/>
                <w:szCs w:val="17"/>
                <w:color w:val="auto"/>
              </w:rPr>
            </w:pPr>
          </w:p>
        </w:tc>
        <w:tc>
          <w:tcPr>
            <w:tcW w:w="1620" w:type="dxa"/>
            <w:vAlign w:val="bottom"/>
            <w:tcBorders>
              <w:right w:val="single" w:sz="8" w:color="auto"/>
            </w:tcBorders>
          </w:tcPr>
          <w:p>
            <w:pPr>
              <w:jc w:val="right"/>
              <w:ind w:right="480"/>
              <w:spacing w:after="0" w:line="200" w:lineRule="exact"/>
              <w:rPr>
                <w:sz w:val="20"/>
                <w:szCs w:val="20"/>
                <w:color w:val="auto"/>
              </w:rPr>
            </w:pPr>
            <w:r>
              <w:rPr>
                <w:rFonts w:ascii="Times New Roman" w:cs="Times New Roman" w:eastAsia="Times New Roman" w:hAnsi="Times New Roman"/>
                <w:sz w:val="20"/>
                <w:szCs w:val="20"/>
                <w:color w:val="auto"/>
              </w:rPr>
              <w:t>(117,891)</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180"/>
              <w:spacing w:after="0" w:line="250" w:lineRule="exact"/>
              <w:rPr>
                <w:sz w:val="20"/>
                <w:szCs w:val="20"/>
                <w:color w:val="auto"/>
              </w:rPr>
            </w:pPr>
            <w:r>
              <w:rPr>
                <w:rFonts w:ascii="Times New Roman" w:cs="Times New Roman" w:eastAsia="Times New Roman" w:hAnsi="Times New Roman"/>
                <w:sz w:val="20"/>
                <w:szCs w:val="20"/>
                <w:color w:val="auto"/>
              </w:rPr>
              <w:t>that are outstanding and unvested</w:t>
            </w:r>
            <w:r>
              <w:rPr>
                <w:rFonts w:ascii="Times New Roman" w:cs="Times New Roman" w:eastAsia="Times New Roman" w:hAnsi="Times New Roman"/>
                <w:sz w:val="25"/>
                <w:szCs w:val="25"/>
                <w:color w:val="auto"/>
                <w:vertAlign w:val="superscript"/>
              </w:rPr>
              <w:t>(d)</w:t>
            </w:r>
          </w:p>
        </w:tc>
        <w:tc>
          <w:tcPr>
            <w:tcW w:w="900" w:type="dxa"/>
            <w:vAlign w:val="bottom"/>
            <w:tcBorders>
              <w:bottom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760" w:type="dxa"/>
            <w:vAlign w:val="bottom"/>
            <w:tcBorders>
              <w:right w:val="single" w:sz="8" w:color="auto"/>
            </w:tcBorders>
          </w:tcPr>
          <w:p>
            <w:pPr>
              <w:ind w:left="180"/>
              <w:spacing w:after="0" w:line="201" w:lineRule="exact"/>
              <w:rPr>
                <w:sz w:val="20"/>
                <w:szCs w:val="20"/>
                <w:color w:val="auto"/>
              </w:rPr>
            </w:pPr>
            <w:r>
              <w:rPr>
                <w:rFonts w:ascii="Times New Roman" w:cs="Times New Roman" w:eastAsia="Times New Roman" w:hAnsi="Times New Roman"/>
                <w:sz w:val="20"/>
                <w:szCs w:val="20"/>
                <w:color w:val="auto"/>
              </w:rPr>
              <w:t>Change in fair value of equity awards granted in prior fiscal years</w:t>
            </w:r>
          </w:p>
        </w:tc>
        <w:tc>
          <w:tcPr>
            <w:tcW w:w="900" w:type="dxa"/>
            <w:vAlign w:val="bottom"/>
          </w:tcPr>
          <w:p>
            <w:pPr>
              <w:spacing w:after="0"/>
              <w:rPr>
                <w:sz w:val="17"/>
                <w:szCs w:val="17"/>
                <w:color w:val="auto"/>
              </w:rPr>
            </w:pPr>
          </w:p>
        </w:tc>
        <w:tc>
          <w:tcPr>
            <w:tcW w:w="1620" w:type="dxa"/>
            <w:vAlign w:val="bottom"/>
            <w:tcBorders>
              <w:right w:val="single" w:sz="8" w:color="auto"/>
            </w:tcBorders>
          </w:tcPr>
          <w:p>
            <w:pPr>
              <w:jc w:val="right"/>
              <w:ind w:right="480"/>
              <w:spacing w:after="0" w:line="201" w:lineRule="exact"/>
              <w:rPr>
                <w:sz w:val="20"/>
                <w:szCs w:val="20"/>
                <w:color w:val="auto"/>
              </w:rPr>
            </w:pPr>
            <w:r>
              <w:rPr>
                <w:rFonts w:ascii="Times New Roman" w:cs="Times New Roman" w:eastAsia="Times New Roman" w:hAnsi="Times New Roman"/>
                <w:sz w:val="20"/>
                <w:szCs w:val="20"/>
                <w:color w:val="auto"/>
              </w:rPr>
              <w:t>(116,652)</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180"/>
              <w:spacing w:after="0" w:line="250" w:lineRule="exact"/>
              <w:rPr>
                <w:sz w:val="20"/>
                <w:szCs w:val="20"/>
                <w:color w:val="auto"/>
              </w:rPr>
            </w:pPr>
            <w:r>
              <w:rPr>
                <w:rFonts w:ascii="Times New Roman" w:cs="Times New Roman" w:eastAsia="Times New Roman" w:hAnsi="Times New Roman"/>
                <w:sz w:val="20"/>
                <w:szCs w:val="20"/>
                <w:color w:val="auto"/>
              </w:rPr>
              <w:t>that vested during the fiscal year</w:t>
            </w:r>
            <w:r>
              <w:rPr>
                <w:rFonts w:ascii="Times New Roman" w:cs="Times New Roman" w:eastAsia="Times New Roman" w:hAnsi="Times New Roman"/>
                <w:sz w:val="25"/>
                <w:szCs w:val="25"/>
                <w:color w:val="auto"/>
                <w:vertAlign w:val="superscript"/>
              </w:rPr>
              <w:t>(e)</w:t>
            </w:r>
          </w:p>
        </w:tc>
        <w:tc>
          <w:tcPr>
            <w:tcW w:w="900" w:type="dxa"/>
            <w:vAlign w:val="bottom"/>
            <w:tcBorders>
              <w:bottom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760" w:type="dxa"/>
            <w:vAlign w:val="bottom"/>
            <w:tcBorders>
              <w:right w:val="single" w:sz="8" w:color="auto"/>
            </w:tcBorders>
          </w:tcPr>
          <w:p>
            <w:pPr>
              <w:ind w:left="180"/>
              <w:spacing w:after="0" w:line="201" w:lineRule="exact"/>
              <w:rPr>
                <w:sz w:val="20"/>
                <w:szCs w:val="20"/>
                <w:color w:val="auto"/>
              </w:rPr>
            </w:pPr>
            <w:r>
              <w:rPr>
                <w:rFonts w:ascii="Times New Roman" w:cs="Times New Roman" w:eastAsia="Times New Roman" w:hAnsi="Times New Roman"/>
                <w:sz w:val="20"/>
                <w:szCs w:val="20"/>
                <w:color w:val="auto"/>
              </w:rPr>
              <w:t>Value of dividend equivalents accrued on equity awards during the</w:t>
            </w:r>
          </w:p>
        </w:tc>
        <w:tc>
          <w:tcPr>
            <w:tcW w:w="900" w:type="dxa"/>
            <w:vAlign w:val="bottom"/>
          </w:tcPr>
          <w:p>
            <w:pPr>
              <w:spacing w:after="0"/>
              <w:rPr>
                <w:sz w:val="17"/>
                <w:szCs w:val="17"/>
                <w:color w:val="auto"/>
              </w:rPr>
            </w:pPr>
          </w:p>
        </w:tc>
        <w:tc>
          <w:tcPr>
            <w:tcW w:w="1620" w:type="dxa"/>
            <w:vAlign w:val="bottom"/>
            <w:tcBorders>
              <w:right w:val="single" w:sz="8" w:color="auto"/>
            </w:tcBorders>
          </w:tcPr>
          <w:p>
            <w:pPr>
              <w:jc w:val="right"/>
              <w:ind w:right="560"/>
              <w:spacing w:after="0" w:line="201" w:lineRule="exact"/>
              <w:rPr>
                <w:sz w:val="20"/>
                <w:szCs w:val="20"/>
                <w:color w:val="auto"/>
              </w:rPr>
            </w:pPr>
            <w:r>
              <w:rPr>
                <w:rFonts w:ascii="Times New Roman" w:cs="Times New Roman" w:eastAsia="Times New Roman" w:hAnsi="Times New Roman"/>
                <w:sz w:val="20"/>
                <w:szCs w:val="20"/>
                <w:color w:val="auto"/>
              </w:rPr>
              <w:t>0</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fiscal year</w:t>
            </w:r>
          </w:p>
        </w:tc>
        <w:tc>
          <w:tcPr>
            <w:tcW w:w="900" w:type="dxa"/>
            <w:vAlign w:val="bottom"/>
            <w:tcBorders>
              <w:bottom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r>
      <w:tr>
        <w:trPr>
          <w:trHeight w:val="220"/>
        </w:trPr>
        <w:tc>
          <w:tcPr>
            <w:tcW w:w="642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Compensation Actually Paid for Fiscal 2025</w:t>
            </w: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jc w:val="right"/>
              <w:ind w:right="560"/>
              <w:spacing w:after="0" w:line="220" w:lineRule="exact"/>
              <w:rPr>
                <w:sz w:val="20"/>
                <w:szCs w:val="20"/>
                <w:color w:val="auto"/>
              </w:rPr>
            </w:pPr>
            <w:r>
              <w:rPr>
                <w:rFonts w:ascii="Times New Roman" w:cs="Times New Roman" w:eastAsia="Times New Roman" w:hAnsi="Times New Roman"/>
                <w:sz w:val="20"/>
                <w:szCs w:val="20"/>
                <w:color w:val="auto"/>
              </w:rPr>
              <w:t>453,021</w:t>
            </w:r>
          </w:p>
        </w:tc>
      </w:tr>
      <w:tr>
        <w:trPr>
          <w:trHeight w:val="220"/>
        </w:trPr>
        <w:tc>
          <w:tcPr>
            <w:tcW w:w="64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19"/>
        </w:trPr>
        <w:tc>
          <w:tcPr>
            <w:tcW w:w="6420" w:type="dxa"/>
            <w:vAlign w:val="bottom"/>
            <w:tcBorders>
              <w:left w:val="single" w:sz="8" w:color="auto"/>
              <w:bottom w:val="single" w:sz="8" w:color="auto"/>
              <w:right w:val="single" w:sz="8" w:color="auto"/>
            </w:tcBorders>
            <w:gridSpan w:val="2"/>
          </w:tcPr>
          <w:p>
            <w:pPr>
              <w:ind w:left="120"/>
              <w:spacing w:after="0" w:line="219" w:lineRule="exact"/>
              <w:rPr>
                <w:sz w:val="20"/>
                <w:szCs w:val="20"/>
                <w:color w:val="auto"/>
              </w:rPr>
            </w:pPr>
            <w:r>
              <w:rPr>
                <w:rFonts w:ascii="Times New Roman" w:cs="Times New Roman" w:eastAsia="Times New Roman" w:hAnsi="Times New Roman"/>
                <w:sz w:val="20"/>
                <w:szCs w:val="20"/>
                <w:color w:val="auto"/>
              </w:rPr>
              <w:t>Summary Compensation Table Total for Fiscal 2024</w:t>
            </w:r>
          </w:p>
        </w:tc>
        <w:tc>
          <w:tcPr>
            <w:tcW w:w="900" w:type="dxa"/>
            <w:vAlign w:val="bottom"/>
            <w:tcBorders>
              <w:bottom w:val="single" w:sz="8" w:color="auto"/>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620" w:type="dxa"/>
            <w:vAlign w:val="bottom"/>
            <w:tcBorders>
              <w:bottom w:val="single" w:sz="8" w:color="auto"/>
              <w:right w:val="single" w:sz="8" w:color="auto"/>
            </w:tcBorders>
          </w:tcPr>
          <w:p>
            <w:pPr>
              <w:jc w:val="right"/>
              <w:ind w:right="560"/>
              <w:spacing w:after="0" w:line="219" w:lineRule="exact"/>
              <w:rPr>
                <w:sz w:val="20"/>
                <w:szCs w:val="20"/>
                <w:color w:val="auto"/>
              </w:rPr>
            </w:pPr>
            <w:r>
              <w:rPr>
                <w:rFonts w:ascii="Times New Roman" w:cs="Times New Roman" w:eastAsia="Times New Roman" w:hAnsi="Times New Roman"/>
                <w:sz w:val="20"/>
                <w:szCs w:val="20"/>
                <w:color w:val="auto"/>
              </w:rPr>
              <w:t>946,597</w:t>
            </w:r>
          </w:p>
        </w:tc>
      </w:tr>
      <w:tr>
        <w:trPr>
          <w:trHeight w:val="220"/>
        </w:trPr>
        <w:tc>
          <w:tcPr>
            <w:tcW w:w="642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Deduct</w:t>
            </w:r>
            <w:r>
              <w:rPr>
                <w:rFonts w:ascii="Times New Roman" w:cs="Times New Roman" w:eastAsia="Times New Roman" w:hAnsi="Times New Roman"/>
                <w:sz w:val="20"/>
                <w:szCs w:val="20"/>
                <w:color w:val="auto"/>
              </w:rPr>
              <w:t>: Stock awards</w:t>
            </w:r>
            <w:r>
              <w:rPr>
                <w:rFonts w:ascii="Times New Roman" w:cs="Times New Roman" w:eastAsia="Times New Roman" w:hAnsi="Times New Roman"/>
                <w:sz w:val="25"/>
                <w:szCs w:val="25"/>
                <w:color w:val="auto"/>
                <w:vertAlign w:val="superscript"/>
              </w:rPr>
              <w:t>(a)</w:t>
            </w: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jc w:val="right"/>
              <w:ind w:right="560"/>
              <w:spacing w:after="0" w:line="220" w:lineRule="exact"/>
              <w:rPr>
                <w:sz w:val="20"/>
                <w:szCs w:val="20"/>
                <w:color w:val="auto"/>
              </w:rPr>
            </w:pPr>
            <w:r>
              <w:rPr>
                <w:rFonts w:ascii="Times New Roman" w:cs="Times New Roman" w:eastAsia="Times New Roman" w:hAnsi="Times New Roman"/>
                <w:sz w:val="20"/>
                <w:szCs w:val="20"/>
                <w:color w:val="auto"/>
              </w:rPr>
              <w:t>0</w:t>
            </w:r>
          </w:p>
        </w:tc>
      </w:tr>
      <w:tr>
        <w:trPr>
          <w:trHeight w:val="220"/>
        </w:trPr>
        <w:tc>
          <w:tcPr>
            <w:tcW w:w="642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Deduct</w:t>
            </w:r>
            <w:r>
              <w:rPr>
                <w:rFonts w:ascii="Times New Roman" w:cs="Times New Roman" w:eastAsia="Times New Roman" w:hAnsi="Times New Roman"/>
                <w:sz w:val="20"/>
                <w:szCs w:val="20"/>
                <w:color w:val="auto"/>
              </w:rPr>
              <w:t>: Option awards</w:t>
            </w:r>
            <w:r>
              <w:rPr>
                <w:rFonts w:ascii="Times New Roman" w:cs="Times New Roman" w:eastAsia="Times New Roman" w:hAnsi="Times New Roman"/>
                <w:sz w:val="25"/>
                <w:szCs w:val="25"/>
                <w:color w:val="auto"/>
                <w:vertAlign w:val="superscript"/>
              </w:rPr>
              <w:t>(b)</w:t>
            </w: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jc w:val="right"/>
              <w:ind w:right="560"/>
              <w:spacing w:after="0" w:line="220" w:lineRule="exact"/>
              <w:rPr>
                <w:sz w:val="20"/>
                <w:szCs w:val="20"/>
                <w:color w:val="auto"/>
              </w:rPr>
            </w:pPr>
            <w:r>
              <w:rPr>
                <w:rFonts w:ascii="Times New Roman" w:cs="Times New Roman" w:eastAsia="Times New Roman" w:hAnsi="Times New Roman"/>
                <w:sz w:val="20"/>
                <w:szCs w:val="20"/>
                <w:color w:val="auto"/>
              </w:rPr>
              <w:t>228,721</w:t>
            </w: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760" w:type="dxa"/>
            <w:vAlign w:val="bottom"/>
            <w:tcBorders>
              <w:right w:val="single" w:sz="8" w:color="auto"/>
            </w:tcBorders>
          </w:tcPr>
          <w:p>
            <w:pPr>
              <w:ind w:left="160"/>
              <w:spacing w:after="0" w:line="201" w:lineRule="exact"/>
              <w:rPr>
                <w:sz w:val="20"/>
                <w:szCs w:val="20"/>
                <w:color w:val="auto"/>
              </w:rPr>
            </w:pPr>
            <w:r>
              <w:rPr>
                <w:rFonts w:ascii="Times New Roman" w:cs="Times New Roman" w:eastAsia="Times New Roman" w:hAnsi="Times New Roman"/>
                <w:sz w:val="20"/>
                <w:szCs w:val="20"/>
                <w:color w:val="auto"/>
              </w:rPr>
              <w:t>Fiscal year-end value of equity awards granted during the fiscal</w:t>
            </w:r>
          </w:p>
        </w:tc>
        <w:tc>
          <w:tcPr>
            <w:tcW w:w="900" w:type="dxa"/>
            <w:vAlign w:val="bottom"/>
          </w:tcPr>
          <w:p>
            <w:pPr>
              <w:spacing w:after="0"/>
              <w:rPr>
                <w:sz w:val="17"/>
                <w:szCs w:val="17"/>
                <w:color w:val="auto"/>
              </w:rPr>
            </w:pPr>
          </w:p>
        </w:tc>
        <w:tc>
          <w:tcPr>
            <w:tcW w:w="1620" w:type="dxa"/>
            <w:vAlign w:val="bottom"/>
            <w:tcBorders>
              <w:right w:val="single" w:sz="8" w:color="auto"/>
            </w:tcBorders>
          </w:tcPr>
          <w:p>
            <w:pPr>
              <w:jc w:val="right"/>
              <w:ind w:right="560"/>
              <w:spacing w:after="0" w:line="201" w:lineRule="exact"/>
              <w:rPr>
                <w:sz w:val="20"/>
                <w:szCs w:val="20"/>
                <w:color w:val="auto"/>
              </w:rPr>
            </w:pPr>
            <w:r>
              <w:rPr>
                <w:rFonts w:ascii="Times New Roman" w:cs="Times New Roman" w:eastAsia="Times New Roman" w:hAnsi="Times New Roman"/>
                <w:sz w:val="20"/>
                <w:szCs w:val="20"/>
                <w:color w:val="auto"/>
              </w:rPr>
              <w:t>226,905</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160"/>
              <w:spacing w:after="0" w:line="250" w:lineRule="exact"/>
              <w:rPr>
                <w:sz w:val="20"/>
                <w:szCs w:val="20"/>
                <w:color w:val="auto"/>
              </w:rPr>
            </w:pPr>
            <w:r>
              <w:rPr>
                <w:rFonts w:ascii="Times New Roman" w:cs="Times New Roman" w:eastAsia="Times New Roman" w:hAnsi="Times New Roman"/>
                <w:sz w:val="20"/>
                <w:szCs w:val="20"/>
                <w:color w:val="auto"/>
              </w:rPr>
              <w:t>year that are outstanding and unvested</w:t>
            </w:r>
            <w:r>
              <w:rPr>
                <w:rFonts w:ascii="Times New Roman" w:cs="Times New Roman" w:eastAsia="Times New Roman" w:hAnsi="Times New Roman"/>
                <w:sz w:val="25"/>
                <w:szCs w:val="25"/>
                <w:color w:val="auto"/>
                <w:vertAlign w:val="superscript"/>
              </w:rPr>
              <w:t>(c)</w:t>
            </w:r>
          </w:p>
        </w:tc>
        <w:tc>
          <w:tcPr>
            <w:tcW w:w="900" w:type="dxa"/>
            <w:vAlign w:val="bottom"/>
            <w:tcBorders>
              <w:bottom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760" w:type="dxa"/>
            <w:vAlign w:val="bottom"/>
            <w:tcBorders>
              <w:right w:val="single" w:sz="8" w:color="auto"/>
            </w:tcBorders>
          </w:tcPr>
          <w:p>
            <w:pPr>
              <w:ind w:left="160"/>
              <w:spacing w:after="0" w:line="201" w:lineRule="exact"/>
              <w:rPr>
                <w:sz w:val="20"/>
                <w:szCs w:val="20"/>
                <w:color w:val="auto"/>
              </w:rPr>
            </w:pPr>
            <w:r>
              <w:rPr>
                <w:rFonts w:ascii="Times New Roman" w:cs="Times New Roman" w:eastAsia="Times New Roman" w:hAnsi="Times New Roman"/>
                <w:sz w:val="20"/>
                <w:szCs w:val="20"/>
                <w:color w:val="auto"/>
              </w:rPr>
              <w:t>Change in fair value of equity awards granted in prior fiscal years</w:t>
            </w:r>
          </w:p>
        </w:tc>
        <w:tc>
          <w:tcPr>
            <w:tcW w:w="900" w:type="dxa"/>
            <w:vAlign w:val="bottom"/>
          </w:tcPr>
          <w:p>
            <w:pPr>
              <w:spacing w:after="0"/>
              <w:rPr>
                <w:sz w:val="17"/>
                <w:szCs w:val="17"/>
                <w:color w:val="auto"/>
              </w:rPr>
            </w:pPr>
          </w:p>
        </w:tc>
        <w:tc>
          <w:tcPr>
            <w:tcW w:w="1620" w:type="dxa"/>
            <w:vAlign w:val="bottom"/>
            <w:tcBorders>
              <w:right w:val="single" w:sz="8" w:color="auto"/>
            </w:tcBorders>
          </w:tcPr>
          <w:p>
            <w:pPr>
              <w:jc w:val="right"/>
              <w:ind w:right="560"/>
              <w:spacing w:after="0" w:line="201" w:lineRule="exact"/>
              <w:rPr>
                <w:sz w:val="20"/>
                <w:szCs w:val="20"/>
                <w:color w:val="auto"/>
              </w:rPr>
            </w:pPr>
            <w:r>
              <w:rPr>
                <w:rFonts w:ascii="Times New Roman" w:cs="Times New Roman" w:eastAsia="Times New Roman" w:hAnsi="Times New Roman"/>
                <w:sz w:val="20"/>
                <w:szCs w:val="20"/>
                <w:color w:val="auto"/>
              </w:rPr>
              <w:t>5,737</w:t>
            </w:r>
          </w:p>
        </w:tc>
      </w:tr>
      <w:tr>
        <w:trPr>
          <w:trHeight w:val="348"/>
        </w:trPr>
        <w:tc>
          <w:tcPr>
            <w:tcW w:w="660" w:type="dxa"/>
            <w:vAlign w:val="bottom"/>
            <w:tcBorders>
              <w:left w:val="single" w:sz="8" w:color="auto"/>
            </w:tcBorders>
          </w:tcPr>
          <w:p>
            <w:pPr>
              <w:spacing w:after="0"/>
              <w:rPr>
                <w:sz w:val="24"/>
                <w:szCs w:val="24"/>
                <w:color w:val="auto"/>
              </w:rPr>
            </w:pPr>
          </w:p>
        </w:tc>
        <w:tc>
          <w:tcPr>
            <w:tcW w:w="57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that are outstanding and unvested</w:t>
            </w:r>
            <w:r>
              <w:rPr>
                <w:rFonts w:ascii="Times New Roman" w:cs="Times New Roman" w:eastAsia="Times New Roman" w:hAnsi="Times New Roman"/>
                <w:sz w:val="25"/>
                <w:szCs w:val="25"/>
                <w:color w:val="auto"/>
                <w:vertAlign w:val="superscript"/>
              </w:rPr>
              <w:t>(d)</w:t>
            </w:r>
          </w:p>
        </w:tc>
        <w:tc>
          <w:tcPr>
            <w:tcW w:w="90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r>
      <w:tr>
        <w:trPr>
          <w:trHeight w:val="132"/>
        </w:trPr>
        <w:tc>
          <w:tcPr>
            <w:tcW w:w="660" w:type="dxa"/>
            <w:vAlign w:val="bottom"/>
            <w:tcBorders>
              <w:left w:val="single" w:sz="8" w:color="auto"/>
              <w:bottom w:val="single" w:sz="8" w:color="auto"/>
            </w:tcBorders>
          </w:tcPr>
          <w:p>
            <w:pPr>
              <w:spacing w:after="0"/>
              <w:rPr>
                <w:sz w:val="11"/>
                <w:szCs w:val="11"/>
                <w:color w:val="auto"/>
              </w:rPr>
            </w:pPr>
          </w:p>
        </w:tc>
        <w:tc>
          <w:tcPr>
            <w:tcW w:w="57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68</w:t>
      </w:r>
    </w:p>
    <w:p>
      <w:pPr>
        <w:sectPr>
          <w:pgSz w:w="12240" w:h="15840" w:orient="portrait"/>
          <w:cols w:equalWidth="0" w:num="1">
            <w:col w:w="9460"/>
          </w:cols>
          <w:pgMar w:left="1340" w:top="1413" w:right="1440" w:bottom="178" w:gutter="0" w:footer="0" w:header="0"/>
        </w:sectPr>
      </w:pPr>
    </w:p>
    <w:bookmarkStart w:id="75" w:name="page76"/>
    <w:bookmarkEnd w:id="75"/>
    <w:tbl>
      <w:tblPr>
        <w:tblLayout w:type="fixed"/>
        <w:tblInd w:w="250" w:type="dxa"/>
        <w:tblCellMar>
          <w:top w:w="0" w:type="dxa"/>
          <w:left w:w="0" w:type="dxa"/>
          <w:bottom w:w="0" w:type="dxa"/>
          <w:right w:w="0" w:type="dxa"/>
        </w:tblCellMar>
      </w:tblPr>
      <w:tr>
        <w:trPr>
          <w:trHeight w:val="240"/>
        </w:trPr>
        <w:tc>
          <w:tcPr>
            <w:tcW w:w="660" w:type="dxa"/>
            <w:vAlign w:val="bottom"/>
            <w:tcBorders>
              <w:top w:val="single" w:sz="8" w:color="auto"/>
              <w:left w:val="single" w:sz="8" w:color="auto"/>
              <w:bottom w:val="single" w:sz="8" w:color="auto"/>
            </w:tcBorders>
          </w:tcPr>
          <w:p>
            <w:pPr>
              <w:spacing w:after="0"/>
              <w:rPr>
                <w:sz w:val="20"/>
                <w:szCs w:val="20"/>
                <w:color w:val="auto"/>
              </w:rPr>
            </w:pPr>
          </w:p>
        </w:tc>
        <w:tc>
          <w:tcPr>
            <w:tcW w:w="5760" w:type="dxa"/>
            <w:vAlign w:val="bottom"/>
            <w:tcBorders>
              <w:top w:val="single" w:sz="8" w:color="auto"/>
              <w:bottom w:val="single" w:sz="8" w:color="auto"/>
              <w:right w:val="single" w:sz="8" w:color="auto"/>
            </w:tcBorders>
          </w:tcPr>
          <w:p>
            <w:pPr>
              <w:spacing w:after="0"/>
              <w:rPr>
                <w:sz w:val="20"/>
                <w:szCs w:val="20"/>
                <w:color w:val="auto"/>
              </w:rPr>
            </w:pPr>
          </w:p>
        </w:tc>
        <w:tc>
          <w:tcPr>
            <w:tcW w:w="2520" w:type="dxa"/>
            <w:vAlign w:val="bottom"/>
            <w:tcBorders>
              <w:top w:val="single" w:sz="8" w:color="auto"/>
              <w:bottom w:val="single" w:sz="8" w:color="auto"/>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G. Patrick Lynch</w:t>
            </w: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760" w:type="dxa"/>
            <w:vAlign w:val="bottom"/>
            <w:tcBorders>
              <w:right w:val="single" w:sz="8" w:color="auto"/>
            </w:tcBorders>
          </w:tcPr>
          <w:p>
            <w:pPr>
              <w:ind w:left="160"/>
              <w:spacing w:after="0" w:line="201" w:lineRule="exact"/>
              <w:rPr>
                <w:sz w:val="20"/>
                <w:szCs w:val="20"/>
                <w:color w:val="auto"/>
              </w:rPr>
            </w:pPr>
            <w:r>
              <w:rPr>
                <w:rFonts w:ascii="Times New Roman" w:cs="Times New Roman" w:eastAsia="Times New Roman" w:hAnsi="Times New Roman"/>
                <w:sz w:val="20"/>
                <w:szCs w:val="20"/>
                <w:color w:val="auto"/>
              </w:rPr>
              <w:t>Change in fair value of equity awards granted in prior fiscal years</w:t>
            </w:r>
          </w:p>
        </w:tc>
        <w:tc>
          <w:tcPr>
            <w:tcW w:w="960" w:type="dxa"/>
            <w:vAlign w:val="bottom"/>
          </w:tcPr>
          <w:p>
            <w:pPr>
              <w:spacing w:after="0"/>
              <w:rPr>
                <w:sz w:val="17"/>
                <w:szCs w:val="17"/>
                <w:color w:val="auto"/>
              </w:rPr>
            </w:pPr>
          </w:p>
        </w:tc>
        <w:tc>
          <w:tcPr>
            <w:tcW w:w="1560" w:type="dxa"/>
            <w:vAlign w:val="bottom"/>
            <w:tcBorders>
              <w:right w:val="single" w:sz="8" w:color="auto"/>
            </w:tcBorders>
          </w:tcPr>
          <w:p>
            <w:pPr>
              <w:jc w:val="right"/>
              <w:ind w:right="560"/>
              <w:spacing w:after="0" w:line="201" w:lineRule="exact"/>
              <w:rPr>
                <w:sz w:val="20"/>
                <w:szCs w:val="20"/>
                <w:color w:val="auto"/>
              </w:rPr>
            </w:pPr>
            <w:r>
              <w:rPr>
                <w:rFonts w:ascii="Times New Roman" w:cs="Times New Roman" w:eastAsia="Times New Roman" w:hAnsi="Times New Roman"/>
                <w:sz w:val="20"/>
                <w:szCs w:val="20"/>
                <w:color w:val="auto"/>
              </w:rPr>
              <w:t>6,509</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160"/>
              <w:spacing w:after="0" w:line="250" w:lineRule="exact"/>
              <w:rPr>
                <w:sz w:val="20"/>
                <w:szCs w:val="20"/>
                <w:color w:val="auto"/>
              </w:rPr>
            </w:pPr>
            <w:r>
              <w:rPr>
                <w:rFonts w:ascii="Times New Roman" w:cs="Times New Roman" w:eastAsia="Times New Roman" w:hAnsi="Times New Roman"/>
                <w:sz w:val="20"/>
                <w:szCs w:val="20"/>
                <w:color w:val="auto"/>
              </w:rPr>
              <w:t>that vested during the fiscal year</w:t>
            </w:r>
            <w:r>
              <w:rPr>
                <w:rFonts w:ascii="Times New Roman" w:cs="Times New Roman" w:eastAsia="Times New Roman" w:hAnsi="Times New Roman"/>
                <w:sz w:val="25"/>
                <w:szCs w:val="25"/>
                <w:color w:val="auto"/>
                <w:vertAlign w:val="superscript"/>
              </w:rPr>
              <w:t>(e)</w:t>
            </w:r>
          </w:p>
        </w:tc>
        <w:tc>
          <w:tcPr>
            <w:tcW w:w="9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r>
      <w:tr>
        <w:trPr>
          <w:trHeight w:val="199"/>
        </w:trPr>
        <w:tc>
          <w:tcPr>
            <w:tcW w:w="660" w:type="dxa"/>
            <w:vAlign w:val="bottom"/>
            <w:tcBorders>
              <w:lef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760" w:type="dxa"/>
            <w:vAlign w:val="bottom"/>
            <w:tcBorders>
              <w:right w:val="single" w:sz="8" w:color="auto"/>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Value of dividend equivalents accrued on equity awards during the</w:t>
            </w:r>
          </w:p>
        </w:tc>
        <w:tc>
          <w:tcPr>
            <w:tcW w:w="960" w:type="dxa"/>
            <w:vAlign w:val="bottom"/>
          </w:tcPr>
          <w:p>
            <w:pPr>
              <w:spacing w:after="0"/>
              <w:rPr>
                <w:sz w:val="17"/>
                <w:szCs w:val="17"/>
                <w:color w:val="auto"/>
              </w:rPr>
            </w:pPr>
          </w:p>
        </w:tc>
        <w:tc>
          <w:tcPr>
            <w:tcW w:w="1560" w:type="dxa"/>
            <w:vAlign w:val="bottom"/>
            <w:tcBorders>
              <w:right w:val="single" w:sz="8" w:color="auto"/>
            </w:tcBorders>
          </w:tcPr>
          <w:p>
            <w:pPr>
              <w:jc w:val="right"/>
              <w:ind w:right="560"/>
              <w:spacing w:after="0" w:line="200" w:lineRule="exact"/>
              <w:rPr>
                <w:sz w:val="20"/>
                <w:szCs w:val="20"/>
                <w:color w:val="auto"/>
              </w:rPr>
            </w:pPr>
            <w:r>
              <w:rPr>
                <w:rFonts w:ascii="Times New Roman" w:cs="Times New Roman" w:eastAsia="Times New Roman" w:hAnsi="Times New Roman"/>
                <w:sz w:val="20"/>
                <w:szCs w:val="20"/>
                <w:color w:val="auto"/>
              </w:rPr>
              <w:t>0</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fiscal year</w:t>
            </w:r>
          </w:p>
        </w:tc>
        <w:tc>
          <w:tcPr>
            <w:tcW w:w="9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r>
      <w:tr>
        <w:trPr>
          <w:trHeight w:val="220"/>
        </w:trPr>
        <w:tc>
          <w:tcPr>
            <w:tcW w:w="642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Compensation Actually Paid for Fiscal 2024</w:t>
            </w:r>
          </w:p>
        </w:tc>
        <w:tc>
          <w:tcPr>
            <w:tcW w:w="96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560"/>
              <w:spacing w:after="0" w:line="220" w:lineRule="exact"/>
              <w:rPr>
                <w:sz w:val="20"/>
                <w:szCs w:val="20"/>
                <w:color w:val="auto"/>
              </w:rPr>
            </w:pPr>
            <w:r>
              <w:rPr>
                <w:rFonts w:ascii="Times New Roman" w:cs="Times New Roman" w:eastAsia="Times New Roman" w:hAnsi="Times New Roman"/>
                <w:sz w:val="20"/>
                <w:szCs w:val="20"/>
                <w:color w:val="auto"/>
              </w:rPr>
              <w:t>957,026</w:t>
            </w:r>
          </w:p>
        </w:tc>
      </w:tr>
      <w:tr>
        <w:trPr>
          <w:trHeight w:val="220"/>
        </w:trPr>
        <w:tc>
          <w:tcPr>
            <w:tcW w:w="642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r>
      <w:tr>
        <w:trPr>
          <w:trHeight w:val="220"/>
        </w:trPr>
        <w:tc>
          <w:tcPr>
            <w:tcW w:w="642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Summary Compensation Table Total for Fiscal 2023</w:t>
            </w:r>
          </w:p>
        </w:tc>
        <w:tc>
          <w:tcPr>
            <w:tcW w:w="960" w:type="dxa"/>
            <w:vAlign w:val="bottom"/>
            <w:tcBorders>
              <w:bottom w:val="single" w:sz="8" w:color="auto"/>
            </w:tcBorders>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bottom w:val="single" w:sz="8" w:color="auto"/>
              <w:right w:val="single" w:sz="8" w:color="auto"/>
            </w:tcBorders>
          </w:tcPr>
          <w:p>
            <w:pPr>
              <w:jc w:val="right"/>
              <w:ind w:right="560"/>
              <w:spacing w:after="0" w:line="220" w:lineRule="exact"/>
              <w:rPr>
                <w:sz w:val="20"/>
                <w:szCs w:val="20"/>
                <w:color w:val="auto"/>
              </w:rPr>
            </w:pPr>
            <w:r>
              <w:rPr>
                <w:rFonts w:ascii="Times New Roman" w:cs="Times New Roman" w:eastAsia="Times New Roman" w:hAnsi="Times New Roman"/>
                <w:sz w:val="20"/>
                <w:szCs w:val="20"/>
                <w:color w:val="auto"/>
              </w:rPr>
              <w:t>889,044</w:t>
            </w:r>
          </w:p>
        </w:tc>
      </w:tr>
      <w:tr>
        <w:trPr>
          <w:trHeight w:val="220"/>
        </w:trPr>
        <w:tc>
          <w:tcPr>
            <w:tcW w:w="642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Deduct</w:t>
            </w:r>
            <w:r>
              <w:rPr>
                <w:rFonts w:ascii="Times New Roman" w:cs="Times New Roman" w:eastAsia="Times New Roman" w:hAnsi="Times New Roman"/>
                <w:sz w:val="20"/>
                <w:szCs w:val="20"/>
                <w:color w:val="auto"/>
              </w:rPr>
              <w:t>: Stock awards</w:t>
            </w:r>
            <w:r>
              <w:rPr>
                <w:rFonts w:ascii="Times New Roman" w:cs="Times New Roman" w:eastAsia="Times New Roman" w:hAnsi="Times New Roman"/>
                <w:sz w:val="25"/>
                <w:szCs w:val="25"/>
                <w:color w:val="auto"/>
                <w:vertAlign w:val="superscript"/>
              </w:rPr>
              <w:t>(a)</w:t>
            </w:r>
          </w:p>
        </w:tc>
        <w:tc>
          <w:tcPr>
            <w:tcW w:w="96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560"/>
              <w:spacing w:after="0" w:line="220" w:lineRule="exact"/>
              <w:rPr>
                <w:sz w:val="20"/>
                <w:szCs w:val="20"/>
                <w:color w:val="auto"/>
              </w:rPr>
            </w:pPr>
            <w:r>
              <w:rPr>
                <w:rFonts w:ascii="Times New Roman" w:cs="Times New Roman" w:eastAsia="Times New Roman" w:hAnsi="Times New Roman"/>
                <w:sz w:val="20"/>
                <w:szCs w:val="20"/>
                <w:color w:val="auto"/>
              </w:rPr>
              <w:t>0</w:t>
            </w:r>
          </w:p>
        </w:tc>
      </w:tr>
      <w:tr>
        <w:trPr>
          <w:trHeight w:val="220"/>
        </w:trPr>
        <w:tc>
          <w:tcPr>
            <w:tcW w:w="642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Deduct</w:t>
            </w:r>
            <w:r>
              <w:rPr>
                <w:rFonts w:ascii="Times New Roman" w:cs="Times New Roman" w:eastAsia="Times New Roman" w:hAnsi="Times New Roman"/>
                <w:sz w:val="20"/>
                <w:szCs w:val="20"/>
                <w:color w:val="auto"/>
              </w:rPr>
              <w:t>: Option awards</w:t>
            </w:r>
            <w:r>
              <w:rPr>
                <w:rFonts w:ascii="Times New Roman" w:cs="Times New Roman" w:eastAsia="Times New Roman" w:hAnsi="Times New Roman"/>
                <w:sz w:val="25"/>
                <w:szCs w:val="25"/>
                <w:color w:val="auto"/>
                <w:vertAlign w:val="superscript"/>
              </w:rPr>
              <w:t>(b)</w:t>
            </w:r>
          </w:p>
        </w:tc>
        <w:tc>
          <w:tcPr>
            <w:tcW w:w="96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560"/>
              <w:spacing w:after="0" w:line="220" w:lineRule="exact"/>
              <w:rPr>
                <w:sz w:val="20"/>
                <w:szCs w:val="20"/>
                <w:color w:val="auto"/>
              </w:rPr>
            </w:pPr>
            <w:r>
              <w:rPr>
                <w:rFonts w:ascii="Times New Roman" w:cs="Times New Roman" w:eastAsia="Times New Roman" w:hAnsi="Times New Roman"/>
                <w:sz w:val="20"/>
                <w:szCs w:val="20"/>
                <w:color w:val="auto"/>
              </w:rPr>
              <w:t>230,455</w:t>
            </w: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760" w:type="dxa"/>
            <w:vAlign w:val="bottom"/>
            <w:tcBorders>
              <w:right w:val="single" w:sz="8" w:color="auto"/>
            </w:tcBorders>
          </w:tcPr>
          <w:p>
            <w:pPr>
              <w:ind w:left="180"/>
              <w:spacing w:after="0" w:line="201" w:lineRule="exact"/>
              <w:rPr>
                <w:sz w:val="20"/>
                <w:szCs w:val="20"/>
                <w:color w:val="auto"/>
              </w:rPr>
            </w:pPr>
            <w:r>
              <w:rPr>
                <w:rFonts w:ascii="Times New Roman" w:cs="Times New Roman" w:eastAsia="Times New Roman" w:hAnsi="Times New Roman"/>
                <w:sz w:val="20"/>
                <w:szCs w:val="20"/>
                <w:color w:val="auto"/>
              </w:rPr>
              <w:t>Fiscal year-end value of equity awards granted during the fiscal</w:t>
            </w:r>
          </w:p>
        </w:tc>
        <w:tc>
          <w:tcPr>
            <w:tcW w:w="960" w:type="dxa"/>
            <w:vAlign w:val="bottom"/>
          </w:tcPr>
          <w:p>
            <w:pPr>
              <w:spacing w:after="0"/>
              <w:rPr>
                <w:sz w:val="17"/>
                <w:szCs w:val="17"/>
                <w:color w:val="auto"/>
              </w:rPr>
            </w:pPr>
          </w:p>
        </w:tc>
        <w:tc>
          <w:tcPr>
            <w:tcW w:w="1560" w:type="dxa"/>
            <w:vAlign w:val="bottom"/>
            <w:tcBorders>
              <w:right w:val="single" w:sz="8" w:color="auto"/>
            </w:tcBorders>
          </w:tcPr>
          <w:p>
            <w:pPr>
              <w:jc w:val="right"/>
              <w:ind w:right="560"/>
              <w:spacing w:after="0" w:line="201" w:lineRule="exact"/>
              <w:rPr>
                <w:sz w:val="20"/>
                <w:szCs w:val="20"/>
                <w:color w:val="auto"/>
              </w:rPr>
            </w:pPr>
            <w:r>
              <w:rPr>
                <w:rFonts w:ascii="Times New Roman" w:cs="Times New Roman" w:eastAsia="Times New Roman" w:hAnsi="Times New Roman"/>
                <w:sz w:val="20"/>
                <w:szCs w:val="20"/>
                <w:color w:val="auto"/>
              </w:rPr>
              <w:t>272,272</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180"/>
              <w:spacing w:after="0" w:line="250" w:lineRule="exact"/>
              <w:rPr>
                <w:sz w:val="20"/>
                <w:szCs w:val="20"/>
                <w:color w:val="auto"/>
              </w:rPr>
            </w:pPr>
            <w:r>
              <w:rPr>
                <w:rFonts w:ascii="Times New Roman" w:cs="Times New Roman" w:eastAsia="Times New Roman" w:hAnsi="Times New Roman"/>
                <w:sz w:val="20"/>
                <w:szCs w:val="20"/>
                <w:color w:val="auto"/>
              </w:rPr>
              <w:t>year that are outstanding and unvested</w:t>
            </w:r>
            <w:r>
              <w:rPr>
                <w:rFonts w:ascii="Times New Roman" w:cs="Times New Roman" w:eastAsia="Times New Roman" w:hAnsi="Times New Roman"/>
                <w:sz w:val="25"/>
                <w:szCs w:val="25"/>
                <w:color w:val="auto"/>
                <w:vertAlign w:val="superscript"/>
              </w:rPr>
              <w:t>(c)</w:t>
            </w:r>
          </w:p>
        </w:tc>
        <w:tc>
          <w:tcPr>
            <w:tcW w:w="9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r>
      <w:tr>
        <w:trPr>
          <w:trHeight w:val="199"/>
        </w:trPr>
        <w:tc>
          <w:tcPr>
            <w:tcW w:w="660" w:type="dxa"/>
            <w:vAlign w:val="bottom"/>
            <w:tcBorders>
              <w:lef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760" w:type="dxa"/>
            <w:vAlign w:val="bottom"/>
            <w:tcBorders>
              <w:right w:val="single" w:sz="8" w:color="auto"/>
            </w:tcBorders>
          </w:tcPr>
          <w:p>
            <w:pPr>
              <w:ind w:left="180"/>
              <w:spacing w:after="0" w:line="200" w:lineRule="exact"/>
              <w:rPr>
                <w:sz w:val="20"/>
                <w:szCs w:val="20"/>
                <w:color w:val="auto"/>
              </w:rPr>
            </w:pPr>
            <w:r>
              <w:rPr>
                <w:rFonts w:ascii="Times New Roman" w:cs="Times New Roman" w:eastAsia="Times New Roman" w:hAnsi="Times New Roman"/>
                <w:sz w:val="20"/>
                <w:szCs w:val="20"/>
                <w:color w:val="auto"/>
              </w:rPr>
              <w:t>Change in fair value of equity awards granted in prior fiscal years</w:t>
            </w:r>
          </w:p>
        </w:tc>
        <w:tc>
          <w:tcPr>
            <w:tcW w:w="960" w:type="dxa"/>
            <w:vAlign w:val="bottom"/>
          </w:tcPr>
          <w:p>
            <w:pPr>
              <w:spacing w:after="0"/>
              <w:rPr>
                <w:sz w:val="17"/>
                <w:szCs w:val="17"/>
                <w:color w:val="auto"/>
              </w:rPr>
            </w:pPr>
          </w:p>
        </w:tc>
        <w:tc>
          <w:tcPr>
            <w:tcW w:w="1560" w:type="dxa"/>
            <w:vAlign w:val="bottom"/>
            <w:tcBorders>
              <w:right w:val="single" w:sz="8" w:color="auto"/>
            </w:tcBorders>
          </w:tcPr>
          <w:p>
            <w:pPr>
              <w:jc w:val="right"/>
              <w:ind w:right="560"/>
              <w:spacing w:after="0" w:line="200" w:lineRule="exact"/>
              <w:rPr>
                <w:sz w:val="20"/>
                <w:szCs w:val="20"/>
                <w:color w:val="auto"/>
              </w:rPr>
            </w:pPr>
            <w:r>
              <w:rPr>
                <w:rFonts w:ascii="Times New Roman" w:cs="Times New Roman" w:eastAsia="Times New Roman" w:hAnsi="Times New Roman"/>
                <w:sz w:val="20"/>
                <w:szCs w:val="20"/>
                <w:color w:val="auto"/>
              </w:rPr>
              <w:t>27,498</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180"/>
              <w:spacing w:after="0" w:line="250" w:lineRule="exact"/>
              <w:rPr>
                <w:sz w:val="20"/>
                <w:szCs w:val="20"/>
                <w:color w:val="auto"/>
              </w:rPr>
            </w:pPr>
            <w:r>
              <w:rPr>
                <w:rFonts w:ascii="Times New Roman" w:cs="Times New Roman" w:eastAsia="Times New Roman" w:hAnsi="Times New Roman"/>
                <w:sz w:val="20"/>
                <w:szCs w:val="20"/>
                <w:color w:val="auto"/>
              </w:rPr>
              <w:t>that are outstanding and unvested</w:t>
            </w:r>
            <w:r>
              <w:rPr>
                <w:rFonts w:ascii="Times New Roman" w:cs="Times New Roman" w:eastAsia="Times New Roman" w:hAnsi="Times New Roman"/>
                <w:sz w:val="25"/>
                <w:szCs w:val="25"/>
                <w:color w:val="auto"/>
                <w:vertAlign w:val="superscript"/>
              </w:rPr>
              <w:t>(d)</w:t>
            </w:r>
          </w:p>
        </w:tc>
        <w:tc>
          <w:tcPr>
            <w:tcW w:w="9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760" w:type="dxa"/>
            <w:vAlign w:val="bottom"/>
            <w:tcBorders>
              <w:right w:val="single" w:sz="8" w:color="auto"/>
            </w:tcBorders>
          </w:tcPr>
          <w:p>
            <w:pPr>
              <w:ind w:left="180"/>
              <w:spacing w:after="0" w:line="201" w:lineRule="exact"/>
              <w:rPr>
                <w:sz w:val="20"/>
                <w:szCs w:val="20"/>
                <w:color w:val="auto"/>
              </w:rPr>
            </w:pPr>
            <w:r>
              <w:rPr>
                <w:rFonts w:ascii="Times New Roman" w:cs="Times New Roman" w:eastAsia="Times New Roman" w:hAnsi="Times New Roman"/>
                <w:sz w:val="20"/>
                <w:szCs w:val="20"/>
                <w:color w:val="auto"/>
              </w:rPr>
              <w:t>Change in fair value of equity awards granted in prior fiscal years</w:t>
            </w:r>
          </w:p>
        </w:tc>
        <w:tc>
          <w:tcPr>
            <w:tcW w:w="960" w:type="dxa"/>
            <w:vAlign w:val="bottom"/>
          </w:tcPr>
          <w:p>
            <w:pPr>
              <w:spacing w:after="0"/>
              <w:rPr>
                <w:sz w:val="17"/>
                <w:szCs w:val="17"/>
                <w:color w:val="auto"/>
              </w:rPr>
            </w:pPr>
          </w:p>
        </w:tc>
        <w:tc>
          <w:tcPr>
            <w:tcW w:w="1560" w:type="dxa"/>
            <w:vAlign w:val="bottom"/>
            <w:tcBorders>
              <w:right w:val="single" w:sz="8" w:color="auto"/>
            </w:tcBorders>
          </w:tcPr>
          <w:p>
            <w:pPr>
              <w:jc w:val="right"/>
              <w:ind w:right="560"/>
              <w:spacing w:after="0" w:line="201" w:lineRule="exact"/>
              <w:rPr>
                <w:sz w:val="20"/>
                <w:szCs w:val="20"/>
                <w:color w:val="auto"/>
              </w:rPr>
            </w:pPr>
            <w:r>
              <w:rPr>
                <w:rFonts w:ascii="Times New Roman" w:cs="Times New Roman" w:eastAsia="Times New Roman" w:hAnsi="Times New Roman"/>
                <w:sz w:val="20"/>
                <w:szCs w:val="20"/>
                <w:color w:val="auto"/>
              </w:rPr>
              <w:t>21,099</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180"/>
              <w:spacing w:after="0" w:line="250" w:lineRule="exact"/>
              <w:rPr>
                <w:sz w:val="20"/>
                <w:szCs w:val="20"/>
                <w:color w:val="auto"/>
              </w:rPr>
            </w:pPr>
            <w:r>
              <w:rPr>
                <w:rFonts w:ascii="Times New Roman" w:cs="Times New Roman" w:eastAsia="Times New Roman" w:hAnsi="Times New Roman"/>
                <w:sz w:val="20"/>
                <w:szCs w:val="20"/>
                <w:color w:val="auto"/>
              </w:rPr>
              <w:t>that vested during the fiscal year</w:t>
            </w:r>
            <w:r>
              <w:rPr>
                <w:rFonts w:ascii="Times New Roman" w:cs="Times New Roman" w:eastAsia="Times New Roman" w:hAnsi="Times New Roman"/>
                <w:sz w:val="25"/>
                <w:szCs w:val="25"/>
                <w:color w:val="auto"/>
                <w:vertAlign w:val="superscript"/>
              </w:rPr>
              <w:t>(e)</w:t>
            </w:r>
          </w:p>
        </w:tc>
        <w:tc>
          <w:tcPr>
            <w:tcW w:w="9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760" w:type="dxa"/>
            <w:vAlign w:val="bottom"/>
            <w:tcBorders>
              <w:right w:val="single" w:sz="8" w:color="auto"/>
            </w:tcBorders>
          </w:tcPr>
          <w:p>
            <w:pPr>
              <w:ind w:left="180"/>
              <w:spacing w:after="0" w:line="201" w:lineRule="exact"/>
              <w:rPr>
                <w:sz w:val="20"/>
                <w:szCs w:val="20"/>
                <w:color w:val="auto"/>
              </w:rPr>
            </w:pPr>
            <w:r>
              <w:rPr>
                <w:rFonts w:ascii="Times New Roman" w:cs="Times New Roman" w:eastAsia="Times New Roman" w:hAnsi="Times New Roman"/>
                <w:sz w:val="20"/>
                <w:szCs w:val="20"/>
                <w:color w:val="auto"/>
              </w:rPr>
              <w:t>Value of dividend equivalents accrued on equity awards during the</w:t>
            </w:r>
          </w:p>
        </w:tc>
        <w:tc>
          <w:tcPr>
            <w:tcW w:w="960" w:type="dxa"/>
            <w:vAlign w:val="bottom"/>
          </w:tcPr>
          <w:p>
            <w:pPr>
              <w:spacing w:after="0"/>
              <w:rPr>
                <w:sz w:val="17"/>
                <w:szCs w:val="17"/>
                <w:color w:val="auto"/>
              </w:rPr>
            </w:pPr>
          </w:p>
        </w:tc>
        <w:tc>
          <w:tcPr>
            <w:tcW w:w="1560" w:type="dxa"/>
            <w:vAlign w:val="bottom"/>
            <w:tcBorders>
              <w:right w:val="single" w:sz="8" w:color="auto"/>
            </w:tcBorders>
          </w:tcPr>
          <w:p>
            <w:pPr>
              <w:jc w:val="right"/>
              <w:ind w:right="560"/>
              <w:spacing w:after="0" w:line="201" w:lineRule="exact"/>
              <w:rPr>
                <w:sz w:val="20"/>
                <w:szCs w:val="20"/>
                <w:color w:val="auto"/>
              </w:rPr>
            </w:pPr>
            <w:r>
              <w:rPr>
                <w:rFonts w:ascii="Times New Roman" w:cs="Times New Roman" w:eastAsia="Times New Roman" w:hAnsi="Times New Roman"/>
                <w:sz w:val="20"/>
                <w:szCs w:val="20"/>
                <w:color w:val="auto"/>
              </w:rPr>
              <w:t>0</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fiscal year</w:t>
            </w:r>
          </w:p>
        </w:tc>
        <w:tc>
          <w:tcPr>
            <w:tcW w:w="9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r>
      <w:tr>
        <w:trPr>
          <w:trHeight w:val="220"/>
        </w:trPr>
        <w:tc>
          <w:tcPr>
            <w:tcW w:w="642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Compensation Actually Paid for Fiscal 2023</w:t>
            </w:r>
          </w:p>
        </w:tc>
        <w:tc>
          <w:tcPr>
            <w:tcW w:w="96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560"/>
              <w:spacing w:after="0" w:line="220" w:lineRule="exact"/>
              <w:rPr>
                <w:sz w:val="20"/>
                <w:szCs w:val="20"/>
                <w:color w:val="auto"/>
              </w:rPr>
            </w:pPr>
            <w:r>
              <w:rPr>
                <w:rFonts w:ascii="Times New Roman" w:cs="Times New Roman" w:eastAsia="Times New Roman" w:hAnsi="Times New Roman"/>
                <w:sz w:val="20"/>
                <w:szCs w:val="20"/>
                <w:color w:val="auto"/>
              </w:rPr>
              <w:t>979,458</w:t>
            </w:r>
          </w:p>
        </w:tc>
      </w:tr>
    </w:tbl>
    <w:p>
      <w:pPr>
        <w:spacing w:after="0" w:line="101" w:lineRule="exact"/>
        <w:rPr>
          <w:sz w:val="20"/>
          <w:szCs w:val="20"/>
          <w:color w:val="auto"/>
        </w:rPr>
      </w:pPr>
    </w:p>
    <w:p>
      <w:pPr>
        <w:ind w:left="1080" w:right="920" w:hanging="360"/>
        <w:spacing w:after="0" w:line="278" w:lineRule="auto"/>
        <w:tabs>
          <w:tab w:leader="none" w:pos="10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total of the amounts reported in the “Stock Awards” column in the Summary Compensation Table for the applicable fiscal year.</w:t>
      </w:r>
    </w:p>
    <w:p>
      <w:pPr>
        <w:spacing w:after="0" w:line="46" w:lineRule="exact"/>
        <w:rPr>
          <w:rFonts w:ascii="Times New Roman" w:cs="Times New Roman" w:eastAsia="Times New Roman" w:hAnsi="Times New Roman"/>
          <w:sz w:val="20"/>
          <w:szCs w:val="20"/>
          <w:color w:val="auto"/>
        </w:rPr>
      </w:pPr>
    </w:p>
    <w:p>
      <w:pPr>
        <w:ind w:left="1080" w:right="820" w:hanging="360"/>
        <w:spacing w:after="0" w:line="278" w:lineRule="auto"/>
        <w:tabs>
          <w:tab w:leader="none" w:pos="10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total of the amounts reported in the “Option Awards” column in the Summary Compensation Table for the applicable fiscal year.</w:t>
      </w:r>
    </w:p>
    <w:p>
      <w:pPr>
        <w:spacing w:after="0" w:line="46" w:lineRule="exact"/>
        <w:rPr>
          <w:rFonts w:ascii="Times New Roman" w:cs="Times New Roman" w:eastAsia="Times New Roman" w:hAnsi="Times New Roman"/>
          <w:sz w:val="20"/>
          <w:szCs w:val="20"/>
          <w:color w:val="auto"/>
        </w:rPr>
      </w:pPr>
    </w:p>
    <w:p>
      <w:pPr>
        <w:ind w:left="1080" w:right="100" w:hanging="360"/>
        <w:spacing w:after="0" w:line="278" w:lineRule="auto"/>
        <w:tabs>
          <w:tab w:leader="none" w:pos="10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fiscal year-end value of equity awards granted during the applicable fiscal year that are outstanding and unvested as of the end of such applicable fiscal year.</w:t>
      </w:r>
    </w:p>
    <w:p>
      <w:pPr>
        <w:spacing w:after="0" w:line="48" w:lineRule="exact"/>
        <w:rPr>
          <w:rFonts w:ascii="Times New Roman" w:cs="Times New Roman" w:eastAsia="Times New Roman" w:hAnsi="Times New Roman"/>
          <w:sz w:val="20"/>
          <w:szCs w:val="20"/>
          <w:color w:val="auto"/>
        </w:rPr>
      </w:pPr>
    </w:p>
    <w:p>
      <w:pPr>
        <w:ind w:left="1080" w:right="200" w:hanging="360"/>
        <w:spacing w:after="0" w:line="258" w:lineRule="auto"/>
        <w:tabs>
          <w:tab w:leader="none" w:pos="10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amount of change as of the end of the applicable fiscal year (from the end of the prior fiscal year) in fair value of any equity awards granted in prior fiscal years that are outstanding and unvested as of the end of such applicable fiscal year.</w:t>
      </w:r>
    </w:p>
    <w:p>
      <w:pPr>
        <w:spacing w:after="0" w:line="68" w:lineRule="exact"/>
        <w:rPr>
          <w:rFonts w:ascii="Times New Roman" w:cs="Times New Roman" w:eastAsia="Times New Roman" w:hAnsi="Times New Roman"/>
          <w:sz w:val="20"/>
          <w:szCs w:val="20"/>
          <w:color w:val="auto"/>
        </w:rPr>
      </w:pPr>
    </w:p>
    <w:p>
      <w:pPr>
        <w:jc w:val="both"/>
        <w:ind w:left="1080" w:right="300" w:hanging="360"/>
        <w:spacing w:after="0" w:line="305" w:lineRule="auto"/>
        <w:tabs>
          <w:tab w:leader="none" w:pos="108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Represents the amount of change as of the vesting date (from the end of the prior fiscal year) in fair value of any equity awards granted in prior fiscal years that vested during the applicable fiscal year.</w:t>
      </w:r>
    </w:p>
    <w:p>
      <w:pPr>
        <w:spacing w:after="0" w:line="144" w:lineRule="exact"/>
        <w:rPr>
          <w:sz w:val="20"/>
          <w:szCs w:val="20"/>
          <w:color w:val="auto"/>
        </w:rPr>
      </w:pPr>
    </w:p>
    <w:p>
      <w:pPr>
        <w:ind w:left="720" w:right="60"/>
        <w:spacing w:after="0" w:line="242" w:lineRule="auto"/>
        <w:rPr>
          <w:sz w:val="20"/>
          <w:szCs w:val="20"/>
          <w:color w:val="auto"/>
        </w:rPr>
      </w:pPr>
      <w:r>
        <w:rPr>
          <w:rFonts w:ascii="Times New Roman" w:cs="Times New Roman" w:eastAsia="Times New Roman" w:hAnsi="Times New Roman"/>
          <w:sz w:val="20"/>
          <w:szCs w:val="20"/>
          <w:color w:val="auto"/>
        </w:rPr>
        <w:t>Since we do not have a pension plan, all of the foregoing adjustments are equity award adjustments for each applicable fiscal year and include the addition (or subtraction, as applicable) of the following: (i) the fiscal year-end fair value of any equity awards granted in the applicable fiscal year that are outstanding and unvested as of the end of such applicable fiscal year; (ii) the amount of change as of the end of the applicable fiscal year (from the end of the prior fiscal year) in fair value of any equity awards granted in prior fiscal years that are outstanding and unvested as of the end of such applicable fiscal year; (iii) for equity awards that are granted and vest in the same applicable fiscal year, the fair value as of the vesting date; (iv) for equity awards granted in prior fiscal years that vest in the applicable fiscal year, the amount equal to the change as of the vesting date (from the end of the prior fiscal year) in fair value; (v) for equity awards granted in prior fiscal years that are determined to fail to meet the applicable vesting conditions during the applicable fiscal year, a deduction for the amount equal to the fair value at the end of the prior fiscal year; and (vi) the dollar value of any dividends or other earnings paid on equity awards in the applicable fiscal year prior to the vesting date that are not otherwise reflected in the fair value of such award or included in any other component of total compensation for such applicable fiscal year. Adjustments as provided in clauses (iii) and (vi) are inapplicable for all of the fiscal years presented in the table.</w:t>
      </w:r>
    </w:p>
    <w:p>
      <w:pPr>
        <w:spacing w:after="0" w:line="210" w:lineRule="exact"/>
        <w:rPr>
          <w:sz w:val="20"/>
          <w:szCs w:val="20"/>
          <w:color w:val="auto"/>
        </w:rPr>
      </w:pPr>
    </w:p>
    <w:p>
      <w:pPr>
        <w:ind w:left="720" w:right="60"/>
        <w:spacing w:after="0" w:line="249" w:lineRule="auto"/>
        <w:rPr>
          <w:sz w:val="20"/>
          <w:szCs w:val="20"/>
          <w:color w:val="auto"/>
        </w:rPr>
      </w:pPr>
      <w:r>
        <w:rPr>
          <w:rFonts w:ascii="Times New Roman" w:cs="Times New Roman" w:eastAsia="Times New Roman" w:hAnsi="Times New Roman"/>
          <w:sz w:val="20"/>
          <w:szCs w:val="20"/>
          <w:color w:val="auto"/>
        </w:rPr>
        <w:t>The valuation assumptions used to calculate fair values did not materially differ from those disclosed at the time of grant. The value of option awards is based on the fair value as of the end of the covered fiscal year or change in fair value during the covered fiscal year, in each case based on our Black-Scholes option pricing model, the assumptions of which are described in Note 11 to our consolidated financial statements included in our Annual Report on Form 10-K for the year ended August 31, 2025.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2240" w:h="15840" w:orient="portrait"/>
          <w:cols w:equalWidth="0" w:num="1">
            <w:col w:w="9360"/>
          </w:cols>
          <w:pgMar w:left="1440" w:top="1419" w:right="1440" w:bottom="178" w:gutter="0" w:footer="0" w:header="0"/>
        </w:sectPr>
      </w:pPr>
    </w:p>
    <w:bookmarkStart w:id="76" w:name="page77"/>
    <w:bookmarkEnd w:id="76"/>
    <w:p>
      <w:pPr>
        <w:ind w:left="720" w:right="200" w:hanging="720"/>
        <w:spacing w:after="0" w:line="278"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Summary Compensation Table total for non-PEO named executive officers reflects the Summary Compensation Table total for Matthew C. Wolsfeld.</w:t>
      </w:r>
    </w:p>
    <w:p>
      <w:pPr>
        <w:spacing w:after="0" w:line="166" w:lineRule="exact"/>
        <w:rPr>
          <w:rFonts w:ascii="Times New Roman" w:cs="Times New Roman" w:eastAsia="Times New Roman" w:hAnsi="Times New Roman"/>
          <w:sz w:val="20"/>
          <w:szCs w:val="20"/>
          <w:color w:val="auto"/>
        </w:rPr>
      </w:pPr>
    </w:p>
    <w:p>
      <w:pPr>
        <w:ind w:left="720" w:right="160" w:hanging="720"/>
        <w:spacing w:after="0" w:line="252"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in this column represent the compensation actually paid to Matthew C. Wolsfeld, our only other non-PEO named executive officer, for each of the fiscal years presented. The dollar amounts in this column do not reflect the actual average amount of compensation earned by or paid to the non-PEO during the applicable fiscal year.</w:t>
      </w:r>
    </w:p>
    <w:p>
      <w:pPr>
        <w:spacing w:after="0" w:line="194" w:lineRule="exact"/>
        <w:rPr>
          <w:rFonts w:ascii="Times New Roman" w:cs="Times New Roman" w:eastAsia="Times New Roman" w:hAnsi="Times New Roman"/>
          <w:sz w:val="20"/>
          <w:szCs w:val="20"/>
          <w:color w:val="auto"/>
        </w:rPr>
      </w:pPr>
    </w:p>
    <w:p>
      <w:pPr>
        <w:ind w:left="720" w:right="400" w:hanging="720"/>
        <w:spacing w:after="0" w:line="258"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compensation actually paid to our non-PEO named executive officer consists of the following amounts deducted from or added to the Summary Compensation Table total for our CFO for each of the fiscal years presented:</w:t>
      </w:r>
    </w:p>
    <w:p>
      <w:pPr>
        <w:spacing w:after="0" w:line="188" w:lineRule="exact"/>
        <w:rPr>
          <w:sz w:val="20"/>
          <w:szCs w:val="20"/>
          <w:color w:val="auto"/>
        </w:rPr>
      </w:pPr>
    </w:p>
    <w:tbl>
      <w:tblPr>
        <w:tblLayout w:type="fixed"/>
        <w:tblInd w:w="250" w:type="dxa"/>
        <w:tblCellMar>
          <w:top w:w="0" w:type="dxa"/>
          <w:left w:w="0" w:type="dxa"/>
          <w:bottom w:w="0" w:type="dxa"/>
          <w:right w:w="0" w:type="dxa"/>
        </w:tblCellMar>
      </w:tblPr>
      <w:tr>
        <w:trPr>
          <w:trHeight w:val="240"/>
        </w:trPr>
        <w:tc>
          <w:tcPr>
            <w:tcW w:w="660" w:type="dxa"/>
            <w:vAlign w:val="bottom"/>
            <w:tcBorders>
              <w:top w:val="single" w:sz="8" w:color="auto"/>
              <w:left w:val="single" w:sz="8" w:color="auto"/>
              <w:bottom w:val="single" w:sz="8" w:color="auto"/>
            </w:tcBorders>
          </w:tcPr>
          <w:p>
            <w:pPr>
              <w:spacing w:after="0"/>
              <w:rPr>
                <w:sz w:val="20"/>
                <w:szCs w:val="20"/>
                <w:color w:val="auto"/>
              </w:rPr>
            </w:pPr>
          </w:p>
        </w:tc>
        <w:tc>
          <w:tcPr>
            <w:tcW w:w="5940" w:type="dxa"/>
            <w:vAlign w:val="bottom"/>
            <w:tcBorders>
              <w:top w:val="single" w:sz="8" w:color="auto"/>
              <w:bottom w:val="single" w:sz="8" w:color="auto"/>
              <w:right w:val="single" w:sz="8" w:color="auto"/>
            </w:tcBorders>
          </w:tcPr>
          <w:p>
            <w:pPr>
              <w:spacing w:after="0"/>
              <w:rPr>
                <w:sz w:val="20"/>
                <w:szCs w:val="20"/>
                <w:color w:val="auto"/>
              </w:rPr>
            </w:pPr>
          </w:p>
        </w:tc>
        <w:tc>
          <w:tcPr>
            <w:tcW w:w="2600" w:type="dxa"/>
            <w:vAlign w:val="bottom"/>
            <w:tcBorders>
              <w:top w:val="single" w:sz="8" w:color="auto"/>
              <w:bottom w:val="single" w:sz="8" w:color="auto"/>
              <w:right w:val="single" w:sz="8" w:color="auto"/>
            </w:tcBorders>
            <w:gridSpan w:val="2"/>
          </w:tcPr>
          <w:p>
            <w:pPr>
              <w:ind w:left="380"/>
              <w:spacing w:after="0"/>
              <w:rPr>
                <w:sz w:val="20"/>
                <w:szCs w:val="20"/>
                <w:color w:val="auto"/>
              </w:rPr>
            </w:pPr>
            <w:r>
              <w:rPr>
                <w:rFonts w:ascii="Times New Roman" w:cs="Times New Roman" w:eastAsia="Times New Roman" w:hAnsi="Times New Roman"/>
                <w:sz w:val="20"/>
                <w:szCs w:val="20"/>
                <w:b w:val="1"/>
                <w:bCs w:val="1"/>
                <w:color w:val="auto"/>
              </w:rPr>
              <w:t>Matthew C. Wolsfeld</w:t>
            </w:r>
          </w:p>
        </w:tc>
      </w:tr>
      <w:tr>
        <w:trPr>
          <w:trHeight w:val="220"/>
        </w:trPr>
        <w:tc>
          <w:tcPr>
            <w:tcW w:w="660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Summary Compensation Table Total for Fiscal 2025</w:t>
            </w:r>
          </w:p>
        </w:tc>
        <w:tc>
          <w:tcPr>
            <w:tcW w:w="800" w:type="dxa"/>
            <w:vAlign w:val="bottom"/>
            <w:tcBorders>
              <w:bottom w:val="single" w:sz="8" w:color="auto"/>
            </w:tcBorders>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bottom w:val="single" w:sz="8" w:color="auto"/>
              <w:right w:val="single" w:sz="8" w:color="auto"/>
            </w:tcBorders>
          </w:tcPr>
          <w:p>
            <w:pPr>
              <w:jc w:val="right"/>
              <w:ind w:right="780"/>
              <w:spacing w:after="0" w:line="220" w:lineRule="exact"/>
              <w:rPr>
                <w:sz w:val="20"/>
                <w:szCs w:val="20"/>
                <w:color w:val="auto"/>
              </w:rPr>
            </w:pPr>
            <w:r>
              <w:rPr>
                <w:rFonts w:ascii="Times New Roman" w:cs="Times New Roman" w:eastAsia="Times New Roman" w:hAnsi="Times New Roman"/>
                <w:sz w:val="20"/>
                <w:szCs w:val="20"/>
                <w:color w:val="auto"/>
              </w:rPr>
              <w:t>583,692</w:t>
            </w:r>
          </w:p>
        </w:tc>
      </w:tr>
      <w:tr>
        <w:trPr>
          <w:trHeight w:val="220"/>
        </w:trPr>
        <w:tc>
          <w:tcPr>
            <w:tcW w:w="660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Deduct</w:t>
            </w:r>
            <w:r>
              <w:rPr>
                <w:rFonts w:ascii="Times New Roman" w:cs="Times New Roman" w:eastAsia="Times New Roman" w:hAnsi="Times New Roman"/>
                <w:sz w:val="20"/>
                <w:szCs w:val="20"/>
                <w:color w:val="auto"/>
              </w:rPr>
              <w:t>: Stock awards</w:t>
            </w:r>
            <w:r>
              <w:rPr>
                <w:rFonts w:ascii="Times New Roman" w:cs="Times New Roman" w:eastAsia="Times New Roman" w:hAnsi="Times New Roman"/>
                <w:sz w:val="25"/>
                <w:szCs w:val="25"/>
                <w:color w:val="auto"/>
                <w:vertAlign w:val="superscript"/>
              </w:rPr>
              <w:t>(a)</w:t>
            </w:r>
          </w:p>
        </w:tc>
        <w:tc>
          <w:tcPr>
            <w:tcW w:w="8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ind w:right="780"/>
              <w:spacing w:after="0" w:line="220" w:lineRule="exact"/>
              <w:rPr>
                <w:sz w:val="20"/>
                <w:szCs w:val="20"/>
                <w:color w:val="auto"/>
              </w:rPr>
            </w:pPr>
            <w:r>
              <w:rPr>
                <w:rFonts w:ascii="Times New Roman" w:cs="Times New Roman" w:eastAsia="Times New Roman" w:hAnsi="Times New Roman"/>
                <w:sz w:val="20"/>
                <w:szCs w:val="20"/>
                <w:color w:val="auto"/>
              </w:rPr>
              <w:t>0</w:t>
            </w:r>
          </w:p>
        </w:tc>
      </w:tr>
      <w:tr>
        <w:trPr>
          <w:trHeight w:val="220"/>
        </w:trPr>
        <w:tc>
          <w:tcPr>
            <w:tcW w:w="660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Deduct</w:t>
            </w:r>
            <w:r>
              <w:rPr>
                <w:rFonts w:ascii="Times New Roman" w:cs="Times New Roman" w:eastAsia="Times New Roman" w:hAnsi="Times New Roman"/>
                <w:sz w:val="20"/>
                <w:szCs w:val="20"/>
                <w:color w:val="auto"/>
              </w:rPr>
              <w:t>: Option awards</w:t>
            </w:r>
            <w:r>
              <w:rPr>
                <w:rFonts w:ascii="Times New Roman" w:cs="Times New Roman" w:eastAsia="Times New Roman" w:hAnsi="Times New Roman"/>
                <w:sz w:val="25"/>
                <w:szCs w:val="25"/>
                <w:color w:val="auto"/>
                <w:vertAlign w:val="superscript"/>
              </w:rPr>
              <w:t>(b)</w:t>
            </w:r>
          </w:p>
        </w:tc>
        <w:tc>
          <w:tcPr>
            <w:tcW w:w="8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ind w:right="780"/>
              <w:spacing w:after="0" w:line="220" w:lineRule="exact"/>
              <w:rPr>
                <w:sz w:val="20"/>
                <w:szCs w:val="20"/>
                <w:color w:val="auto"/>
              </w:rPr>
            </w:pPr>
            <w:r>
              <w:rPr>
                <w:rFonts w:ascii="Times New Roman" w:cs="Times New Roman" w:eastAsia="Times New Roman" w:hAnsi="Times New Roman"/>
                <w:sz w:val="20"/>
                <w:szCs w:val="20"/>
                <w:color w:val="auto"/>
              </w:rPr>
              <w:t>166,133</w:t>
            </w:r>
          </w:p>
        </w:tc>
      </w:tr>
      <w:tr>
        <w:trPr>
          <w:trHeight w:val="199"/>
        </w:trPr>
        <w:tc>
          <w:tcPr>
            <w:tcW w:w="660" w:type="dxa"/>
            <w:vAlign w:val="bottom"/>
            <w:tcBorders>
              <w:lef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940" w:type="dxa"/>
            <w:vAlign w:val="bottom"/>
            <w:tcBorders>
              <w:right w:val="single" w:sz="8" w:color="auto"/>
            </w:tcBorders>
          </w:tcPr>
          <w:p>
            <w:pPr>
              <w:ind w:left="180"/>
              <w:spacing w:after="0" w:line="200" w:lineRule="exact"/>
              <w:rPr>
                <w:sz w:val="20"/>
                <w:szCs w:val="20"/>
                <w:color w:val="auto"/>
              </w:rPr>
            </w:pPr>
            <w:r>
              <w:rPr>
                <w:rFonts w:ascii="Times New Roman" w:cs="Times New Roman" w:eastAsia="Times New Roman" w:hAnsi="Times New Roman"/>
                <w:sz w:val="20"/>
                <w:szCs w:val="20"/>
                <w:color w:val="auto"/>
              </w:rPr>
              <w:t>Fiscal year-end value of equity awards granted during the fiscal year</w:t>
            </w:r>
          </w:p>
        </w:tc>
        <w:tc>
          <w:tcPr>
            <w:tcW w:w="800" w:type="dxa"/>
            <w:vAlign w:val="bottom"/>
          </w:tcPr>
          <w:p>
            <w:pPr>
              <w:spacing w:after="0"/>
              <w:rPr>
                <w:sz w:val="17"/>
                <w:szCs w:val="17"/>
                <w:color w:val="auto"/>
              </w:rPr>
            </w:pPr>
          </w:p>
        </w:tc>
        <w:tc>
          <w:tcPr>
            <w:tcW w:w="1800" w:type="dxa"/>
            <w:vAlign w:val="bottom"/>
            <w:tcBorders>
              <w:right w:val="single" w:sz="8" w:color="auto"/>
            </w:tcBorders>
          </w:tcPr>
          <w:p>
            <w:pPr>
              <w:jc w:val="right"/>
              <w:ind w:right="780"/>
              <w:spacing w:after="0" w:line="200" w:lineRule="exact"/>
              <w:rPr>
                <w:sz w:val="20"/>
                <w:szCs w:val="20"/>
                <w:color w:val="auto"/>
              </w:rPr>
            </w:pPr>
            <w:r>
              <w:rPr>
                <w:rFonts w:ascii="Times New Roman" w:cs="Times New Roman" w:eastAsia="Times New Roman" w:hAnsi="Times New Roman"/>
                <w:sz w:val="20"/>
                <w:szCs w:val="20"/>
                <w:color w:val="auto"/>
              </w:rPr>
              <w:t>93,832</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ind w:left="180"/>
              <w:spacing w:after="0" w:line="250" w:lineRule="exact"/>
              <w:rPr>
                <w:sz w:val="20"/>
                <w:szCs w:val="20"/>
                <w:color w:val="auto"/>
              </w:rPr>
            </w:pPr>
            <w:r>
              <w:rPr>
                <w:rFonts w:ascii="Times New Roman" w:cs="Times New Roman" w:eastAsia="Times New Roman" w:hAnsi="Times New Roman"/>
                <w:sz w:val="20"/>
                <w:szCs w:val="20"/>
                <w:color w:val="auto"/>
              </w:rPr>
              <w:t>that are outstanding and unvested</w:t>
            </w:r>
            <w:r>
              <w:rPr>
                <w:rFonts w:ascii="Times New Roman" w:cs="Times New Roman" w:eastAsia="Times New Roman" w:hAnsi="Times New Roman"/>
                <w:sz w:val="25"/>
                <w:szCs w:val="25"/>
                <w:color w:val="auto"/>
                <w:vertAlign w:val="superscript"/>
              </w:rPr>
              <w:t>(c)</w:t>
            </w:r>
          </w:p>
        </w:tc>
        <w:tc>
          <w:tcPr>
            <w:tcW w:w="80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940" w:type="dxa"/>
            <w:vAlign w:val="bottom"/>
            <w:tcBorders>
              <w:right w:val="single" w:sz="8" w:color="auto"/>
            </w:tcBorders>
          </w:tcPr>
          <w:p>
            <w:pPr>
              <w:ind w:left="180"/>
              <w:spacing w:after="0" w:line="201" w:lineRule="exact"/>
              <w:rPr>
                <w:sz w:val="20"/>
                <w:szCs w:val="20"/>
                <w:color w:val="auto"/>
              </w:rPr>
            </w:pPr>
            <w:r>
              <w:rPr>
                <w:rFonts w:ascii="Times New Roman" w:cs="Times New Roman" w:eastAsia="Times New Roman" w:hAnsi="Times New Roman"/>
                <w:sz w:val="20"/>
                <w:szCs w:val="20"/>
                <w:color w:val="auto"/>
              </w:rPr>
              <w:t>Change in fair value of equity awards granted in prior fiscal years that</w:t>
            </w:r>
          </w:p>
        </w:tc>
        <w:tc>
          <w:tcPr>
            <w:tcW w:w="800" w:type="dxa"/>
            <w:vAlign w:val="bottom"/>
          </w:tcPr>
          <w:p>
            <w:pPr>
              <w:spacing w:after="0"/>
              <w:rPr>
                <w:sz w:val="17"/>
                <w:szCs w:val="17"/>
                <w:color w:val="auto"/>
              </w:rPr>
            </w:pPr>
          </w:p>
        </w:tc>
        <w:tc>
          <w:tcPr>
            <w:tcW w:w="1800" w:type="dxa"/>
            <w:vAlign w:val="bottom"/>
            <w:tcBorders>
              <w:right w:val="single" w:sz="8" w:color="auto"/>
            </w:tcBorders>
          </w:tcPr>
          <w:p>
            <w:pPr>
              <w:jc w:val="right"/>
              <w:ind w:right="720"/>
              <w:spacing w:after="0" w:line="201" w:lineRule="exact"/>
              <w:rPr>
                <w:sz w:val="20"/>
                <w:szCs w:val="20"/>
                <w:color w:val="auto"/>
              </w:rPr>
            </w:pPr>
            <w:r>
              <w:rPr>
                <w:rFonts w:ascii="Times New Roman" w:cs="Times New Roman" w:eastAsia="Times New Roman" w:hAnsi="Times New Roman"/>
                <w:sz w:val="20"/>
                <w:szCs w:val="20"/>
                <w:color w:val="auto"/>
              </w:rPr>
              <w:t>(87,137)</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ind w:left="180"/>
              <w:spacing w:after="0" w:line="250" w:lineRule="exact"/>
              <w:rPr>
                <w:sz w:val="20"/>
                <w:szCs w:val="20"/>
                <w:color w:val="auto"/>
              </w:rPr>
            </w:pPr>
            <w:r>
              <w:rPr>
                <w:rFonts w:ascii="Times New Roman" w:cs="Times New Roman" w:eastAsia="Times New Roman" w:hAnsi="Times New Roman"/>
                <w:sz w:val="20"/>
                <w:szCs w:val="20"/>
                <w:color w:val="auto"/>
              </w:rPr>
              <w:t>are outstanding and unvested</w:t>
            </w:r>
            <w:r>
              <w:rPr>
                <w:rFonts w:ascii="Times New Roman" w:cs="Times New Roman" w:eastAsia="Times New Roman" w:hAnsi="Times New Roman"/>
                <w:sz w:val="25"/>
                <w:szCs w:val="25"/>
                <w:color w:val="auto"/>
                <w:vertAlign w:val="superscript"/>
              </w:rPr>
              <w:t>(d)</w:t>
            </w:r>
          </w:p>
        </w:tc>
        <w:tc>
          <w:tcPr>
            <w:tcW w:w="80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940" w:type="dxa"/>
            <w:vAlign w:val="bottom"/>
            <w:tcBorders>
              <w:right w:val="single" w:sz="8" w:color="auto"/>
            </w:tcBorders>
          </w:tcPr>
          <w:p>
            <w:pPr>
              <w:ind w:left="180"/>
              <w:spacing w:after="0" w:line="201" w:lineRule="exact"/>
              <w:rPr>
                <w:sz w:val="20"/>
                <w:szCs w:val="20"/>
                <w:color w:val="auto"/>
              </w:rPr>
            </w:pPr>
            <w:r>
              <w:rPr>
                <w:rFonts w:ascii="Times New Roman" w:cs="Times New Roman" w:eastAsia="Times New Roman" w:hAnsi="Times New Roman"/>
                <w:sz w:val="20"/>
                <w:szCs w:val="20"/>
                <w:color w:val="auto"/>
              </w:rPr>
              <w:t>Change in fair value of equity awards granted in prior fiscal years that</w:t>
            </w:r>
          </w:p>
        </w:tc>
        <w:tc>
          <w:tcPr>
            <w:tcW w:w="800" w:type="dxa"/>
            <w:vAlign w:val="bottom"/>
          </w:tcPr>
          <w:p>
            <w:pPr>
              <w:spacing w:after="0"/>
              <w:rPr>
                <w:sz w:val="17"/>
                <w:szCs w:val="17"/>
                <w:color w:val="auto"/>
              </w:rPr>
            </w:pPr>
          </w:p>
        </w:tc>
        <w:tc>
          <w:tcPr>
            <w:tcW w:w="1800" w:type="dxa"/>
            <w:vAlign w:val="bottom"/>
            <w:tcBorders>
              <w:right w:val="single" w:sz="8" w:color="auto"/>
            </w:tcBorders>
          </w:tcPr>
          <w:p>
            <w:pPr>
              <w:jc w:val="right"/>
              <w:ind w:right="720"/>
              <w:spacing w:after="0" w:line="201" w:lineRule="exact"/>
              <w:rPr>
                <w:sz w:val="20"/>
                <w:szCs w:val="20"/>
                <w:color w:val="auto"/>
              </w:rPr>
            </w:pPr>
            <w:r>
              <w:rPr>
                <w:rFonts w:ascii="Times New Roman" w:cs="Times New Roman" w:eastAsia="Times New Roman" w:hAnsi="Times New Roman"/>
                <w:sz w:val="20"/>
                <w:szCs w:val="20"/>
                <w:color w:val="auto"/>
              </w:rPr>
              <w:t>(86,221)</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ind w:left="180"/>
              <w:spacing w:after="0" w:line="250" w:lineRule="exact"/>
              <w:rPr>
                <w:sz w:val="20"/>
                <w:szCs w:val="20"/>
                <w:color w:val="auto"/>
              </w:rPr>
            </w:pPr>
            <w:r>
              <w:rPr>
                <w:rFonts w:ascii="Times New Roman" w:cs="Times New Roman" w:eastAsia="Times New Roman" w:hAnsi="Times New Roman"/>
                <w:sz w:val="20"/>
                <w:szCs w:val="20"/>
                <w:color w:val="auto"/>
              </w:rPr>
              <w:t>vested during the fiscal year</w:t>
            </w:r>
            <w:r>
              <w:rPr>
                <w:rFonts w:ascii="Times New Roman" w:cs="Times New Roman" w:eastAsia="Times New Roman" w:hAnsi="Times New Roman"/>
                <w:sz w:val="25"/>
                <w:szCs w:val="25"/>
                <w:color w:val="auto"/>
                <w:vertAlign w:val="superscript"/>
              </w:rPr>
              <w:t>(e)</w:t>
            </w:r>
          </w:p>
        </w:tc>
        <w:tc>
          <w:tcPr>
            <w:tcW w:w="80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r>
      <w:tr>
        <w:trPr>
          <w:trHeight w:val="199"/>
        </w:trPr>
        <w:tc>
          <w:tcPr>
            <w:tcW w:w="660" w:type="dxa"/>
            <w:vAlign w:val="bottom"/>
            <w:tcBorders>
              <w:lef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940" w:type="dxa"/>
            <w:vAlign w:val="bottom"/>
            <w:tcBorders>
              <w:right w:val="single" w:sz="8" w:color="auto"/>
            </w:tcBorders>
          </w:tcPr>
          <w:p>
            <w:pPr>
              <w:ind w:left="180"/>
              <w:spacing w:after="0" w:line="200" w:lineRule="exact"/>
              <w:rPr>
                <w:sz w:val="20"/>
                <w:szCs w:val="20"/>
                <w:color w:val="auto"/>
              </w:rPr>
            </w:pPr>
            <w:r>
              <w:rPr>
                <w:rFonts w:ascii="Times New Roman" w:cs="Times New Roman" w:eastAsia="Times New Roman" w:hAnsi="Times New Roman"/>
                <w:sz w:val="20"/>
                <w:szCs w:val="20"/>
                <w:color w:val="auto"/>
              </w:rPr>
              <w:t>Value of dividend equivalents accrued on equity awards during the</w:t>
            </w:r>
          </w:p>
        </w:tc>
        <w:tc>
          <w:tcPr>
            <w:tcW w:w="800" w:type="dxa"/>
            <w:vAlign w:val="bottom"/>
          </w:tcPr>
          <w:p>
            <w:pPr>
              <w:spacing w:after="0"/>
              <w:rPr>
                <w:sz w:val="17"/>
                <w:szCs w:val="17"/>
                <w:color w:val="auto"/>
              </w:rPr>
            </w:pPr>
          </w:p>
        </w:tc>
        <w:tc>
          <w:tcPr>
            <w:tcW w:w="1800" w:type="dxa"/>
            <w:vAlign w:val="bottom"/>
            <w:tcBorders>
              <w:right w:val="single" w:sz="8" w:color="auto"/>
            </w:tcBorders>
          </w:tcPr>
          <w:p>
            <w:pPr>
              <w:jc w:val="right"/>
              <w:ind w:right="780"/>
              <w:spacing w:after="0" w:line="200" w:lineRule="exact"/>
              <w:rPr>
                <w:sz w:val="20"/>
                <w:szCs w:val="20"/>
                <w:color w:val="auto"/>
              </w:rPr>
            </w:pPr>
            <w:r>
              <w:rPr>
                <w:rFonts w:ascii="Times New Roman" w:cs="Times New Roman" w:eastAsia="Times New Roman" w:hAnsi="Times New Roman"/>
                <w:sz w:val="20"/>
                <w:szCs w:val="20"/>
                <w:color w:val="auto"/>
              </w:rPr>
              <w:t>0</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fiscal year</w:t>
            </w:r>
          </w:p>
        </w:tc>
        <w:tc>
          <w:tcPr>
            <w:tcW w:w="80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r>
      <w:tr>
        <w:trPr>
          <w:trHeight w:val="220"/>
        </w:trPr>
        <w:tc>
          <w:tcPr>
            <w:tcW w:w="660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Compensation Actually Paid for Fiscal 2025</w:t>
            </w:r>
          </w:p>
        </w:tc>
        <w:tc>
          <w:tcPr>
            <w:tcW w:w="8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ind w:right="780"/>
              <w:spacing w:after="0" w:line="220" w:lineRule="exact"/>
              <w:rPr>
                <w:sz w:val="20"/>
                <w:szCs w:val="20"/>
                <w:color w:val="auto"/>
              </w:rPr>
            </w:pPr>
            <w:r>
              <w:rPr>
                <w:rFonts w:ascii="Times New Roman" w:cs="Times New Roman" w:eastAsia="Times New Roman" w:hAnsi="Times New Roman"/>
                <w:sz w:val="20"/>
                <w:szCs w:val="20"/>
                <w:color w:val="auto"/>
              </w:rPr>
              <w:t>338,033</w:t>
            </w:r>
          </w:p>
        </w:tc>
      </w:tr>
      <w:tr>
        <w:trPr>
          <w:trHeight w:val="220"/>
        </w:trPr>
        <w:tc>
          <w:tcPr>
            <w:tcW w:w="66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r>
      <w:tr>
        <w:trPr>
          <w:trHeight w:val="220"/>
        </w:trPr>
        <w:tc>
          <w:tcPr>
            <w:tcW w:w="660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Summary Compensation Table Total for Fiscal 2024</w:t>
            </w:r>
          </w:p>
        </w:tc>
        <w:tc>
          <w:tcPr>
            <w:tcW w:w="800" w:type="dxa"/>
            <w:vAlign w:val="bottom"/>
            <w:tcBorders>
              <w:bottom w:val="single" w:sz="8" w:color="auto"/>
            </w:tcBorders>
          </w:tcPr>
          <w:p>
            <w:pPr>
              <w:ind w:left="3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bottom w:val="single" w:sz="8" w:color="auto"/>
              <w:right w:val="single" w:sz="8" w:color="auto"/>
            </w:tcBorders>
          </w:tcPr>
          <w:p>
            <w:pPr>
              <w:jc w:val="right"/>
              <w:ind w:right="780"/>
              <w:spacing w:after="0" w:line="220" w:lineRule="exact"/>
              <w:rPr>
                <w:sz w:val="20"/>
                <w:szCs w:val="20"/>
                <w:color w:val="auto"/>
              </w:rPr>
            </w:pPr>
            <w:r>
              <w:rPr>
                <w:rFonts w:ascii="Times New Roman" w:cs="Times New Roman" w:eastAsia="Times New Roman" w:hAnsi="Times New Roman"/>
                <w:sz w:val="20"/>
                <w:szCs w:val="20"/>
                <w:color w:val="auto"/>
              </w:rPr>
              <w:t>702,848</w:t>
            </w:r>
          </w:p>
        </w:tc>
      </w:tr>
      <w:tr>
        <w:trPr>
          <w:trHeight w:val="220"/>
        </w:trPr>
        <w:tc>
          <w:tcPr>
            <w:tcW w:w="660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Deduct</w:t>
            </w:r>
            <w:r>
              <w:rPr>
                <w:rFonts w:ascii="Times New Roman" w:cs="Times New Roman" w:eastAsia="Times New Roman" w:hAnsi="Times New Roman"/>
                <w:sz w:val="20"/>
                <w:szCs w:val="20"/>
                <w:color w:val="auto"/>
              </w:rPr>
              <w:t>: Stock awards</w:t>
            </w:r>
            <w:r>
              <w:rPr>
                <w:rFonts w:ascii="Times New Roman" w:cs="Times New Roman" w:eastAsia="Times New Roman" w:hAnsi="Times New Roman"/>
                <w:sz w:val="25"/>
                <w:szCs w:val="25"/>
                <w:color w:val="auto"/>
                <w:vertAlign w:val="superscript"/>
              </w:rPr>
              <w:t>(a)</w:t>
            </w:r>
          </w:p>
        </w:tc>
        <w:tc>
          <w:tcPr>
            <w:tcW w:w="8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ind w:right="780"/>
              <w:spacing w:after="0" w:line="220" w:lineRule="exact"/>
              <w:rPr>
                <w:sz w:val="20"/>
                <w:szCs w:val="20"/>
                <w:color w:val="auto"/>
              </w:rPr>
            </w:pPr>
            <w:r>
              <w:rPr>
                <w:rFonts w:ascii="Times New Roman" w:cs="Times New Roman" w:eastAsia="Times New Roman" w:hAnsi="Times New Roman"/>
                <w:sz w:val="20"/>
                <w:szCs w:val="20"/>
                <w:color w:val="auto"/>
              </w:rPr>
              <w:t>0</w:t>
            </w:r>
          </w:p>
        </w:tc>
      </w:tr>
      <w:tr>
        <w:trPr>
          <w:trHeight w:val="220"/>
        </w:trPr>
        <w:tc>
          <w:tcPr>
            <w:tcW w:w="660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Deduct</w:t>
            </w:r>
            <w:r>
              <w:rPr>
                <w:rFonts w:ascii="Times New Roman" w:cs="Times New Roman" w:eastAsia="Times New Roman" w:hAnsi="Times New Roman"/>
                <w:sz w:val="20"/>
                <w:szCs w:val="20"/>
                <w:color w:val="auto"/>
              </w:rPr>
              <w:t>: Option awards</w:t>
            </w:r>
            <w:r>
              <w:rPr>
                <w:rFonts w:ascii="Times New Roman" w:cs="Times New Roman" w:eastAsia="Times New Roman" w:hAnsi="Times New Roman"/>
                <w:sz w:val="25"/>
                <w:szCs w:val="25"/>
                <w:color w:val="auto"/>
                <w:vertAlign w:val="superscript"/>
              </w:rPr>
              <w:t>(b)</w:t>
            </w:r>
          </w:p>
        </w:tc>
        <w:tc>
          <w:tcPr>
            <w:tcW w:w="8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ind w:right="780"/>
              <w:spacing w:after="0" w:line="220" w:lineRule="exact"/>
              <w:rPr>
                <w:sz w:val="20"/>
                <w:szCs w:val="20"/>
                <w:color w:val="auto"/>
              </w:rPr>
            </w:pPr>
            <w:r>
              <w:rPr>
                <w:rFonts w:ascii="Times New Roman" w:cs="Times New Roman" w:eastAsia="Times New Roman" w:hAnsi="Times New Roman"/>
                <w:sz w:val="20"/>
                <w:szCs w:val="20"/>
                <w:color w:val="auto"/>
              </w:rPr>
              <w:t>169,054</w:t>
            </w: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940" w:type="dxa"/>
            <w:vAlign w:val="bottom"/>
            <w:tcBorders>
              <w:right w:val="single" w:sz="8" w:color="auto"/>
            </w:tcBorders>
          </w:tcPr>
          <w:p>
            <w:pPr>
              <w:ind w:left="160"/>
              <w:spacing w:after="0" w:line="201" w:lineRule="exact"/>
              <w:rPr>
                <w:sz w:val="20"/>
                <w:szCs w:val="20"/>
                <w:color w:val="auto"/>
              </w:rPr>
            </w:pPr>
            <w:r>
              <w:rPr>
                <w:rFonts w:ascii="Times New Roman" w:cs="Times New Roman" w:eastAsia="Times New Roman" w:hAnsi="Times New Roman"/>
                <w:sz w:val="20"/>
                <w:szCs w:val="20"/>
                <w:color w:val="auto"/>
              </w:rPr>
              <w:t>Fiscal year-end value of equity awards granted during the fiscal year</w:t>
            </w:r>
          </w:p>
        </w:tc>
        <w:tc>
          <w:tcPr>
            <w:tcW w:w="800" w:type="dxa"/>
            <w:vAlign w:val="bottom"/>
          </w:tcPr>
          <w:p>
            <w:pPr>
              <w:spacing w:after="0"/>
              <w:rPr>
                <w:sz w:val="17"/>
                <w:szCs w:val="17"/>
                <w:color w:val="auto"/>
              </w:rPr>
            </w:pPr>
          </w:p>
        </w:tc>
        <w:tc>
          <w:tcPr>
            <w:tcW w:w="1800" w:type="dxa"/>
            <w:vAlign w:val="bottom"/>
            <w:tcBorders>
              <w:right w:val="single" w:sz="8" w:color="auto"/>
            </w:tcBorders>
          </w:tcPr>
          <w:p>
            <w:pPr>
              <w:jc w:val="right"/>
              <w:ind w:right="780"/>
              <w:spacing w:after="0" w:line="201" w:lineRule="exact"/>
              <w:rPr>
                <w:sz w:val="20"/>
                <w:szCs w:val="20"/>
                <w:color w:val="auto"/>
              </w:rPr>
            </w:pPr>
            <w:r>
              <w:rPr>
                <w:rFonts w:ascii="Times New Roman" w:cs="Times New Roman" w:eastAsia="Times New Roman" w:hAnsi="Times New Roman"/>
                <w:sz w:val="20"/>
                <w:szCs w:val="20"/>
                <w:color w:val="auto"/>
              </w:rPr>
              <w:t>167,715</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ind w:left="160"/>
              <w:spacing w:after="0" w:line="250" w:lineRule="exact"/>
              <w:rPr>
                <w:sz w:val="20"/>
                <w:szCs w:val="20"/>
                <w:color w:val="auto"/>
              </w:rPr>
            </w:pPr>
            <w:r>
              <w:rPr>
                <w:rFonts w:ascii="Times New Roman" w:cs="Times New Roman" w:eastAsia="Times New Roman" w:hAnsi="Times New Roman"/>
                <w:sz w:val="20"/>
                <w:szCs w:val="20"/>
                <w:color w:val="auto"/>
              </w:rPr>
              <w:t>that are outstanding and unvested</w:t>
            </w:r>
            <w:r>
              <w:rPr>
                <w:rFonts w:ascii="Times New Roman" w:cs="Times New Roman" w:eastAsia="Times New Roman" w:hAnsi="Times New Roman"/>
                <w:sz w:val="25"/>
                <w:szCs w:val="25"/>
                <w:color w:val="auto"/>
                <w:vertAlign w:val="superscript"/>
              </w:rPr>
              <w:t>(c)</w:t>
            </w:r>
          </w:p>
        </w:tc>
        <w:tc>
          <w:tcPr>
            <w:tcW w:w="80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940" w:type="dxa"/>
            <w:vAlign w:val="bottom"/>
            <w:tcBorders>
              <w:right w:val="single" w:sz="8" w:color="auto"/>
            </w:tcBorders>
          </w:tcPr>
          <w:p>
            <w:pPr>
              <w:ind w:left="160"/>
              <w:spacing w:after="0" w:line="201" w:lineRule="exact"/>
              <w:rPr>
                <w:sz w:val="20"/>
                <w:szCs w:val="20"/>
                <w:color w:val="auto"/>
              </w:rPr>
            </w:pPr>
            <w:r>
              <w:rPr>
                <w:rFonts w:ascii="Times New Roman" w:cs="Times New Roman" w:eastAsia="Times New Roman" w:hAnsi="Times New Roman"/>
                <w:sz w:val="20"/>
                <w:szCs w:val="20"/>
                <w:color w:val="auto"/>
              </w:rPr>
              <w:t>Change in fair value of equity awards granted in prior fiscal years that</w:t>
            </w:r>
          </w:p>
        </w:tc>
        <w:tc>
          <w:tcPr>
            <w:tcW w:w="800" w:type="dxa"/>
            <w:vAlign w:val="bottom"/>
          </w:tcPr>
          <w:p>
            <w:pPr>
              <w:spacing w:after="0"/>
              <w:rPr>
                <w:sz w:val="17"/>
                <w:szCs w:val="17"/>
                <w:color w:val="auto"/>
              </w:rPr>
            </w:pPr>
          </w:p>
        </w:tc>
        <w:tc>
          <w:tcPr>
            <w:tcW w:w="1800" w:type="dxa"/>
            <w:vAlign w:val="bottom"/>
            <w:tcBorders>
              <w:right w:val="single" w:sz="8" w:color="auto"/>
            </w:tcBorders>
          </w:tcPr>
          <w:p>
            <w:pPr>
              <w:jc w:val="right"/>
              <w:ind w:right="780"/>
              <w:spacing w:after="0" w:line="201" w:lineRule="exact"/>
              <w:rPr>
                <w:sz w:val="20"/>
                <w:szCs w:val="20"/>
                <w:color w:val="auto"/>
              </w:rPr>
            </w:pPr>
            <w:r>
              <w:rPr>
                <w:rFonts w:ascii="Times New Roman" w:cs="Times New Roman" w:eastAsia="Times New Roman" w:hAnsi="Times New Roman"/>
                <w:sz w:val="20"/>
                <w:szCs w:val="20"/>
                <w:color w:val="auto"/>
              </w:rPr>
              <w:t>4,240</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ind w:left="160"/>
              <w:spacing w:after="0" w:line="250" w:lineRule="exact"/>
              <w:rPr>
                <w:sz w:val="20"/>
                <w:szCs w:val="20"/>
                <w:color w:val="auto"/>
              </w:rPr>
            </w:pPr>
            <w:r>
              <w:rPr>
                <w:rFonts w:ascii="Times New Roman" w:cs="Times New Roman" w:eastAsia="Times New Roman" w:hAnsi="Times New Roman"/>
                <w:sz w:val="20"/>
                <w:szCs w:val="20"/>
                <w:color w:val="auto"/>
              </w:rPr>
              <w:t>are outstanding and unvested</w:t>
            </w:r>
            <w:r>
              <w:rPr>
                <w:rFonts w:ascii="Times New Roman" w:cs="Times New Roman" w:eastAsia="Times New Roman" w:hAnsi="Times New Roman"/>
                <w:sz w:val="25"/>
                <w:szCs w:val="25"/>
                <w:color w:val="auto"/>
                <w:vertAlign w:val="superscript"/>
              </w:rPr>
              <w:t>(d)</w:t>
            </w:r>
          </w:p>
        </w:tc>
        <w:tc>
          <w:tcPr>
            <w:tcW w:w="80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r>
      <w:tr>
        <w:trPr>
          <w:trHeight w:val="199"/>
        </w:trPr>
        <w:tc>
          <w:tcPr>
            <w:tcW w:w="660" w:type="dxa"/>
            <w:vAlign w:val="bottom"/>
            <w:tcBorders>
              <w:lef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940" w:type="dxa"/>
            <w:vAlign w:val="bottom"/>
            <w:tcBorders>
              <w:right w:val="single" w:sz="8" w:color="auto"/>
            </w:tcBorders>
          </w:tcPr>
          <w:p>
            <w:pPr>
              <w:ind w:left="160"/>
              <w:spacing w:after="0" w:line="200" w:lineRule="exact"/>
              <w:rPr>
                <w:sz w:val="20"/>
                <w:szCs w:val="20"/>
                <w:color w:val="auto"/>
              </w:rPr>
            </w:pPr>
            <w:r>
              <w:rPr>
                <w:rFonts w:ascii="Times New Roman" w:cs="Times New Roman" w:eastAsia="Times New Roman" w:hAnsi="Times New Roman"/>
                <w:sz w:val="20"/>
                <w:szCs w:val="20"/>
                <w:color w:val="auto"/>
              </w:rPr>
              <w:t>Change in fair value of equity awards granted in prior fiscal years that</w:t>
            </w:r>
          </w:p>
        </w:tc>
        <w:tc>
          <w:tcPr>
            <w:tcW w:w="800" w:type="dxa"/>
            <w:vAlign w:val="bottom"/>
          </w:tcPr>
          <w:p>
            <w:pPr>
              <w:spacing w:after="0"/>
              <w:rPr>
                <w:sz w:val="17"/>
                <w:szCs w:val="17"/>
                <w:color w:val="auto"/>
              </w:rPr>
            </w:pPr>
          </w:p>
        </w:tc>
        <w:tc>
          <w:tcPr>
            <w:tcW w:w="1800" w:type="dxa"/>
            <w:vAlign w:val="bottom"/>
            <w:tcBorders>
              <w:right w:val="single" w:sz="8" w:color="auto"/>
            </w:tcBorders>
          </w:tcPr>
          <w:p>
            <w:pPr>
              <w:jc w:val="right"/>
              <w:ind w:right="780"/>
              <w:spacing w:after="0" w:line="200" w:lineRule="exact"/>
              <w:rPr>
                <w:sz w:val="20"/>
                <w:szCs w:val="20"/>
                <w:color w:val="auto"/>
              </w:rPr>
            </w:pPr>
            <w:r>
              <w:rPr>
                <w:rFonts w:ascii="Times New Roman" w:cs="Times New Roman" w:eastAsia="Times New Roman" w:hAnsi="Times New Roman"/>
                <w:sz w:val="20"/>
                <w:szCs w:val="20"/>
                <w:color w:val="auto"/>
              </w:rPr>
              <w:t>4,811</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ind w:left="160"/>
              <w:spacing w:after="0" w:line="250" w:lineRule="exact"/>
              <w:rPr>
                <w:sz w:val="20"/>
                <w:szCs w:val="20"/>
                <w:color w:val="auto"/>
              </w:rPr>
            </w:pPr>
            <w:r>
              <w:rPr>
                <w:rFonts w:ascii="Times New Roman" w:cs="Times New Roman" w:eastAsia="Times New Roman" w:hAnsi="Times New Roman"/>
                <w:sz w:val="20"/>
                <w:szCs w:val="20"/>
                <w:color w:val="auto"/>
              </w:rPr>
              <w:t>vested during the fiscal year</w:t>
            </w:r>
            <w:r>
              <w:rPr>
                <w:rFonts w:ascii="Times New Roman" w:cs="Times New Roman" w:eastAsia="Times New Roman" w:hAnsi="Times New Roman"/>
                <w:sz w:val="25"/>
                <w:szCs w:val="25"/>
                <w:color w:val="auto"/>
                <w:vertAlign w:val="superscript"/>
              </w:rPr>
              <w:t>(e)</w:t>
            </w:r>
          </w:p>
        </w:tc>
        <w:tc>
          <w:tcPr>
            <w:tcW w:w="80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940" w:type="dxa"/>
            <w:vAlign w:val="bottom"/>
            <w:tcBorders>
              <w:right w:val="single" w:sz="8" w:color="auto"/>
            </w:tcBorders>
          </w:tcPr>
          <w:p>
            <w:pPr>
              <w:ind w:left="160"/>
              <w:spacing w:after="0" w:line="201" w:lineRule="exact"/>
              <w:rPr>
                <w:sz w:val="20"/>
                <w:szCs w:val="20"/>
                <w:color w:val="auto"/>
              </w:rPr>
            </w:pPr>
            <w:r>
              <w:rPr>
                <w:rFonts w:ascii="Times New Roman" w:cs="Times New Roman" w:eastAsia="Times New Roman" w:hAnsi="Times New Roman"/>
                <w:sz w:val="20"/>
                <w:szCs w:val="20"/>
                <w:color w:val="auto"/>
              </w:rPr>
              <w:t>Value of dividend equivalents accrued on equity awards during the</w:t>
            </w:r>
          </w:p>
        </w:tc>
        <w:tc>
          <w:tcPr>
            <w:tcW w:w="800" w:type="dxa"/>
            <w:vAlign w:val="bottom"/>
          </w:tcPr>
          <w:p>
            <w:pPr>
              <w:spacing w:after="0"/>
              <w:rPr>
                <w:sz w:val="17"/>
                <w:szCs w:val="17"/>
                <w:color w:val="auto"/>
              </w:rPr>
            </w:pPr>
          </w:p>
        </w:tc>
        <w:tc>
          <w:tcPr>
            <w:tcW w:w="1800" w:type="dxa"/>
            <w:vAlign w:val="bottom"/>
            <w:tcBorders>
              <w:right w:val="single" w:sz="8" w:color="auto"/>
            </w:tcBorders>
          </w:tcPr>
          <w:p>
            <w:pPr>
              <w:jc w:val="right"/>
              <w:ind w:right="780"/>
              <w:spacing w:after="0" w:line="201" w:lineRule="exact"/>
              <w:rPr>
                <w:sz w:val="20"/>
                <w:szCs w:val="20"/>
                <w:color w:val="auto"/>
              </w:rPr>
            </w:pPr>
            <w:r>
              <w:rPr>
                <w:rFonts w:ascii="Times New Roman" w:cs="Times New Roman" w:eastAsia="Times New Roman" w:hAnsi="Times New Roman"/>
                <w:sz w:val="20"/>
                <w:szCs w:val="20"/>
                <w:color w:val="auto"/>
              </w:rPr>
              <w:t>0</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fiscal year</w:t>
            </w:r>
          </w:p>
        </w:tc>
        <w:tc>
          <w:tcPr>
            <w:tcW w:w="80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r>
      <w:tr>
        <w:trPr>
          <w:trHeight w:val="220"/>
        </w:trPr>
        <w:tc>
          <w:tcPr>
            <w:tcW w:w="660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Compensation Actually Paid for Fiscal 2024</w:t>
            </w:r>
          </w:p>
        </w:tc>
        <w:tc>
          <w:tcPr>
            <w:tcW w:w="8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ind w:right="780"/>
              <w:spacing w:after="0" w:line="220" w:lineRule="exact"/>
              <w:rPr>
                <w:sz w:val="20"/>
                <w:szCs w:val="20"/>
                <w:color w:val="auto"/>
              </w:rPr>
            </w:pPr>
            <w:r>
              <w:rPr>
                <w:rFonts w:ascii="Times New Roman" w:cs="Times New Roman" w:eastAsia="Times New Roman" w:hAnsi="Times New Roman"/>
                <w:sz w:val="20"/>
                <w:szCs w:val="20"/>
                <w:color w:val="auto"/>
              </w:rPr>
              <w:t>710,560</w:t>
            </w:r>
          </w:p>
        </w:tc>
      </w:tr>
      <w:tr>
        <w:trPr>
          <w:trHeight w:val="220"/>
        </w:trPr>
        <w:tc>
          <w:tcPr>
            <w:tcW w:w="66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r>
      <w:tr>
        <w:trPr>
          <w:trHeight w:val="220"/>
        </w:trPr>
        <w:tc>
          <w:tcPr>
            <w:tcW w:w="660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Summary Compensation Table Total for Fiscal 2023</w:t>
            </w:r>
          </w:p>
        </w:tc>
        <w:tc>
          <w:tcPr>
            <w:tcW w:w="800" w:type="dxa"/>
            <w:vAlign w:val="bottom"/>
            <w:tcBorders>
              <w:bottom w:val="single" w:sz="8" w:color="auto"/>
            </w:tcBorders>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bottom w:val="single" w:sz="8" w:color="auto"/>
              <w:right w:val="single" w:sz="8" w:color="auto"/>
            </w:tcBorders>
          </w:tcPr>
          <w:p>
            <w:pPr>
              <w:jc w:val="right"/>
              <w:ind w:right="780"/>
              <w:spacing w:after="0" w:line="220" w:lineRule="exact"/>
              <w:rPr>
                <w:sz w:val="20"/>
                <w:szCs w:val="20"/>
                <w:color w:val="auto"/>
              </w:rPr>
            </w:pPr>
            <w:r>
              <w:rPr>
                <w:rFonts w:ascii="Times New Roman" w:cs="Times New Roman" w:eastAsia="Times New Roman" w:hAnsi="Times New Roman"/>
                <w:sz w:val="20"/>
                <w:szCs w:val="20"/>
                <w:color w:val="auto"/>
              </w:rPr>
              <w:t>660,312</w:t>
            </w:r>
          </w:p>
        </w:tc>
      </w:tr>
      <w:tr>
        <w:trPr>
          <w:trHeight w:val="220"/>
        </w:trPr>
        <w:tc>
          <w:tcPr>
            <w:tcW w:w="660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Deduct</w:t>
            </w:r>
            <w:r>
              <w:rPr>
                <w:rFonts w:ascii="Times New Roman" w:cs="Times New Roman" w:eastAsia="Times New Roman" w:hAnsi="Times New Roman"/>
                <w:sz w:val="20"/>
                <w:szCs w:val="20"/>
                <w:color w:val="auto"/>
              </w:rPr>
              <w:t>: Stock awards</w:t>
            </w:r>
            <w:r>
              <w:rPr>
                <w:rFonts w:ascii="Times New Roman" w:cs="Times New Roman" w:eastAsia="Times New Roman" w:hAnsi="Times New Roman"/>
                <w:sz w:val="25"/>
                <w:szCs w:val="25"/>
                <w:color w:val="auto"/>
                <w:vertAlign w:val="superscript"/>
              </w:rPr>
              <w:t>(a)</w:t>
            </w:r>
          </w:p>
        </w:tc>
        <w:tc>
          <w:tcPr>
            <w:tcW w:w="8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ind w:right="780"/>
              <w:spacing w:after="0" w:line="220" w:lineRule="exact"/>
              <w:rPr>
                <w:sz w:val="20"/>
                <w:szCs w:val="20"/>
                <w:color w:val="auto"/>
              </w:rPr>
            </w:pPr>
            <w:r>
              <w:rPr>
                <w:rFonts w:ascii="Times New Roman" w:cs="Times New Roman" w:eastAsia="Times New Roman" w:hAnsi="Times New Roman"/>
                <w:sz w:val="20"/>
                <w:szCs w:val="20"/>
                <w:color w:val="auto"/>
              </w:rPr>
              <w:t>0</w:t>
            </w:r>
          </w:p>
        </w:tc>
      </w:tr>
      <w:tr>
        <w:trPr>
          <w:trHeight w:val="220"/>
        </w:trPr>
        <w:tc>
          <w:tcPr>
            <w:tcW w:w="6600" w:type="dxa"/>
            <w:vAlign w:val="bottom"/>
            <w:tcBorders>
              <w:left w:val="single" w:sz="8" w:color="auto"/>
              <w:bottom w:val="single" w:sz="8" w:color="auto"/>
              <w:right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Deduct</w:t>
            </w:r>
            <w:r>
              <w:rPr>
                <w:rFonts w:ascii="Times New Roman" w:cs="Times New Roman" w:eastAsia="Times New Roman" w:hAnsi="Times New Roman"/>
                <w:sz w:val="20"/>
                <w:szCs w:val="20"/>
                <w:color w:val="auto"/>
              </w:rPr>
              <w:t>: Option awards</w:t>
            </w:r>
            <w:r>
              <w:rPr>
                <w:rFonts w:ascii="Times New Roman" w:cs="Times New Roman" w:eastAsia="Times New Roman" w:hAnsi="Times New Roman"/>
                <w:sz w:val="25"/>
                <w:szCs w:val="25"/>
                <w:color w:val="auto"/>
                <w:vertAlign w:val="superscript"/>
              </w:rPr>
              <w:t>(b)</w:t>
            </w:r>
          </w:p>
        </w:tc>
        <w:tc>
          <w:tcPr>
            <w:tcW w:w="8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ind w:right="780"/>
              <w:spacing w:after="0" w:line="220" w:lineRule="exact"/>
              <w:rPr>
                <w:sz w:val="20"/>
                <w:szCs w:val="20"/>
                <w:color w:val="auto"/>
              </w:rPr>
            </w:pPr>
            <w:r>
              <w:rPr>
                <w:rFonts w:ascii="Times New Roman" w:cs="Times New Roman" w:eastAsia="Times New Roman" w:hAnsi="Times New Roman"/>
                <w:sz w:val="20"/>
                <w:szCs w:val="20"/>
                <w:color w:val="auto"/>
              </w:rPr>
              <w:t>170,337</w:t>
            </w:r>
          </w:p>
        </w:tc>
      </w:tr>
      <w:tr>
        <w:trPr>
          <w:trHeight w:val="199"/>
        </w:trPr>
        <w:tc>
          <w:tcPr>
            <w:tcW w:w="660" w:type="dxa"/>
            <w:vAlign w:val="bottom"/>
            <w:tcBorders>
              <w:lef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940" w:type="dxa"/>
            <w:vAlign w:val="bottom"/>
            <w:tcBorders>
              <w:right w:val="single" w:sz="8" w:color="auto"/>
            </w:tcBorders>
          </w:tcPr>
          <w:p>
            <w:pPr>
              <w:ind w:left="180"/>
              <w:spacing w:after="0" w:line="200" w:lineRule="exact"/>
              <w:rPr>
                <w:sz w:val="20"/>
                <w:szCs w:val="20"/>
                <w:color w:val="auto"/>
              </w:rPr>
            </w:pPr>
            <w:r>
              <w:rPr>
                <w:rFonts w:ascii="Times New Roman" w:cs="Times New Roman" w:eastAsia="Times New Roman" w:hAnsi="Times New Roman"/>
                <w:sz w:val="20"/>
                <w:szCs w:val="20"/>
                <w:color w:val="auto"/>
              </w:rPr>
              <w:t>Fiscal year-end value of equity awards granted during the fiscal year</w:t>
            </w:r>
          </w:p>
        </w:tc>
        <w:tc>
          <w:tcPr>
            <w:tcW w:w="800" w:type="dxa"/>
            <w:vAlign w:val="bottom"/>
          </w:tcPr>
          <w:p>
            <w:pPr>
              <w:spacing w:after="0"/>
              <w:rPr>
                <w:sz w:val="17"/>
                <w:szCs w:val="17"/>
                <w:color w:val="auto"/>
              </w:rPr>
            </w:pPr>
          </w:p>
        </w:tc>
        <w:tc>
          <w:tcPr>
            <w:tcW w:w="1800" w:type="dxa"/>
            <w:vAlign w:val="bottom"/>
            <w:tcBorders>
              <w:right w:val="single" w:sz="8" w:color="auto"/>
            </w:tcBorders>
          </w:tcPr>
          <w:p>
            <w:pPr>
              <w:jc w:val="right"/>
              <w:ind w:right="780"/>
              <w:spacing w:after="0" w:line="200" w:lineRule="exact"/>
              <w:rPr>
                <w:sz w:val="20"/>
                <w:szCs w:val="20"/>
                <w:color w:val="auto"/>
              </w:rPr>
            </w:pPr>
            <w:r>
              <w:rPr>
                <w:rFonts w:ascii="Times New Roman" w:cs="Times New Roman" w:eastAsia="Times New Roman" w:hAnsi="Times New Roman"/>
                <w:sz w:val="20"/>
                <w:szCs w:val="20"/>
                <w:color w:val="auto"/>
              </w:rPr>
              <w:t>201,243</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ind w:left="180"/>
              <w:spacing w:after="0" w:line="250" w:lineRule="exact"/>
              <w:rPr>
                <w:sz w:val="20"/>
                <w:szCs w:val="20"/>
                <w:color w:val="auto"/>
              </w:rPr>
            </w:pPr>
            <w:r>
              <w:rPr>
                <w:rFonts w:ascii="Times New Roman" w:cs="Times New Roman" w:eastAsia="Times New Roman" w:hAnsi="Times New Roman"/>
                <w:sz w:val="20"/>
                <w:szCs w:val="20"/>
                <w:color w:val="auto"/>
              </w:rPr>
              <w:t>that are outstanding and unvested</w:t>
            </w:r>
            <w:r>
              <w:rPr>
                <w:rFonts w:ascii="Times New Roman" w:cs="Times New Roman" w:eastAsia="Times New Roman" w:hAnsi="Times New Roman"/>
                <w:sz w:val="25"/>
                <w:szCs w:val="25"/>
                <w:color w:val="auto"/>
                <w:vertAlign w:val="superscript"/>
              </w:rPr>
              <w:t>(c)</w:t>
            </w:r>
          </w:p>
        </w:tc>
        <w:tc>
          <w:tcPr>
            <w:tcW w:w="80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940" w:type="dxa"/>
            <w:vAlign w:val="bottom"/>
            <w:tcBorders>
              <w:right w:val="single" w:sz="8" w:color="auto"/>
            </w:tcBorders>
          </w:tcPr>
          <w:p>
            <w:pPr>
              <w:ind w:left="180"/>
              <w:spacing w:after="0" w:line="201" w:lineRule="exact"/>
              <w:rPr>
                <w:sz w:val="20"/>
                <w:szCs w:val="20"/>
                <w:color w:val="auto"/>
              </w:rPr>
            </w:pPr>
            <w:r>
              <w:rPr>
                <w:rFonts w:ascii="Times New Roman" w:cs="Times New Roman" w:eastAsia="Times New Roman" w:hAnsi="Times New Roman"/>
                <w:sz w:val="20"/>
                <w:szCs w:val="20"/>
                <w:color w:val="auto"/>
              </w:rPr>
              <w:t>Change in fair value of equity awards granted in prior fiscal years that</w:t>
            </w:r>
          </w:p>
        </w:tc>
        <w:tc>
          <w:tcPr>
            <w:tcW w:w="800" w:type="dxa"/>
            <w:vAlign w:val="bottom"/>
          </w:tcPr>
          <w:p>
            <w:pPr>
              <w:spacing w:after="0"/>
              <w:rPr>
                <w:sz w:val="17"/>
                <w:szCs w:val="17"/>
                <w:color w:val="auto"/>
              </w:rPr>
            </w:pPr>
          </w:p>
        </w:tc>
        <w:tc>
          <w:tcPr>
            <w:tcW w:w="1800" w:type="dxa"/>
            <w:vAlign w:val="bottom"/>
            <w:tcBorders>
              <w:right w:val="single" w:sz="8" w:color="auto"/>
            </w:tcBorders>
          </w:tcPr>
          <w:p>
            <w:pPr>
              <w:jc w:val="right"/>
              <w:ind w:right="780"/>
              <w:spacing w:after="0" w:line="201" w:lineRule="exact"/>
              <w:rPr>
                <w:sz w:val="20"/>
                <w:szCs w:val="20"/>
                <w:color w:val="auto"/>
              </w:rPr>
            </w:pPr>
            <w:r>
              <w:rPr>
                <w:rFonts w:ascii="Times New Roman" w:cs="Times New Roman" w:eastAsia="Times New Roman" w:hAnsi="Times New Roman"/>
                <w:sz w:val="20"/>
                <w:szCs w:val="20"/>
                <w:color w:val="auto"/>
              </w:rPr>
              <w:t>20,325</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ind w:left="180"/>
              <w:spacing w:after="0" w:line="250" w:lineRule="exact"/>
              <w:rPr>
                <w:sz w:val="20"/>
                <w:szCs w:val="20"/>
                <w:color w:val="auto"/>
              </w:rPr>
            </w:pPr>
            <w:r>
              <w:rPr>
                <w:rFonts w:ascii="Times New Roman" w:cs="Times New Roman" w:eastAsia="Times New Roman" w:hAnsi="Times New Roman"/>
                <w:sz w:val="20"/>
                <w:szCs w:val="20"/>
                <w:color w:val="auto"/>
              </w:rPr>
              <w:t>are outstanding and unvested</w:t>
            </w:r>
            <w:r>
              <w:rPr>
                <w:rFonts w:ascii="Times New Roman" w:cs="Times New Roman" w:eastAsia="Times New Roman" w:hAnsi="Times New Roman"/>
                <w:sz w:val="25"/>
                <w:szCs w:val="25"/>
                <w:color w:val="auto"/>
                <w:vertAlign w:val="superscript"/>
              </w:rPr>
              <w:t>(d)</w:t>
            </w:r>
          </w:p>
        </w:tc>
        <w:tc>
          <w:tcPr>
            <w:tcW w:w="80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r>
      <w:tr>
        <w:trPr>
          <w:trHeight w:val="201"/>
        </w:trPr>
        <w:tc>
          <w:tcPr>
            <w:tcW w:w="660" w:type="dxa"/>
            <w:vAlign w:val="bottom"/>
            <w:tcBorders>
              <w:left w:val="single" w:sz="8" w:color="auto"/>
            </w:tcBorders>
          </w:tcPr>
          <w:p>
            <w:pPr>
              <w:ind w:left="120"/>
              <w:spacing w:after="0" w:line="201"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940" w:type="dxa"/>
            <w:vAlign w:val="bottom"/>
            <w:tcBorders>
              <w:right w:val="single" w:sz="8" w:color="auto"/>
            </w:tcBorders>
          </w:tcPr>
          <w:p>
            <w:pPr>
              <w:ind w:left="180"/>
              <w:spacing w:after="0" w:line="201" w:lineRule="exact"/>
              <w:rPr>
                <w:sz w:val="20"/>
                <w:szCs w:val="20"/>
                <w:color w:val="auto"/>
              </w:rPr>
            </w:pPr>
            <w:r>
              <w:rPr>
                <w:rFonts w:ascii="Times New Roman" w:cs="Times New Roman" w:eastAsia="Times New Roman" w:hAnsi="Times New Roman"/>
                <w:sz w:val="20"/>
                <w:szCs w:val="20"/>
                <w:color w:val="auto"/>
              </w:rPr>
              <w:t>Change in fair value of equity awards granted in prior fiscal years that</w:t>
            </w:r>
          </w:p>
        </w:tc>
        <w:tc>
          <w:tcPr>
            <w:tcW w:w="800" w:type="dxa"/>
            <w:vAlign w:val="bottom"/>
          </w:tcPr>
          <w:p>
            <w:pPr>
              <w:spacing w:after="0"/>
              <w:rPr>
                <w:sz w:val="17"/>
                <w:szCs w:val="17"/>
                <w:color w:val="auto"/>
              </w:rPr>
            </w:pPr>
          </w:p>
        </w:tc>
        <w:tc>
          <w:tcPr>
            <w:tcW w:w="1800" w:type="dxa"/>
            <w:vAlign w:val="bottom"/>
            <w:tcBorders>
              <w:right w:val="single" w:sz="8" w:color="auto"/>
            </w:tcBorders>
          </w:tcPr>
          <w:p>
            <w:pPr>
              <w:jc w:val="right"/>
              <w:ind w:right="780"/>
              <w:spacing w:after="0" w:line="201" w:lineRule="exact"/>
              <w:rPr>
                <w:sz w:val="20"/>
                <w:szCs w:val="20"/>
                <w:color w:val="auto"/>
              </w:rPr>
            </w:pPr>
            <w:r>
              <w:rPr>
                <w:rFonts w:ascii="Times New Roman" w:cs="Times New Roman" w:eastAsia="Times New Roman" w:hAnsi="Times New Roman"/>
                <w:sz w:val="20"/>
                <w:szCs w:val="20"/>
                <w:color w:val="auto"/>
              </w:rPr>
              <w:t>15,595</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ind w:left="180"/>
              <w:spacing w:after="0" w:line="250" w:lineRule="exact"/>
              <w:rPr>
                <w:sz w:val="20"/>
                <w:szCs w:val="20"/>
                <w:color w:val="auto"/>
              </w:rPr>
            </w:pPr>
            <w:r>
              <w:rPr>
                <w:rFonts w:ascii="Times New Roman" w:cs="Times New Roman" w:eastAsia="Times New Roman" w:hAnsi="Times New Roman"/>
                <w:sz w:val="20"/>
                <w:szCs w:val="20"/>
                <w:color w:val="auto"/>
              </w:rPr>
              <w:t>vested during the year</w:t>
            </w:r>
            <w:r>
              <w:rPr>
                <w:rFonts w:ascii="Times New Roman" w:cs="Times New Roman" w:eastAsia="Times New Roman" w:hAnsi="Times New Roman"/>
                <w:sz w:val="25"/>
                <w:szCs w:val="25"/>
                <w:color w:val="auto"/>
                <w:vertAlign w:val="superscript"/>
              </w:rPr>
              <w:t>(e)</w:t>
            </w:r>
          </w:p>
        </w:tc>
        <w:tc>
          <w:tcPr>
            <w:tcW w:w="80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r>
      <w:tr>
        <w:trPr>
          <w:trHeight w:val="199"/>
        </w:trPr>
        <w:tc>
          <w:tcPr>
            <w:tcW w:w="660" w:type="dxa"/>
            <w:vAlign w:val="bottom"/>
            <w:tcBorders>
              <w:lef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rPr>
              <w:t>Add</w:t>
            </w:r>
            <w:r>
              <w:rPr>
                <w:rFonts w:ascii="Times New Roman" w:cs="Times New Roman" w:eastAsia="Times New Roman" w:hAnsi="Times New Roman"/>
                <w:sz w:val="20"/>
                <w:szCs w:val="20"/>
                <w:color w:val="auto"/>
              </w:rPr>
              <w:t>:</w:t>
            </w:r>
          </w:p>
        </w:tc>
        <w:tc>
          <w:tcPr>
            <w:tcW w:w="5940" w:type="dxa"/>
            <w:vAlign w:val="bottom"/>
            <w:tcBorders>
              <w:right w:val="single" w:sz="8" w:color="auto"/>
            </w:tcBorders>
          </w:tcPr>
          <w:p>
            <w:pPr>
              <w:ind w:left="180"/>
              <w:spacing w:after="0" w:line="200" w:lineRule="exact"/>
              <w:rPr>
                <w:sz w:val="20"/>
                <w:szCs w:val="20"/>
                <w:color w:val="auto"/>
              </w:rPr>
            </w:pPr>
            <w:r>
              <w:rPr>
                <w:rFonts w:ascii="Times New Roman" w:cs="Times New Roman" w:eastAsia="Times New Roman" w:hAnsi="Times New Roman"/>
                <w:sz w:val="20"/>
                <w:szCs w:val="20"/>
                <w:color w:val="auto"/>
              </w:rPr>
              <w:t>Value of dividend equivalents accrued on equity awards during the</w:t>
            </w:r>
          </w:p>
        </w:tc>
        <w:tc>
          <w:tcPr>
            <w:tcW w:w="800" w:type="dxa"/>
            <w:vAlign w:val="bottom"/>
          </w:tcPr>
          <w:p>
            <w:pPr>
              <w:spacing w:after="0"/>
              <w:rPr>
                <w:sz w:val="17"/>
                <w:szCs w:val="17"/>
                <w:color w:val="auto"/>
              </w:rPr>
            </w:pPr>
          </w:p>
        </w:tc>
        <w:tc>
          <w:tcPr>
            <w:tcW w:w="1800" w:type="dxa"/>
            <w:vAlign w:val="bottom"/>
            <w:tcBorders>
              <w:right w:val="single" w:sz="8" w:color="auto"/>
            </w:tcBorders>
          </w:tcPr>
          <w:p>
            <w:pPr>
              <w:jc w:val="right"/>
              <w:ind w:right="780"/>
              <w:spacing w:after="0" w:line="200" w:lineRule="exact"/>
              <w:rPr>
                <w:sz w:val="20"/>
                <w:szCs w:val="20"/>
                <w:color w:val="auto"/>
              </w:rPr>
            </w:pPr>
            <w:r>
              <w:rPr>
                <w:rFonts w:ascii="Times New Roman" w:cs="Times New Roman" w:eastAsia="Times New Roman" w:hAnsi="Times New Roman"/>
                <w:sz w:val="20"/>
                <w:szCs w:val="20"/>
                <w:color w:val="auto"/>
              </w:rPr>
              <w:t>0</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59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fiscal year</w:t>
            </w:r>
          </w:p>
        </w:tc>
        <w:tc>
          <w:tcPr>
            <w:tcW w:w="80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r>
      <w:tr>
        <w:trPr>
          <w:trHeight w:val="221"/>
        </w:trPr>
        <w:tc>
          <w:tcPr>
            <w:tcW w:w="6600" w:type="dxa"/>
            <w:vAlign w:val="bottom"/>
            <w:tcBorders>
              <w:left w:val="single" w:sz="8" w:color="auto"/>
              <w:bottom w:val="single" w:sz="8" w:color="auto"/>
              <w:right w:val="single" w:sz="8" w:color="auto"/>
            </w:tcBorders>
            <w:gridSpan w:val="2"/>
          </w:tcPr>
          <w:p>
            <w:pPr>
              <w:ind w:left="120"/>
              <w:spacing w:after="0" w:line="221" w:lineRule="exact"/>
              <w:rPr>
                <w:sz w:val="20"/>
                <w:szCs w:val="20"/>
                <w:color w:val="auto"/>
              </w:rPr>
            </w:pPr>
            <w:r>
              <w:rPr>
                <w:rFonts w:ascii="Times New Roman" w:cs="Times New Roman" w:eastAsia="Times New Roman" w:hAnsi="Times New Roman"/>
                <w:sz w:val="20"/>
                <w:szCs w:val="20"/>
                <w:color w:val="auto"/>
              </w:rPr>
              <w:t>Compensation Actually Paid for Fiscal 2023</w:t>
            </w:r>
          </w:p>
        </w:tc>
        <w:tc>
          <w:tcPr>
            <w:tcW w:w="8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ind w:right="780"/>
              <w:spacing w:after="0" w:line="221" w:lineRule="exact"/>
              <w:rPr>
                <w:sz w:val="20"/>
                <w:szCs w:val="20"/>
                <w:color w:val="auto"/>
              </w:rPr>
            </w:pPr>
            <w:r>
              <w:rPr>
                <w:rFonts w:ascii="Times New Roman" w:cs="Times New Roman" w:eastAsia="Times New Roman" w:hAnsi="Times New Roman"/>
                <w:sz w:val="20"/>
                <w:szCs w:val="20"/>
                <w:color w:val="auto"/>
              </w:rPr>
              <w:t>727,138</w:t>
            </w:r>
          </w:p>
        </w:tc>
      </w:tr>
    </w:tbl>
    <w:p>
      <w:pPr>
        <w:spacing w:after="0" w:line="99" w:lineRule="exact"/>
        <w:rPr>
          <w:sz w:val="20"/>
          <w:szCs w:val="20"/>
          <w:color w:val="auto"/>
        </w:rPr>
      </w:pPr>
    </w:p>
    <w:p>
      <w:pPr>
        <w:ind w:left="1080" w:right="1000" w:hanging="360"/>
        <w:spacing w:after="0" w:line="278" w:lineRule="auto"/>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total of the amounts reported in the “Stock Awards” column in the Summary Compensation Table for the applicable fiscal year.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70</w:t>
      </w:r>
    </w:p>
    <w:p>
      <w:pPr>
        <w:sectPr>
          <w:pgSz w:w="12240" w:h="15840" w:orient="portrait"/>
          <w:cols w:equalWidth="0" w:num="1">
            <w:col w:w="9440"/>
          </w:cols>
          <w:pgMar w:left="1440" w:top="1420" w:right="1360" w:bottom="178" w:gutter="0" w:footer="0" w:header="0"/>
        </w:sectPr>
      </w:pPr>
    </w:p>
    <w:bookmarkStart w:id="77" w:name="page78"/>
    <w:bookmarkEnd w:id="77"/>
    <w:p>
      <w:pPr>
        <w:ind w:left="1080" w:right="820" w:hanging="360"/>
        <w:spacing w:after="0" w:line="278" w:lineRule="auto"/>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total of the amounts reported in the “Option Awards” column in the Summary Compensation Table for the applicable fiscal year.</w:t>
      </w:r>
    </w:p>
    <w:p>
      <w:pPr>
        <w:spacing w:after="0" w:line="46" w:lineRule="exact"/>
        <w:rPr>
          <w:rFonts w:ascii="Times New Roman" w:cs="Times New Roman" w:eastAsia="Times New Roman" w:hAnsi="Times New Roman"/>
          <w:sz w:val="20"/>
          <w:szCs w:val="20"/>
          <w:color w:val="auto"/>
        </w:rPr>
      </w:pPr>
    </w:p>
    <w:p>
      <w:pPr>
        <w:ind w:left="1080" w:right="100" w:hanging="360"/>
        <w:spacing w:after="0" w:line="278" w:lineRule="auto"/>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fiscal year-end value of equity awards granted during the applicable fiscal year that are outstanding and unvested as of the end of such applicable fiscal year.</w:t>
      </w:r>
    </w:p>
    <w:p>
      <w:pPr>
        <w:spacing w:after="0" w:line="46" w:lineRule="exact"/>
        <w:rPr>
          <w:rFonts w:ascii="Times New Roman" w:cs="Times New Roman" w:eastAsia="Times New Roman" w:hAnsi="Times New Roman"/>
          <w:sz w:val="20"/>
          <w:szCs w:val="20"/>
          <w:color w:val="auto"/>
        </w:rPr>
      </w:pPr>
    </w:p>
    <w:p>
      <w:pPr>
        <w:ind w:left="1080" w:right="200" w:hanging="360"/>
        <w:spacing w:after="0" w:line="259" w:lineRule="auto"/>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amount of change as of the end of the applicable fiscal year (from the end of the prior fiscal year) in fair value of any equity awards granted in prior fiscal years that are outstanding and unvested as of the end of such applicable fiscal year.</w:t>
      </w:r>
    </w:p>
    <w:p>
      <w:pPr>
        <w:spacing w:after="0" w:line="65" w:lineRule="exact"/>
        <w:rPr>
          <w:rFonts w:ascii="Times New Roman" w:cs="Times New Roman" w:eastAsia="Times New Roman" w:hAnsi="Times New Roman"/>
          <w:sz w:val="20"/>
          <w:szCs w:val="20"/>
          <w:color w:val="auto"/>
        </w:rPr>
      </w:pPr>
    </w:p>
    <w:p>
      <w:pPr>
        <w:jc w:val="both"/>
        <w:ind w:left="1080" w:right="300" w:hanging="360"/>
        <w:spacing w:after="0" w:line="305" w:lineRule="auto"/>
        <w:tabs>
          <w:tab w:leader="none" w:pos="108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Represents the amount of change as of the vesting date (from the end of the prior fiscal year) in fair value of any equity awards granted in prior fiscal years that vested during the applicable fiscal year.</w:t>
      </w:r>
    </w:p>
    <w:p>
      <w:pPr>
        <w:spacing w:after="0" w:line="146" w:lineRule="exact"/>
        <w:rPr>
          <w:sz w:val="20"/>
          <w:szCs w:val="20"/>
          <w:color w:val="auto"/>
        </w:rPr>
      </w:pPr>
    </w:p>
    <w:p>
      <w:pPr>
        <w:ind w:left="720" w:right="40"/>
        <w:spacing w:after="0" w:line="242" w:lineRule="auto"/>
        <w:rPr>
          <w:sz w:val="20"/>
          <w:szCs w:val="20"/>
          <w:color w:val="auto"/>
        </w:rPr>
      </w:pPr>
      <w:r>
        <w:rPr>
          <w:rFonts w:ascii="Times New Roman" w:cs="Times New Roman" w:eastAsia="Times New Roman" w:hAnsi="Times New Roman"/>
          <w:sz w:val="20"/>
          <w:szCs w:val="20"/>
          <w:color w:val="auto"/>
        </w:rPr>
        <w:t>Since we do not have a pension plan, all of the foregoing adjustments are equity award adjustments for each applicable fiscal year and include the addition (or subtraction, as applicable) of the following: (i) the average fiscal year-end fair value of any equity awards granted in the applicable fiscal year that are outstanding and unvested as of the end of such applicable fiscal year; (ii) the average amount of change as of the end of the applicable fiscal year (from the end of the prior fiscal year) in fair value of any equity awards granted in prior fiscal years that are outstanding and unvested as of the end of such applicable fiscal year; (iii) for equity awards that are granted and vest in the same applicable fiscal year, the average fair value as of the vesting date; (iv) for equity awards granted in prior fiscal years that vest in the applicable fiscal year, the average amount equal to the change as of the vesting date (from the end of the prior fiscal year) in fair value; (v) for equity awards granted in prior fiscal years that are determined to fail to meet the applicable vesting conditions during the applicable fiscal year, a deduction for the amount equal to the average fair value at the end of the prior fiscal year; and (vi) the average dollar value of any dividends or other earnings paid on equity awards in the applicable fiscal year prior to the vesting date that are not otherwise reflected in the fair value of such award or included in any other component of total compensation for such applicable fiscal year. Adjustments as provided in clauses (iii) and (vi) are inapplicable for all of the fiscal years presented in the table.</w:t>
      </w:r>
    </w:p>
    <w:p>
      <w:pPr>
        <w:spacing w:after="0" w:line="210" w:lineRule="exact"/>
        <w:rPr>
          <w:sz w:val="20"/>
          <w:szCs w:val="20"/>
          <w:color w:val="auto"/>
        </w:rPr>
      </w:pPr>
    </w:p>
    <w:p>
      <w:pPr>
        <w:ind w:left="720" w:right="60"/>
        <w:spacing w:after="0" w:line="249" w:lineRule="auto"/>
        <w:rPr>
          <w:sz w:val="20"/>
          <w:szCs w:val="20"/>
          <w:color w:val="auto"/>
        </w:rPr>
      </w:pPr>
      <w:r>
        <w:rPr>
          <w:rFonts w:ascii="Times New Roman" w:cs="Times New Roman" w:eastAsia="Times New Roman" w:hAnsi="Times New Roman"/>
          <w:sz w:val="20"/>
          <w:szCs w:val="20"/>
          <w:color w:val="auto"/>
        </w:rPr>
        <w:t>The valuation assumptions used to calculate fair values did not materially differ from those disclosed at the time of grant. The value of option awards is based on the fair value as of the end of the covered fiscal year or change in fair value during the covered fiscal year, in each case based on our Black-Scholes option pricing model, the assumptions of which are described in Note 11 to our consolidated financial statements included in our Annual Report on Form 10-K for the year ended August 31, 2025.</w:t>
      </w:r>
    </w:p>
    <w:p>
      <w:pPr>
        <w:spacing w:after="0" w:line="197" w:lineRule="exact"/>
        <w:rPr>
          <w:sz w:val="20"/>
          <w:szCs w:val="20"/>
          <w:color w:val="auto"/>
        </w:rPr>
      </w:pPr>
    </w:p>
    <w:p>
      <w:pPr>
        <w:ind w:left="720" w:hanging="718"/>
        <w:spacing w:after="0" w:line="252" w:lineRule="auto"/>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shareholder return is calculated by dividing the sum of the cumulative amount of dividends for the measurement period, assuming dividend reinvestment, and the difference between our common stock price at the end and the beginning of the measurement period by our stock price at the beginning of the measurement period.</w:t>
      </w:r>
    </w:p>
    <w:p>
      <w:pPr>
        <w:spacing w:after="0" w:line="194" w:lineRule="exact"/>
        <w:rPr>
          <w:rFonts w:ascii="Times New Roman" w:cs="Times New Roman" w:eastAsia="Times New Roman" w:hAnsi="Times New Roman"/>
          <w:sz w:val="20"/>
          <w:szCs w:val="20"/>
          <w:color w:val="auto"/>
        </w:rPr>
      </w:pPr>
    </w:p>
    <w:p>
      <w:pPr>
        <w:ind w:left="720" w:right="580" w:hanging="718"/>
        <w:spacing w:after="0" w:line="278" w:lineRule="auto"/>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reported represent the amount of net income reflected in our audited consolidated financial statements for the applicable fiscal year and is presented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2240" w:h="15840" w:orient="portrait"/>
          <w:cols w:equalWidth="0" w:num="1">
            <w:col w:w="9360"/>
          </w:cols>
          <w:pgMar w:left="1440" w:top="1420" w:right="1440" w:bottom="178"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i w:val="1"/>
          <w:iCs w:val="1"/>
          <w:color w:val="auto"/>
        </w:rPr>
        <w:t>Pay Versus Performance Relationship</w:t>
      </w:r>
    </w:p>
    <w:p>
      <w:pPr>
        <w:spacing w:after="0" w:line="236"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2"/>
          <w:szCs w:val="22"/>
          <w:color w:val="auto"/>
        </w:rPr>
        <w:t>In accordance with Item 402(v) of SEC Regulation S-K, we are providing the following descriptions of the relationships between information presented in the Pay versus Performance table above.</w:t>
      </w:r>
    </w:p>
    <w:p>
      <w:pPr>
        <w:spacing w:after="0" w:line="15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2"/>
          <w:szCs w:val="22"/>
          <w:i w:val="1"/>
          <w:iCs w:val="1"/>
          <w:color w:val="auto"/>
        </w:rPr>
        <w:t>Compensation Actually Paid and Company TSR</w:t>
      </w:r>
      <w:r>
        <w:rPr>
          <w:rFonts w:ascii="Times New Roman" w:cs="Times New Roman" w:eastAsia="Times New Roman" w:hAnsi="Times New Roman"/>
          <w:sz w:val="22"/>
          <w:szCs w:val="22"/>
          <w:color w:val="auto"/>
        </w:rPr>
        <w:t>. As demonstrated by the following graph, the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actually paid to our NEOs is generally aligned with our cumulative total stockholder return (“TSR”) (assuming reinvestment of dividends) on $100 invested in our common stock over the three fiscal years presented in the table. The overall alignment of compensation actually paid with our cumulative TSR over the period presented is because a significant portion of the compensation actually paid to our NEOs is comprised of equity awards, the value of which is driven by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138430</wp:posOffset>
            </wp:positionV>
            <wp:extent cx="4572000" cy="26720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6">
                      <a:extLst>
                        <a:ext uri="{28A0092B-C50C-407E-A947-70E740481C1C}"/>
                      </a:extLst>
                    </a:blip>
                    <a:srcRect/>
                    <a:stretch>
                      <a:fillRect/>
                    </a:stretch>
                  </pic:blipFill>
                  <pic:spPr bwMode="auto">
                    <a:xfrm>
                      <a:off x="0" y="0"/>
                      <a:ext cx="4572000" cy="267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22"/>
          <w:szCs w:val="22"/>
          <w:i w:val="1"/>
          <w:iCs w:val="1"/>
          <w:color w:val="auto"/>
        </w:rPr>
        <w:t>Compensation Actually Paid and Net Income</w:t>
      </w:r>
      <w:r>
        <w:rPr>
          <w:rFonts w:ascii="Times New Roman" w:cs="Times New Roman" w:eastAsia="Times New Roman" w:hAnsi="Times New Roman"/>
          <w:sz w:val="22"/>
          <w:szCs w:val="22"/>
          <w:color w:val="auto"/>
        </w:rPr>
        <w:t>. As demonstrated by the following graph, the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actually paid to our NEOs is somewhat aligned with our net income for each of the three fiscal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128905</wp:posOffset>
            </wp:positionV>
            <wp:extent cx="4572000" cy="26714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7">
                      <a:extLst>
                        <a:ext uri="{28A0092B-C50C-407E-A947-70E740481C1C}"/>
                      </a:extLst>
                    </a:blip>
                    <a:srcRect/>
                    <a:stretch>
                      <a:fillRect/>
                    </a:stretch>
                  </pic:blipFill>
                  <pic:spPr bwMode="auto">
                    <a:xfrm>
                      <a:off x="0" y="0"/>
                      <a:ext cx="4572000" cy="2671445"/>
                    </a:xfrm>
                    <a:prstGeom prst="rect">
                      <a:avLst/>
                    </a:prstGeom>
                    <a:noFill/>
                  </pic:spPr>
                </pic:pic>
              </a:graphicData>
            </a:graphic>
          </wp:anchor>
        </w:drawing>
      </w:r>
    </w:p>
    <w:p>
      <w:pPr>
        <w:sectPr>
          <w:pgSz w:w="12240" w:h="15840" w:orient="portrait"/>
          <w:cols w:equalWidth="0" w:num="1">
            <w:col w:w="9360"/>
          </w:cols>
          <w:pgMar w:left="1440" w:top="1421" w:right="144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72</w:t>
      </w:r>
    </w:p>
    <w:p>
      <w:pPr>
        <w:sectPr>
          <w:pgSz w:w="12240" w:h="15840" w:orient="portrait"/>
          <w:cols w:equalWidth="0" w:num="1">
            <w:col w:w="9360"/>
          </w:cols>
          <w:pgMar w:left="1440" w:top="1421" w:right="1440" w:bottom="178"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2"/>
          <w:szCs w:val="22"/>
          <w:b w:val="1"/>
          <w:bCs w:val="1"/>
          <w:color w:val="auto"/>
        </w:rPr>
        <w:t>RELATED PERSON RELATIONSHIPS AND TRANSACTIONS</w:t>
      </w:r>
    </w:p>
    <w:p>
      <w:pPr>
        <w:spacing w:after="0" w:line="3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43" w:lineRule="exact"/>
        <w:rPr>
          <w:sz w:val="20"/>
          <w:szCs w:val="20"/>
          <w:color w:val="auto"/>
        </w:rPr>
      </w:pPr>
    </w:p>
    <w:p>
      <w:pPr>
        <w:jc w:val="both"/>
        <w:ind w:right="400"/>
        <w:spacing w:after="0" w:line="259" w:lineRule="auto"/>
        <w:rPr>
          <w:sz w:val="20"/>
          <w:szCs w:val="20"/>
          <w:color w:val="auto"/>
        </w:rPr>
      </w:pPr>
      <w:r>
        <w:rPr>
          <w:rFonts w:ascii="Times New Roman" w:cs="Times New Roman" w:eastAsia="Times New Roman" w:hAnsi="Times New Roman"/>
          <w:sz w:val="22"/>
          <w:szCs w:val="22"/>
          <w:color w:val="auto"/>
        </w:rPr>
        <w:t>Below under “—</w:t>
      </w:r>
      <w:r>
        <w:rPr>
          <w:rFonts w:ascii="Times New Roman" w:cs="Times New Roman" w:eastAsia="Times New Roman" w:hAnsi="Times New Roman"/>
          <w:sz w:val="22"/>
          <w:szCs w:val="22"/>
          <w:i w:val="1"/>
          <w:iCs w:val="1"/>
          <w:color w:val="auto"/>
        </w:rPr>
        <w:t>Description of Related Party Transactions</w:t>
      </w:r>
      <w:r>
        <w:rPr>
          <w:rFonts w:ascii="Times New Roman" w:cs="Times New Roman" w:eastAsia="Times New Roman" w:hAnsi="Times New Roman"/>
          <w:sz w:val="22"/>
          <w:szCs w:val="22"/>
          <w:color w:val="auto"/>
        </w:rPr>
        <w:t>” is a description of transactions that have occurred during the past fiscal year, or any currently proposed transactions, to which we were or are a participant and in which:</w:t>
      </w:r>
    </w:p>
    <w:p>
      <w:pPr>
        <w:spacing w:after="0" w:line="196" w:lineRule="exact"/>
        <w:rPr>
          <w:sz w:val="20"/>
          <w:szCs w:val="20"/>
          <w:color w:val="auto"/>
        </w:rPr>
      </w:pPr>
    </w:p>
    <w:p>
      <w:pPr>
        <w:ind w:left="1080" w:right="100" w:hanging="360"/>
        <w:spacing w:after="0" w:line="277" w:lineRule="auto"/>
        <w:tabs>
          <w:tab w:leader="none" w:pos="1080" w:val="left"/>
        </w:tabs>
        <w:numPr>
          <w:ilvl w:val="0"/>
          <w:numId w:val="60"/>
        </w:numPr>
        <w:rPr>
          <w:rFonts w:ascii="Arial" w:cs="Arial" w:eastAsia="Arial" w:hAnsi="Arial"/>
          <w:sz w:val="22"/>
          <w:szCs w:val="22"/>
          <w:color w:val="auto"/>
        </w:rPr>
      </w:pPr>
      <w:r>
        <w:rPr>
          <w:rFonts w:ascii="Times New Roman" w:cs="Times New Roman" w:eastAsia="Times New Roman" w:hAnsi="Times New Roman"/>
          <w:sz w:val="22"/>
          <w:szCs w:val="22"/>
          <w:color w:val="auto"/>
        </w:rPr>
        <w:t>the amounts involved exceeded or will exceed the lesser of: $120,000 or one percent (1%) of the average of our total assets at year end for the last two completed fiscal years; and</w:t>
      </w:r>
    </w:p>
    <w:p>
      <w:pPr>
        <w:spacing w:after="0" w:line="56" w:lineRule="exact"/>
        <w:rPr>
          <w:rFonts w:ascii="Arial" w:cs="Arial" w:eastAsia="Arial" w:hAnsi="Arial"/>
          <w:sz w:val="22"/>
          <w:szCs w:val="22"/>
          <w:color w:val="auto"/>
        </w:rPr>
      </w:pPr>
    </w:p>
    <w:p>
      <w:pPr>
        <w:jc w:val="both"/>
        <w:ind w:left="1080" w:right="200" w:hanging="360"/>
        <w:spacing w:after="0" w:line="258" w:lineRule="auto"/>
        <w:tabs>
          <w:tab w:leader="none" w:pos="1080" w:val="left"/>
        </w:tabs>
        <w:numPr>
          <w:ilvl w:val="0"/>
          <w:numId w:val="60"/>
        </w:numPr>
        <w:rPr>
          <w:rFonts w:ascii="Arial" w:cs="Arial" w:eastAsia="Arial" w:hAnsi="Arial"/>
          <w:sz w:val="22"/>
          <w:szCs w:val="22"/>
          <w:color w:val="auto"/>
        </w:rPr>
      </w:pPr>
      <w:r>
        <w:rPr>
          <w:rFonts w:ascii="Times New Roman" w:cs="Times New Roman" w:eastAsia="Times New Roman" w:hAnsi="Times New Roman"/>
          <w:sz w:val="22"/>
          <w:szCs w:val="22"/>
          <w:color w:val="auto"/>
        </w:rPr>
        <w:t>a related person (including any director, director nominee, executive officer, holder of more than 5% of our common stock or any member of their immediate family) had or will have a direct or indirect material interest.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transactions are referred to as “related party transactions.”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Procedures Regarding Approval of Related Party Transactions</w:t>
      </w:r>
    </w:p>
    <w:p>
      <w:pPr>
        <w:spacing w:after="0" w:line="24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2"/>
          <w:szCs w:val="22"/>
          <w:color w:val="auto"/>
        </w:rPr>
        <w:t>As provided in our Corporate Governance Guidelines, the Audit Committee will review, approve or ratify reportable related party transactions by use of the following procedures:</w:t>
      </w:r>
    </w:p>
    <w:p>
      <w:pPr>
        <w:spacing w:after="0" w:line="176" w:lineRule="exact"/>
        <w:rPr>
          <w:sz w:val="20"/>
          <w:szCs w:val="20"/>
          <w:color w:val="auto"/>
        </w:rPr>
      </w:pPr>
    </w:p>
    <w:p>
      <w:pPr>
        <w:ind w:left="1080" w:hanging="360"/>
        <w:spacing w:after="0" w:line="258" w:lineRule="auto"/>
        <w:tabs>
          <w:tab w:leader="none" w:pos="108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2"/>
          <w:szCs w:val="22"/>
          <w:color w:val="auto"/>
        </w:rPr>
        <w:t>NTIC’s Chief Financial Officer, with the assistance of NTIC’s legal counsel, will evaluate the disclosures provided in the director and officer questionnaires and from data obtained from NTIC’s records for potential related person transactions.</w:t>
      </w:r>
    </w:p>
    <w:p>
      <w:pPr>
        <w:spacing w:after="0" w:line="77" w:lineRule="exact"/>
        <w:rPr>
          <w:rFonts w:ascii="Arial" w:cs="Arial" w:eastAsia="Arial" w:hAnsi="Arial"/>
          <w:sz w:val="22"/>
          <w:szCs w:val="22"/>
          <w:color w:val="auto"/>
        </w:rPr>
      </w:pPr>
    </w:p>
    <w:p>
      <w:pPr>
        <w:ind w:left="1080" w:hanging="360"/>
        <w:spacing w:after="0" w:line="244" w:lineRule="auto"/>
        <w:tabs>
          <w:tab w:leader="none" w:pos="108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2"/>
          <w:szCs w:val="22"/>
          <w:color w:val="auto"/>
        </w:rPr>
        <w:t>Management will periodically, but no less than annually, report to the Audit Committee on all related person transactions that occurred since the beginning of the prior fiscal year or that it believes will occur in the next year. Such report should include information as to (i) the related person’s relationship to NTIC and interest in the transaction; (ii) the material facts of the transaction; (iii) the benefits to NTIC of the transaction; and (iv) an assessment of whether the transaction is (to the extent applicable) in the ordinary course of business, at arm’s length, at prices and on terms customarily available to unrelated third party vendors or customers generally, and whether the related party had any direct or indirect personal interest in, or received any personal benefit from, such transaction.</w:t>
      </w:r>
    </w:p>
    <w:p>
      <w:pPr>
        <w:spacing w:after="0" w:line="97" w:lineRule="exact"/>
        <w:rPr>
          <w:rFonts w:ascii="Arial" w:cs="Arial" w:eastAsia="Arial" w:hAnsi="Arial"/>
          <w:sz w:val="22"/>
          <w:szCs w:val="22"/>
          <w:color w:val="auto"/>
        </w:rPr>
      </w:pPr>
    </w:p>
    <w:p>
      <w:pPr>
        <w:ind w:left="1080" w:right="80" w:hanging="360"/>
        <w:spacing w:after="0" w:line="258" w:lineRule="auto"/>
        <w:tabs>
          <w:tab w:leader="none" w:pos="108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2"/>
          <w:szCs w:val="22"/>
          <w:color w:val="auto"/>
        </w:rPr>
        <w:t>Taking into account the factors listed above, and such other factors and information as the Audit Committee may deem appropriate, the Audit Committee will determine whether or not to approve or ratify (as the case may be) each related party transaction so identified.</w:t>
      </w:r>
    </w:p>
    <w:p>
      <w:pPr>
        <w:spacing w:after="0" w:line="77" w:lineRule="exact"/>
        <w:rPr>
          <w:rFonts w:ascii="Arial" w:cs="Arial" w:eastAsia="Arial" w:hAnsi="Arial"/>
          <w:sz w:val="22"/>
          <w:szCs w:val="22"/>
          <w:color w:val="auto"/>
        </w:rPr>
      </w:pPr>
    </w:p>
    <w:p>
      <w:pPr>
        <w:ind w:left="1080" w:hanging="360"/>
        <w:spacing w:after="0" w:line="259" w:lineRule="auto"/>
        <w:tabs>
          <w:tab w:leader="none" w:pos="1080" w:val="left"/>
        </w:tabs>
        <w:numPr>
          <w:ilvl w:val="0"/>
          <w:numId w:val="61"/>
        </w:numPr>
        <w:rPr>
          <w:rFonts w:ascii="Arial" w:cs="Arial" w:eastAsia="Arial" w:hAnsi="Arial"/>
          <w:sz w:val="22"/>
          <w:szCs w:val="22"/>
          <w:color w:val="auto"/>
        </w:rPr>
      </w:pPr>
      <w:r>
        <w:rPr>
          <w:rFonts w:ascii="Times New Roman" w:cs="Times New Roman" w:eastAsia="Times New Roman" w:hAnsi="Times New Roman"/>
          <w:sz w:val="22"/>
          <w:szCs w:val="22"/>
          <w:color w:val="auto"/>
        </w:rPr>
        <w:t>Transactions in the ordinary course of business between NTIC and an unaffiliated corporation of which a non-employee director of NTIC serves as an officer that meet the below criteria are deemed conclusively pre-approved:</w:t>
      </w:r>
    </w:p>
    <w:p>
      <w:pPr>
        <w:spacing w:after="0" w:line="59" w:lineRule="exact"/>
        <w:rPr>
          <w:rFonts w:ascii="Arial" w:cs="Arial" w:eastAsia="Arial" w:hAnsi="Arial"/>
          <w:sz w:val="22"/>
          <w:szCs w:val="22"/>
          <w:color w:val="auto"/>
        </w:rPr>
      </w:pPr>
    </w:p>
    <w:p>
      <w:pPr>
        <w:ind w:left="1080"/>
        <w:spacing w:after="0"/>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at arm’s length;</w:t>
      </w:r>
    </w:p>
    <w:p>
      <w:pPr>
        <w:spacing w:after="0" w:line="104" w:lineRule="exact"/>
        <w:rPr>
          <w:rFonts w:ascii="Arial" w:cs="Arial" w:eastAsia="Arial" w:hAnsi="Arial"/>
          <w:sz w:val="22"/>
          <w:szCs w:val="22"/>
          <w:color w:val="auto"/>
        </w:rPr>
      </w:pPr>
    </w:p>
    <w:p>
      <w:pPr>
        <w:ind w:left="1440" w:right="40" w:hanging="360"/>
        <w:spacing w:after="0"/>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at prices and on terms customarily available to unrelated third party vendors or customers</w:t>
      </w:r>
      <w:r>
        <w:rPr>
          <w:rFonts w:ascii="Courier New" w:cs="Courier New" w:eastAsia="Courier New" w:hAnsi="Courier New"/>
          <w:sz w:val="22"/>
          <w:szCs w:val="22"/>
          <w:color w:val="auto"/>
        </w:rPr>
        <w:t xml:space="preserve"> </w:t>
      </w:r>
      <w:r>
        <w:rPr>
          <w:rFonts w:ascii="Times New Roman" w:cs="Times New Roman" w:eastAsia="Times New Roman" w:hAnsi="Times New Roman"/>
          <w:sz w:val="22"/>
          <w:szCs w:val="22"/>
          <w:color w:val="auto"/>
        </w:rPr>
        <w:t>generally;</w:t>
      </w:r>
    </w:p>
    <w:p>
      <w:pPr>
        <w:spacing w:after="0" w:line="79" w:lineRule="exact"/>
        <w:rPr>
          <w:rFonts w:ascii="Arial" w:cs="Arial" w:eastAsia="Arial" w:hAnsi="Arial"/>
          <w:sz w:val="22"/>
          <w:szCs w:val="22"/>
          <w:color w:val="auto"/>
        </w:rPr>
      </w:pPr>
    </w:p>
    <w:p>
      <w:pPr>
        <w:ind w:left="1440" w:right="700" w:hanging="360"/>
        <w:spacing w:after="0" w:line="243" w:lineRule="auto"/>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in which the non-employee director had no direct or indirect personal interest, nor</w:t>
      </w:r>
      <w:r>
        <w:rPr>
          <w:rFonts w:ascii="Courier New" w:cs="Courier New" w:eastAsia="Courier New" w:hAnsi="Courier New"/>
          <w:sz w:val="22"/>
          <w:szCs w:val="22"/>
          <w:color w:val="auto"/>
        </w:rPr>
        <w:t xml:space="preserve"> </w:t>
      </w:r>
      <w:r>
        <w:rPr>
          <w:rFonts w:ascii="Times New Roman" w:cs="Times New Roman" w:eastAsia="Times New Roman" w:hAnsi="Times New Roman"/>
          <w:sz w:val="22"/>
          <w:szCs w:val="22"/>
          <w:color w:val="auto"/>
        </w:rPr>
        <w:t>received any personal benefit; and</w:t>
      </w:r>
    </w:p>
    <w:p>
      <w:pPr>
        <w:spacing w:after="0" w:line="76" w:lineRule="exact"/>
        <w:rPr>
          <w:rFonts w:ascii="Arial" w:cs="Arial" w:eastAsia="Arial" w:hAnsi="Arial"/>
          <w:sz w:val="22"/>
          <w:szCs w:val="22"/>
          <w:color w:val="auto"/>
        </w:rPr>
      </w:pPr>
    </w:p>
    <w:p>
      <w:pPr>
        <w:ind w:left="1440" w:right="240" w:hanging="360"/>
        <w:spacing w:after="0" w:line="243" w:lineRule="auto"/>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in amounts that are not material to NTIC’s business or the business of such unaffiliated</w:t>
      </w:r>
      <w:r>
        <w:rPr>
          <w:rFonts w:ascii="Courier New" w:cs="Courier New" w:eastAsia="Courier New" w:hAnsi="Courier New"/>
          <w:sz w:val="22"/>
          <w:szCs w:val="22"/>
          <w:color w:val="auto"/>
        </w:rPr>
        <w:t xml:space="preserve"> </w:t>
      </w:r>
      <w:r>
        <w:rPr>
          <w:rFonts w:ascii="Times New Roman" w:cs="Times New Roman" w:eastAsia="Times New Roman" w:hAnsi="Times New Roman"/>
          <w:sz w:val="22"/>
          <w:szCs w:val="22"/>
          <w:color w:val="auto"/>
        </w:rPr>
        <w:t>corporation.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2240" w:h="15840" w:orient="portrait"/>
          <w:cols w:equalWidth="0" w:num="1">
            <w:col w:w="9360"/>
          </w:cols>
          <w:pgMar w:left="1440" w:top="1413" w:right="1440" w:bottom="178"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b w:val="1"/>
          <w:bCs w:val="1"/>
          <w:color w:val="auto"/>
        </w:rPr>
        <w:t>Description of Related Party Transactions</w:t>
      </w:r>
    </w:p>
    <w:p>
      <w:pPr>
        <w:spacing w:after="0" w:line="2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Please see “</w:t>
      </w:r>
      <w:r>
        <w:rPr>
          <w:rFonts w:ascii="Times New Roman" w:cs="Times New Roman" w:eastAsia="Times New Roman" w:hAnsi="Times New Roman"/>
          <w:sz w:val="22"/>
          <w:szCs w:val="22"/>
          <w:i w:val="1"/>
          <w:iCs w:val="1"/>
          <w:color w:val="auto"/>
        </w:rPr>
        <w:t>Director Compensation</w:t>
      </w:r>
      <w:r>
        <w:rPr>
          <w:rFonts w:ascii="Times New Roman" w:cs="Times New Roman" w:eastAsia="Times New Roman" w:hAnsi="Times New Roman"/>
          <w:sz w:val="22"/>
          <w:szCs w:val="22"/>
          <w:color w:val="auto"/>
        </w:rPr>
        <w:t xml:space="preserve"> ” and “ </w:t>
      </w:r>
      <w:r>
        <w:rPr>
          <w:rFonts w:ascii="Times New Roman" w:cs="Times New Roman" w:eastAsia="Times New Roman" w:hAnsi="Times New Roman"/>
          <w:sz w:val="22"/>
          <w:szCs w:val="22"/>
          <w:i w:val="1"/>
          <w:iCs w:val="1"/>
          <w:color w:val="auto"/>
        </w:rPr>
        <w:t>Executive Compensation</w:t>
      </w:r>
      <w:r>
        <w:rPr>
          <w:rFonts w:ascii="Times New Roman" w:cs="Times New Roman" w:eastAsia="Times New Roman" w:hAnsi="Times New Roman"/>
          <w:sz w:val="22"/>
          <w:szCs w:val="22"/>
          <w:color w:val="auto"/>
        </w:rPr>
        <w:t>” for information regarding a consulting agreement we have with one of our current directors and the other compensation arrangements with our directors and executive officers.</w:t>
      </w:r>
    </w:p>
    <w:p>
      <w:pPr>
        <w:spacing w:after="0" w:line="183" w:lineRule="exact"/>
        <w:rPr>
          <w:sz w:val="20"/>
          <w:szCs w:val="20"/>
          <w:color w:val="auto"/>
        </w:rPr>
      </w:pPr>
    </w:p>
    <w:p>
      <w:pPr>
        <w:jc w:val="both"/>
        <w:ind w:right="340"/>
        <w:spacing w:after="0" w:line="250" w:lineRule="auto"/>
        <w:rPr>
          <w:sz w:val="20"/>
          <w:szCs w:val="20"/>
          <w:color w:val="auto"/>
        </w:rPr>
      </w:pPr>
      <w:r>
        <w:rPr>
          <w:rFonts w:ascii="Times New Roman" w:cs="Times New Roman" w:eastAsia="Times New Roman" w:hAnsi="Times New Roman"/>
          <w:sz w:val="22"/>
          <w:szCs w:val="22"/>
          <w:color w:val="auto"/>
        </w:rPr>
        <w:t>G. Patrick Lynch is the President and Chief Executive Officer of NTIC. Inter Alia Holding Company owns 12.7% of the total voting power of NTIC. According to a Schedule 13D/A filed with the SEC on September 4, 2024, Inter Alia Holding Company is an entity of which Mr. Lynch is a stockholder.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Lynch shares voting and dispositive power over such shares with three other members of his family.</w:t>
      </w:r>
    </w:p>
    <w:p>
      <w:pPr>
        <w:spacing w:after="0" w:line="20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We have entered into agreements with all of our directors and executive officers under which we are required to indemnify them against expenses, judgments, penalties, fines, settlements and other amounts actually and reasonably incurred, including expenses of a derivative action, in connection with an actual or threatened proceeding if any of them may be made a party because he or she is or was one of our directors or executive officers. We will be obligated to pay these amounts only if the director or executive officer acted in good faith and in a manner that he or she reasonably believed to be in or not opposed to our best interests. With respect to any criminal proceeding, we will be obligated to pay these amounts only if the director or executive officer had no reasonable cause to believe his or her conduct was unlawful. The indemnification agreements also set forth procedures that will apply in the event of a claim for indemnification.</w:t>
      </w:r>
    </w:p>
    <w:p>
      <w:pPr>
        <w:spacing w:after="0" w:line="198" w:lineRule="exact"/>
        <w:rPr>
          <w:sz w:val="20"/>
          <w:szCs w:val="20"/>
          <w:color w:val="auto"/>
        </w:rPr>
      </w:pPr>
    </w:p>
    <w:p>
      <w:pPr>
        <w:jc w:val="both"/>
        <w:ind w:right="400"/>
        <w:spacing w:after="0" w:line="259" w:lineRule="auto"/>
        <w:rPr>
          <w:sz w:val="20"/>
          <w:szCs w:val="20"/>
          <w:color w:val="auto"/>
        </w:rPr>
      </w:pPr>
      <w:r>
        <w:rPr>
          <w:rFonts w:ascii="Times New Roman" w:cs="Times New Roman" w:eastAsia="Times New Roman" w:hAnsi="Times New Roman"/>
          <w:sz w:val="22"/>
          <w:szCs w:val="22"/>
          <w:color w:val="auto"/>
        </w:rPr>
        <w:t>NTIC has not identified any arrangements or agreements relating to compensation provided by a third party to NTIC’s directors or director nominees in connection with their candidacy or board service as required to be disclosed pursuant to Nasdaq Rule 5250(b)(3).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2240" w:h="15840" w:orient="portrait"/>
          <w:cols w:equalWidth="0" w:num="1">
            <w:col w:w="9360"/>
          </w:cols>
          <w:pgMar w:left="1440" w:top="1413" w:right="1440" w:bottom="178" w:gutter="0" w:footer="0" w:header="0"/>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STOCKHOLDER PROPOSALS AND DIRECTOR NOMINATIONS FOR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2027 ANNUAL MEETING OF STOCKHOLDERS</w:t>
      </w:r>
    </w:p>
    <w:p>
      <w:pPr>
        <w:ind w:left="380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20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2"/>
          <w:szCs w:val="22"/>
          <w:color w:val="auto"/>
        </w:rPr>
        <w:t>Stockholders who, in accordance with Rule 14a-8 under the Exchange Act, wish to present proposals for inclusion in the proxy materials relating to the 2027 Annual Meeting of Stockholders must submit their proposals so that they are received by us at our principal executive offices no later than the close of business on August 3, 2026, unless the date of the meeting is delayed by more than 30 calendar days. The proposals must satisfy the requirements of the proxy rules promulgated by the SEC and as the rules of the SEC make clear, simply submitting a proposal does not guarantee that it will be included.</w:t>
      </w:r>
    </w:p>
    <w:p>
      <w:pPr>
        <w:spacing w:after="0" w:line="196" w:lineRule="exact"/>
        <w:rPr>
          <w:sz w:val="20"/>
          <w:szCs w:val="20"/>
          <w:color w:val="auto"/>
        </w:rPr>
      </w:pPr>
    </w:p>
    <w:p>
      <w:pPr>
        <w:ind w:right="20" w:firstLine="1"/>
        <w:spacing w:after="0" w:line="248" w:lineRule="auto"/>
        <w:rPr>
          <w:sz w:val="20"/>
          <w:szCs w:val="20"/>
          <w:color w:val="auto"/>
        </w:rPr>
      </w:pPr>
      <w:r>
        <w:rPr>
          <w:rFonts w:ascii="Times New Roman" w:cs="Times New Roman" w:eastAsia="Times New Roman" w:hAnsi="Times New Roman"/>
          <w:sz w:val="21"/>
          <w:szCs w:val="21"/>
          <w:color w:val="auto"/>
        </w:rPr>
        <w:t xml:space="preserve">Any other stockholder proposals to be presented at the 2027 Annual Meeting of Stockholders (other than a matter brought pursuant to SEC Rule 14a- 8) and any director nominations for the 2027 Annual Meeting of Stockholders must be given in writing to our Corporate Secretary and must be delivered to or mailed to and received at our principal executive offices not less than 90 days nor more than 120 days prior to the anniversary date of the 2026 Annual Meeting of Stockholders; provided, however, that in the event that the 2027 Annual Meeting of Stockholders is not held within 30 days before or after such anniversary date, notice by the stockholder to be timely must be received not later than the close of business on the 10 </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day on which such notice of the date of the annual meeting was mailed or such public disclosure was made, whichever first occurs. The proposal or director nomination must contain specific information required by our Bylaws, which may be obtained by writing to our Corporate Secretary. The Nominating and Corporate Governance Committee will evaluate director nominee candidates recommended by stockholders in the same manner as those recommended by others. In addition, if applicable, stockholders who intend to solicit proxies in support of director nominees other than NTIC’s nominees at the 2027 Annual Meeting must also comply with the additional requirements under Rule</w:t>
      </w:r>
    </w:p>
    <w:p>
      <w:pPr>
        <w:spacing w:after="0" w:line="10" w:lineRule="exact"/>
        <w:rPr>
          <w:sz w:val="20"/>
          <w:szCs w:val="20"/>
          <w:color w:val="auto"/>
        </w:rPr>
      </w:pPr>
    </w:p>
    <w:p>
      <w:pPr>
        <w:ind w:right="340"/>
        <w:spacing w:after="0" w:line="242" w:lineRule="auto"/>
        <w:rPr>
          <w:sz w:val="20"/>
          <w:szCs w:val="20"/>
          <w:color w:val="auto"/>
        </w:rPr>
      </w:pPr>
      <w:r>
        <w:rPr>
          <w:rFonts w:ascii="Times New Roman" w:cs="Times New Roman" w:eastAsia="Times New Roman" w:hAnsi="Times New Roman"/>
          <w:sz w:val="22"/>
          <w:szCs w:val="22"/>
          <w:color w:val="auto"/>
        </w:rPr>
        <w:t>14a-19 promulgated under the Exchange Act, as required by and in addition to our Bylaws, including providing a statement that such stockholder intends to solicit the holders of shares representing at least 67% of the voting power of NTIC’s shares entitled to vote on the election of directors in support of director nominees other than NTIC’s nominees, as required by Rule 14a-19(b) promulgated under the Exchange Act.</w:t>
      </w:r>
    </w:p>
    <w:p>
      <w:pPr>
        <w:spacing w:after="0" w:line="19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21"/>
          <w:szCs w:val="21"/>
          <w:color w:val="auto"/>
        </w:rPr>
        <w:t>We encourage stockholders who wish to submit a proposal or nomination to seek independent counsel. NTIC will not consider any proposal or nomination that is not timely or otherwise does not meet the Bylaw and SEC requirements. We reserve the right to reject, rule out of order, or take other appropriate action with respect to any proposal that does not comply with these and other applicable requirements.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FISCAL 2025 ANNUAL REPORT</w:t>
      </w:r>
    </w:p>
    <w:p>
      <w:pPr>
        <w:spacing w:after="0" w:line="3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204"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We have sent or made electronically available to each of our stockholders our annual report on Form 10-K (without exhibits) for the fiscal year ended August 31, 2025. The exhibits to our Form 10-K are available by accessing the SEC’s EDGAR filing database at </w:t>
      </w:r>
      <w:r>
        <w:rPr>
          <w:rFonts w:ascii="Times New Roman" w:cs="Times New Roman" w:eastAsia="Times New Roman" w:hAnsi="Times New Roman"/>
          <w:sz w:val="22"/>
          <w:szCs w:val="22"/>
          <w:b w:val="1"/>
          <w:bCs w:val="1"/>
          <w:i w:val="1"/>
          <w:iCs w:val="1"/>
          <w:color w:val="auto"/>
        </w:rPr>
        <w:t>www.sec.gov</w:t>
      </w:r>
      <w:r>
        <w:rPr>
          <w:rFonts w:ascii="Times New Roman" w:cs="Times New Roman" w:eastAsia="Times New Roman" w:hAnsi="Times New Roman"/>
          <w:sz w:val="22"/>
          <w:szCs w:val="22"/>
          <w:b w:val="1"/>
          <w:bCs w:val="1"/>
          <w:color w:val="auto"/>
        </w:rPr>
        <w:t>. We will furnish any exhibit to our Form 10 -K upon receipt from any such person of a written request for such exhibits upon the payment of our reasonable expenses in furnishing the exhibits. This request should be sent to: Northern Technologies International Corporation, 4201 Woodland Road, Circle Pines, Minnesota 55014, Attention: Stockholder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2240" w:h="15840" w:orient="portrait"/>
          <w:cols w:equalWidth="0" w:num="1">
            <w:col w:w="9360"/>
          </w:cols>
          <w:pgMar w:left="1440" w:top="1413" w:right="1440" w:bottom="178" w:gutter="0" w:footer="0" w:header="0"/>
        </w:sectPr>
      </w:pPr>
    </w:p>
    <w:bookmarkStart w:id="82" w:name="page83"/>
    <w:bookmarkEnd w:id="82"/>
    <w:p>
      <w:pPr>
        <w:ind w:left="330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25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Your vote is important. Whether or not you plan to attend the Annual Meeting in person, vote your shares of NTIC common stock by the Internet or telephone, or request a paper proxy card to sign, date and return by mail so that your shares may be voted.</w:t>
      </w:r>
    </w:p>
    <w:p>
      <w:pPr>
        <w:spacing w:after="0" w:line="1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14605</wp:posOffset>
            </wp:positionV>
            <wp:extent cx="1576070" cy="642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8">
                      <a:extLst>
                        <a:ext uri="{28A0092B-C50C-407E-A947-70E740481C1C}"/>
                      </a:extLst>
                    </a:blip>
                    <a:srcRect/>
                    <a:stretch>
                      <a:fillRect/>
                    </a:stretch>
                  </pic:blipFill>
                  <pic:spPr bwMode="auto">
                    <a:xfrm>
                      <a:off x="0" y="0"/>
                      <a:ext cx="1576070"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Richard J. Nigon</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i w:val="1"/>
          <w:iCs w:val="1"/>
          <w:color w:val="auto"/>
        </w:rPr>
        <w:t>Chairman of the Board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Circle Pines,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2240" w:h="15840" w:orient="portrait"/>
          <w:cols w:equalWidth="0" w:num="1">
            <w:col w:w="9360"/>
          </w:cols>
          <w:pgMar w:left="1440" w:top="1417" w:right="1440" w:bottom="178"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567690</wp:posOffset>
                </wp:positionV>
                <wp:extent cx="65151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532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44.7pt" to="549pt,44.7pt" o:allowincell="f" strokecolor="#000000" strokeweight="0.4189pt">
                <w10:wrap anchorx="page" anchory="page"/>
              </v:line>
            </w:pict>
          </mc:Fallback>
        </mc:AlternateContent>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-184785</wp:posOffset>
                </wp:positionV>
                <wp:extent cx="65151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5322">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499pt" to="513pt,-14.5499pt" o:allowincell="f" strokecolor="#000000" strokeweight="0.4191pt"/>
            </w:pict>
          </mc:Fallback>
        </mc:AlternateConten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3900"/>
        <w:spacing w:after="0"/>
        <w:rPr>
          <w:sz w:val="20"/>
          <w:szCs w:val="20"/>
          <w:color w:val="auto"/>
        </w:rPr>
      </w:pPr>
      <w:r>
        <w:rPr>
          <w:rFonts w:ascii="Times New Roman" w:cs="Times New Roman" w:eastAsia="Times New Roman" w:hAnsi="Times New Roman"/>
          <w:sz w:val="20"/>
          <w:szCs w:val="20"/>
          <w:b w:val="1"/>
          <w:bCs w:val="1"/>
          <w:color w:val="auto"/>
        </w:rPr>
        <w:t>______________________________</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1" w:lineRule="auto"/>
        <w:rPr>
          <w:sz w:val="20"/>
          <w:szCs w:val="20"/>
          <w:color w:val="auto"/>
        </w:rPr>
      </w:pPr>
      <w:r>
        <w:rPr>
          <w:rFonts w:ascii="Times New Roman" w:cs="Times New Roman" w:eastAsia="Times New Roman" w:hAnsi="Times New Roman"/>
          <w:sz w:val="18"/>
          <w:szCs w:val="18"/>
          <w:color w:val="auto"/>
        </w:rPr>
        <w:t>(Mark One)</w:t>
      </w:r>
    </w:p>
    <w:p>
      <w:pPr>
        <w:ind w:left="420" w:hanging="420"/>
        <w:spacing w:after="0" w:line="205" w:lineRule="auto"/>
        <w:tabs>
          <w:tab w:leader="none" w:pos="420" w:val="left"/>
        </w:tabs>
        <w:numPr>
          <w:ilvl w:val="0"/>
          <w:numId w:val="62"/>
        </w:numPr>
        <w:rPr>
          <w:rFonts w:ascii="PMingLiU" w:cs="PMingLiU" w:eastAsia="PMingLiU" w:hAnsi="PMingLiU"/>
          <w:sz w:val="32"/>
          <w:szCs w:val="3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 w:lineRule="exact"/>
        <w:rPr>
          <w:rFonts w:ascii="PMingLiU" w:cs="PMingLiU" w:eastAsia="PMingLiU" w:hAnsi="PMingLiU"/>
          <w:sz w:val="32"/>
          <w:szCs w:val="32"/>
          <w:color w:val="auto"/>
        </w:rPr>
      </w:pPr>
    </w:p>
    <w:p>
      <w:pPr>
        <w:ind w:left="3640"/>
        <w:spacing w:after="0"/>
        <w:rPr>
          <w:rFonts w:ascii="PMingLiU" w:cs="PMingLiU" w:eastAsia="PMingLiU" w:hAnsi="PMingLiU"/>
          <w:sz w:val="32"/>
          <w:szCs w:val="32"/>
          <w:color w:val="auto"/>
        </w:rPr>
      </w:pPr>
      <w:r>
        <w:rPr>
          <w:rFonts w:ascii="Times New Roman" w:cs="Times New Roman" w:eastAsia="Times New Roman" w:hAnsi="Times New Roman"/>
          <w:sz w:val="20"/>
          <w:szCs w:val="20"/>
          <w:b w:val="1"/>
          <w:bCs w:val="1"/>
          <w:color w:val="auto"/>
        </w:rPr>
        <w:t>For the fiscal year ended August 31, 2025</w:t>
      </w:r>
    </w:p>
    <w:p>
      <w:pPr>
        <w:spacing w:after="0" w:line="9" w:lineRule="exact"/>
        <w:rPr>
          <w:rFonts w:ascii="PMingLiU" w:cs="PMingLiU" w:eastAsia="PMingLiU" w:hAnsi="PMingLiU"/>
          <w:sz w:val="32"/>
          <w:szCs w:val="32"/>
          <w:color w:val="auto"/>
        </w:rPr>
      </w:pPr>
    </w:p>
    <w:p>
      <w:pPr>
        <w:ind w:left="5320"/>
        <w:spacing w:after="0"/>
        <w:rPr>
          <w:rFonts w:ascii="PMingLiU" w:cs="PMingLiU" w:eastAsia="PMingLiU" w:hAnsi="PMingLiU"/>
          <w:sz w:val="32"/>
          <w:szCs w:val="32"/>
          <w:color w:val="auto"/>
        </w:rPr>
      </w:pPr>
      <w:r>
        <w:rPr>
          <w:rFonts w:ascii="Times New Roman" w:cs="Times New Roman" w:eastAsia="Times New Roman" w:hAnsi="Times New Roman"/>
          <w:sz w:val="20"/>
          <w:szCs w:val="20"/>
          <w:color w:val="auto"/>
        </w:rPr>
        <w:t>or</w:t>
      </w:r>
    </w:p>
    <w:p>
      <w:pPr>
        <w:ind w:left="420" w:hanging="420"/>
        <w:spacing w:after="0" w:line="237" w:lineRule="auto"/>
        <w:tabs>
          <w:tab w:leader="none" w:pos="420" w:val="left"/>
        </w:tabs>
        <w:numPr>
          <w:ilvl w:val="0"/>
          <w:numId w:val="63"/>
        </w:numPr>
        <w:rPr>
          <w:rFonts w:ascii="PMingLiU" w:cs="PMingLiU" w:eastAsia="PMingLiU" w:hAnsi="PMingLiU"/>
          <w:sz w:val="32"/>
          <w:szCs w:val="3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 w:lineRule="exact"/>
        <w:rPr>
          <w:rFonts w:ascii="PMingLiU" w:cs="PMingLiU" w:eastAsia="PMingLiU" w:hAnsi="PMingLiU"/>
          <w:sz w:val="32"/>
          <w:szCs w:val="32"/>
          <w:color w:val="auto"/>
        </w:rPr>
      </w:pPr>
    </w:p>
    <w:p>
      <w:pPr>
        <w:ind w:left="2360"/>
        <w:spacing w:after="0"/>
        <w:rPr>
          <w:rFonts w:ascii="PMingLiU" w:cs="PMingLiU" w:eastAsia="PMingLiU" w:hAnsi="PMingLiU"/>
          <w:sz w:val="32"/>
          <w:szCs w:val="32"/>
          <w:color w:val="auto"/>
        </w:rPr>
      </w:pPr>
      <w:r>
        <w:rPr>
          <w:rFonts w:ascii="Times New Roman" w:cs="Times New Roman" w:eastAsia="Times New Roman" w:hAnsi="Times New Roman"/>
          <w:sz w:val="20"/>
          <w:szCs w:val="20"/>
          <w:color w:val="auto"/>
        </w:rPr>
        <w:t>For the transition period from ________________ to __________________</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001-11038</w:t>
      </w:r>
    </w:p>
    <w:p>
      <w:pPr>
        <w:spacing w:after="0" w:line="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i w:val="1"/>
          <w:iCs w:val="1"/>
          <w:color w:val="auto"/>
        </w:rPr>
        <w:t>____________________</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NORTHERN TECHNOLOGIES INTERNATIONAL CORPORATION</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ind w:left="2520"/>
        <w:spacing w:after="0"/>
        <w:tabs>
          <w:tab w:leader="none" w:pos="764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41-0857886</w:t>
      </w:r>
    </w:p>
    <w:p>
      <w:pPr>
        <w:spacing w:after="0" w:line="2" w:lineRule="exact"/>
        <w:rPr>
          <w:sz w:val="20"/>
          <w:szCs w:val="20"/>
          <w:color w:val="auto"/>
        </w:rPr>
      </w:pPr>
    </w:p>
    <w:p>
      <w:pPr>
        <w:ind w:left="620"/>
        <w:spacing w:after="0"/>
        <w:tabs>
          <w:tab w:leader="none" w:pos="6700" w:val="left"/>
        </w:tabs>
        <w:rPr>
          <w:sz w:val="20"/>
          <w:szCs w:val="20"/>
          <w:color w:val="auto"/>
        </w:rPr>
      </w:pPr>
      <w:r>
        <w:rPr>
          <w:rFonts w:ascii="Times New Roman" w:cs="Times New Roman" w:eastAsia="Times New Roman" w:hAnsi="Times New Roman"/>
          <w:sz w:val="19"/>
          <w:szCs w:val="19"/>
          <w:color w:val="auto"/>
        </w:rPr>
        <w:t>(State or other jurisdiction of incorporation or organization)</w:t>
      </w:r>
      <w:r>
        <w:rPr>
          <w:sz w:val="20"/>
          <w:szCs w:val="20"/>
          <w:color w:val="auto"/>
        </w:rPr>
        <w:tab/>
      </w:r>
      <w:r>
        <w:rPr>
          <w:rFonts w:ascii="Times New Roman" w:cs="Times New Roman" w:eastAsia="Times New Roman" w:hAnsi="Times New Roman"/>
          <w:sz w:val="18"/>
          <w:szCs w:val="18"/>
          <w:color w:val="auto"/>
        </w:rPr>
        <w:t>(I.R.S. Employer Identification No.)</w:t>
      </w:r>
    </w:p>
    <w:p>
      <w:pPr>
        <w:sectPr>
          <w:pgSz w:w="12240" w:h="15840" w:orient="portrait"/>
          <w:cols w:equalWidth="0" w:num="1">
            <w:col w:w="10800"/>
          </w:cols>
          <w:pgMar w:left="720" w:top="892" w:right="720" w:bottom="768" w:gutter="0" w:footer="0" w:header="0"/>
        </w:sectPr>
      </w:pPr>
    </w:p>
    <w:p>
      <w:pPr>
        <w:spacing w:after="0" w:line="31"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27"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1"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Circle Pines, Minnesota</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auto"/>
        </w:rPr>
        <w:t>(Address of principal executive offices)</w:t>
      </w:r>
    </w:p>
    <w:p>
      <w:pPr>
        <w:spacing w:after="0" w:line="8"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9"/>
          <w:szCs w:val="19"/>
          <w:b w:val="1"/>
          <w:bCs w:val="1"/>
          <w:color w:val="auto"/>
        </w:rPr>
        <w:t>(763) 225-6600</w:t>
      </w:r>
    </w:p>
    <w:p>
      <w:pPr>
        <w:spacing w:after="0" w:line="15"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55014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(Zip Code)</w:t>
      </w:r>
    </w:p>
    <w:p>
      <w:pPr>
        <w:spacing w:after="0" w:line="767" w:lineRule="exact"/>
        <w:rPr>
          <w:sz w:val="20"/>
          <w:szCs w:val="20"/>
          <w:color w:val="auto"/>
        </w:rPr>
      </w:pPr>
    </w:p>
    <w:p>
      <w:pPr>
        <w:sectPr>
          <w:pgSz w:w="12240" w:h="15840" w:orient="portrait"/>
          <w:cols w:equalWidth="0" w:num="2">
            <w:col w:w="7420" w:space="260"/>
            <w:col w:w="3120"/>
          </w:cols>
          <w:pgMar w:left="720" w:top="892" w:right="720" w:bottom="768" w:gutter="0" w:footer="0" w:header="0"/>
          <w:type w:val="continuous"/>
        </w:sectPr>
      </w:pPr>
    </w:p>
    <w:tbl>
      <w:tblPr>
        <w:tblLayout w:type="fixed"/>
        <w:tblInd w:w="10" w:type="dxa"/>
        <w:tblCellMar>
          <w:top w:w="0" w:type="dxa"/>
          <w:left w:w="0" w:type="dxa"/>
          <w:bottom w:w="0" w:type="dxa"/>
          <w:right w:w="0" w:type="dxa"/>
        </w:tblCellMar>
      </w:tblPr>
      <w:tr>
        <w:trPr>
          <w:trHeight w:val="208"/>
        </w:trPr>
        <w:tc>
          <w:tcPr>
            <w:tcW w:w="3620" w:type="dxa"/>
            <w:vAlign w:val="bottom"/>
            <w:tcBorders>
              <w:top w:val="single" w:sz="8" w:color="auto"/>
              <w:left w:val="single" w:sz="8" w:color="auto"/>
              <w:bottom w:val="single" w:sz="8" w:color="auto"/>
              <w:right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color w:val="auto"/>
                <w:w w:val="98"/>
              </w:rPr>
              <w:t>Title of each class</w:t>
            </w:r>
          </w:p>
        </w:tc>
        <w:tc>
          <w:tcPr>
            <w:tcW w:w="3600" w:type="dxa"/>
            <w:vAlign w:val="bottom"/>
            <w:tcBorders>
              <w:top w:val="single" w:sz="8" w:color="auto"/>
              <w:bottom w:val="single" w:sz="8" w:color="auto"/>
              <w:right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color w:val="auto"/>
                <w:w w:val="99"/>
              </w:rPr>
              <w:t>Trading Symbol(s)</w:t>
            </w:r>
          </w:p>
        </w:tc>
        <w:tc>
          <w:tcPr>
            <w:tcW w:w="3600" w:type="dxa"/>
            <w:vAlign w:val="bottom"/>
            <w:tcBorders>
              <w:top w:val="single" w:sz="8" w:color="auto"/>
              <w:bottom w:val="single" w:sz="8" w:color="auto"/>
              <w:right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color w:val="auto"/>
                <w:w w:val="99"/>
              </w:rPr>
              <w:t>Name of each exchange on which registered</w:t>
            </w:r>
          </w:p>
        </w:tc>
      </w:tr>
      <w:tr>
        <w:trPr>
          <w:trHeight w:val="209"/>
        </w:trPr>
        <w:tc>
          <w:tcPr>
            <w:tcW w:w="362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19"/>
                <w:szCs w:val="19"/>
                <w:color w:val="auto"/>
                <w:w w:val="99"/>
              </w:rPr>
              <w:t>Common stock, par value $0.02 per share</w:t>
            </w:r>
          </w:p>
        </w:tc>
        <w:tc>
          <w:tcPr>
            <w:tcW w:w="3600" w:type="dxa"/>
            <w:vAlign w:val="bottom"/>
            <w:tcBorders>
              <w:bottom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19"/>
                <w:szCs w:val="19"/>
                <w:color w:val="auto"/>
                <w:w w:val="99"/>
              </w:rPr>
              <w:t>NTIC</w:t>
            </w:r>
          </w:p>
        </w:tc>
        <w:tc>
          <w:tcPr>
            <w:tcW w:w="3600" w:type="dxa"/>
            <w:vAlign w:val="bottom"/>
            <w:tcBorders>
              <w:bottom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19"/>
                <w:szCs w:val="19"/>
                <w:color w:val="auto"/>
              </w:rPr>
              <w:t>The Nasdaq Stock Market</w:t>
            </w: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Securities registered pursuant to Section 12(g) of the Act: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None</w:t>
      </w:r>
    </w:p>
    <w:p>
      <w:pPr>
        <w:spacing w:after="0" w:line="36" w:lineRule="exact"/>
        <w:rPr>
          <w:sz w:val="20"/>
          <w:szCs w:val="20"/>
          <w:color w:val="auto"/>
        </w:rPr>
      </w:pPr>
    </w:p>
    <w:p>
      <w:pPr>
        <w:ind w:left="340" w:right="1820" w:firstLine="4"/>
        <w:spacing w:after="0" w:line="301"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jc w:val="both"/>
        <w:ind w:firstLine="342"/>
        <w:spacing w:after="0" w:line="25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26" w:lineRule="exact"/>
        <w:rPr>
          <w:sz w:val="20"/>
          <w:szCs w:val="20"/>
          <w:color w:val="auto"/>
        </w:rPr>
      </w:pPr>
    </w:p>
    <w:p>
      <w:pPr>
        <w:jc w:val="both"/>
        <w:ind w:firstLine="342"/>
        <w:spacing w:after="0" w:line="26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15" w:lineRule="exact"/>
        <w:rPr>
          <w:sz w:val="20"/>
          <w:szCs w:val="20"/>
          <w:color w:val="auto"/>
        </w:rPr>
      </w:pPr>
    </w:p>
    <w:p>
      <w:pPr>
        <w:jc w:val="both"/>
        <w:ind w:firstLine="346"/>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9" w:lineRule="exact"/>
        <w:rPr>
          <w:sz w:val="20"/>
          <w:szCs w:val="20"/>
          <w:color w:val="auto"/>
        </w:rPr>
      </w:pPr>
    </w:p>
    <w:p>
      <w:pPr>
        <w:ind w:left="460"/>
        <w:spacing w:after="0"/>
        <w:tabs>
          <w:tab w:leader="none" w:pos="2700" w:val="left"/>
          <w:tab w:leader="none" w:pos="5180" w:val="left"/>
          <w:tab w:leader="none" w:pos="81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PMingLiU" w:cs="PMingLiU" w:eastAsia="PMingLiU" w:hAnsi="PMingLiU"/>
          <w:sz w:val="16"/>
          <w:szCs w:val="16"/>
          <w:color w:val="auto"/>
        </w:rPr>
        <w:t></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PMingLiU" w:cs="PMingLiU" w:eastAsia="PMingLiU" w:hAnsi="PMingLiU"/>
          <w:sz w:val="16"/>
          <w:szCs w:val="16"/>
          <w:color w:val="auto"/>
        </w:rPr>
        <w:t></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PMingLiU" w:cs="PMingLiU" w:eastAsia="PMingLiU" w:hAnsi="PMingLiU"/>
          <w:sz w:val="16"/>
          <w:szCs w:val="16"/>
          <w:color w:val="auto"/>
        </w:rPr>
        <w:t>6</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PMingLiU" w:cs="PMingLiU" w:eastAsia="PMingLiU" w:hAnsi="PMingLiU"/>
          <w:sz w:val="16"/>
          <w:szCs w:val="16"/>
          <w:color w:val="auto"/>
        </w:rPr>
        <w:t>6</w:t>
      </w:r>
    </w:p>
    <w:p>
      <w:pPr>
        <w:spacing w:after="0" w:line="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PMingLiU" w:cs="PMingLiU" w:eastAsia="PMingLiU" w:hAnsi="PMingLiU"/>
          <w:sz w:val="16"/>
          <w:szCs w:val="16"/>
          <w:color w:val="auto"/>
        </w:rPr>
        <w:t></w:t>
      </w:r>
    </w:p>
    <w:p>
      <w:pPr>
        <w:spacing w:after="0" w:line="31" w:lineRule="exact"/>
        <w:rPr>
          <w:sz w:val="20"/>
          <w:szCs w:val="20"/>
          <w:color w:val="auto"/>
        </w:rPr>
      </w:pPr>
    </w:p>
    <w:p>
      <w:pPr>
        <w:jc w:val="both"/>
        <w:ind w:firstLine="346"/>
        <w:spacing w:after="0" w:line="261"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6"/>
          <w:szCs w:val="16"/>
          <w:color w:val="auto"/>
        </w:rPr>
        <w:t></w:t>
      </w:r>
    </w:p>
    <w:p>
      <w:pPr>
        <w:spacing w:after="0" w:line="17" w:lineRule="exact"/>
        <w:rPr>
          <w:sz w:val="20"/>
          <w:szCs w:val="20"/>
          <w:color w:val="auto"/>
        </w:rPr>
      </w:pPr>
    </w:p>
    <w:p>
      <w:pPr>
        <w:jc w:val="both"/>
        <w:ind w:firstLine="345"/>
        <w:spacing w:after="0" w:line="288"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5"/>
          <w:szCs w:val="15"/>
          <w:color w:val="auto"/>
        </w:rPr>
        <w:t></w:t>
      </w:r>
    </w:p>
    <w:p>
      <w:pPr>
        <w:spacing w:after="0" w:line="1" w:lineRule="exact"/>
        <w:rPr>
          <w:sz w:val="20"/>
          <w:szCs w:val="20"/>
          <w:color w:val="auto"/>
        </w:rPr>
      </w:pPr>
    </w:p>
    <w:p>
      <w:pPr>
        <w:jc w:val="both"/>
        <w:ind w:firstLine="345"/>
        <w:spacing w:after="0" w:line="261"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6"/>
          <w:szCs w:val="16"/>
          <w:color w:val="auto"/>
        </w:rPr>
        <w:t></w:t>
      </w:r>
    </w:p>
    <w:p>
      <w:pPr>
        <w:spacing w:after="0" w:line="17" w:lineRule="exact"/>
        <w:rPr>
          <w:sz w:val="20"/>
          <w:szCs w:val="20"/>
          <w:color w:val="auto"/>
        </w:rPr>
      </w:pPr>
    </w:p>
    <w:p>
      <w:pPr>
        <w:jc w:val="both"/>
        <w:ind w:firstLine="346"/>
        <w:spacing w:after="0" w:line="261"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6"/>
          <w:szCs w:val="16"/>
          <w:color w:val="auto"/>
        </w:rPr>
        <w:t></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spacing w:after="0" w:line="50" w:lineRule="exact"/>
        <w:rPr>
          <w:sz w:val="20"/>
          <w:szCs w:val="20"/>
          <w:color w:val="auto"/>
        </w:rPr>
      </w:pPr>
    </w:p>
    <w:p>
      <w:pPr>
        <w:jc w:val="both"/>
        <w:ind w:firstLine="346"/>
        <w:spacing w:after="0" w:line="257"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excluding shares beneficially owned by affiliates, computed by reference to the closing sales price at which the common stock was last sold as of February 28, 2025 (the last business day of the registrant’s second fiscal quarter) as reported by The Nasdaq Stock Market on that date was approximately $88.8 million.</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November 20, 2025, 9,480,689 shares of common stock of the registrant were outstanding.</w:t>
      </w:r>
    </w:p>
    <w:p>
      <w:pPr>
        <w:spacing w:after="0" w:line="5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4" w:lineRule="exact"/>
        <w:rPr>
          <w:sz w:val="20"/>
          <w:szCs w:val="20"/>
          <w:color w:val="auto"/>
        </w:rPr>
      </w:pPr>
    </w:p>
    <w:p>
      <w:pPr>
        <w:jc w:val="both"/>
        <w:ind w:firstLine="346"/>
        <w:spacing w:after="0" w:line="277" w:lineRule="auto"/>
        <w:rPr>
          <w:sz w:val="20"/>
          <w:szCs w:val="20"/>
          <w:color w:val="auto"/>
        </w:rPr>
      </w:pPr>
      <w:r>
        <w:rPr>
          <w:rFonts w:ascii="Times New Roman" w:cs="Times New Roman" w:eastAsia="Times New Roman" w:hAnsi="Times New Roman"/>
          <w:sz w:val="16"/>
          <w:szCs w:val="16"/>
          <w:color w:val="auto"/>
        </w:rPr>
        <w:t>Part III of this Annual Report on Form 10-K incorporates by reference information (to the extent specific sections are referred to herein) from the registrant’s Proxy Statement for its 2026 Annual Meeting of Stockholders to be held January 16,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163830</wp:posOffset>
                </wp:positionV>
                <wp:extent cx="68961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2.9pt" to="541.5pt,12.9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145415</wp:posOffset>
                </wp:positionV>
                <wp:extent cx="68961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1.45pt" to="541.5pt,11.45pt" o:allowincell="f" strokecolor="#000000" strokeweight="0.7199pt"/>
            </w:pict>
          </mc:Fallback>
        </mc:AlternateContent>
      </w:r>
    </w:p>
    <w:p>
      <w:pPr>
        <w:sectPr>
          <w:pgSz w:w="12240" w:h="15840" w:orient="portrait"/>
          <w:cols w:equalWidth="0" w:num="1">
            <w:col w:w="10800"/>
          </w:cols>
          <w:pgMar w:left="720" w:top="892" w:right="720" w:bottom="768"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75"/>
        </w:trPr>
        <w:tc>
          <w:tcPr>
            <w:tcW w:w="1340" w:type="dxa"/>
            <w:vAlign w:val="bottom"/>
          </w:tcPr>
          <w:p>
            <w:pPr>
              <w:spacing w:after="0"/>
              <w:rPr>
                <w:sz w:val="23"/>
                <w:szCs w:val="23"/>
                <w:color w:val="auto"/>
              </w:rPr>
            </w:pPr>
          </w:p>
        </w:tc>
        <w:tc>
          <w:tcPr>
            <w:tcW w:w="8280" w:type="dxa"/>
            <w:vAlign w:val="bottom"/>
          </w:tcPr>
          <w:p>
            <w:pPr>
              <w:jc w:val="center"/>
              <w:ind w:right="780"/>
              <w:spacing w:after="0"/>
              <w:rPr>
                <w:sz w:val="20"/>
                <w:szCs w:val="20"/>
                <w:color w:val="auto"/>
              </w:rPr>
            </w:pPr>
            <w:r>
              <w:rPr>
                <w:rFonts w:ascii="Times New Roman" w:cs="Times New Roman" w:eastAsia="Times New Roman" w:hAnsi="Times New Roman"/>
                <w:sz w:val="20"/>
                <w:szCs w:val="20"/>
                <w:b w:val="1"/>
                <w:bCs w:val="1"/>
                <w:color w:val="auto"/>
                <w:w w:val="99"/>
              </w:rPr>
              <w:t>NORTHERN TECHNOLOGIES INTERNATIONAL CORPORATION</w:t>
            </w: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25"/>
        </w:trPr>
        <w:tc>
          <w:tcPr>
            <w:tcW w:w="1340" w:type="dxa"/>
            <w:vAlign w:val="bottom"/>
          </w:tcPr>
          <w:p>
            <w:pPr>
              <w:spacing w:after="0"/>
              <w:rPr>
                <w:sz w:val="24"/>
                <w:szCs w:val="24"/>
                <w:color w:val="auto"/>
              </w:rPr>
            </w:pPr>
          </w:p>
        </w:tc>
        <w:tc>
          <w:tcPr>
            <w:tcW w:w="8280" w:type="dxa"/>
            <w:vAlign w:val="bottom"/>
          </w:tcPr>
          <w:p>
            <w:pPr>
              <w:jc w:val="center"/>
              <w:ind w:right="760"/>
              <w:spacing w:after="0"/>
              <w:rPr>
                <w:sz w:val="20"/>
                <w:szCs w:val="20"/>
                <w:color w:val="auto"/>
              </w:rPr>
            </w:pPr>
            <w:r>
              <w:rPr>
                <w:rFonts w:ascii="Times New Roman" w:cs="Times New Roman" w:eastAsia="Times New Roman" w:hAnsi="Times New Roman"/>
                <w:sz w:val="20"/>
                <w:szCs w:val="20"/>
                <w:b w:val="1"/>
                <w:bCs w:val="1"/>
                <w:color w:val="auto"/>
                <w:w w:val="99"/>
              </w:rPr>
              <w:t>ANNUAL REPORT ON FORM 10-K</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5"/>
        </w:trPr>
        <w:tc>
          <w:tcPr>
            <w:tcW w:w="1340" w:type="dxa"/>
            <w:vAlign w:val="bottom"/>
          </w:tcPr>
          <w:p>
            <w:pPr>
              <w:spacing w:after="0"/>
              <w:rPr>
                <w:sz w:val="23"/>
                <w:szCs w:val="23"/>
                <w:color w:val="auto"/>
              </w:rPr>
            </w:pPr>
          </w:p>
        </w:tc>
        <w:tc>
          <w:tcPr>
            <w:tcW w:w="8280" w:type="dxa"/>
            <w:vAlign w:val="bottom"/>
          </w:tcPr>
          <w:p>
            <w:pPr>
              <w:jc w:val="center"/>
              <w:ind w:right="780"/>
              <w:spacing w:after="0"/>
              <w:rPr>
                <w:sz w:val="20"/>
                <w:szCs w:val="20"/>
                <w:color w:val="auto"/>
              </w:rPr>
            </w:pPr>
            <w:r>
              <w:rPr>
                <w:rFonts w:ascii="Times New Roman" w:cs="Times New Roman" w:eastAsia="Times New Roman" w:hAnsi="Times New Roman"/>
                <w:sz w:val="20"/>
                <w:szCs w:val="20"/>
                <w:b w:val="1"/>
                <w:bCs w:val="1"/>
                <w:color w:val="auto"/>
                <w:w w:val="99"/>
              </w:rPr>
              <w:t>FISCAL YEAR ENDED AUGUST 31, 2025</w:t>
            </w: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70"/>
        </w:trPr>
        <w:tc>
          <w:tcPr>
            <w:tcW w:w="1340" w:type="dxa"/>
            <w:vAlign w:val="bottom"/>
          </w:tcPr>
          <w:p>
            <w:pPr>
              <w:spacing w:after="0"/>
              <w:rPr>
                <w:sz w:val="24"/>
                <w:szCs w:val="24"/>
                <w:color w:val="auto"/>
              </w:rPr>
            </w:pPr>
          </w:p>
        </w:tc>
        <w:tc>
          <w:tcPr>
            <w:tcW w:w="8280" w:type="dxa"/>
            <w:vAlign w:val="bottom"/>
          </w:tcPr>
          <w:p>
            <w:pPr>
              <w:jc w:val="center"/>
              <w:ind w:right="7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8"/>
        </w:trPr>
        <w:tc>
          <w:tcPr>
            <w:tcW w:w="134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40" w:type="dxa"/>
            <w:vAlign w:val="bottom"/>
          </w:tcPr>
          <w:p>
            <w:pPr>
              <w:spacing w:after="0"/>
              <w:rPr>
                <w:sz w:val="24"/>
                <w:szCs w:val="24"/>
                <w:color w:val="auto"/>
              </w:rPr>
            </w:pPr>
          </w:p>
        </w:tc>
      </w:tr>
      <w:tr>
        <w:trPr>
          <w:trHeight w:val="451"/>
        </w:trPr>
        <w:tc>
          <w:tcPr>
            <w:tcW w:w="9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PART I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BUSINESS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9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INFORMATION ABOUT OUR EXECUTIVE OFFICERS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1A.</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RISK FACTORS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29"/>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1B.</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UNRESOLVED STAFF COMMENTS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30"/>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1C.</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CYBERSECURITY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29"/>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2.</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PROPERTIES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0"/>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3.</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LEGAL PROCEEDINGS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67"/>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4.</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MINE SAFETY DISCLOSURES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433"/>
        </w:trPr>
        <w:tc>
          <w:tcPr>
            <w:tcW w:w="9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PART II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30"/>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5.</w:t>
            </w:r>
          </w:p>
        </w:tc>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1340" w:type="dxa"/>
            <w:vAlign w:val="bottom"/>
          </w:tcPr>
          <w:p>
            <w:pPr>
              <w:spacing w:after="0"/>
              <w:rPr>
                <w:sz w:val="20"/>
                <w:szCs w:val="20"/>
                <w:color w:val="auto"/>
              </w:rPr>
            </w:pP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AND ISSUER PURCHASES OF EQUITY SECURITIES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29"/>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6.</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[RESERVED].................................................................................................................................................</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30"/>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7.</w:t>
            </w:r>
          </w:p>
        </w:tc>
        <w:tc>
          <w:tcPr>
            <w:tcW w:w="8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w:t>
            </w:r>
          </w:p>
        </w:tc>
      </w:tr>
      <w:tr>
        <w:trPr>
          <w:trHeight w:val="230"/>
        </w:trPr>
        <w:tc>
          <w:tcPr>
            <w:tcW w:w="1340" w:type="dxa"/>
            <w:vAlign w:val="bottom"/>
          </w:tcPr>
          <w:p>
            <w:pPr>
              <w:spacing w:after="0"/>
              <w:rPr>
                <w:sz w:val="20"/>
                <w:szCs w:val="20"/>
                <w:color w:val="auto"/>
              </w:rPr>
            </w:pP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OF OPERATIONS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29"/>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7A.</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QUANTITATIVE AND QUALITATIVE DISCLOSURES ABOUT MARKET RISK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30"/>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8.</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FINANCIAL STATEMENTS AND SUPPLEMENTARY DATA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30"/>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9.</w:t>
            </w:r>
          </w:p>
        </w:tc>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1340" w:type="dxa"/>
            <w:vAlign w:val="bottom"/>
          </w:tcPr>
          <w:p>
            <w:pPr>
              <w:spacing w:after="0"/>
              <w:rPr>
                <w:sz w:val="19"/>
                <w:szCs w:val="19"/>
                <w:color w:val="auto"/>
              </w:rPr>
            </w:pP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FINANCIAL DISCLOSURE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30"/>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9A.</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CONTROLS AND PROCEDURES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30"/>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9B.</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OTHER INFORMATION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67"/>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9C.</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DISCLOSURE REGARDING FOREIGN JURISDICTIONS THAT PREVENT INSPECTIONS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433"/>
        </w:trPr>
        <w:tc>
          <w:tcPr>
            <w:tcW w:w="9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PART III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30"/>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10.</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DIRECTORS, EXECUTIVE OFFICERS AND CORPORATE GOVERNANCE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29"/>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11.</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EXECUTIVE COMPENSATION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30"/>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12.</w:t>
            </w:r>
          </w:p>
        </w:tc>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1340" w:type="dxa"/>
            <w:vAlign w:val="bottom"/>
          </w:tcPr>
          <w:p>
            <w:pPr>
              <w:spacing w:after="0"/>
              <w:rPr>
                <w:sz w:val="19"/>
                <w:szCs w:val="19"/>
                <w:color w:val="auto"/>
              </w:rPr>
            </w:pP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RELATED STOCKHOLDER MATTERS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30"/>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13.</w:t>
            </w:r>
          </w:p>
        </w:tc>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1340" w:type="dxa"/>
            <w:vAlign w:val="bottom"/>
          </w:tcPr>
          <w:p>
            <w:pPr>
              <w:spacing w:after="0"/>
              <w:rPr>
                <w:sz w:val="20"/>
                <w:szCs w:val="20"/>
                <w:color w:val="auto"/>
              </w:rPr>
            </w:pP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INDEPENDENCE..........................................................................................................................................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67"/>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14.</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PRINCIPAL ACCOUNTANT FEES AND SERVICES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433"/>
        </w:trPr>
        <w:tc>
          <w:tcPr>
            <w:tcW w:w="9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PART IV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30"/>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15.</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EXHIBIT AND FINANCIAL STATEMENT SCHEDULES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67"/>
        </w:trPr>
        <w:tc>
          <w:tcPr>
            <w:tcW w:w="13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Item 16.</w:t>
            </w:r>
          </w:p>
        </w:tc>
        <w:tc>
          <w:tcPr>
            <w:tcW w:w="8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FORM 10-K SUMMARY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r>
    </w:tbl>
    <w:p>
      <w:pPr>
        <w:spacing w:after="0" w:line="19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_______________</w:t>
      </w:r>
    </w:p>
    <w:p>
      <w:pPr>
        <w:spacing w:after="0" w:line="24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i w:val="1"/>
          <w:iCs w:val="1"/>
          <w:color w:val="auto"/>
        </w:rPr>
        <w:t>This annual report on Form 10-K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“Part I. Item 1. Business –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10080"/>
          </w:cols>
          <w:pgMar w:left="1160" w:top="1128" w:right="1000" w:bottom="382" w:gutter="0" w:footer="0" w:header="0"/>
        </w:sectPr>
      </w:pPr>
    </w:p>
    <w:bookmarkStart w:id="85" w:name="page86"/>
    <w:bookmarkEnd w:id="85"/>
    <w:p>
      <w:pPr>
        <w:ind w:left="4300"/>
        <w:spacing w:after="0"/>
        <w:rPr>
          <w:sz w:val="20"/>
          <w:szCs w:val="20"/>
          <w:color w:val="auto"/>
        </w:rPr>
      </w:pPr>
      <w:r>
        <w:rPr>
          <w:rFonts w:ascii="Times New Roman" w:cs="Times New Roman" w:eastAsia="Times New Roman" w:hAnsi="Times New Roman"/>
          <w:sz w:val="20"/>
          <w:szCs w:val="20"/>
          <w:color w:val="auto"/>
        </w:rPr>
        <w:t>_______________</w:t>
      </w:r>
    </w:p>
    <w:p>
      <w:pPr>
        <w:spacing w:after="0" w:line="2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i w:val="1"/>
          <w:iCs w:val="1"/>
          <w:color w:val="auto"/>
        </w:rPr>
        <w:t>As used in this report, references to “NTIC,” the “Company,” “we,” “our,” or “us,” unless the context otherwise requires, refer to Northern Technologies International Corporation and its wholly owned and majority-owned subsidiaries, all of which are consolidated on NTIC’s consolidated financial statements.</w:t>
      </w:r>
    </w:p>
    <w:p>
      <w:pPr>
        <w:spacing w:after="0" w:line="6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i w:val="1"/>
          <w:iCs w:val="1"/>
          <w:color w:val="auto"/>
        </w:rPr>
        <w:t>As used in this report, references to: (1) “NTIC China” refer to NTIC’s wholly owned subsidiary in China, NTIC (Shanghai) Co., Ltd.; (2) “NTI Europe” refer to NTIC’s wholly owned subsidiary in Germany, NTIC Europe GmbH; (3) “Zerust Mexico” refer to NTIC’s wholly owned subsidiary in Mexico, ZERUST-EXCOR MEXICO, S. de R.L. de C.V.; (4) “Zerust India” refer to NTIC’s wholly owned subsidiary in India, HNTI Limited (formerly Harita-NTI Limited); (5) “Zerust Brazil” refer to NTIC’s majority owned Brazilian subsidiary, Zerust Prevenção de Corrosão S.A.; (6) “Natur-Tec India” refer to NTIC’s majority-owned subsidiary in India, Natur- Tec India Private Limited; (7) “Natur Tec Lanka” refer to NTIC’s majority-owned subsidiary in Sri Lanka, Natur Tec Lanka (Pvt) Ltd and (8) “NTI Asean” refer to NTIC’s majority-owned holding company subsidiary, NTI Asean LLC, which holds investments in certain entities that operate in the Association of Southeast Asian Nations (ASEAN) region.</w:t>
      </w:r>
    </w:p>
    <w:p>
      <w:pPr>
        <w:spacing w:after="0" w:line="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i w:val="1"/>
          <w:iCs w:val="1"/>
          <w:color w:val="auto"/>
        </w:rPr>
        <w:t>NTIC’s consolidated financial statements do not include the accounts of any of its joint ventures. Except as otherwise indicated, references in this report to NTIC’s joint ventures do not include any of NTIC’s wholly owned or majority-owned subsidiaries.</w:t>
      </w:r>
    </w:p>
    <w:p>
      <w:pPr>
        <w:spacing w:after="0" w:line="69" w:lineRule="exact"/>
        <w:rPr>
          <w:sz w:val="20"/>
          <w:szCs w:val="20"/>
          <w:color w:val="auto"/>
        </w:rPr>
      </w:pPr>
    </w:p>
    <w:p>
      <w:pPr>
        <w:ind w:right="720"/>
        <w:spacing w:after="0" w:line="276" w:lineRule="auto"/>
        <w:rPr>
          <w:sz w:val="20"/>
          <w:szCs w:val="20"/>
          <w:color w:val="auto"/>
        </w:rPr>
      </w:pPr>
      <w:r>
        <w:rPr>
          <w:rFonts w:ascii="Times New Roman" w:cs="Times New Roman" w:eastAsia="Times New Roman" w:hAnsi="Times New Roman"/>
          <w:sz w:val="20"/>
          <w:szCs w:val="20"/>
          <w:i w:val="1"/>
          <w:iCs w:val="1"/>
          <w:color w:val="auto"/>
        </w:rPr>
        <w:t>As used in this report, references to “EXCOR” refer to NTIC’s joint venture in Germany, Excor Korrosionsschutz – Technologien und Produkte GmbH.</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000"/>
          </w:cols>
          <w:pgMar w:left="1160" w:top="1132" w:right="1080" w:bottom="382"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b w:val="1"/>
          <w:bCs w:val="1"/>
          <w:color w:val="auto"/>
        </w:rPr>
        <w:t>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4"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Northern Technologies International Corporation (NTIC)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NTIC has been selling its proprietary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 to the automotive, general industrial, mechanical, mining, agricultural, and retail consumer markets for over 50 years and, more recently, has also expanded into the oil and gas industry. Additionally, NTIC markets and sells a portfolio of proprietary bio-based and certified compostable (fully biodegradable) polymer resin compounds and finished products under the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These sustainable packaging products are intended to reduce NTIC’s customers’ carbon footprint and provide environmentally sound waste disposal options.</w:t>
      </w:r>
    </w:p>
    <w:p>
      <w:pPr>
        <w:spacing w:after="0" w:line="207"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0"/>
          <w:szCs w:val="20"/>
          <w:color w:val="auto"/>
        </w:rPr>
        <w:t>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include plastic and paper packaging, liquids, coatings, rust removers, cleaners, and diffusers as well as engineered solutions designed specifically for the industries it serves. NTIC also offers worldwide, on-site, technical consulting for rust and corrosion prevention issues. In North America, NTIC sells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through a network of independent distributors and agents supported by a direct sales force.</w:t>
      </w:r>
    </w:p>
    <w:p>
      <w:pPr>
        <w:spacing w:after="0" w:line="205"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0"/>
          <w:szCs w:val="20"/>
          <w:color w:val="auto"/>
        </w:rPr>
        <w:t>Internationally, NTIC sells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through its wholly owned subsidiary in China, NTIC (Shanghai) Co., Ltd. (NTIC China), its wholly owned subsidiary in India, HNTI Limited (Zerust India), its majority-owned joint venture holding company for NTIC’s joint venture investments in the Association of Southeast Asian Nations (ASEAN) region, NTI Asean LLC (NTI Asean), its majority-owned subsidiary in Brazil, Zerust Prevenção de Corrosão S.A (Zerust Brazil), and certain majority-owned and wholly owned subsidiaries, and joint venture arrangements in North America, Europe, and Asia. NTIC also sells products directly to its European joint venture partners through its wholly owned subsidiary in Germany, NTIC Europe GmbH (NTI Europe).</w:t>
      </w:r>
    </w:p>
    <w:p>
      <w:pPr>
        <w:spacing w:after="0" w:line="203"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20"/>
          <w:szCs w:val="20"/>
          <w:color w:val="auto"/>
        </w:rPr>
        <w:t>One of NTIC’s strategic initiatives is to expand into and penetrate other markets for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will minimize maintenance downtime on critical oil and gas industry infrastructure, extend the life of such infrastructure, and reduce the risk of environmental pollution due to leaks caused by corrosion.</w:t>
      </w:r>
    </w:p>
    <w:p>
      <w:pPr>
        <w:spacing w:after="0" w:line="206" w:lineRule="exact"/>
        <w:rPr>
          <w:sz w:val="20"/>
          <w:szCs w:val="20"/>
          <w:color w:val="auto"/>
        </w:rPr>
      </w:pPr>
    </w:p>
    <w:p>
      <w:pPr>
        <w:ind w:right="20" w:firstLine="1"/>
        <w:spacing w:after="0" w:line="233" w:lineRule="auto"/>
        <w:rPr>
          <w:sz w:val="20"/>
          <w:szCs w:val="20"/>
          <w:color w:val="auto"/>
        </w:rPr>
      </w:pPr>
      <w:r>
        <w:rPr>
          <w:rFonts w:ascii="Times New Roman" w:cs="Times New Roman" w:eastAsia="Times New Roman" w:hAnsi="Times New Roman"/>
          <w:sz w:val="20"/>
          <w:szCs w:val="20"/>
          <w:color w:val="auto"/>
        </w:rPr>
        <w:t>NTIC markets and sells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prevention solutions to customers in the oil and gas industry in a continuously increasing number of countries either directly, through its subsidiaries, or through its joint venture partners and other strategic partners. The sale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to customers in the oil and gas industry typically involves long sales cycles, often including multi-year trial periods with each customer and a slow integration process thereafter.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ramp during fiscal 2026 and run through calendar 2028 with an estimated total value of approximately R$70 million (US$13 million). This includes approximately R$40 million (US$7.4 million) in materials and approximately R$30 million (US$5.6 million) in engineering and field services. The amount and timing of revenue anticipated to be generated under this agreement may materially positively affect NTIC’s future quarterly sales and other operating results.</w:t>
      </w:r>
    </w:p>
    <w:p>
      <w:pPr>
        <w:spacing w:after="0" w:line="20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9"/>
          <w:szCs w:val="19"/>
          <w:color w:val="auto"/>
        </w:rPr>
        <w:t>Natur-Tec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bio-based and compostable plastics are manufactured using NTIC’s patented and/or proprietary technologies and are intended to replace conventional petroleum-based plastics. The Natur-Tec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biopolymer resin compound portfolio includes formulations that have been optimized for a variety of applications, including blown-film extrusion, coatings, injection molding, thermoforming, profile extrusion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resin compounds and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620"/>
          </w:cols>
          <w:pgMar w:left="1300" w:top="1128" w:right="1320" w:bottom="375" w:gutter="0" w:footer="0" w:header="0"/>
        </w:sectPr>
      </w:pPr>
    </w:p>
    <w:bookmarkStart w:id="87" w:name="page88"/>
    <w:bookmarkEnd w:id="87"/>
    <w:p>
      <w:pPr>
        <w:ind w:left="20"/>
        <w:spacing w:after="0" w:line="267" w:lineRule="auto"/>
        <w:rPr>
          <w:sz w:val="20"/>
          <w:szCs w:val="20"/>
          <w:color w:val="auto"/>
        </w:rPr>
      </w:pPr>
      <w:r>
        <w:rPr>
          <w:rFonts w:ascii="Times New Roman" w:cs="Times New Roman" w:eastAsia="Times New Roman" w:hAnsi="Times New Roman"/>
          <w:sz w:val="20"/>
          <w:szCs w:val="20"/>
          <w:color w:val="auto"/>
        </w:rPr>
        <w:t>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bioplastic products.</w:t>
      </w:r>
    </w:p>
    <w:p>
      <w:pPr>
        <w:spacing w:after="0" w:line="98" w:lineRule="exact"/>
        <w:rPr>
          <w:sz w:val="20"/>
          <w:szCs w:val="20"/>
          <w:color w:val="auto"/>
        </w:rPr>
      </w:pPr>
    </w:p>
    <w:p>
      <w:pPr>
        <w:ind w:left="20" w:right="180"/>
        <w:spacing w:after="0" w:line="233" w:lineRule="auto"/>
        <w:rPr>
          <w:sz w:val="20"/>
          <w:szCs w:val="20"/>
          <w:color w:val="auto"/>
        </w:rPr>
      </w:pPr>
      <w:r>
        <w:rPr>
          <w:rFonts w:ascii="Times New Roman" w:cs="Times New Roman" w:eastAsia="Times New Roman" w:hAnsi="Times New Roman"/>
          <w:sz w:val="20"/>
          <w:szCs w:val="20"/>
          <w:color w:val="auto"/>
        </w:rPr>
        <w:t>Internationally, NTIC sells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both directly and through its wholly owned subsidiary in China, NTIC (Shanghai) Co., Ltd., and majority-owned subsidiaries in India, Natur-Tec India Private Limited, and Sri Lanka, Natur Tec Lanka (Pvt) Ltd, and through distributors and certain joint ventures.</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NTIC’s Subsidiaries and Joint Venture Network</w:t>
      </w:r>
    </w:p>
    <w:p>
      <w:pPr>
        <w:spacing w:after="0" w:line="234" w:lineRule="exact"/>
        <w:rPr>
          <w:sz w:val="20"/>
          <w:szCs w:val="20"/>
          <w:color w:val="auto"/>
        </w:rPr>
      </w:pPr>
    </w:p>
    <w:p>
      <w:pPr>
        <w:ind w:left="20" w:right="60"/>
        <w:spacing w:after="0" w:line="235" w:lineRule="auto"/>
        <w:rPr>
          <w:sz w:val="20"/>
          <w:szCs w:val="20"/>
          <w:color w:val="auto"/>
        </w:rPr>
      </w:pPr>
      <w:r>
        <w:rPr>
          <w:rFonts w:ascii="Times New Roman" w:cs="Times New Roman" w:eastAsia="Times New Roman" w:hAnsi="Times New Roman"/>
          <w:sz w:val="20"/>
          <w:szCs w:val="20"/>
          <w:color w:val="auto"/>
        </w:rPr>
        <w:t>NTIC has ownership interests in 12 operating subsidiaries in North America, South America, Europe, and Asia, the results of which are fully consolidated in NTIC’s consolidated financial statements. While most of NTIC’s subsidiaries exclusively sell rust and corrosion inhibiting products, some of the subsidiaries also sell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goods. The following table sets forth a list of NTIC’s operating subsidiaries as of November 20, 2025, the country in which the subsidiary is organized, and NTIC’s ownership percentage in each subsidiary: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NTIC Percent (%)</w:t>
            </w:r>
          </w:p>
        </w:tc>
      </w:tr>
      <w:tr>
        <w:trPr>
          <w:trHeight w:val="246"/>
        </w:trPr>
        <w:tc>
          <w:tcPr>
            <w:tcW w:w="57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6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40" w:type="dxa"/>
            <w:vAlign w:val="bottom"/>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185"/>
        </w:trPr>
        <w:tc>
          <w:tcPr>
            <w:tcW w:w="5700" w:type="dxa"/>
            <w:vAlign w:val="bottom"/>
          </w:tcPr>
          <w:p>
            <w:pPr>
              <w:ind w:left="40"/>
              <w:spacing w:after="0" w:line="184" w:lineRule="exact"/>
              <w:rPr>
                <w:sz w:val="20"/>
                <w:szCs w:val="20"/>
                <w:color w:val="auto"/>
              </w:rPr>
            </w:pPr>
            <w:r>
              <w:rPr>
                <w:rFonts w:ascii="Times New Roman" w:cs="Times New Roman" w:eastAsia="Times New Roman" w:hAnsi="Times New Roman"/>
                <w:sz w:val="20"/>
                <w:szCs w:val="20"/>
                <w:color w:val="auto"/>
              </w:rPr>
              <w:t>HNTI Limited</w:t>
            </w:r>
          </w:p>
        </w:tc>
        <w:tc>
          <w:tcPr>
            <w:tcW w:w="160" w:type="dxa"/>
            <w:vAlign w:val="bottom"/>
          </w:tcPr>
          <w:p>
            <w:pPr>
              <w:spacing w:after="0"/>
              <w:rPr>
                <w:sz w:val="16"/>
                <w:szCs w:val="16"/>
                <w:color w:val="auto"/>
              </w:rPr>
            </w:pPr>
          </w:p>
        </w:tc>
        <w:tc>
          <w:tcPr>
            <w:tcW w:w="1620" w:type="dxa"/>
            <w:vAlign w:val="bottom"/>
          </w:tcPr>
          <w:p>
            <w:pPr>
              <w:jc w:val="center"/>
              <w:spacing w:after="0" w:line="184" w:lineRule="exact"/>
              <w:rPr>
                <w:sz w:val="20"/>
                <w:szCs w:val="20"/>
                <w:color w:val="auto"/>
              </w:rPr>
            </w:pPr>
            <w:r>
              <w:rPr>
                <w:rFonts w:ascii="Times New Roman" w:cs="Times New Roman" w:eastAsia="Times New Roman" w:hAnsi="Times New Roman"/>
                <w:sz w:val="20"/>
                <w:szCs w:val="20"/>
                <w:color w:val="auto"/>
                <w:w w:val="97"/>
              </w:rPr>
              <w:t>India</w:t>
            </w:r>
          </w:p>
        </w:tc>
        <w:tc>
          <w:tcPr>
            <w:tcW w:w="140" w:type="dxa"/>
            <w:vAlign w:val="bottom"/>
          </w:tcPr>
          <w:p>
            <w:pPr>
              <w:spacing w:after="0"/>
              <w:rPr>
                <w:sz w:val="16"/>
                <w:szCs w:val="16"/>
                <w:color w:val="auto"/>
              </w:rPr>
            </w:pPr>
          </w:p>
        </w:tc>
        <w:tc>
          <w:tcPr>
            <w:tcW w:w="1840" w:type="dxa"/>
            <w:vAlign w:val="bottom"/>
          </w:tcPr>
          <w:p>
            <w:pPr>
              <w:jc w:val="center"/>
              <w:spacing w:after="0" w:line="184" w:lineRule="exact"/>
              <w:rPr>
                <w:sz w:val="20"/>
                <w:szCs w:val="20"/>
                <w:color w:val="auto"/>
              </w:rPr>
            </w:pPr>
            <w:r>
              <w:rPr>
                <w:rFonts w:ascii="Times New Roman" w:cs="Times New Roman" w:eastAsia="Times New Roman" w:hAnsi="Times New Roman"/>
                <w:sz w:val="20"/>
                <w:szCs w:val="20"/>
                <w:color w:val="auto"/>
                <w:w w:val="98"/>
              </w:rPr>
              <w:t>100%</w:t>
            </w:r>
          </w:p>
        </w:tc>
      </w:tr>
      <w:tr>
        <w:trPr>
          <w:trHeight w:val="221"/>
        </w:trPr>
        <w:tc>
          <w:tcPr>
            <w:tcW w:w="570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Natur Tec Lanka (Pvt) Ltd</w:t>
            </w:r>
          </w:p>
        </w:tc>
        <w:tc>
          <w:tcPr>
            <w:tcW w:w="160" w:type="dxa"/>
            <w:vAlign w:val="bottom"/>
          </w:tcPr>
          <w:p>
            <w:pPr>
              <w:spacing w:after="0"/>
              <w:rPr>
                <w:sz w:val="19"/>
                <w:szCs w:val="19"/>
                <w:color w:val="auto"/>
              </w:rPr>
            </w:pPr>
          </w:p>
        </w:tc>
        <w:tc>
          <w:tcPr>
            <w:tcW w:w="162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color w:val="auto"/>
                <w:w w:val="94"/>
              </w:rPr>
              <w:t>Sri Lanka</w:t>
            </w:r>
            <w:r>
              <w:rPr>
                <w:rFonts w:ascii="Times New Roman" w:cs="Times New Roman" w:eastAsia="Times New Roman" w:hAnsi="Times New Roman"/>
                <w:sz w:val="25"/>
                <w:szCs w:val="25"/>
                <w:color w:val="auto"/>
                <w:w w:val="94"/>
                <w:vertAlign w:val="superscript"/>
              </w:rPr>
              <w:t>(1)</w:t>
            </w:r>
          </w:p>
        </w:tc>
        <w:tc>
          <w:tcPr>
            <w:tcW w:w="1980" w:type="dxa"/>
            <w:vAlign w:val="bottom"/>
            <w:gridSpan w:val="2"/>
          </w:tcPr>
          <w:p>
            <w:pPr>
              <w:jc w:val="center"/>
              <w:ind w:left="40"/>
              <w:spacing w:after="0" w:line="221" w:lineRule="exact"/>
              <w:rPr>
                <w:sz w:val="20"/>
                <w:szCs w:val="20"/>
                <w:color w:val="auto"/>
              </w:rPr>
            </w:pPr>
            <w:r>
              <w:rPr>
                <w:rFonts w:ascii="Times New Roman" w:cs="Times New Roman" w:eastAsia="Times New Roman" w:hAnsi="Times New Roman"/>
                <w:sz w:val="20"/>
                <w:szCs w:val="20"/>
                <w:color w:val="auto"/>
                <w:w w:val="98"/>
              </w:rPr>
              <w:t>75%</w:t>
            </w:r>
          </w:p>
        </w:tc>
      </w:tr>
      <w:tr>
        <w:trPr>
          <w:trHeight w:val="220"/>
        </w:trPr>
        <w:tc>
          <w:tcPr>
            <w:tcW w:w="570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Natur-Tec India Private Limited</w:t>
            </w:r>
          </w:p>
        </w:tc>
        <w:tc>
          <w:tcPr>
            <w:tcW w:w="160" w:type="dxa"/>
            <w:vAlign w:val="bottom"/>
          </w:tcPr>
          <w:p>
            <w:pPr>
              <w:spacing w:after="0"/>
              <w:rPr>
                <w:sz w:val="19"/>
                <w:szCs w:val="19"/>
                <w:color w:val="auto"/>
              </w:rPr>
            </w:pPr>
          </w:p>
        </w:tc>
        <w:tc>
          <w:tcPr>
            <w:tcW w:w="16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India</w:t>
            </w:r>
          </w:p>
        </w:tc>
        <w:tc>
          <w:tcPr>
            <w:tcW w:w="1980" w:type="dxa"/>
            <w:vAlign w:val="bottom"/>
            <w:gridSpan w:val="2"/>
          </w:tcPr>
          <w:p>
            <w:pPr>
              <w:jc w:val="center"/>
              <w:ind w:left="60"/>
              <w:spacing w:after="0" w:line="220" w:lineRule="exact"/>
              <w:rPr>
                <w:sz w:val="20"/>
                <w:szCs w:val="20"/>
                <w:color w:val="auto"/>
              </w:rPr>
            </w:pPr>
            <w:r>
              <w:rPr>
                <w:rFonts w:ascii="Times New Roman" w:cs="Times New Roman" w:eastAsia="Times New Roman" w:hAnsi="Times New Roman"/>
                <w:sz w:val="20"/>
                <w:szCs w:val="20"/>
                <w:color w:val="auto"/>
              </w:rPr>
              <w:t>75%</w:t>
            </w:r>
          </w:p>
        </w:tc>
      </w:tr>
      <w:tr>
        <w:trPr>
          <w:trHeight w:val="220"/>
        </w:trPr>
        <w:tc>
          <w:tcPr>
            <w:tcW w:w="570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NTI Asean LLC</w:t>
            </w:r>
          </w:p>
        </w:tc>
        <w:tc>
          <w:tcPr>
            <w:tcW w:w="160" w:type="dxa"/>
            <w:vAlign w:val="bottom"/>
          </w:tcPr>
          <w:p>
            <w:pPr>
              <w:spacing w:after="0"/>
              <w:rPr>
                <w:sz w:val="19"/>
                <w:szCs w:val="19"/>
                <w:color w:val="auto"/>
              </w:rPr>
            </w:pPr>
          </w:p>
        </w:tc>
        <w:tc>
          <w:tcPr>
            <w:tcW w:w="16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rPr>
              <w:t>United States</w:t>
            </w:r>
          </w:p>
        </w:tc>
        <w:tc>
          <w:tcPr>
            <w:tcW w:w="1980" w:type="dxa"/>
            <w:vAlign w:val="bottom"/>
            <w:gridSpan w:val="2"/>
          </w:tcPr>
          <w:p>
            <w:pPr>
              <w:jc w:val="center"/>
              <w:ind w:left="40"/>
              <w:spacing w:after="0" w:line="220" w:lineRule="exact"/>
              <w:rPr>
                <w:sz w:val="20"/>
                <w:szCs w:val="20"/>
                <w:color w:val="auto"/>
              </w:rPr>
            </w:pPr>
            <w:r>
              <w:rPr>
                <w:rFonts w:ascii="Times New Roman" w:cs="Times New Roman" w:eastAsia="Times New Roman" w:hAnsi="Times New Roman"/>
                <w:sz w:val="20"/>
                <w:szCs w:val="20"/>
                <w:color w:val="auto"/>
                <w:w w:val="98"/>
              </w:rPr>
              <w:t>60%</w:t>
            </w:r>
          </w:p>
        </w:tc>
      </w:tr>
      <w:tr>
        <w:trPr>
          <w:trHeight w:val="219"/>
        </w:trPr>
        <w:tc>
          <w:tcPr>
            <w:tcW w:w="5700" w:type="dxa"/>
            <w:vAlign w:val="bottom"/>
          </w:tcPr>
          <w:p>
            <w:pPr>
              <w:ind w:left="40"/>
              <w:spacing w:after="0" w:line="219" w:lineRule="exact"/>
              <w:rPr>
                <w:sz w:val="20"/>
                <w:szCs w:val="20"/>
                <w:color w:val="auto"/>
              </w:rPr>
            </w:pPr>
            <w:r>
              <w:rPr>
                <w:rFonts w:ascii="Times New Roman" w:cs="Times New Roman" w:eastAsia="Times New Roman" w:hAnsi="Times New Roman"/>
                <w:sz w:val="20"/>
                <w:szCs w:val="20"/>
                <w:color w:val="auto"/>
              </w:rPr>
              <w:t>NTIC (Shanghai) Co., Ltd</w:t>
            </w:r>
          </w:p>
        </w:tc>
        <w:tc>
          <w:tcPr>
            <w:tcW w:w="160" w:type="dxa"/>
            <w:vAlign w:val="bottom"/>
          </w:tcPr>
          <w:p>
            <w:pPr>
              <w:spacing w:after="0"/>
              <w:rPr>
                <w:sz w:val="19"/>
                <w:szCs w:val="19"/>
                <w:color w:val="auto"/>
              </w:rPr>
            </w:pPr>
          </w:p>
        </w:tc>
        <w:tc>
          <w:tcPr>
            <w:tcW w:w="162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color w:val="auto"/>
              </w:rPr>
              <w:t>China</w:t>
            </w:r>
          </w:p>
        </w:tc>
        <w:tc>
          <w:tcPr>
            <w:tcW w:w="1980" w:type="dxa"/>
            <w:vAlign w:val="bottom"/>
            <w:gridSpan w:val="2"/>
          </w:tcPr>
          <w:p>
            <w:pPr>
              <w:jc w:val="center"/>
              <w:ind w:left="60"/>
              <w:spacing w:after="0" w:line="219" w:lineRule="exact"/>
              <w:rPr>
                <w:sz w:val="20"/>
                <w:szCs w:val="20"/>
                <w:color w:val="auto"/>
              </w:rPr>
            </w:pPr>
            <w:r>
              <w:rPr>
                <w:rFonts w:ascii="Times New Roman" w:cs="Times New Roman" w:eastAsia="Times New Roman" w:hAnsi="Times New Roman"/>
                <w:sz w:val="20"/>
                <w:szCs w:val="20"/>
                <w:color w:val="auto"/>
                <w:w w:val="98"/>
              </w:rPr>
              <w:t>100%</w:t>
            </w:r>
          </w:p>
        </w:tc>
      </w:tr>
      <w:tr>
        <w:trPr>
          <w:trHeight w:val="221"/>
        </w:trPr>
        <w:tc>
          <w:tcPr>
            <w:tcW w:w="5700" w:type="dxa"/>
            <w:vAlign w:val="bottom"/>
          </w:tcPr>
          <w:p>
            <w:pPr>
              <w:ind w:left="40"/>
              <w:spacing w:after="0" w:line="222" w:lineRule="exact"/>
              <w:rPr>
                <w:sz w:val="20"/>
                <w:szCs w:val="20"/>
                <w:color w:val="auto"/>
              </w:rPr>
            </w:pPr>
            <w:r>
              <w:rPr>
                <w:rFonts w:ascii="Times New Roman" w:cs="Times New Roman" w:eastAsia="Times New Roman" w:hAnsi="Times New Roman"/>
                <w:sz w:val="20"/>
                <w:szCs w:val="20"/>
                <w:color w:val="auto"/>
              </w:rPr>
              <w:t>NTIC Europe GmbH</w:t>
            </w:r>
          </w:p>
        </w:tc>
        <w:tc>
          <w:tcPr>
            <w:tcW w:w="160" w:type="dxa"/>
            <w:vAlign w:val="bottom"/>
          </w:tcPr>
          <w:p>
            <w:pPr>
              <w:spacing w:after="0"/>
              <w:rPr>
                <w:sz w:val="19"/>
                <w:szCs w:val="19"/>
                <w:color w:val="auto"/>
              </w:rPr>
            </w:pPr>
          </w:p>
        </w:tc>
        <w:tc>
          <w:tcPr>
            <w:tcW w:w="162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color w:val="auto"/>
              </w:rPr>
              <w:t>Germany</w:t>
            </w:r>
          </w:p>
        </w:tc>
        <w:tc>
          <w:tcPr>
            <w:tcW w:w="1980" w:type="dxa"/>
            <w:vAlign w:val="bottom"/>
            <w:gridSpan w:val="2"/>
          </w:tcPr>
          <w:p>
            <w:pPr>
              <w:jc w:val="center"/>
              <w:ind w:left="60"/>
              <w:spacing w:after="0" w:line="222" w:lineRule="exact"/>
              <w:rPr>
                <w:sz w:val="20"/>
                <w:szCs w:val="20"/>
                <w:color w:val="auto"/>
              </w:rPr>
            </w:pPr>
            <w:r>
              <w:rPr>
                <w:rFonts w:ascii="Times New Roman" w:cs="Times New Roman" w:eastAsia="Times New Roman" w:hAnsi="Times New Roman"/>
                <w:sz w:val="20"/>
                <w:szCs w:val="20"/>
                <w:color w:val="auto"/>
                <w:w w:val="98"/>
              </w:rPr>
              <w:t>100%</w:t>
            </w:r>
          </w:p>
        </w:tc>
      </w:tr>
      <w:tr>
        <w:trPr>
          <w:trHeight w:val="220"/>
        </w:trPr>
        <w:tc>
          <w:tcPr>
            <w:tcW w:w="570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Zerust Prevenção de Corrosão S.A.</w:t>
            </w:r>
          </w:p>
        </w:tc>
        <w:tc>
          <w:tcPr>
            <w:tcW w:w="160" w:type="dxa"/>
            <w:vAlign w:val="bottom"/>
          </w:tcPr>
          <w:p>
            <w:pPr>
              <w:spacing w:after="0"/>
              <w:rPr>
                <w:sz w:val="19"/>
                <w:szCs w:val="19"/>
                <w:color w:val="auto"/>
              </w:rPr>
            </w:pPr>
          </w:p>
        </w:tc>
        <w:tc>
          <w:tcPr>
            <w:tcW w:w="16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Brazil</w:t>
            </w:r>
          </w:p>
        </w:tc>
        <w:tc>
          <w:tcPr>
            <w:tcW w:w="1980" w:type="dxa"/>
            <w:vAlign w:val="bottom"/>
            <w:gridSpan w:val="2"/>
          </w:tcPr>
          <w:p>
            <w:pPr>
              <w:jc w:val="center"/>
              <w:ind w:left="40"/>
              <w:spacing w:after="0" w:line="220" w:lineRule="exact"/>
              <w:rPr>
                <w:sz w:val="20"/>
                <w:szCs w:val="20"/>
                <w:color w:val="auto"/>
              </w:rPr>
            </w:pPr>
            <w:r>
              <w:rPr>
                <w:rFonts w:ascii="Times New Roman" w:cs="Times New Roman" w:eastAsia="Times New Roman" w:hAnsi="Times New Roman"/>
                <w:sz w:val="20"/>
                <w:szCs w:val="20"/>
                <w:color w:val="auto"/>
                <w:w w:val="98"/>
              </w:rPr>
              <w:t>85%</w:t>
            </w:r>
          </w:p>
        </w:tc>
      </w:tr>
      <w:tr>
        <w:trPr>
          <w:trHeight w:val="221"/>
        </w:trPr>
        <w:tc>
          <w:tcPr>
            <w:tcW w:w="570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Zerust Singapore Pte Ltd</w:t>
            </w:r>
          </w:p>
        </w:tc>
        <w:tc>
          <w:tcPr>
            <w:tcW w:w="160" w:type="dxa"/>
            <w:vAlign w:val="bottom"/>
          </w:tcPr>
          <w:p>
            <w:pPr>
              <w:spacing w:after="0"/>
              <w:rPr>
                <w:sz w:val="19"/>
                <w:szCs w:val="19"/>
                <w:color w:val="auto"/>
              </w:rPr>
            </w:pPr>
          </w:p>
        </w:tc>
        <w:tc>
          <w:tcPr>
            <w:tcW w:w="162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color w:val="auto"/>
                <w:w w:val="95"/>
              </w:rPr>
              <w:t>Singapore</w:t>
            </w:r>
            <w:r>
              <w:rPr>
                <w:rFonts w:ascii="Times New Roman" w:cs="Times New Roman" w:eastAsia="Times New Roman" w:hAnsi="Times New Roman"/>
                <w:sz w:val="25"/>
                <w:szCs w:val="25"/>
                <w:color w:val="auto"/>
                <w:w w:val="95"/>
                <w:vertAlign w:val="superscript"/>
              </w:rPr>
              <w:t>(2)</w:t>
            </w:r>
          </w:p>
        </w:tc>
        <w:tc>
          <w:tcPr>
            <w:tcW w:w="1980" w:type="dxa"/>
            <w:vAlign w:val="bottom"/>
            <w:gridSpan w:val="2"/>
          </w:tcPr>
          <w:p>
            <w:pPr>
              <w:jc w:val="center"/>
              <w:ind w:left="40"/>
              <w:spacing w:after="0" w:line="221" w:lineRule="exact"/>
              <w:rPr>
                <w:sz w:val="20"/>
                <w:szCs w:val="20"/>
                <w:color w:val="auto"/>
              </w:rPr>
            </w:pPr>
            <w:r>
              <w:rPr>
                <w:rFonts w:ascii="Times New Roman" w:cs="Times New Roman" w:eastAsia="Times New Roman" w:hAnsi="Times New Roman"/>
                <w:sz w:val="20"/>
                <w:szCs w:val="20"/>
                <w:color w:val="auto"/>
                <w:w w:val="98"/>
              </w:rPr>
              <w:t>60%</w:t>
            </w:r>
          </w:p>
        </w:tc>
      </w:tr>
      <w:tr>
        <w:trPr>
          <w:trHeight w:val="220"/>
        </w:trPr>
        <w:tc>
          <w:tcPr>
            <w:tcW w:w="570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Zerust Vietnam Co. Ltd</w:t>
            </w:r>
          </w:p>
        </w:tc>
        <w:tc>
          <w:tcPr>
            <w:tcW w:w="160" w:type="dxa"/>
            <w:vAlign w:val="bottom"/>
          </w:tcPr>
          <w:p>
            <w:pPr>
              <w:spacing w:after="0"/>
              <w:rPr>
                <w:sz w:val="19"/>
                <w:szCs w:val="19"/>
                <w:color w:val="auto"/>
              </w:rPr>
            </w:pPr>
          </w:p>
        </w:tc>
        <w:tc>
          <w:tcPr>
            <w:tcW w:w="16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Vietnam</w:t>
            </w:r>
            <w:r>
              <w:rPr>
                <w:rFonts w:ascii="Times New Roman" w:cs="Times New Roman" w:eastAsia="Times New Roman" w:hAnsi="Times New Roman"/>
                <w:sz w:val="25"/>
                <w:szCs w:val="25"/>
                <w:color w:val="auto"/>
                <w:w w:val="95"/>
                <w:vertAlign w:val="superscript"/>
              </w:rPr>
              <w:t>(3)</w:t>
            </w:r>
          </w:p>
        </w:tc>
        <w:tc>
          <w:tcPr>
            <w:tcW w:w="1980" w:type="dxa"/>
            <w:vAlign w:val="bottom"/>
            <w:gridSpan w:val="2"/>
          </w:tcPr>
          <w:p>
            <w:pPr>
              <w:jc w:val="center"/>
              <w:ind w:left="40"/>
              <w:spacing w:after="0" w:line="220" w:lineRule="exact"/>
              <w:rPr>
                <w:sz w:val="20"/>
                <w:szCs w:val="20"/>
                <w:color w:val="auto"/>
              </w:rPr>
            </w:pPr>
            <w:r>
              <w:rPr>
                <w:rFonts w:ascii="Times New Roman" w:cs="Times New Roman" w:eastAsia="Times New Roman" w:hAnsi="Times New Roman"/>
                <w:sz w:val="20"/>
                <w:szCs w:val="20"/>
                <w:color w:val="auto"/>
                <w:w w:val="98"/>
              </w:rPr>
              <w:t>60%</w:t>
            </w:r>
          </w:p>
        </w:tc>
      </w:tr>
      <w:tr>
        <w:trPr>
          <w:trHeight w:val="220"/>
        </w:trPr>
        <w:tc>
          <w:tcPr>
            <w:tcW w:w="570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Zerust Taiwan Co., Ltd</w:t>
            </w:r>
          </w:p>
        </w:tc>
        <w:tc>
          <w:tcPr>
            <w:tcW w:w="160" w:type="dxa"/>
            <w:vAlign w:val="bottom"/>
          </w:tcPr>
          <w:p>
            <w:pPr>
              <w:spacing w:after="0"/>
              <w:rPr>
                <w:sz w:val="19"/>
                <w:szCs w:val="19"/>
                <w:color w:val="auto"/>
              </w:rPr>
            </w:pPr>
          </w:p>
        </w:tc>
        <w:tc>
          <w:tcPr>
            <w:tcW w:w="16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3"/>
              </w:rPr>
              <w:t>Taiwan</w:t>
            </w:r>
            <w:r>
              <w:rPr>
                <w:rFonts w:ascii="Times New Roman" w:cs="Times New Roman" w:eastAsia="Times New Roman" w:hAnsi="Times New Roman"/>
                <w:sz w:val="25"/>
                <w:szCs w:val="25"/>
                <w:color w:val="auto"/>
                <w:w w:val="93"/>
                <w:vertAlign w:val="superscript"/>
              </w:rPr>
              <w:t>(3)</w:t>
            </w:r>
          </w:p>
        </w:tc>
        <w:tc>
          <w:tcPr>
            <w:tcW w:w="1980" w:type="dxa"/>
            <w:vAlign w:val="bottom"/>
            <w:gridSpan w:val="2"/>
          </w:tcPr>
          <w:p>
            <w:pPr>
              <w:jc w:val="center"/>
              <w:ind w:left="40"/>
              <w:spacing w:after="0" w:line="220" w:lineRule="exact"/>
              <w:rPr>
                <w:sz w:val="20"/>
                <w:szCs w:val="20"/>
                <w:color w:val="auto"/>
              </w:rPr>
            </w:pPr>
            <w:r>
              <w:rPr>
                <w:rFonts w:ascii="Times New Roman" w:cs="Times New Roman" w:eastAsia="Times New Roman" w:hAnsi="Times New Roman"/>
                <w:sz w:val="20"/>
                <w:szCs w:val="20"/>
                <w:color w:val="auto"/>
                <w:w w:val="98"/>
              </w:rPr>
              <w:t>60%</w:t>
            </w:r>
          </w:p>
        </w:tc>
      </w:tr>
      <w:tr>
        <w:trPr>
          <w:trHeight w:val="221"/>
        </w:trPr>
        <w:tc>
          <w:tcPr>
            <w:tcW w:w="570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Zerust Integrity Solutions Trading LLC</w:t>
            </w:r>
          </w:p>
        </w:tc>
        <w:tc>
          <w:tcPr>
            <w:tcW w:w="160" w:type="dxa"/>
            <w:vAlign w:val="bottom"/>
          </w:tcPr>
          <w:p>
            <w:pPr>
              <w:spacing w:after="0"/>
              <w:rPr>
                <w:sz w:val="19"/>
                <w:szCs w:val="19"/>
                <w:color w:val="auto"/>
              </w:rPr>
            </w:pPr>
          </w:p>
        </w:tc>
        <w:tc>
          <w:tcPr>
            <w:tcW w:w="162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color w:val="auto"/>
                <w:w w:val="97"/>
              </w:rPr>
              <w:t>UAE</w:t>
            </w:r>
          </w:p>
        </w:tc>
        <w:tc>
          <w:tcPr>
            <w:tcW w:w="1980" w:type="dxa"/>
            <w:vAlign w:val="bottom"/>
            <w:gridSpan w:val="2"/>
          </w:tcPr>
          <w:p>
            <w:pPr>
              <w:jc w:val="center"/>
              <w:ind w:left="60"/>
              <w:spacing w:after="0" w:line="221" w:lineRule="exact"/>
              <w:rPr>
                <w:sz w:val="20"/>
                <w:szCs w:val="20"/>
                <w:color w:val="auto"/>
              </w:rPr>
            </w:pPr>
            <w:r>
              <w:rPr>
                <w:rFonts w:ascii="Times New Roman" w:cs="Times New Roman" w:eastAsia="Times New Roman" w:hAnsi="Times New Roman"/>
                <w:sz w:val="20"/>
                <w:szCs w:val="20"/>
                <w:color w:val="auto"/>
                <w:w w:val="98"/>
              </w:rPr>
              <w:t>100%</w:t>
            </w:r>
          </w:p>
        </w:tc>
      </w:tr>
      <w:tr>
        <w:trPr>
          <w:trHeight w:val="230"/>
        </w:trPr>
        <w:tc>
          <w:tcPr>
            <w:tcW w:w="5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ZERUST-EXCOR MEXICO, S. de R.L. de C.V.</w:t>
            </w:r>
          </w:p>
        </w:tc>
        <w:tc>
          <w:tcPr>
            <w:tcW w:w="1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Mexico</w:t>
            </w:r>
          </w:p>
        </w:tc>
        <w:tc>
          <w:tcPr>
            <w:tcW w:w="19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8"/>
              </w:rPr>
              <w:t>100%</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____________________</w:t>
            </w: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r>
    </w:tbl>
    <w:p>
      <w:pPr>
        <w:ind w:left="380" w:right="80" w:hanging="364"/>
        <w:spacing w:after="0"/>
        <w:tabs>
          <w:tab w:leader="none" w:pos="3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 Tec Lanka (Pvt) Ltd. is 100% owned by Natur-Tec India Private Limited and, therefore, indirectly owned by NTIC.</w:t>
      </w:r>
    </w:p>
    <w:p>
      <w:pPr>
        <w:ind w:left="380" w:hanging="364"/>
        <w:spacing w:after="0"/>
        <w:tabs>
          <w:tab w:leader="none" w:pos="3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Zerust Singapore Pte Ltd is 100% owned by NTI Asean LLC and, therefore, indirectly owned by NTIC.</w:t>
      </w:r>
    </w:p>
    <w:p>
      <w:pPr>
        <w:ind w:left="380" w:right="200" w:hanging="363"/>
        <w:spacing w:after="0" w:line="249" w:lineRule="auto"/>
        <w:tabs>
          <w:tab w:leader="none" w:pos="379"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Zerust Vietnam Co. Ltd and Zerust Taiwan Co., Ltd are 100% owned by Zerust Singapore Pte Ltd and, therefore, indirectly owned by NTIC.</w:t>
      </w:r>
    </w:p>
    <w:p>
      <w:pPr>
        <w:spacing w:after="0" w:line="155" w:lineRule="exact"/>
        <w:rPr>
          <w:sz w:val="20"/>
          <w:szCs w:val="20"/>
          <w:color w:val="auto"/>
        </w:rPr>
      </w:pPr>
    </w:p>
    <w:p>
      <w:pPr>
        <w:ind w:left="20" w:right="140"/>
        <w:spacing w:after="0" w:line="246" w:lineRule="auto"/>
        <w:rPr>
          <w:sz w:val="20"/>
          <w:szCs w:val="20"/>
          <w:color w:val="auto"/>
        </w:rPr>
      </w:pPr>
      <w:r>
        <w:rPr>
          <w:rFonts w:ascii="Times New Roman" w:cs="Times New Roman" w:eastAsia="Times New Roman" w:hAnsi="Times New Roman"/>
          <w:sz w:val="20"/>
          <w:szCs w:val="20"/>
          <w:color w:val="auto"/>
        </w:rPr>
        <w:t>NTIC participates in 15 active joint venture arrangements in North America, Europe, and Asia. Each of these joint ventures generally manufactures and markets products in the geographic territory to which it is assigned. NTIC’s joint ventures exclusively sell rust and corrosion inhibiting products. NTIC has historically funded its investments in joint ventures with cash generated from operations. NTIC accounts for the investments and financial results of its joint ventures in its consolidated financial statements utilizing the equity method of accounting. The following table sets forth a list of NTIC’s operating joint ventures as of November 20, 2025, the country in which the joint venture is organized, and NTIC’s ownership percentage in each joint venture: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NTIC Percent (%)</w:t>
            </w:r>
          </w:p>
        </w:tc>
        <w:tc>
          <w:tcPr>
            <w:tcW w:w="0" w:type="dxa"/>
            <w:vAlign w:val="bottom"/>
          </w:tcPr>
          <w:p>
            <w:pPr>
              <w:spacing w:after="0"/>
              <w:rPr>
                <w:sz w:val="1"/>
                <w:szCs w:val="1"/>
                <w:color w:val="auto"/>
              </w:rPr>
            </w:pPr>
          </w:p>
        </w:tc>
      </w:tr>
      <w:tr>
        <w:trPr>
          <w:trHeight w:val="246"/>
        </w:trPr>
        <w:tc>
          <w:tcPr>
            <w:tcW w:w="46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Joint Venture Name</w:t>
            </w:r>
          </w:p>
        </w:tc>
        <w:tc>
          <w:tcPr>
            <w:tcW w:w="10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40" w:type="dxa"/>
            <w:vAlign w:val="bottom"/>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184"/>
        </w:trPr>
        <w:tc>
          <w:tcPr>
            <w:tcW w:w="4680" w:type="dxa"/>
            <w:vAlign w:val="bottom"/>
          </w:tcPr>
          <w:p>
            <w:pPr>
              <w:ind w:left="40"/>
              <w:spacing w:after="0" w:line="184" w:lineRule="exact"/>
              <w:rPr>
                <w:sz w:val="20"/>
                <w:szCs w:val="20"/>
                <w:color w:val="auto"/>
              </w:rPr>
            </w:pPr>
            <w:r>
              <w:rPr>
                <w:rFonts w:ascii="Times New Roman" w:cs="Times New Roman" w:eastAsia="Times New Roman" w:hAnsi="Times New Roman"/>
                <w:sz w:val="20"/>
                <w:szCs w:val="20"/>
                <w:color w:val="auto"/>
              </w:rPr>
              <w:t>ACOBAL SAS</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center"/>
              <w:spacing w:after="0" w:line="184" w:lineRule="exact"/>
              <w:rPr>
                <w:sz w:val="20"/>
                <w:szCs w:val="20"/>
                <w:color w:val="auto"/>
              </w:rPr>
            </w:pPr>
            <w:r>
              <w:rPr>
                <w:rFonts w:ascii="Times New Roman" w:cs="Times New Roman" w:eastAsia="Times New Roman" w:hAnsi="Times New Roman"/>
                <w:sz w:val="20"/>
                <w:szCs w:val="20"/>
                <w:color w:val="auto"/>
              </w:rPr>
              <w:t>France</w:t>
            </w:r>
          </w:p>
        </w:tc>
        <w:tc>
          <w:tcPr>
            <w:tcW w:w="140" w:type="dxa"/>
            <w:vAlign w:val="bottom"/>
          </w:tcPr>
          <w:p>
            <w:pPr>
              <w:spacing w:after="0"/>
              <w:rPr>
                <w:sz w:val="16"/>
                <w:szCs w:val="16"/>
                <w:color w:val="auto"/>
              </w:rPr>
            </w:pPr>
          </w:p>
        </w:tc>
        <w:tc>
          <w:tcPr>
            <w:tcW w:w="1840" w:type="dxa"/>
            <w:vAlign w:val="bottom"/>
          </w:tcPr>
          <w:p>
            <w:pPr>
              <w:jc w:val="center"/>
              <w:spacing w:after="0" w:line="184" w:lineRule="exact"/>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221"/>
        </w:trPr>
        <w:tc>
          <w:tcPr>
            <w:tcW w:w="4680" w:type="dxa"/>
            <w:vAlign w:val="bottom"/>
          </w:tcPr>
          <w:p>
            <w:pPr>
              <w:ind w:left="40"/>
              <w:spacing w:after="0" w:line="222" w:lineRule="exact"/>
              <w:rPr>
                <w:sz w:val="20"/>
                <w:szCs w:val="20"/>
                <w:color w:val="auto"/>
              </w:rPr>
            </w:pPr>
            <w:r>
              <w:rPr>
                <w:rFonts w:ascii="Times New Roman" w:cs="Times New Roman" w:eastAsia="Times New Roman" w:hAnsi="Times New Roman"/>
                <w:sz w:val="20"/>
                <w:szCs w:val="20"/>
                <w:color w:val="auto"/>
              </w:rPr>
              <w:t>CHONG WAH-NTIA SDN. BHD.</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color w:val="auto"/>
                <w:w w:val="94"/>
              </w:rPr>
              <w:t xml:space="preserve">Malaysia </w:t>
            </w:r>
            <w:r>
              <w:rPr>
                <w:rFonts w:ascii="Times New Roman" w:cs="Times New Roman" w:eastAsia="Times New Roman" w:hAnsi="Times New Roman"/>
                <w:sz w:val="25"/>
                <w:szCs w:val="25"/>
                <w:color w:val="auto"/>
                <w:w w:val="94"/>
                <w:vertAlign w:val="superscript"/>
              </w:rPr>
              <w:t>(1)</w:t>
            </w:r>
          </w:p>
        </w:tc>
        <w:tc>
          <w:tcPr>
            <w:tcW w:w="1980" w:type="dxa"/>
            <w:vAlign w:val="bottom"/>
            <w:gridSpan w:val="2"/>
          </w:tcPr>
          <w:p>
            <w:pPr>
              <w:jc w:val="center"/>
              <w:ind w:left="40"/>
              <w:spacing w:after="0" w:line="222" w:lineRule="exact"/>
              <w:rPr>
                <w:sz w:val="20"/>
                <w:szCs w:val="20"/>
                <w:color w:val="auto"/>
              </w:rPr>
            </w:pPr>
            <w:r>
              <w:rPr>
                <w:rFonts w:ascii="Times New Roman" w:cs="Times New Roman" w:eastAsia="Times New Roman" w:hAnsi="Times New Roman"/>
                <w:sz w:val="20"/>
                <w:szCs w:val="20"/>
                <w:color w:val="auto"/>
                <w:w w:val="98"/>
              </w:rPr>
              <w:t>30%</w:t>
            </w:r>
          </w:p>
        </w:tc>
        <w:tc>
          <w:tcPr>
            <w:tcW w:w="0" w:type="dxa"/>
            <w:vAlign w:val="bottom"/>
          </w:tcPr>
          <w:p>
            <w:pPr>
              <w:spacing w:after="0"/>
              <w:rPr>
                <w:sz w:val="1"/>
                <w:szCs w:val="1"/>
                <w:color w:val="auto"/>
              </w:rPr>
            </w:pPr>
          </w:p>
        </w:tc>
      </w:tr>
      <w:tr>
        <w:trPr>
          <w:trHeight w:val="221"/>
        </w:trPr>
        <w:tc>
          <w:tcPr>
            <w:tcW w:w="468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EXCOR KORROSIONSSCHUTZ – TECHNOLOGIEN</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Germany</w:t>
            </w:r>
          </w:p>
        </w:tc>
        <w:tc>
          <w:tcPr>
            <w:tcW w:w="1980" w:type="dxa"/>
            <w:vAlign w:val="bottom"/>
            <w:gridSpan w:val="2"/>
            <w:vMerge w:val="restart"/>
          </w:tcPr>
          <w:p>
            <w:pPr>
              <w:jc w:val="center"/>
              <w:ind w:left="40"/>
              <w:spacing w:after="0"/>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156"/>
        </w:trPr>
        <w:tc>
          <w:tcPr>
            <w:tcW w:w="4680" w:type="dxa"/>
            <w:vAlign w:val="bottom"/>
            <w:vMerge w:val="restart"/>
          </w:tcPr>
          <w:p>
            <w:pPr>
              <w:ind w:left="280"/>
              <w:spacing w:after="0" w:line="220" w:lineRule="exact"/>
              <w:rPr>
                <w:sz w:val="20"/>
                <w:szCs w:val="20"/>
                <w:color w:val="auto"/>
              </w:rPr>
            </w:pPr>
            <w:r>
              <w:rPr>
                <w:rFonts w:ascii="Times New Roman" w:cs="Times New Roman" w:eastAsia="Times New Roman" w:hAnsi="Times New Roman"/>
                <w:sz w:val="20"/>
                <w:szCs w:val="20"/>
                <w:color w:val="auto"/>
              </w:rPr>
              <w:t>UND PRODUKTE GMBH</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46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EXCOR SP. Z.O.O.</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rPr>
              <w:t>Poland</w:t>
            </w:r>
          </w:p>
        </w:tc>
        <w:tc>
          <w:tcPr>
            <w:tcW w:w="1980" w:type="dxa"/>
            <w:vAlign w:val="bottom"/>
            <w:gridSpan w:val="2"/>
          </w:tcPr>
          <w:p>
            <w:pPr>
              <w:jc w:val="center"/>
              <w:ind w:left="40"/>
              <w:spacing w:after="0" w:line="220" w:lineRule="exact"/>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221"/>
        </w:trPr>
        <w:tc>
          <w:tcPr>
            <w:tcW w:w="468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EXCOR-ZERUST S.R.O.</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color w:val="auto"/>
              </w:rPr>
              <w:t>Czech Republic</w:t>
            </w:r>
          </w:p>
        </w:tc>
        <w:tc>
          <w:tcPr>
            <w:tcW w:w="1980" w:type="dxa"/>
            <w:vAlign w:val="bottom"/>
            <w:gridSpan w:val="2"/>
          </w:tcPr>
          <w:p>
            <w:pPr>
              <w:jc w:val="center"/>
              <w:ind w:left="40"/>
              <w:spacing w:after="0" w:line="221" w:lineRule="exact"/>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220"/>
        </w:trPr>
        <w:tc>
          <w:tcPr>
            <w:tcW w:w="468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KOREA ZERUST CO., LTD.</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 xml:space="preserve">South Korea </w:t>
            </w:r>
            <w:r>
              <w:rPr>
                <w:rFonts w:ascii="Times New Roman" w:cs="Times New Roman" w:eastAsia="Times New Roman" w:hAnsi="Times New Roman"/>
                <w:sz w:val="25"/>
                <w:szCs w:val="25"/>
                <w:color w:val="auto"/>
                <w:w w:val="95"/>
                <w:vertAlign w:val="superscript"/>
              </w:rPr>
              <w:t>(1)</w:t>
            </w:r>
          </w:p>
        </w:tc>
        <w:tc>
          <w:tcPr>
            <w:tcW w:w="1980" w:type="dxa"/>
            <w:vAlign w:val="bottom"/>
            <w:gridSpan w:val="2"/>
          </w:tcPr>
          <w:p>
            <w:pPr>
              <w:jc w:val="center"/>
              <w:ind w:left="40"/>
              <w:spacing w:after="0" w:line="220" w:lineRule="exact"/>
              <w:rPr>
                <w:sz w:val="20"/>
                <w:szCs w:val="20"/>
                <w:color w:val="auto"/>
              </w:rPr>
            </w:pPr>
            <w:r>
              <w:rPr>
                <w:rFonts w:ascii="Times New Roman" w:cs="Times New Roman" w:eastAsia="Times New Roman" w:hAnsi="Times New Roman"/>
                <w:sz w:val="20"/>
                <w:szCs w:val="20"/>
                <w:color w:val="auto"/>
                <w:w w:val="98"/>
              </w:rPr>
              <w:t>30%</w:t>
            </w:r>
          </w:p>
        </w:tc>
        <w:tc>
          <w:tcPr>
            <w:tcW w:w="0" w:type="dxa"/>
            <w:vAlign w:val="bottom"/>
          </w:tcPr>
          <w:p>
            <w:pPr>
              <w:spacing w:after="0"/>
              <w:rPr>
                <w:sz w:val="1"/>
                <w:szCs w:val="1"/>
                <w:color w:val="auto"/>
              </w:rPr>
            </w:pPr>
          </w:p>
        </w:tc>
      </w:tr>
      <w:tr>
        <w:trPr>
          <w:trHeight w:val="220"/>
        </w:trPr>
        <w:tc>
          <w:tcPr>
            <w:tcW w:w="468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PT. CHEMINDO – NTIA</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3"/>
              </w:rPr>
              <w:t xml:space="preserve">Indonesia </w:t>
            </w:r>
            <w:r>
              <w:rPr>
                <w:rFonts w:ascii="Times New Roman" w:cs="Times New Roman" w:eastAsia="Times New Roman" w:hAnsi="Times New Roman"/>
                <w:sz w:val="25"/>
                <w:szCs w:val="25"/>
                <w:color w:val="auto"/>
                <w:w w:val="93"/>
                <w:vertAlign w:val="superscript"/>
              </w:rPr>
              <w:t>(1)</w:t>
            </w:r>
          </w:p>
        </w:tc>
        <w:tc>
          <w:tcPr>
            <w:tcW w:w="1980" w:type="dxa"/>
            <w:vAlign w:val="bottom"/>
            <w:gridSpan w:val="2"/>
          </w:tcPr>
          <w:p>
            <w:pPr>
              <w:jc w:val="center"/>
              <w:ind w:left="40"/>
              <w:spacing w:after="0" w:line="220" w:lineRule="exact"/>
              <w:rPr>
                <w:sz w:val="20"/>
                <w:szCs w:val="20"/>
                <w:color w:val="auto"/>
              </w:rPr>
            </w:pPr>
            <w:r>
              <w:rPr>
                <w:rFonts w:ascii="Times New Roman" w:cs="Times New Roman" w:eastAsia="Times New Roman" w:hAnsi="Times New Roman"/>
                <w:sz w:val="20"/>
                <w:szCs w:val="20"/>
                <w:color w:val="auto"/>
                <w:w w:val="98"/>
              </w:rPr>
              <w:t>30%</w:t>
            </w:r>
          </w:p>
        </w:tc>
        <w:tc>
          <w:tcPr>
            <w:tcW w:w="0" w:type="dxa"/>
            <w:vAlign w:val="bottom"/>
          </w:tcPr>
          <w:p>
            <w:pPr>
              <w:spacing w:after="0"/>
              <w:rPr>
                <w:sz w:val="1"/>
                <w:szCs w:val="1"/>
                <w:color w:val="auto"/>
              </w:rPr>
            </w:pPr>
          </w:p>
        </w:tc>
      </w:tr>
      <w:tr>
        <w:trPr>
          <w:trHeight w:val="221"/>
        </w:trPr>
        <w:tc>
          <w:tcPr>
            <w:tcW w:w="468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TAIYONIC LTD.</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color w:val="auto"/>
                <w:w w:val="96"/>
              </w:rPr>
              <w:t>Japan</w:t>
            </w:r>
          </w:p>
        </w:tc>
        <w:tc>
          <w:tcPr>
            <w:tcW w:w="1980" w:type="dxa"/>
            <w:vAlign w:val="bottom"/>
            <w:gridSpan w:val="2"/>
          </w:tcPr>
          <w:p>
            <w:pPr>
              <w:jc w:val="center"/>
              <w:ind w:left="40"/>
              <w:spacing w:after="0" w:line="221" w:lineRule="exact"/>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218"/>
        </w:trPr>
        <w:tc>
          <w:tcPr>
            <w:tcW w:w="4680" w:type="dxa"/>
            <w:vAlign w:val="bottom"/>
          </w:tcPr>
          <w:p>
            <w:pPr>
              <w:ind w:left="40"/>
              <w:spacing w:after="0" w:line="218" w:lineRule="exact"/>
              <w:rPr>
                <w:sz w:val="20"/>
                <w:szCs w:val="20"/>
                <w:color w:val="auto"/>
              </w:rPr>
            </w:pPr>
            <w:r>
              <w:rPr>
                <w:rFonts w:ascii="Times New Roman" w:cs="Times New Roman" w:eastAsia="Times New Roman" w:hAnsi="Times New Roman"/>
                <w:sz w:val="20"/>
                <w:szCs w:val="20"/>
                <w:color w:val="auto"/>
              </w:rPr>
              <w:t>ZERUST – DNEPR</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spacing w:after="0" w:line="218" w:lineRule="exact"/>
              <w:rPr>
                <w:sz w:val="20"/>
                <w:szCs w:val="20"/>
                <w:color w:val="auto"/>
              </w:rPr>
            </w:pPr>
            <w:r>
              <w:rPr>
                <w:rFonts w:ascii="Times New Roman" w:cs="Times New Roman" w:eastAsia="Times New Roman" w:hAnsi="Times New Roman"/>
                <w:sz w:val="20"/>
                <w:szCs w:val="20"/>
                <w:color w:val="auto"/>
                <w:w w:val="99"/>
              </w:rPr>
              <w:t>Ukraine</w:t>
            </w:r>
          </w:p>
        </w:tc>
        <w:tc>
          <w:tcPr>
            <w:tcW w:w="1980" w:type="dxa"/>
            <w:vAlign w:val="bottom"/>
            <w:gridSpan w:val="2"/>
          </w:tcPr>
          <w:p>
            <w:pPr>
              <w:jc w:val="center"/>
              <w:ind w:left="60"/>
              <w:spacing w:after="0" w:line="218" w:lineRule="exact"/>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21"/>
        </w:trPr>
        <w:tc>
          <w:tcPr>
            <w:tcW w:w="4680" w:type="dxa"/>
            <w:vAlign w:val="bottom"/>
          </w:tcPr>
          <w:p>
            <w:pPr>
              <w:ind w:left="40"/>
              <w:spacing w:after="0" w:line="222" w:lineRule="exact"/>
              <w:rPr>
                <w:sz w:val="20"/>
                <w:szCs w:val="20"/>
                <w:color w:val="auto"/>
              </w:rPr>
            </w:pPr>
            <w:r>
              <w:rPr>
                <w:rFonts w:ascii="Times New Roman" w:cs="Times New Roman" w:eastAsia="Times New Roman" w:hAnsi="Times New Roman"/>
                <w:sz w:val="20"/>
                <w:szCs w:val="20"/>
                <w:color w:val="auto"/>
              </w:rPr>
              <w:t>ZERUST (U.K.) LTD.</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color w:val="auto"/>
              </w:rPr>
              <w:t>United Kingdom</w:t>
            </w:r>
          </w:p>
        </w:tc>
        <w:tc>
          <w:tcPr>
            <w:tcW w:w="1980" w:type="dxa"/>
            <w:vAlign w:val="bottom"/>
            <w:gridSpan w:val="2"/>
          </w:tcPr>
          <w:p>
            <w:pPr>
              <w:jc w:val="center"/>
              <w:ind w:left="40"/>
              <w:spacing w:after="0" w:line="222" w:lineRule="exact"/>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267"/>
        </w:trPr>
        <w:tc>
          <w:tcPr>
            <w:tcW w:w="4680" w:type="dxa"/>
            <w:vAlign w:val="bottom"/>
          </w:tcPr>
          <w:p>
            <w:pPr>
              <w:ind w:left="40"/>
              <w:spacing w:after="0"/>
              <w:rPr>
                <w:sz w:val="20"/>
                <w:szCs w:val="20"/>
                <w:color w:val="auto"/>
              </w:rPr>
            </w:pPr>
            <w:r>
              <w:rPr>
                <w:rFonts w:ascii="PMingLiU" w:cs="PMingLiU" w:eastAsia="PMingLiU" w:hAnsi="PMingLiU"/>
                <w:sz w:val="20"/>
                <w:szCs w:val="20"/>
                <w:color w:val="auto"/>
              </w:rPr>
              <w:t>=(5867$ù</w:t>
            </w: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Turkey</w:t>
            </w:r>
          </w:p>
        </w:tc>
        <w:tc>
          <w:tcPr>
            <w:tcW w:w="1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443"/>
        </w:trPr>
        <w:tc>
          <w:tcPr>
            <w:tcW w:w="4680" w:type="dxa"/>
            <w:vAlign w:val="bottom"/>
          </w:tcPr>
          <w:p>
            <w:pPr>
              <w:spacing w:after="0"/>
              <w:rPr>
                <w:sz w:val="24"/>
                <w:szCs w:val="24"/>
                <w:color w:val="auto"/>
              </w:rPr>
            </w:pPr>
          </w:p>
        </w:tc>
        <w:tc>
          <w:tcPr>
            <w:tcW w:w="1020" w:type="dxa"/>
            <w:vAlign w:val="bottom"/>
          </w:tcPr>
          <w:p>
            <w:pPr>
              <w:jc w:val="right"/>
              <w:ind w:right="720"/>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660"/>
          </w:cols>
          <w:pgMar w:left="1280" w:top="1132" w:right="1300" w:bottom="345"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NTIC Percent (%)</w:t>
            </w:r>
          </w:p>
        </w:tc>
      </w:tr>
      <w:tr>
        <w:trPr>
          <w:trHeight w:val="246"/>
        </w:trPr>
        <w:tc>
          <w:tcPr>
            <w:tcW w:w="57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Joint Venture Name</w:t>
            </w:r>
          </w:p>
        </w:tc>
        <w:tc>
          <w:tcPr>
            <w:tcW w:w="16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40" w:type="dxa"/>
            <w:vAlign w:val="bottom"/>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186"/>
        </w:trPr>
        <w:tc>
          <w:tcPr>
            <w:tcW w:w="5700" w:type="dxa"/>
            <w:vAlign w:val="bottom"/>
          </w:tcPr>
          <w:p>
            <w:pPr>
              <w:ind w:left="40"/>
              <w:spacing w:after="0" w:line="185" w:lineRule="exact"/>
              <w:rPr>
                <w:sz w:val="20"/>
                <w:szCs w:val="20"/>
                <w:color w:val="auto"/>
              </w:rPr>
            </w:pPr>
            <w:r>
              <w:rPr>
                <w:rFonts w:ascii="Times New Roman" w:cs="Times New Roman" w:eastAsia="Times New Roman" w:hAnsi="Times New Roman"/>
                <w:sz w:val="20"/>
                <w:szCs w:val="20"/>
                <w:color w:val="auto"/>
              </w:rPr>
              <w:t>ZERUST AB</w:t>
            </w:r>
          </w:p>
        </w:tc>
        <w:tc>
          <w:tcPr>
            <w:tcW w:w="160" w:type="dxa"/>
            <w:vAlign w:val="bottom"/>
          </w:tcPr>
          <w:p>
            <w:pPr>
              <w:spacing w:after="0"/>
              <w:rPr>
                <w:sz w:val="16"/>
                <w:szCs w:val="16"/>
                <w:color w:val="auto"/>
              </w:rPr>
            </w:pPr>
          </w:p>
        </w:tc>
        <w:tc>
          <w:tcPr>
            <w:tcW w:w="1620" w:type="dxa"/>
            <w:vAlign w:val="bottom"/>
          </w:tcPr>
          <w:p>
            <w:pPr>
              <w:jc w:val="center"/>
              <w:spacing w:after="0" w:line="185" w:lineRule="exact"/>
              <w:rPr>
                <w:sz w:val="20"/>
                <w:szCs w:val="20"/>
                <w:color w:val="auto"/>
              </w:rPr>
            </w:pPr>
            <w:r>
              <w:rPr>
                <w:rFonts w:ascii="Times New Roman" w:cs="Times New Roman" w:eastAsia="Times New Roman" w:hAnsi="Times New Roman"/>
                <w:sz w:val="20"/>
                <w:szCs w:val="20"/>
                <w:color w:val="auto"/>
              </w:rPr>
              <w:t>Sweden</w:t>
            </w:r>
          </w:p>
        </w:tc>
        <w:tc>
          <w:tcPr>
            <w:tcW w:w="140" w:type="dxa"/>
            <w:vAlign w:val="bottom"/>
          </w:tcPr>
          <w:p>
            <w:pPr>
              <w:spacing w:after="0"/>
              <w:rPr>
                <w:sz w:val="16"/>
                <w:szCs w:val="16"/>
                <w:color w:val="auto"/>
              </w:rPr>
            </w:pPr>
          </w:p>
        </w:tc>
        <w:tc>
          <w:tcPr>
            <w:tcW w:w="1840" w:type="dxa"/>
            <w:vAlign w:val="bottom"/>
          </w:tcPr>
          <w:p>
            <w:pPr>
              <w:jc w:val="center"/>
              <w:spacing w:after="0" w:line="185" w:lineRule="exact"/>
              <w:rPr>
                <w:sz w:val="20"/>
                <w:szCs w:val="20"/>
                <w:color w:val="auto"/>
              </w:rPr>
            </w:pPr>
            <w:r>
              <w:rPr>
                <w:rFonts w:ascii="Times New Roman" w:cs="Times New Roman" w:eastAsia="Times New Roman" w:hAnsi="Times New Roman"/>
                <w:sz w:val="20"/>
                <w:szCs w:val="20"/>
                <w:color w:val="auto"/>
                <w:w w:val="98"/>
              </w:rPr>
              <w:t>50%</w:t>
            </w:r>
          </w:p>
        </w:tc>
      </w:tr>
      <w:tr>
        <w:trPr>
          <w:trHeight w:val="220"/>
        </w:trPr>
        <w:tc>
          <w:tcPr>
            <w:tcW w:w="570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ZERUST CONSUMER PRODUCTS, LLC</w:t>
            </w:r>
          </w:p>
        </w:tc>
        <w:tc>
          <w:tcPr>
            <w:tcW w:w="160" w:type="dxa"/>
            <w:vAlign w:val="bottom"/>
          </w:tcPr>
          <w:p>
            <w:pPr>
              <w:spacing w:after="0"/>
              <w:rPr>
                <w:sz w:val="19"/>
                <w:szCs w:val="19"/>
                <w:color w:val="auto"/>
              </w:rPr>
            </w:pPr>
          </w:p>
        </w:tc>
        <w:tc>
          <w:tcPr>
            <w:tcW w:w="162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rPr>
              <w:t>United States</w:t>
            </w:r>
          </w:p>
        </w:tc>
        <w:tc>
          <w:tcPr>
            <w:tcW w:w="1980" w:type="dxa"/>
            <w:vAlign w:val="bottom"/>
            <w:gridSpan w:val="2"/>
          </w:tcPr>
          <w:p>
            <w:pPr>
              <w:jc w:val="center"/>
              <w:ind w:left="60"/>
              <w:spacing w:after="0" w:line="220" w:lineRule="exact"/>
              <w:rPr>
                <w:sz w:val="20"/>
                <w:szCs w:val="20"/>
                <w:color w:val="auto"/>
              </w:rPr>
            </w:pPr>
            <w:r>
              <w:rPr>
                <w:rFonts w:ascii="Times New Roman" w:cs="Times New Roman" w:eastAsia="Times New Roman" w:hAnsi="Times New Roman"/>
                <w:sz w:val="20"/>
                <w:szCs w:val="20"/>
                <w:color w:val="auto"/>
              </w:rPr>
              <w:t>50%</w:t>
            </w:r>
          </w:p>
        </w:tc>
      </w:tr>
      <w:tr>
        <w:trPr>
          <w:trHeight w:val="221"/>
        </w:trPr>
        <w:tc>
          <w:tcPr>
            <w:tcW w:w="570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ZERUST OY</w:t>
            </w:r>
          </w:p>
        </w:tc>
        <w:tc>
          <w:tcPr>
            <w:tcW w:w="160" w:type="dxa"/>
            <w:vAlign w:val="bottom"/>
          </w:tcPr>
          <w:p>
            <w:pPr>
              <w:spacing w:after="0"/>
              <w:rPr>
                <w:sz w:val="19"/>
                <w:szCs w:val="19"/>
                <w:color w:val="auto"/>
              </w:rPr>
            </w:pPr>
          </w:p>
        </w:tc>
        <w:tc>
          <w:tcPr>
            <w:tcW w:w="162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color w:val="auto"/>
                <w:w w:val="98"/>
              </w:rPr>
              <w:t>Finland</w:t>
            </w:r>
          </w:p>
        </w:tc>
        <w:tc>
          <w:tcPr>
            <w:tcW w:w="1980" w:type="dxa"/>
            <w:vAlign w:val="bottom"/>
            <w:gridSpan w:val="2"/>
          </w:tcPr>
          <w:p>
            <w:pPr>
              <w:jc w:val="center"/>
              <w:ind w:left="40"/>
              <w:spacing w:after="0" w:line="221" w:lineRule="exact"/>
              <w:rPr>
                <w:sz w:val="20"/>
                <w:szCs w:val="20"/>
                <w:color w:val="auto"/>
              </w:rPr>
            </w:pPr>
            <w:r>
              <w:rPr>
                <w:rFonts w:ascii="Times New Roman" w:cs="Times New Roman" w:eastAsia="Times New Roman" w:hAnsi="Times New Roman"/>
                <w:sz w:val="20"/>
                <w:szCs w:val="20"/>
                <w:color w:val="auto"/>
                <w:w w:val="98"/>
              </w:rPr>
              <w:t>50%</w:t>
            </w:r>
          </w:p>
        </w:tc>
      </w:tr>
      <w:tr>
        <w:trPr>
          <w:trHeight w:val="230"/>
        </w:trPr>
        <w:tc>
          <w:tcPr>
            <w:tcW w:w="5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ZERUST SPECIALTY TECH CO. LTD.</w:t>
            </w:r>
          </w:p>
        </w:tc>
        <w:tc>
          <w:tcPr>
            <w:tcW w:w="160" w:type="dxa"/>
            <w:vAlign w:val="bottom"/>
          </w:tcPr>
          <w:p>
            <w:pPr>
              <w:spacing w:after="0"/>
              <w:rPr>
                <w:sz w:val="20"/>
                <w:szCs w:val="20"/>
                <w:color w:val="auto"/>
              </w:rPr>
            </w:pPr>
          </w:p>
        </w:tc>
        <w:tc>
          <w:tcPr>
            <w:tcW w:w="1620" w:type="dxa"/>
            <w:vAlign w:val="bottom"/>
          </w:tcPr>
          <w:p>
            <w:pPr>
              <w:jc w:val="center"/>
              <w:spacing w:after="0" w:line="230" w:lineRule="exact"/>
              <w:rPr>
                <w:sz w:val="20"/>
                <w:szCs w:val="20"/>
                <w:color w:val="auto"/>
              </w:rPr>
            </w:pPr>
            <w:r>
              <w:rPr>
                <w:rFonts w:ascii="Times New Roman" w:cs="Times New Roman" w:eastAsia="Times New Roman" w:hAnsi="Times New Roman"/>
                <w:sz w:val="20"/>
                <w:szCs w:val="20"/>
                <w:color w:val="auto"/>
                <w:w w:val="92"/>
              </w:rPr>
              <w:t xml:space="preserve">Thailand </w:t>
            </w:r>
            <w:r>
              <w:rPr>
                <w:rFonts w:ascii="Times New Roman" w:cs="Times New Roman" w:eastAsia="Times New Roman" w:hAnsi="Times New Roman"/>
                <w:sz w:val="25"/>
                <w:szCs w:val="25"/>
                <w:color w:val="auto"/>
                <w:w w:val="92"/>
                <w:vertAlign w:val="superscript"/>
              </w:rPr>
              <w:t>(1)</w:t>
            </w:r>
          </w:p>
        </w:tc>
        <w:tc>
          <w:tcPr>
            <w:tcW w:w="198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8"/>
              </w:rPr>
              <w:t>30%</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____________________</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7"/>
        </w:trPr>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 Indirect ownership interest through NTI Asean.</w:t>
            </w: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40" w:type="dxa"/>
            <w:vAlign w:val="bottom"/>
          </w:tcPr>
          <w:p>
            <w:pPr>
              <w:spacing w:after="0"/>
              <w:rPr>
                <w:sz w:val="23"/>
                <w:szCs w:val="23"/>
                <w:color w:val="auto"/>
              </w:rPr>
            </w:pPr>
          </w:p>
        </w:tc>
      </w:tr>
    </w:tbl>
    <w:p>
      <w:pPr>
        <w:spacing w:after="0" w:line="203" w:lineRule="exact"/>
        <w:rPr>
          <w:sz w:val="20"/>
          <w:szCs w:val="20"/>
          <w:color w:val="auto"/>
        </w:rPr>
      </w:pPr>
    </w:p>
    <w:p>
      <w:pPr>
        <w:ind w:left="20"/>
        <w:spacing w:after="0" w:line="259" w:lineRule="auto"/>
        <w:rPr>
          <w:sz w:val="20"/>
          <w:szCs w:val="20"/>
          <w:color w:val="auto"/>
        </w:rPr>
      </w:pPr>
      <w:r>
        <w:rPr>
          <w:rFonts w:ascii="Times New Roman" w:cs="Times New Roman" w:eastAsia="Times New Roman" w:hAnsi="Times New Roman"/>
          <w:sz w:val="20"/>
          <w:szCs w:val="20"/>
          <w:color w:val="auto"/>
        </w:rPr>
        <w:t>For more information regarding NTIC’s joint ventures and their effect on NTIC’s operating results, see NTIC’s consolidated financial statements in “</w:t>
      </w:r>
      <w:r>
        <w:rPr>
          <w:rFonts w:ascii="Times New Roman" w:cs="Times New Roman" w:eastAsia="Times New Roman" w:hAnsi="Times New Roman"/>
          <w:sz w:val="20"/>
          <w:szCs w:val="20"/>
          <w:i w:val="1"/>
          <w:iCs w:val="1"/>
          <w:color w:val="auto"/>
        </w:rPr>
        <w:t>Part II. Item 8. Financial Statements and Supplementary Data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Part II. Item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7. Management’s Discussion and Analysis of Financial Condition and Results of Operations</w:t>
      </w:r>
      <w:r>
        <w:rPr>
          <w:rFonts w:ascii="Times New Roman" w:cs="Times New Roman" w:eastAsia="Times New Roman" w:hAnsi="Times New Roman"/>
          <w:sz w:val="20"/>
          <w:szCs w:val="20"/>
          <w:color w:val="auto"/>
        </w:rPr>
        <w:t>” of this report.</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Products</w:t>
      </w:r>
    </w:p>
    <w:p>
      <w:pPr>
        <w:spacing w:after="0" w:line="244" w:lineRule="exact"/>
        <w:rPr>
          <w:sz w:val="20"/>
          <w:szCs w:val="20"/>
          <w:color w:val="auto"/>
        </w:rPr>
      </w:pPr>
    </w:p>
    <w:p>
      <w:pPr>
        <w:ind w:left="20" w:right="440"/>
        <w:spacing w:after="0" w:line="241" w:lineRule="auto"/>
        <w:rPr>
          <w:sz w:val="20"/>
          <w:szCs w:val="20"/>
          <w:color w:val="auto"/>
        </w:rPr>
      </w:pPr>
      <w:r>
        <w:rPr>
          <w:rFonts w:ascii="Times New Roman" w:cs="Times New Roman" w:eastAsia="Times New Roman" w:hAnsi="Times New Roman"/>
          <w:sz w:val="20"/>
          <w:szCs w:val="20"/>
          <w:color w:val="auto"/>
        </w:rPr>
        <w:t>NTIC derives revenues directly and/or indirectly through its subsidiaries and joint ventures from two reportable business segments based on products sold, customer base, and distribution center: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and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w:t>
      </w:r>
    </w:p>
    <w:p>
      <w:pPr>
        <w:spacing w:after="0" w:line="122" w:lineRule="exact"/>
        <w:rPr>
          <w:sz w:val="20"/>
          <w:szCs w:val="20"/>
          <w:color w:val="auto"/>
        </w:rPr>
      </w:pPr>
    </w:p>
    <w:p>
      <w:pPr>
        <w:ind w:left="20" w:right="20"/>
        <w:spacing w:after="0" w:line="219" w:lineRule="auto"/>
        <w:rPr>
          <w:sz w:val="20"/>
          <w:szCs w:val="20"/>
          <w:color w:val="auto"/>
        </w:rPr>
      </w:pPr>
      <w:r>
        <w:rPr>
          <w:rFonts w:ascii="Times New Roman" w:cs="Times New Roman" w:eastAsia="Times New Roman" w:hAnsi="Times New Roman"/>
          <w:sz w:val="20"/>
          <w:szCs w:val="20"/>
          <w:b w:val="1"/>
          <w:bCs w:val="1"/>
          <w:i w:val="1"/>
          <w:iCs w:val="1"/>
          <w:color w:val="auto"/>
        </w:rPr>
        <w:t>ZERUST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Corrosion Prevention Solutions</w:t>
      </w:r>
      <w:r>
        <w:rPr>
          <w:rFonts w:ascii="Times New Roman" w:cs="Times New Roman" w:eastAsia="Times New Roman" w:hAnsi="Times New Roman"/>
          <w:sz w:val="20"/>
          <w:szCs w:val="20"/>
          <w:color w:val="auto"/>
        </w:rPr>
        <w:t>. In fiscal 2025, 74.2% of NTIC’s consolidated net sales were derived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developing, manufacturing and marketing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and services. NTIC’s consolidated net sales in fiscal 2025 included $62,488,397 in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and services, a decrease of 1.0% from such sales in fiscal 2024. Corrosion not only damages the appearance of metal products and components but also negatively impacts their mechanical performance. This applies to the rusting of ferrous metals (iron and steel) and the deterioration by oxidation of nonferrous metals (aluminum, copper, brass, etc.). NTIC’s ZERUST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include plastic and paper packaging, powders, liquids, coatings, rust removers, cleaners, diffusers, and engineered solutions for the oil and gas industry as well as technical corrosion management and consulting services.</w:t>
      </w:r>
    </w:p>
    <w:p>
      <w:pPr>
        <w:spacing w:after="0" w:line="210" w:lineRule="exact"/>
        <w:rPr>
          <w:sz w:val="20"/>
          <w:szCs w:val="20"/>
          <w:color w:val="auto"/>
        </w:rPr>
      </w:pPr>
    </w:p>
    <w:p>
      <w:pPr>
        <w:ind w:left="20" w:right="20"/>
        <w:spacing w:after="0" w:line="224" w:lineRule="auto"/>
        <w:rPr>
          <w:sz w:val="20"/>
          <w:szCs w:val="20"/>
          <w:color w:val="auto"/>
        </w:rPr>
      </w:pPr>
      <w:r>
        <w:rPr>
          <w:rFonts w:ascii="Times New Roman" w:cs="Times New Roman" w:eastAsia="Times New Roman" w:hAnsi="Times New Roman"/>
          <w:sz w:val="20"/>
          <w:szCs w:val="20"/>
          <w:i w:val="1"/>
          <w:iCs w:val="1"/>
          <w:color w:val="auto"/>
        </w:rPr>
        <w:t>Plastic and Paper Packaging</w:t>
      </w:r>
      <w:r>
        <w:rPr>
          <w:rFonts w:ascii="Times New Roman" w:cs="Times New Roman" w:eastAsia="Times New Roman" w:hAnsi="Times New Roman"/>
          <w:sz w:val="20"/>
          <w:szCs w:val="20"/>
          <w:color w:val="auto"/>
        </w:rPr>
        <w:t>. 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packaging products contain proprietary chemical formulations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continuously release an invisible, odorless and non-toxic vapor that forms a passivating layer on any metal surfaces it comes in contact with and thereby inhibits rust and corrosion. The corrosion inhibiting protection is maintained only as long as the metal products to be protected remain enclosed within the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packaging. Electron scanning shows that once metal products are removed from the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packaging, the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protective layer dissipates from the contents’ surfaces within two hours, leaving a clean, dry, and corrosion-free metal component. This mechanism of corrosion protection enables NTIC’s customers to easily package metal objects for rust-free shipment and/or long-term storage. Furthermore, by eliminating costly greasing and degreasing processes and/or significantly reducing the use of certain coatings to inhibit corrosion, 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provide customers significant savings as compared to traditional methods of corrosion prevention in terms of labor, material, and capital expenditures for equipment to apply, remove, and dispose of oils and greases, as well as environmental, health and safety benefits provided by not having to handle and work with hazardous chemicals.</w:t>
      </w:r>
    </w:p>
    <w:p>
      <w:pPr>
        <w:spacing w:after="0" w:line="210" w:lineRule="exact"/>
        <w:rPr>
          <w:sz w:val="20"/>
          <w:szCs w:val="20"/>
          <w:color w:val="auto"/>
        </w:rPr>
      </w:pPr>
    </w:p>
    <w:p>
      <w:pPr>
        <w:ind w:left="20" w:right="40"/>
        <w:spacing w:after="0" w:line="231" w:lineRule="auto"/>
        <w:rPr>
          <w:sz w:val="20"/>
          <w:szCs w:val="20"/>
          <w:color w:val="auto"/>
        </w:rPr>
      </w:pPr>
      <w:r>
        <w:rPr>
          <w:rFonts w:ascii="Times New Roman" w:cs="Times New Roman" w:eastAsia="Times New Roman" w:hAnsi="Times New Roman"/>
          <w:sz w:val="20"/>
          <w:szCs w:val="20"/>
          <w:color w:val="auto"/>
        </w:rPr>
        <w:t>NTIC was the first in the world to develop the means of infusing volatile corrosion inhibiting chemical compounds (VCIs) into polyethylene and polypropylene resins. Combining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chemical compounds with polyethylene and polypropylene resins permitted NTIC to introduce a line of plastic packaging products in the form of low and high-density polyethylene bags and shroud film, including stretch, shrink, skin, and bubble cushioning film, thereby giving customers the ability to ship and store ferrous, nonferrous, and mixed-metal products in a clean, dry, and corrosion-free condition, at an overall savings in total process costs. In addition to plastic packaging, NTIC has also developed VCI compounds to imbue kraft paper, corrugated cardboard, solid fiber, and chipboard packaging materials with corrosion protection properties. 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plastic and paper packaging products come in various thicknesses, strength enhancements, protection types, shapes, and sizes.</w:t>
      </w:r>
    </w:p>
    <w:p>
      <w:pPr>
        <w:spacing w:after="0" w:line="207" w:lineRule="exact"/>
        <w:rPr>
          <w:sz w:val="20"/>
          <w:szCs w:val="20"/>
          <w:color w:val="auto"/>
        </w:rPr>
      </w:pPr>
    </w:p>
    <w:p>
      <w:pPr>
        <w:ind w:left="20" w:right="160"/>
        <w:spacing w:after="0" w:line="225" w:lineRule="auto"/>
        <w:rPr>
          <w:sz w:val="20"/>
          <w:szCs w:val="20"/>
          <w:color w:val="auto"/>
        </w:rPr>
      </w:pPr>
      <w:r>
        <w:rPr>
          <w:rFonts w:ascii="Times New Roman" w:cs="Times New Roman" w:eastAsia="Times New Roman" w:hAnsi="Times New Roman"/>
          <w:sz w:val="20"/>
          <w:szCs w:val="20"/>
          <w:i w:val="1"/>
          <w:iCs w:val="1"/>
          <w:color w:val="auto"/>
        </w:rPr>
        <w:t>Liquids and Coatings</w:t>
      </w:r>
      <w:r>
        <w:rPr>
          <w:rFonts w:ascii="Times New Roman" w:cs="Times New Roman" w:eastAsia="Times New Roman" w:hAnsi="Times New Roman"/>
          <w:sz w:val="20"/>
          <w:szCs w:val="20"/>
          <w:color w:val="auto"/>
        </w:rPr>
        <w:t>. NTIC’s corrosion prevention solutions include a line of metal surface treatment liquids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coatings, which are oil, water, or bio-solvent based, and are marketed under brand names including Axxatec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Axxanol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and Z-Maxx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These liquids and coatings provide powerful protection in aggressively corrosive environments, such as salt air, high humidity, and/or high temperatures. Products are formulated for most metal types and protection levels. For exceptionally harsh environments, customers may choose to use a combination of NTIC’s</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620"/>
          </w:cols>
          <w:pgMar w:left="1280" w:top="1140" w:right="1340" w:bottom="382" w:gutter="0" w:footer="0" w:header="0"/>
        </w:sectPr>
      </w:pPr>
    </w:p>
    <w:bookmarkStart w:id="89" w:name="page90"/>
    <w:bookmarkEnd w:id="89"/>
    <w:p>
      <w:pPr>
        <w:ind w:right="720"/>
        <w:spacing w:after="0" w:line="230" w:lineRule="auto"/>
        <w:rPr>
          <w:sz w:val="20"/>
          <w:szCs w:val="20"/>
          <w:color w:val="auto"/>
        </w:rPr>
      </w:pPr>
      <w:r>
        <w:rPr>
          <w:rFonts w:ascii="Times New Roman" w:cs="Times New Roman" w:eastAsia="Times New Roman" w:hAnsi="Times New Roman"/>
          <w:sz w:val="20"/>
          <w:szCs w:val="20"/>
          <w:color w:val="auto"/>
        </w:rPr>
        <w:t>liquids and coatings with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plastic and/or paper products to achieve robust corrosion protection during manufacturing, shipping, and warehousing stages.</w:t>
      </w:r>
    </w:p>
    <w:p>
      <w:pPr>
        <w:spacing w:after="0" w:line="204"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0"/>
          <w:szCs w:val="20"/>
          <w:i w:val="1"/>
          <w:iCs w:val="1"/>
          <w:color w:val="auto"/>
        </w:rPr>
        <w:t>Rust Removers and Cleaners</w:t>
      </w:r>
      <w:r>
        <w:rPr>
          <w:rFonts w:ascii="Times New Roman" w:cs="Times New Roman" w:eastAsia="Times New Roman" w:hAnsi="Times New Roman"/>
          <w:sz w:val="20"/>
          <w:szCs w:val="20"/>
          <w:color w:val="auto"/>
        </w:rPr>
        <w:t>. NTIC also sells rust removal and cleaning products, under the Axxaclean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brand name,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designed to restore rusty parts to a usable condition without the use of labor-intensive, abrasive cleaners that damage surfaces and commonly fail to remove rust from complex metal surfaces, like the teeth of small gears.</w:t>
      </w:r>
    </w:p>
    <w:p>
      <w:pPr>
        <w:spacing w:after="0" w:line="204" w:lineRule="exact"/>
        <w:rPr>
          <w:sz w:val="20"/>
          <w:szCs w:val="20"/>
          <w:color w:val="auto"/>
        </w:rPr>
      </w:pPr>
    </w:p>
    <w:p>
      <w:pPr>
        <w:ind w:right="20" w:firstLine="1"/>
        <w:spacing w:after="0" w:line="225" w:lineRule="auto"/>
        <w:rPr>
          <w:sz w:val="20"/>
          <w:szCs w:val="20"/>
          <w:color w:val="auto"/>
        </w:rPr>
      </w:pPr>
      <w:r>
        <w:rPr>
          <w:rFonts w:ascii="Times New Roman" w:cs="Times New Roman" w:eastAsia="Times New Roman" w:hAnsi="Times New Roman"/>
          <w:sz w:val="20"/>
          <w:szCs w:val="20"/>
          <w:i w:val="1"/>
          <w:iCs w:val="1"/>
          <w:color w:val="auto"/>
        </w:rPr>
        <w:t>Diffusers</w:t>
      </w:r>
      <w:r>
        <w:rPr>
          <w:rFonts w:ascii="Times New Roman" w:cs="Times New Roman" w:eastAsia="Times New Roman" w:hAnsi="Times New Roman"/>
          <w:sz w:val="20"/>
          <w:szCs w:val="20"/>
          <w:color w:val="auto"/>
        </w:rPr>
        <w:t>. NTIC’s corrosion prevention solutions include a line of corrosion inhibiting vapor diffusers, such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ActivPak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ZERUST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Vapor Capsules,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Plastabs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Cor-Tabs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Pipe Strip, and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Tube Strip. These diffusers are designed to protect metals within enclosures, like switch gearboxes and electronics cabinets, or can be used as extra protection when added to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packaging products. Diffusers work by permeating the interior air of an enclosure with an invisible and odorless corrosion inhibiting vapor that settles as a protective layer on all metal surfaces that are within the range of a specific “radius of protection” for a period of one or two years depending on the product model. This invisible and dry protective layer revaporizes and dissipates into the air upon removal of a diffuser from an enclosure, leaving all surfaces clean, dry, residue-free, and corrosion-free.</w:t>
      </w:r>
    </w:p>
    <w:p>
      <w:pPr>
        <w:spacing w:after="0" w:line="208" w:lineRule="exact"/>
        <w:rPr>
          <w:sz w:val="20"/>
          <w:szCs w:val="20"/>
          <w:color w:val="auto"/>
        </w:rPr>
      </w:pPr>
    </w:p>
    <w:p>
      <w:pPr>
        <w:ind w:right="420"/>
        <w:spacing w:after="0" w:line="230" w:lineRule="auto"/>
        <w:rPr>
          <w:sz w:val="20"/>
          <w:szCs w:val="20"/>
          <w:color w:val="auto"/>
        </w:rPr>
      </w:pPr>
      <w:r>
        <w:rPr>
          <w:rFonts w:ascii="Times New Roman" w:cs="Times New Roman" w:eastAsia="Times New Roman" w:hAnsi="Times New Roman"/>
          <w:sz w:val="20"/>
          <w:szCs w:val="20"/>
          <w:i w:val="1"/>
          <w:iCs w:val="1"/>
          <w:color w:val="auto"/>
        </w:rPr>
        <w:t>Z-CIS</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20"/>
          <w:szCs w:val="20"/>
          <w:i w:val="1"/>
          <w:iCs w:val="1"/>
          <w:color w:val="auto"/>
        </w:rPr>
        <w:t xml:space="preserve"> Technical Services</w:t>
      </w:r>
      <w:r>
        <w:rPr>
          <w:rFonts w:ascii="Times New Roman" w:cs="Times New Roman" w:eastAsia="Times New Roman" w:hAnsi="Times New Roman"/>
          <w:sz w:val="20"/>
          <w:szCs w:val="20"/>
          <w:color w:val="auto"/>
        </w:rPr>
        <w:t>. As an on-going effort to help NTIC’s customers improve and control their corrosion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processes, NTIC markets and offers unique corrosion management and consulting services to target customers. This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inhibition system (known as Z-CIS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leverages NTIC’s global network to dispatch highly-trained technical service engineers to customer sites to solve complex corrosion problems. Several major automotive companies and their automotive parts suppliers have used NTIC’s Z-CIS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w:t>
      </w:r>
    </w:p>
    <w:p>
      <w:pPr>
        <w:spacing w:after="0" w:line="12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i w:val="1"/>
          <w:iCs w:val="1"/>
          <w:color w:val="auto"/>
        </w:rPr>
        <w:t>ZERUST</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20"/>
          <w:szCs w:val="20"/>
          <w:i w:val="1"/>
          <w:iCs w:val="1"/>
          <w:color w:val="auto"/>
        </w:rPr>
        <w:t xml:space="preserve"> Corrosion Prevention Solutions Designed Specifically for the Oil and Gas Industry</w:t>
      </w:r>
      <w:r>
        <w:rPr>
          <w:rFonts w:ascii="Times New Roman" w:cs="Times New Roman" w:eastAsia="Times New Roman" w:hAnsi="Times New Roman"/>
          <w:sz w:val="20"/>
          <w:szCs w:val="20"/>
          <w:color w:val="auto"/>
        </w:rPr>
        <w:t>. NTIC has developed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proprietary engineered corrosion inhibiting solutions specifically to mitigate the types of corrosion that commonly form on the capital assets used in the petroleum and chemical process industries and has targeted the sale of these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solutions to potential customers in the oil and gas industry. NTIC’s consolidated net sales in fiscal 2025 included $7,317,704 in sales made to customers in the oil and gas industry, a decrease of 20.7% from such sales in fiscal 2024. Despite this decrease,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to large customers in the oil and gas industry continued to become more consistent, with these customers continuing to re-order products. Sales within the U.S. also stabilized somewhat, and key customer relationships were expanded globally.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While NTIC believes consistent sales to large customers, stabilized sales within the U.S. and expanding customer relationships show increased acceptance of corrosion solutions for the oil and gas industry, NTIC anticipates that its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 into the oil and gas industry will continue to remain subject to significant volatility, specifically due to economic factors, such as potential crude oil price changes and global supply/demand churn. Demand for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sales compared to prior fiscal year period sales. Projects in South America, Europe, the Middle East, and Southeast Asia are still a small but growing, strategically important part of the sales growth picture.</w:t>
      </w:r>
    </w:p>
    <w:p>
      <w:pPr>
        <w:spacing w:after="0" w:line="20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infrastructure/assets that support the oil and gas industry are predominantly constructed using metals that are highly susceptible to corrosion. The industrial environment at these facilities usually contains compounds, including sulfides and chlorides, which cause aggressive corrosion. This problem affects the service life and safety of pipelines, petroleum storage tanks, spare parts in long-term storage, coastal/offshore assets, and other critical equipment. In addition to the costs associated with the replacement of parts and structures, maintenance and repairs, and product loss, there are significant economic losses associated with critical infrastructure being down for repair and</w:t>
      </w:r>
    </w:p>
    <w:p>
      <w:pPr>
        <w:spacing w:after="0" w:line="5" w:lineRule="exact"/>
        <w:rPr>
          <w:sz w:val="20"/>
          <w:szCs w:val="20"/>
          <w:color w:val="auto"/>
        </w:rPr>
      </w:pPr>
    </w:p>
    <w:p>
      <w:pPr>
        <w:ind w:firstLine="1"/>
        <w:spacing w:after="0" w:line="231" w:lineRule="auto"/>
        <w:rPr>
          <w:sz w:val="20"/>
          <w:szCs w:val="20"/>
          <w:color w:val="auto"/>
        </w:rPr>
      </w:pPr>
      <w:r>
        <w:rPr>
          <w:rFonts w:ascii="Times New Roman" w:cs="Times New Roman" w:eastAsia="Times New Roman" w:hAnsi="Times New Roman"/>
          <w:sz w:val="20"/>
          <w:szCs w:val="20"/>
          <w:color w:val="auto"/>
        </w:rPr>
        <w:t>maintenance. Furthermore, there are also considerable health, safety, and environmental risks caused by corrosion that can greatly increase economic losses. While the industry predominantly uses various paints/coatings, engineered alloys, cathodic protection, etc. to mitigate corrosion, there are several situations where such options are not feasible and, in many such cases, NTIC believes that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oil and gas corrosion prevention solutions are more effective at minimizing maintenance downtime on critical oil and gas industry infrastructure, extend the life of such infrastructure, and reduce the risk of environmental pollution due to leaks caused by corrosion.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640"/>
          </w:cols>
          <w:pgMar w:left="1300" w:top="1132" w:right="1300" w:bottom="382" w:gutter="0" w:footer="0" w:header="0"/>
        </w:sectPr>
      </w:pPr>
    </w:p>
    <w:bookmarkStart w:id="90" w:name="page91"/>
    <w:bookmarkEnd w:id="90"/>
    <w:p>
      <w:pPr>
        <w:jc w:val="both"/>
        <w:spacing w:after="0" w:line="234" w:lineRule="auto"/>
        <w:rPr>
          <w:sz w:val="20"/>
          <w:szCs w:val="20"/>
          <w:color w:val="auto"/>
        </w:rPr>
      </w:pPr>
      <w:r>
        <w:rPr>
          <w:rFonts w:ascii="Times New Roman" w:cs="Times New Roman" w:eastAsia="Times New Roman" w:hAnsi="Times New Roman"/>
          <w:sz w:val="19"/>
          <w:szCs w:val="19"/>
          <w:color w:val="auto"/>
        </w:rPr>
        <w:t>NTIC’s rust and corrosion inhibiting products for the oil and gas industry include ZERUST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Flange Savers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ZERUST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Zif Tape, ZERUST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ReCAST-SSB solutions, and ZERUST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chemicals, including Zerion powders and gels, in addition to many of the standard industrial ZERUST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rust and corrosion inhibiting products previously described.</w:t>
      </w:r>
    </w:p>
    <w:p>
      <w:pPr>
        <w:spacing w:after="0" w:line="123" w:lineRule="exact"/>
        <w:rPr>
          <w:sz w:val="20"/>
          <w:szCs w:val="20"/>
          <w:color w:val="auto"/>
        </w:rPr>
      </w:pPr>
    </w:p>
    <w:p>
      <w:pPr>
        <w:ind w:right="140"/>
        <w:spacing w:after="0" w:line="225" w:lineRule="auto"/>
        <w:rPr>
          <w:sz w:val="20"/>
          <w:szCs w:val="20"/>
          <w:color w:val="auto"/>
        </w:rPr>
      </w:pPr>
      <w:r>
        <w:rPr>
          <w:rFonts w:ascii="Times New Roman" w:cs="Times New Roman" w:eastAsia="Times New Roman" w:hAnsi="Times New Roman"/>
          <w:sz w:val="20"/>
          <w:szCs w:val="20"/>
          <w:color w:val="auto"/>
        </w:rPr>
        <w:t>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Zif Tape and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Flange Savers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are specially designed covers that have been impregnated with a proprietary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 maintenance, operational, and safety problems.</w:t>
      </w:r>
    </w:p>
    <w:p>
      <w:pPr>
        <w:spacing w:after="0" w:line="204"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0"/>
          <w:szCs w:val="20"/>
          <w:color w:val="auto"/>
        </w:rPr>
        <w:t>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ReCAST-SSB solutions protect the Soil Side Bottoms (SSB) of aboveground storage tanks through a variety of unique and highly effective delivery systems designed by the Zerust Oil &amp; Gas team to deliver proprietary Zerion FVS corrosion inhibitor to spaces under tank bottoms that are susceptible to significant corrosion. Tank bottoms are typically made of steel plates, which are in direct contact with a foundation surface that may be concrete, sand/soil, or asphalt/bitumen. It is typically not possible to protect this underside surface with traditional coatings. Cathodic protection (CP) systems can only provide partial protection but also have significant limitations that cause failures well ahead of the expected service life of a tank. The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solutions provide effective protection even to areas that cannot be addressed with CP. These are engineered solutions where each system is tailored to a customer’s requirements depending on factors including the tank foundation design, specific environmental conditions, and tank diameter.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Zerion powder-based inhibitor solutions include the following:</w:t>
      </w:r>
    </w:p>
    <w:p>
      <w:pPr>
        <w:spacing w:after="0" w:line="196" w:lineRule="exact"/>
        <w:rPr>
          <w:sz w:val="20"/>
          <w:szCs w:val="20"/>
          <w:color w:val="auto"/>
        </w:rPr>
      </w:pPr>
    </w:p>
    <w:p>
      <w:pPr>
        <w:ind w:left="720" w:right="300" w:hanging="364"/>
        <w:spacing w:after="0" w:line="259" w:lineRule="auto"/>
        <w:tabs>
          <w:tab w:leader="none" w:pos="7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Zerion FVS is a unique inhibitor blend that is used in both the SSB Solutions and in internal pipeline protection. This “best-in-class” product has been successfully deployed at multiple client sites in North and South America, Europe, the Middle East, India as well as other parts of Asia.</w:t>
      </w:r>
    </w:p>
    <w:p>
      <w:pPr>
        <w:spacing w:after="0" w:line="199" w:lineRule="exact"/>
        <w:rPr>
          <w:rFonts w:ascii="Arial" w:cs="Arial" w:eastAsia="Arial" w:hAnsi="Arial"/>
          <w:sz w:val="20"/>
          <w:szCs w:val="20"/>
          <w:color w:val="auto"/>
        </w:rPr>
      </w:pPr>
    </w:p>
    <w:p>
      <w:pPr>
        <w:ind w:left="720" w:right="40" w:hanging="364"/>
        <w:spacing w:after="0" w:line="259" w:lineRule="auto"/>
        <w:tabs>
          <w:tab w:leader="none" w:pos="7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Zerion FAN-5 is a lower cost inhibitor that is very effective at protecting metals upon contact. It can be used to treat large volumes of water that may be used for hydrotesting. In combination with Zerion FVS, it offers a more complete solution for the protection of pipelines.</w:t>
      </w:r>
    </w:p>
    <w:p>
      <w:pPr>
        <w:spacing w:after="0" w:line="198" w:lineRule="exact"/>
        <w:rPr>
          <w:rFonts w:ascii="Arial" w:cs="Arial" w:eastAsia="Arial" w:hAnsi="Arial"/>
          <w:sz w:val="20"/>
          <w:szCs w:val="20"/>
          <w:color w:val="auto"/>
        </w:rPr>
      </w:pPr>
    </w:p>
    <w:p>
      <w:pPr>
        <w:ind w:left="720" w:right="20" w:hanging="364"/>
        <w:spacing w:after="0" w:line="258" w:lineRule="auto"/>
        <w:tabs>
          <w:tab w:leader="none" w:pos="7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AutoFog is a revolutionary product that allows for the quick VCI saturation of large volume spaces without the need for mechanical “fogging” equipment. This rapid self-diffusing capability is designed for sealed void spaces, protection of large/complex assets like heat exchangers, and heater-treaters.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Natur-Tec</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Resin Compounds and Finished Products. </w:t>
      </w:r>
      <w:r>
        <w:rPr>
          <w:rFonts w:ascii="Times New Roman" w:cs="Times New Roman" w:eastAsia="Times New Roman" w:hAnsi="Times New Roman"/>
          <w:sz w:val="20"/>
          <w:szCs w:val="20"/>
          <w:color w:val="auto"/>
        </w:rPr>
        <w:t>In fiscal 2025, 25.8% of NTIC’s consolidated net sales were</w:t>
      </w:r>
    </w:p>
    <w:p>
      <w:pPr>
        <w:spacing w:after="0"/>
        <w:rPr>
          <w:sz w:val="20"/>
          <w:szCs w:val="20"/>
          <w:color w:val="auto"/>
        </w:rPr>
      </w:pPr>
      <w:r>
        <w:rPr>
          <w:rFonts w:ascii="Times New Roman" w:cs="Times New Roman" w:eastAsia="Times New Roman" w:hAnsi="Times New Roman"/>
          <w:sz w:val="20"/>
          <w:szCs w:val="20"/>
          <w:color w:val="auto"/>
        </w:rPr>
        <w:t>derived from a broad range of bioplastic packaging solutions, including bio-based and certified compostable (fully</w:t>
      </w:r>
    </w:p>
    <w:p>
      <w:pPr>
        <w:spacing w:after="0" w:line="192" w:lineRule="auto"/>
        <w:rPr>
          <w:sz w:val="20"/>
          <w:szCs w:val="20"/>
          <w:color w:val="auto"/>
        </w:rPr>
      </w:pPr>
      <w:r>
        <w:rPr>
          <w:rFonts w:ascii="Times New Roman" w:cs="Times New Roman" w:eastAsia="Times New Roman" w:hAnsi="Times New Roman"/>
          <w:sz w:val="20"/>
          <w:szCs w:val="20"/>
          <w:color w:val="auto"/>
        </w:rPr>
        <w:t>biodegradable) polymer resin compounds, and finished products under the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NTIC’s consolidated net</w:t>
      </w:r>
    </w:p>
    <w:p>
      <w:pPr>
        <w:spacing w:after="0" w:line="192" w:lineRule="auto"/>
        <w:rPr>
          <w:sz w:val="20"/>
          <w:szCs w:val="20"/>
          <w:color w:val="auto"/>
        </w:rPr>
      </w:pPr>
      <w:r>
        <w:rPr>
          <w:rFonts w:ascii="Times New Roman" w:cs="Times New Roman" w:eastAsia="Times New Roman" w:hAnsi="Times New Roman"/>
          <w:sz w:val="20"/>
          <w:szCs w:val="20"/>
          <w:color w:val="auto"/>
        </w:rPr>
        <w:t>sales in fiscal 2025 included $21,746,077 in sales of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resins and finished products, a slight decrease of 1.0%</w:t>
      </w:r>
    </w:p>
    <w:p>
      <w:pPr>
        <w:spacing w:after="0"/>
        <w:rPr>
          <w:sz w:val="20"/>
          <w:szCs w:val="20"/>
          <w:color w:val="auto"/>
        </w:rPr>
      </w:pPr>
      <w:r>
        <w:rPr>
          <w:rFonts w:ascii="Times New Roman" w:cs="Times New Roman" w:eastAsia="Times New Roman" w:hAnsi="Times New Roman"/>
          <w:sz w:val="20"/>
          <w:szCs w:val="20"/>
          <w:color w:val="auto"/>
        </w:rPr>
        <w:t>compared to sales in fiscal 2024. Market drivers such as reduced carbon footprints, requirements by multinational</w:t>
      </w:r>
    </w:p>
    <w:p>
      <w:pPr>
        <w:spacing w:after="0"/>
        <w:rPr>
          <w:sz w:val="20"/>
          <w:szCs w:val="20"/>
          <w:color w:val="auto"/>
        </w:rPr>
      </w:pPr>
      <w:r>
        <w:rPr>
          <w:rFonts w:ascii="Times New Roman" w:cs="Times New Roman" w:eastAsia="Times New Roman" w:hAnsi="Times New Roman"/>
          <w:sz w:val="20"/>
          <w:szCs w:val="20"/>
          <w:color w:val="auto"/>
        </w:rPr>
        <w:t>brands for sustainable packaging solutions that meet Circular Economy and environmentally responsible end-of-life</w:t>
      </w:r>
    </w:p>
    <w:p>
      <w:pPr>
        <w:spacing w:after="0"/>
        <w:rPr>
          <w:sz w:val="20"/>
          <w:szCs w:val="20"/>
          <w:color w:val="auto"/>
        </w:rPr>
      </w:pPr>
      <w:r>
        <w:rPr>
          <w:rFonts w:ascii="Times New Roman" w:cs="Times New Roman" w:eastAsia="Times New Roman" w:hAnsi="Times New Roman"/>
          <w:sz w:val="20"/>
          <w:szCs w:val="20"/>
          <w:color w:val="auto"/>
        </w:rPr>
        <w:t>disposal mandates, and concerns about plastic residue in the environment have led to heightened interest in using</w:t>
      </w:r>
    </w:p>
    <w:p>
      <w:pPr>
        <w:spacing w:after="0"/>
        <w:rPr>
          <w:sz w:val="20"/>
          <w:szCs w:val="20"/>
          <w:color w:val="auto"/>
        </w:rPr>
      </w:pPr>
      <w:r>
        <w:rPr>
          <w:rFonts w:ascii="Times New Roman" w:cs="Times New Roman" w:eastAsia="Times New Roman" w:hAnsi="Times New Roman"/>
          <w:sz w:val="20"/>
          <w:szCs w:val="20"/>
          <w:color w:val="auto"/>
        </w:rPr>
        <w:t>sustainable, bio-based and renewable plant-biomass resources for the manufacture of plastics and industrial</w:t>
      </w:r>
    </w:p>
    <w:p>
      <w:pPr>
        <w:spacing w:after="0"/>
        <w:rPr>
          <w:sz w:val="20"/>
          <w:szCs w:val="20"/>
          <w:color w:val="auto"/>
        </w:rPr>
      </w:pPr>
      <w:r>
        <w:rPr>
          <w:rFonts w:ascii="Times New Roman" w:cs="Times New Roman" w:eastAsia="Times New Roman" w:hAnsi="Times New Roman"/>
          <w:sz w:val="20"/>
          <w:szCs w:val="20"/>
          <w:color w:val="auto"/>
        </w:rPr>
        <w:t>products. Plastics that are fully biodegradable in commercial composting or anaerobic digestor systems allow the safe</w:t>
      </w:r>
    </w:p>
    <w:p>
      <w:pPr>
        <w:spacing w:after="0"/>
        <w:rPr>
          <w:sz w:val="20"/>
          <w:szCs w:val="20"/>
          <w:color w:val="auto"/>
        </w:rPr>
      </w:pPr>
      <w:r>
        <w:rPr>
          <w:rFonts w:ascii="Times New Roman" w:cs="Times New Roman" w:eastAsia="Times New Roman" w:hAnsi="Times New Roman"/>
          <w:sz w:val="20"/>
          <w:szCs w:val="20"/>
          <w:color w:val="auto"/>
        </w:rPr>
        <w:t>and effective conversion of these plastics to carbon dioxide, water, and fertilizer at the end of their service</w:t>
      </w:r>
    </w:p>
    <w:p>
      <w:pPr>
        <w:spacing w:after="0" w:line="241" w:lineRule="auto"/>
        <w:rPr>
          <w:sz w:val="20"/>
          <w:szCs w:val="20"/>
          <w:color w:val="auto"/>
        </w:rPr>
      </w:pPr>
      <w:r>
        <w:rPr>
          <w:rFonts w:ascii="Times New Roman" w:cs="Times New Roman" w:eastAsia="Times New Roman" w:hAnsi="Times New Roman"/>
          <w:sz w:val="20"/>
          <w:szCs w:val="20"/>
          <w:color w:val="auto"/>
        </w:rPr>
        <w:t>life. Increased environmental and sustainability awareness at the corporate and consumer level, improved technical properties and product functionality, as well as recent foreign, state, and local governmental regulations banning the use of conventional plastics or mandating the use of certain biodegradable or compostable products, including regulations in China, India and certain states in the U.S., have also fueled this interest in bio-based and biodegradable-compostable plastics. The term “bio- plastics” encompasses a broad category of plastics that are either bio -based, which means derived from renewable resources such as corn or cellulosic/plant material or blends thereof, or are engineered to be fully commercially compostable, or both.</w:t>
      </w:r>
    </w:p>
    <w:p>
      <w:pPr>
        <w:spacing w:after="0" w:line="205"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Resin Compounds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resin compounds are produced by blending commonly available base resins, such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Ecoflex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from BASF, Ingeo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PLA from NatureWorks LLC, and Luminy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from Total-Corbion with organic and inorganic fillers and proprietary polymer modifiers and compatibilizers using NTIC’s proprietary and patented ReX Process. In this process, biodegradable polymers, natural polymers made from renewable, plant-biomass resources, and organic and inorganic materials are reactively blended in the presence of proprietary compatibilizers and polymer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640"/>
          </w:cols>
          <w:pgMar w:left="1300" w:top="1132" w:right="1300" w:bottom="382" w:gutter="0" w:footer="0" w:header="0"/>
        </w:sectPr>
      </w:pPr>
    </w:p>
    <w:bookmarkStart w:id="91" w:name="page92"/>
    <w:bookmarkEnd w:id="91"/>
    <w:p>
      <w:pPr>
        <w:ind w:right="180"/>
        <w:spacing w:after="0" w:line="234" w:lineRule="auto"/>
        <w:rPr>
          <w:sz w:val="20"/>
          <w:szCs w:val="20"/>
          <w:color w:val="auto"/>
        </w:rPr>
      </w:pPr>
      <w:r>
        <w:rPr>
          <w:rFonts w:ascii="Times New Roman" w:cs="Times New Roman" w:eastAsia="Times New Roman" w:hAnsi="Times New Roman"/>
          <w:sz w:val="20"/>
          <w:szCs w:val="20"/>
          <w:color w:val="auto"/>
        </w:rPr>
        <w:t>modifiers to produce bio-based and/or compostable polymer resin formulations that exhibit unique and stable morphology.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are engineered for high performance, ease of processing, and reduced cost compared to most other bio-plastic materials and can be processed by converters using conventional plastic manufacturing processes and equipment.</w:t>
      </w:r>
    </w:p>
    <w:p>
      <w:pPr>
        <w:spacing w:after="0" w:line="206" w:lineRule="exact"/>
        <w:rPr>
          <w:sz w:val="20"/>
          <w:szCs w:val="20"/>
          <w:color w:val="auto"/>
        </w:rPr>
      </w:pPr>
    </w:p>
    <w:p>
      <w:pPr>
        <w:ind w:right="660"/>
        <w:spacing w:after="0" w:line="230" w:lineRule="auto"/>
        <w:rPr>
          <w:sz w:val="20"/>
          <w:szCs w:val="20"/>
          <w:color w:val="auto"/>
        </w:rPr>
      </w:pPr>
      <w:r>
        <w:rPr>
          <w:rFonts w:ascii="Times New Roman" w:cs="Times New Roman" w:eastAsia="Times New Roman" w:hAnsi="Times New Roman"/>
          <w:sz w:val="20"/>
          <w:szCs w:val="20"/>
          <w:color w:val="auto"/>
        </w:rPr>
        <w:t>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are sold in several grades tailored for a variety of applications, such as blown-film extrusion, profile extrusion, thermoforming, extrusion coating, and injection molding.</w:t>
      </w:r>
    </w:p>
    <w:p>
      <w:pPr>
        <w:spacing w:after="0" w:line="205"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20"/>
          <w:szCs w:val="20"/>
          <w:color w:val="auto"/>
        </w:rPr>
        <w:t>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flexible film resin compounds are fully commercially and home compostable and meet the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 BPI (Biodegradable Products Institute) in the United States and TÜV Austria in Europe.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film resin compounds can be used to produce film for applications, such as bags, including compost bags, lawn and leaf bags, carry-out bags, agricultural film, and consumer and industrial packaging.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film resin compounds are also used to produce bags and covers for branded apparel packaging and to manufacture specialty foodservice items, such as compostable drinking straws, thermoformed lids and disposable food-handling gloves.</w:t>
      </w:r>
    </w:p>
    <w:p>
      <w:pPr>
        <w:spacing w:after="0" w:line="207"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20"/>
          <w:szCs w:val="20"/>
          <w:color w:val="auto"/>
        </w:rPr>
        <w:t>The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compostable extrusion coating resin compounds are bio-based and biodegradable and are designed to replace conventional plastic materials for extrusion coating applications.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extrusion coating resin compounds are manufactured using sustainable and renewable resources, per the ASTM D6866 standard, which allows companies and consumers the opportunity to reduce or neutralize their carbon footprint and are designed to meet the requirements of international standards for compostable plastics, such as ASTM D6400.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extrusion coating resin compounds provide good adhesion to paper, an excellent print surface, and good heat seal strength and the coating material is suitable for food contact applications, including both hot and cold applications.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extrusion coating resin compounds can be used for coating paper and paperboards for the manufacture of disposable cups, plates, and other foodservice items.</w:t>
      </w:r>
    </w:p>
    <w:p>
      <w:pPr>
        <w:spacing w:after="0" w:line="211" w:lineRule="exact"/>
        <w:rPr>
          <w:sz w:val="20"/>
          <w:szCs w:val="20"/>
          <w:color w:val="auto"/>
        </w:rPr>
      </w:pPr>
    </w:p>
    <w:p>
      <w:pPr>
        <w:ind w:right="40"/>
        <w:spacing w:after="0" w:line="214" w:lineRule="auto"/>
        <w:rPr>
          <w:sz w:val="20"/>
          <w:szCs w:val="20"/>
          <w:color w:val="auto"/>
        </w:rPr>
      </w:pPr>
      <w:r>
        <w:rPr>
          <w:rFonts w:ascii="Times New Roman" w:cs="Times New Roman" w:eastAsia="Times New Roman" w:hAnsi="Times New Roman"/>
          <w:sz w:val="20"/>
          <w:szCs w:val="20"/>
          <w:color w:val="auto"/>
        </w:rPr>
        <w:t>The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compostable injection molding resin compounds are bio-based and compostable and are designed to replace conventional plastic materials for injection molded plastic applications.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compostable injection molding resin compounds are manufactured using sustainable and renewable resources, per the ASTM D6866 standard, and are designed to meet the requirements of international standards for compostable plastics, such as ASTM D6400 and EN 13432.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compostable injection molding resin compounds can be used for injection molded plastic applications, such as cutlery, pens, hangers, containers, and packaging.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bio-based injection molding resin compounds are made with at least 90% bio -based/renewable resource-based materials, per the ASTM D6866 standard, and are meant to enhance sustainability by replacing petroleum-based plastics.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bio-based injection molding resin compounds exhibit the same properties as conventional plastic materials.</w:t>
      </w:r>
    </w:p>
    <w:p>
      <w:pPr>
        <w:spacing w:after="0" w:line="208"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Finished Products</w:t>
      </w:r>
      <w:r>
        <w:rPr>
          <w:rFonts w:ascii="Times New Roman" w:cs="Times New Roman" w:eastAsia="Times New Roman" w:hAnsi="Times New Roman"/>
          <w:sz w:val="20"/>
          <w:szCs w:val="20"/>
          <w:color w:val="auto"/>
        </w:rPr>
        <w:t>.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finished products include biodegradable and compostable trash bags, agricultural film,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other single-use disposable products, such as food and consumer goods packaging currently marketed under the Natur-Bag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The Natur-Bag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 line offers 15 different compostable trash bag sizes, from 3-gallon to 96-gallon, as well as shopper bags, produce bags and gloves. The bags are available in various SKU configurations, including retail packs that are sold to the consumer either through retail outlets or through online stores and industrial case packs that are sold to commercial and industrial customers primarily through national and regional wholesalers and distributors. The Natur-Bag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are manufactured from the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flexible film resin compounds and thus are fully biodegradable and compostable. These products are certified fully commercially and home compostable and carry the BPI Compostable logo in the United States and the TÜV Austria OK Compost and OK Home Compost logos in Europe. These products were also independently tested and approved for use in organic waste diversion systems by the Compost Manufacturers Alliance (CMA) in the United States.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Marketing, and Distribution</w:t>
      </w:r>
    </w:p>
    <w:p>
      <w:pPr>
        <w:spacing w:after="0" w:line="243" w:lineRule="exact"/>
        <w:rPr>
          <w:sz w:val="20"/>
          <w:szCs w:val="20"/>
          <w:color w:val="auto"/>
        </w:rPr>
      </w:pPr>
    </w:p>
    <w:p>
      <w:pPr>
        <w:ind w:right="220" w:firstLine="1"/>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ZERUST</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9"/>
          <w:szCs w:val="19"/>
          <w:b w:val="1"/>
          <w:bCs w:val="1"/>
          <w:i w:val="1"/>
          <w:iCs w:val="1"/>
          <w:color w:val="auto"/>
        </w:rPr>
        <w:t xml:space="preserve"> Corrosion Prevention Solutions</w:t>
      </w:r>
      <w:r>
        <w:rPr>
          <w:rFonts w:ascii="Times New Roman" w:cs="Times New Roman" w:eastAsia="Times New Roman" w:hAnsi="Times New Roman"/>
          <w:sz w:val="19"/>
          <w:szCs w:val="19"/>
          <w:color w:val="auto"/>
        </w:rPr>
        <w:t>. In the United States, NTIC markets its ZERUST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rust and corrosion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inhibiting products and services, including its products designed for the oil and gas industry, principally to industrial users in the automotive, general industrial, mechanical, mining, agricultural, and oil and gas markets by a direct sales force and through a network of independent distributors, manufacturer’s sales representatives, and strategic partners. Prior to placing an order, NTIC’s technical service consultants work directly with the end users of NTIC’s ZERUST</w:t>
      </w:r>
      <w:r>
        <w:rPr>
          <w:rFonts w:ascii="Times New Roman" w:cs="Times New Roman" w:eastAsia="Times New Roman" w:hAnsi="Times New Roman"/>
          <w:sz w:val="24"/>
          <w:szCs w:val="24"/>
          <w:color w:val="auto"/>
          <w:vertAlign w:val="superscript"/>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620"/>
          </w:cols>
          <w:pgMar w:left="1300" w:top="1132" w:right="1320" w:bottom="382" w:gutter="0" w:footer="0" w:header="0"/>
        </w:sectPr>
      </w:pPr>
    </w:p>
    <w:bookmarkStart w:id="92" w:name="page93"/>
    <w:bookmarkEnd w:id="92"/>
    <w:p>
      <w:pPr>
        <w:ind w:right="960"/>
        <w:spacing w:after="0" w:line="305" w:lineRule="auto"/>
        <w:rPr>
          <w:sz w:val="20"/>
          <w:szCs w:val="20"/>
          <w:color w:val="auto"/>
        </w:rPr>
      </w:pPr>
      <w:r>
        <w:rPr>
          <w:rFonts w:ascii="Times New Roman" w:cs="Times New Roman" w:eastAsia="Times New Roman" w:hAnsi="Times New Roman"/>
          <w:sz w:val="19"/>
          <w:szCs w:val="19"/>
          <w:color w:val="auto"/>
        </w:rPr>
        <w:t>products to analyze their specific corrosion prevention needs and develop systems to meet their performance requirements. In fiscal 2025, we added new salespeople and other resources to support future sales.</w:t>
      </w:r>
    </w:p>
    <w:p>
      <w:pPr>
        <w:spacing w:after="0" w:line="14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Internationally, NTIC has entered into a series of joint ventures with foreign partners (either directly or through a holding company). NTIC receives fees for providing technical support, marketing assistance, and other services to its joint ventures based primarily on the net sales of the individual joint ventures in accordance with the terms of the joint venture arrangements. Such services include consulting, legal, insurance, technical, and marketing services.</w:t>
      </w:r>
    </w:p>
    <w:p>
      <w:pPr>
        <w:spacing w:after="0" w:line="194"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0"/>
          <w:szCs w:val="20"/>
          <w:color w:val="auto"/>
        </w:rPr>
        <w:t>With respect to the sales and marketing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 believe the sale of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to customers in the oil and gas industry will involve long sales cycles, likely including multi-year trial periods with each user and a slow integration process thereafter.</w:t>
      </w:r>
    </w:p>
    <w:p>
      <w:pPr>
        <w:spacing w:after="0" w:line="20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b w:val="1"/>
          <w:bCs w:val="1"/>
          <w:i w:val="1"/>
          <w:iCs w:val="1"/>
          <w:color w:val="auto"/>
        </w:rPr>
        <w:t>Natur-Tec</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Resin Compounds and Finished Products</w:t>
      </w:r>
      <w:r>
        <w:rPr>
          <w:rFonts w:ascii="Times New Roman" w:cs="Times New Roman" w:eastAsia="Times New Roman" w:hAnsi="Times New Roman"/>
          <w:sz w:val="20"/>
          <w:szCs w:val="20"/>
          <w:color w:val="auto"/>
        </w:rPr>
        <w:t>. In the United States, NTIC markets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compounds and finished products through a network of national and regional distributors and independent manufacturer’s sales representatives and two NTIC direct sales employees as of August 31, 2025. Target customers for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finished products include individual consumers as well as commercial and institutional organizations, such as corporations and government agencies, and educational organizations, such as universities and school districts. NTIC is also targeting key national and regional retailers utilizing independent sales agents. Target customers for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include plastics converters and foodservice ware brands that would purchase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to manufacture and sell their own finished bio-based and compostable end products, such as film, bags, and cutlery. In June 2022, the State of California passed a law intended to reduce single-use plastics. Notably, the bill provides that, by 2032, all packaging must be recyclable or compostable. Additionally, as of November 20, 2025, Colorado, Connecticut, Delaware, Hawaii, Maine, New Jersey, New York, Oregon, Rhode Island, Vermont and Washington had each enacted some form of ban on plastic bags. Numerous other charges or bans have been imposed on plastic bags at the county or municipality level in the United States. Accordingly, NTIC expects the U.S. market for bio-plastic solutions to continue growing for the foreseeable future.</w:t>
      </w:r>
    </w:p>
    <w:p>
      <w:pPr>
        <w:spacing w:after="0" w:line="213" w:lineRule="exact"/>
        <w:rPr>
          <w:sz w:val="20"/>
          <w:szCs w:val="20"/>
          <w:color w:val="auto"/>
        </w:rPr>
      </w:pPr>
    </w:p>
    <w:p>
      <w:pPr>
        <w:ind w:firstLine="1"/>
        <w:spacing w:after="0" w:line="236" w:lineRule="auto"/>
        <w:rPr>
          <w:sz w:val="20"/>
          <w:szCs w:val="20"/>
          <w:color w:val="auto"/>
        </w:rPr>
      </w:pPr>
      <w:r>
        <w:rPr>
          <w:rFonts w:ascii="Times New Roman" w:cs="Times New Roman" w:eastAsia="Times New Roman" w:hAnsi="Times New Roman"/>
          <w:sz w:val="20"/>
          <w:szCs w:val="20"/>
          <w:color w:val="auto"/>
        </w:rPr>
        <w:t>Internationally, NTIC uses Natur-Tec India, Natur Tec Lanka, NTIC China and a network of international distributors to market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The government of China announced a three-phase plan to ban or restrict the production, sale and use of certain disposable plastic products beginning in 2020. The government of India announced a phased ban on the manufacture and sale of single-use plastics beginning in July 2022. Notably, compostable plastics are exempt from these bans. Accordingly, NTIC expects the market in China and India for bio-plastic packaging solutions to continue to grow for the foreseeable future.</w:t>
      </w:r>
    </w:p>
    <w:p>
      <w:pPr>
        <w:spacing w:after="0" w:line="205"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20"/>
          <w:szCs w:val="20"/>
          <w:color w:val="auto"/>
        </w:rPr>
        <w:t>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are produced at facilities in India, China, Vietnam, and the United States.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can be shipped to manufacturing facilities around the world, where they then can be converted into finished products, such as film, coated paper or food serviceware.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finished products are manufactured using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by select sub-contractors.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ZERUST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Corrosion Prevention Solutions</w:t>
      </w:r>
      <w:r>
        <w:rPr>
          <w:rFonts w:ascii="Times New Roman" w:cs="Times New Roman" w:eastAsia="Times New Roman" w:hAnsi="Times New Roman"/>
          <w:sz w:val="20"/>
          <w:szCs w:val="20"/>
          <w:color w:val="auto"/>
        </w:rPr>
        <w:t>. While NTIC is unaware of any competitors with which NTIC competes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worldwide basis with respect to its corrosion prevention solutions, NTIC does have regional competitors. NTIC evaluates competing rust and corrosion inhibiting products on an ongoing basis. Some of NTIC’s competitors are established companies that may have financial resources, marketing capabilities, distribution networks and other resources substantially greater than those of NTIC. As a result, they may be able to adapt more quickly to new or emerging technologies and changes in customer requirements or to devote greater resources to the promotion and sale of their products than NTIC. With respect to its rust and corrosion inhibiting products, NTIC competes on the basis of product innovation, quality, reliability, product support, customer service, reputation, and price. Some of NTIC’s competitors may have achieved significant market acceptance of their competing products and brand recognition. NTIC, however, believes it has an advantage over most of its competitors as a result of NTIC’s technical innovation and its value-added services. NTIC attempts to provide its customers with the highest level of technical service and</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640"/>
          </w:cols>
          <w:pgMar w:left="1300" w:top="1132" w:right="1300" w:bottom="382" w:gutter="0" w:footer="0" w:header="0"/>
        </w:sectPr>
      </w:pPr>
    </w:p>
    <w:bookmarkStart w:id="93" w:name="page94"/>
    <w:bookmarkEnd w:id="93"/>
    <w:p>
      <w:pPr>
        <w:ind w:right="220"/>
        <w:spacing w:after="0" w:line="225" w:lineRule="auto"/>
        <w:rPr>
          <w:sz w:val="20"/>
          <w:szCs w:val="20"/>
          <w:color w:val="auto"/>
        </w:rPr>
      </w:pPr>
      <w:r>
        <w:rPr>
          <w:rFonts w:ascii="Times New Roman" w:cs="Times New Roman" w:eastAsia="Times New Roman" w:hAnsi="Times New Roman"/>
          <w:sz w:val="20"/>
          <w:szCs w:val="20"/>
          <w:color w:val="auto"/>
        </w:rPr>
        <w:t>applications engineering in addition to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Nonetheless, the commoditization of certain of 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has led, and may continue to lead, to lower prices and lower margins on such products. In addition, because certain barriers to entry are low, additional competitors may emerge, which likely would lead to further commoditization of NTIC’s rust and corrosion inhibiting products.</w:t>
      </w:r>
    </w:p>
    <w:p>
      <w:pPr>
        <w:spacing w:after="0" w:line="204"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0"/>
          <w:szCs w:val="20"/>
          <w:color w:val="auto"/>
        </w:rPr>
        <w:t>With respect to the sales and marketing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long-term relationships with key oil and gas industry clients. NTIC continues to believe the sale of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to customers in the oil and gas industry will involve long sales cycles, likely including multi-year trial periods with each user and a slow integration process thereafter.</w:t>
      </w:r>
    </w:p>
    <w:p>
      <w:pPr>
        <w:spacing w:after="0" w:line="203"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20"/>
          <w:szCs w:val="20"/>
          <w:b w:val="1"/>
          <w:bCs w:val="1"/>
          <w:i w:val="1"/>
          <w:iCs w:val="1"/>
          <w:color w:val="auto"/>
        </w:rPr>
        <w:t>Natur-Tec</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Resin Compounds and Finished Products. </w:t>
      </w:r>
      <w:r>
        <w:rPr>
          <w:rFonts w:ascii="Times New Roman" w:cs="Times New Roman" w:eastAsia="Times New Roman" w:hAnsi="Times New Roman"/>
          <w:sz w:val="20"/>
          <w:szCs w:val="20"/>
          <w:color w:val="auto"/>
        </w:rPr>
        <w:t>With respect to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resin compounds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finished products, NTIC competes with several established companies that have been producing and selling similar products for a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 improved shelf life, place of manufacture, and price. Because of price competition, NTIC’s margins on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are lower than its margins on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43"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with NTIC with respect to the subject of their respective research efforts. EXCOR has established a wholly owned subsidiary, Excor Korrosionsforschung GmbH, to conduct research into new fields of corrosion inhibiting packaging and the applications engineering of such products in conjunction with NTIC’s domestic research and development operations. With respect to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203"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color w:val="auto"/>
        </w:rPr>
        <w:t>NTIC anticipates that it will spend between $4,900,000 and $5,100,000 in fiscal 2026 on research and development activities.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 Rights</w:t>
      </w:r>
    </w:p>
    <w:p>
      <w:pPr>
        <w:spacing w:after="0" w:line="2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9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In 1980,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 in the United States covering various corrosion inhibiting technologies, systems, and applications and now owns several patents in these areas. These patents and patent applications have been extended to the countries of strategic relevance to NTIC, including Australia, Brazil, Canada, China, Europe, Japan, India, Korea, Mexico, Russia, and Taiwan. In addition, EXCOR owns several patents in the area covering various corrosion inhibiting technologies and has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United States and in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640"/>
          </w:cols>
          <w:pgMar w:left="1300" w:top="1132" w:right="1300" w:bottom="382" w:gutter="0" w:footer="0" w:header="0"/>
        </w:sectPr>
      </w:pPr>
    </w:p>
    <w:bookmarkStart w:id="94" w:name="page95"/>
    <w:bookmarkEnd w:id="94"/>
    <w:p>
      <w:pPr>
        <w:ind w:right="120"/>
        <w:spacing w:after="0" w:line="252" w:lineRule="auto"/>
        <w:rPr>
          <w:sz w:val="20"/>
          <w:szCs w:val="20"/>
          <w:color w:val="auto"/>
        </w:rPr>
      </w:pPr>
      <w:r>
        <w:rPr>
          <w:rFonts w:ascii="Times New Roman" w:cs="Times New Roman" w:eastAsia="Times New Roman" w:hAnsi="Times New Roman"/>
          <w:sz w:val="20"/>
          <w:szCs w:val="20"/>
          <w:color w:val="auto"/>
        </w:rPr>
        <w:t>countries of strategic relevance to NTIC, including the above-noted countries. NTIC holds five patents and patent applications in the Unites States covering various applications for biobased and compostable plastics. These patent and patent applications have been extended to countries of strategic relevance to NTIC, including Canada, Europe, UK, India, and China.</w:t>
      </w:r>
    </w:p>
    <w:p>
      <w:pPr>
        <w:spacing w:after="0" w:line="193"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20"/>
          <w:szCs w:val="20"/>
          <w:color w:val="auto"/>
        </w:rPr>
        <w:t>In addition to seeking patent protection, NTIC maintains an extensive portfolio of trademarks in countries where NTIC has a presence directly or through its subsidiaries and joint ventures. NTIC continuously pursues new trademark applications of strategic interest worldwide. NTIC owns the following U.S. registered trademarks: NTI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NTI &amp; Globe Design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EXCOR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Z-CIS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COR TAB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PLASTABS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NATUR-TEC &amp; Design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NATUR-BAG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NATUR-WARE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ZERION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AUTOFOG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FLANGE SAVER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and ACTIVPAK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NTIC also has a registered trademark on the use of the Color Yellow with respect to corrosion inhibiting packaging. Furthermore, NTI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EXCOR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the Color Yellow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and NTI ASEAN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as well as other marks, have been registered in the European Union, and several new applications are pending.</w:t>
      </w:r>
    </w:p>
    <w:p>
      <w:pPr>
        <w:spacing w:after="0" w:line="208"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auto"/>
        </w:rPr>
        <w:t>NTIC requires its employees, consultants, and advisors with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or service arrangement with NTIC will fall under NTIC’s proprietary intellectual property rights.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3" w:lineRule="exact"/>
        <w:rPr>
          <w:sz w:val="20"/>
          <w:szCs w:val="20"/>
          <w:color w:val="auto"/>
        </w:rPr>
      </w:pPr>
    </w:p>
    <w:p>
      <w:pPr>
        <w:ind w:right="320" w:firstLine="1"/>
        <w:spacing w:after="0" w:line="222" w:lineRule="auto"/>
        <w:rPr>
          <w:sz w:val="20"/>
          <w:szCs w:val="20"/>
          <w:color w:val="auto"/>
        </w:rPr>
      </w:pPr>
      <w:r>
        <w:rPr>
          <w:rFonts w:ascii="Times New Roman" w:cs="Times New Roman" w:eastAsia="Times New Roman" w:hAnsi="Times New Roman"/>
          <w:sz w:val="20"/>
          <w:szCs w:val="20"/>
          <w:color w:val="auto"/>
        </w:rPr>
        <w:t>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are manufactured according to NTIC’s specifications primarily by selected independent sub-contractors under trade secrecy agreements and/or license agreements. In addition, NTIC manufactures select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consisting primarily of liquids and powders, at its corporate headquarters location in Circle Pines, Minnesota.</w:t>
      </w:r>
    </w:p>
    <w:p>
      <w:pPr>
        <w:spacing w:after="0" w:line="203"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20"/>
          <w:szCs w:val="20"/>
          <w:color w:val="auto"/>
        </w:rPr>
        <w:t>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are produced at facilities in India, China, Vietnam, and the United States.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can be shipped to manufacturing facilities around the world, where they then can be converted into finished products, such as film or cutlery.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finished products are manufactured using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by select sub-contractors.</w:t>
      </w:r>
    </w:p>
    <w:p>
      <w:pPr>
        <w:spacing w:after="0" w:line="125"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0"/>
          <w:szCs w:val="20"/>
          <w:color w:val="auto"/>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Availability of Raw Materials</w:t>
      </w:r>
    </w:p>
    <w:p>
      <w:pPr>
        <w:spacing w:after="0" w:line="24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NTIC does not typically carry excess quantities of raw materials because of historically widespread availability of such materials from various suppliers. However, with respect to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there are a limited number of domestic and international suppliers of the base resins used to manufacture the resin compounds and finished products, which occasionally contributes to supply issues.</w:t>
      </w:r>
    </w:p>
    <w:p>
      <w:pPr>
        <w:spacing w:after="0" w:line="206"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20"/>
          <w:szCs w:val="20"/>
          <w:color w:val="auto"/>
        </w:rPr>
        <w:t>In addition, a few raw materials and purchased parts used in NTIC’s rust and corrosion inhibiting products and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finished products are sourced from suppliers who currently serve as NTIC’s sole source of supply for these materials and parts. Although NTIC believes it can obtain these raw materials and parts from other suppliers, an unexpected loss of supply over a short period of time, including as a result of future worldwide disruptions in supply, may not allow NTIC time to replace these sources in the ordinary course of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24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NTIC had an estimated order backlog of $4,184,415 as of August 31, 2025, compared to $5,837,430 as of August 31, 2024, which was generally across all business units. Sales relating to this backlog are expected to be realized during first quarter of fiscal 2026. These are orders that are held by NTIC pending release instructions from the customers to</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640"/>
          </w:cols>
          <w:pgMar w:left="1300" w:top="1132" w:right="1300" w:bottom="382" w:gutter="0" w:footer="0" w:header="0"/>
        </w:sectPr>
      </w:pPr>
    </w:p>
    <w:bookmarkStart w:id="95" w:name="page96"/>
    <w:bookmarkEnd w:id="95"/>
    <w:p>
      <w:pPr>
        <w:ind w:right="460"/>
        <w:spacing w:after="0" w:line="278" w:lineRule="auto"/>
        <w:rPr>
          <w:sz w:val="20"/>
          <w:szCs w:val="20"/>
          <w:color w:val="auto"/>
        </w:rPr>
      </w:pPr>
      <w:r>
        <w:rPr>
          <w:rFonts w:ascii="Times New Roman" w:cs="Times New Roman" w:eastAsia="Times New Roman" w:hAnsi="Times New Roman"/>
          <w:sz w:val="20"/>
          <w:szCs w:val="20"/>
          <w:color w:val="auto"/>
        </w:rPr>
        <w:t>be used for just-in-time production. Customers generally place orders on an “as needed” basis and expect delivery within a relatively short period of 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w:t>
      </w:r>
    </w:p>
    <w:p>
      <w:pPr>
        <w:spacing w:after="0" w:line="244"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0"/>
          <w:szCs w:val="20"/>
          <w:color w:val="auto"/>
        </w:rPr>
        <w:t>The U.S. Food and Drug Administration (FDA) has indicated to NTIC that it has no objection to the use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packaging products in protecting metal food containers and processing equipment. In addition, the manufacture, sale and use of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 compounds are in compliance with all FDA requirements and that NTIC does not require further FDA approval prior to the sale of its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Headcount and Employee Demographics</w:t>
      </w:r>
    </w:p>
    <w:p>
      <w:pPr>
        <w:spacing w:after="0" w:line="23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As of August 31, 2025, NTIC had a total of 94 employees, with 91 full-time employees and 3 part- time employees, located in North America, consisting of 28 in sales and marketing, 24 in research and development and lab, 22 in administration, and 20 in production. As of August 31, 2025, NTIC’s wholly owned subsidiary in India, HNTI Limited, had 58 full-time employees, NTIC’s wholly owned subsidiary in China had 35 full-time employees, its majority- owned subsidiary in Brazil had 20 full-time employees, its majority- owned subsidiary in India, Natur-Tec India, had 40 full-time employees, its majority-owned subsidiary in Singapore, Zerust Singapore, had 1 full-time employee, its majority-owned subsidiary in Taiwan, Zerust Taiwan, had 9 full-time employees, its majority-owned subsidiary in Vietnam, Zerust Vietnam, had 6 full-time employees, its wholly owned subsidiary in UAE, Zerust Integrity Solutions Trading LLC, had 6 full-time employees, its wholly owned subsidiary in Germany, NTI Europe had 3 full-time employees, its wholly owned subsidiary in Mexico had no full-time employees, and its holding company, NTI Asean, had no full-time employees.</w:t>
      </w:r>
    </w:p>
    <w:p>
      <w:pPr>
        <w:spacing w:after="0" w:line="209" w:lineRule="exact"/>
        <w:rPr>
          <w:sz w:val="20"/>
          <w:szCs w:val="20"/>
          <w:color w:val="auto"/>
        </w:rPr>
      </w:pPr>
    </w:p>
    <w:p>
      <w:pPr>
        <w:jc w:val="both"/>
        <w:ind w:right="220"/>
        <w:spacing w:after="0" w:line="259" w:lineRule="auto"/>
        <w:rPr>
          <w:sz w:val="20"/>
          <w:szCs w:val="20"/>
          <w:color w:val="auto"/>
        </w:rPr>
      </w:pPr>
      <w:r>
        <w:rPr>
          <w:rFonts w:ascii="Times New Roman" w:cs="Times New Roman" w:eastAsia="Times New Roman" w:hAnsi="Times New Roman"/>
          <w:sz w:val="20"/>
          <w:szCs w:val="20"/>
          <w:color w:val="auto"/>
        </w:rPr>
        <w:t>As of August 31, 2025, of our North American workforce, 41% are female, 31% are racially or ethnically diverse and 5% are veterans. Of our global management team, 38% are female and 26% are racially or ethnically diverse. Of our eight Board members, three members are female, and three members are racially or ethnically diverse.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Turnover</w:t>
      </w:r>
    </w:p>
    <w:p>
      <w:pPr>
        <w:spacing w:after="0" w:line="238"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color w:val="auto"/>
        </w:rPr>
        <w:t>NTIC continually monitors employee turnover rates as its success depends upon retaining highly trained engineering, manufacturing and operations personnel. The average tenure of our employees is nine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 Team</w:t>
      </w:r>
    </w:p>
    <w:p>
      <w:pPr>
        <w:spacing w:after="0" w:line="237"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color w:val="auto"/>
        </w:rPr>
        <w:t>NTIC believes its management team has the necessary experience to effectively execute its strategy and advance its product and technology leadership. The average tenure of the members of NTIC’s management team is 17 years.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Unions, Collective Bargaining Agreements and Work Councils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unions representing NTIC’s employees, and NTIC believes that its relations with its employees are good.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Health, Safety, Environment and Security</w:t>
      </w:r>
    </w:p>
    <w:p>
      <w:pPr>
        <w:spacing w:after="0" w:line="23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Health, safety, environment and security (HSE&amp;S) are the cornerstones of NTIC. NTIC is in the business of converting unique, environmentally beneficial materials science into value added products and services for industrial and consumer applications. NTIC believes that it is responsible to its worldwide customers, its people, its communities and its stockholders, and NTIC takes these responsibilities seriously. NTIC is dedicated to investing in the future of the planet and NTIC’s people and intends to continue to invest in HSE&amp;S protection and improvements in a timely manner consistent with available technology.</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640"/>
          </w:cols>
          <w:pgMar w:left="1300" w:top="1132" w:right="1300" w:bottom="382" w:gutter="0" w:footer="0" w:header="0"/>
        </w:sectPr>
      </w:pPr>
    </w:p>
    <w:bookmarkStart w:id="96" w:name="page97"/>
    <w:bookmarkEnd w:id="96"/>
    <w:p>
      <w:pPr>
        <w:ind w:right="20"/>
        <w:spacing w:after="0" w:line="245" w:lineRule="auto"/>
        <w:rPr>
          <w:sz w:val="20"/>
          <w:szCs w:val="20"/>
          <w:color w:val="auto"/>
        </w:rPr>
      </w:pPr>
      <w:r>
        <w:rPr>
          <w:rFonts w:ascii="Times New Roman" w:cs="Times New Roman" w:eastAsia="Times New Roman" w:hAnsi="Times New Roman"/>
          <w:sz w:val="20"/>
          <w:szCs w:val="20"/>
          <w:color w:val="auto"/>
        </w:rPr>
        <w:t>NTIC is guided by its Policy Statement on HSE&amp;S, which sets forth NTIC’s HSE&amp;S objectives, including ensuring that all activities across the value chain are conducted in a manner which is consistent with NTIC’s quality management standard and HSE&amp;S programs, ensuring that business activities are conducted to prevent harm and protect health and safety, and developing, manufacturing, distributing and marketing products and services with full regard for HSE&amp;S aspects. To accomplish these objectives, NTIC intends to, among other things, establish targets within its quality management standard and HSE&amp;S programs to measure progress and ensure continuous improvement, provide safe and healthy workplaces for its employees, contractors and other service providers, and provide continued training to enable employees to meet their responsibility to contribute to compliance with NTIC’s HSE&amp;S objectives.</w:t>
      </w:r>
    </w:p>
    <w:p>
      <w:pPr>
        <w:spacing w:after="0" w:line="202"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20"/>
          <w:szCs w:val="20"/>
          <w:color w:val="auto"/>
        </w:rPr>
        <w:t>NTIC monitors conditions that could lead to safety incidents and keeps track of injuries through reporting systems in accordance with the laws in the jurisdictions in which NTIC operates. NTIC tracks this data to assess the quality of its safety performance. NTIC defines lost time incidents as work -related incidents where a worker sustains an injury that results in time away from work. NTIC had only one lost time incident in each of fiscal 2025 and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Equal Opportunity, Inclusion and Workplace Culture</w:t>
      </w:r>
    </w:p>
    <w:p>
      <w:pPr>
        <w:spacing w:after="0" w:line="23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Equal opportunity is embedded in NTIC’s values and integrated into its strategies. NTIC’s Human Rights Policy was designed to align with the United Nations Global Compact and core elements of the United Nations Universal Declaration of Human Rights. NTIC is committed to providing an environment free of discrimination and harassment, where all individuals are accepted and treated with respect and dignity, can contribute fully, and have equal opportunities.</w:t>
      </w:r>
    </w:p>
    <w:p>
      <w:pPr>
        <w:spacing w:after="0" w:line="19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NTIC is additionally guided by its Equal Opportunity, Non-Discrimination, and Anti-Harassment Policy and strives to create and maintain a work environment in which people are treated with dignity, decency, and respect. NTIC is an equal opportunity employer and believes that professional conduct furthers NTIC’s mission, promotes productivity, minimizes disputes, and enhances NTIC’s reputation. NTIC does not tolerate unlawful discrimination or harassment related to any legally protected characteristic or that otherwise violates its policy.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and Benefits</w:t>
      </w:r>
    </w:p>
    <w:p>
      <w:pPr>
        <w:spacing w:after="0" w:line="23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NTIC’s compensation program is designed to attract and retain talented employees in the industry by offering competitive compensation and benefits. NTIC has established fair and competitive pay levels that are based on local markets and job descriptions and are not based on gender, age, ethnicity, nationality or other personal characteristics or beliefs. NTIC provides compensation and benefits that are competitive and comply with applicable laws, and NTIC commits to a fair and living wage.</w:t>
      </w:r>
    </w:p>
    <w:p>
      <w:pPr>
        <w:spacing w:after="0" w:line="19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NTIC’s employees have immediate eligibility to participate in NTIC’s 401(k) employee savings plan. Employees are immediately vested upon contributing to the 401(k) employee savings plan. NTIC matches 401(k) contributions made by employes and may also make profit-sharing contributions. NTIC believes these profit-sharing contributions are a meaningful way of sharing NTIC’s success with its employees.</w:t>
      </w:r>
    </w:p>
    <w:p>
      <w:pPr>
        <w:spacing w:after="0" w:line="193" w:lineRule="exact"/>
        <w:rPr>
          <w:sz w:val="20"/>
          <w:szCs w:val="20"/>
          <w:color w:val="auto"/>
        </w:rPr>
      </w:pPr>
    </w:p>
    <w:p>
      <w:pPr>
        <w:ind w:right="500"/>
        <w:spacing w:after="0" w:line="249" w:lineRule="auto"/>
        <w:rPr>
          <w:sz w:val="20"/>
          <w:szCs w:val="20"/>
          <w:color w:val="auto"/>
        </w:rPr>
      </w:pPr>
      <w:r>
        <w:rPr>
          <w:rFonts w:ascii="Times New Roman" w:cs="Times New Roman" w:eastAsia="Times New Roman" w:hAnsi="Times New Roman"/>
          <w:sz w:val="20"/>
          <w:szCs w:val="20"/>
          <w:color w:val="auto"/>
        </w:rPr>
        <w:t>To further the goal of sharing NTIC’s success with its employees and incentivizing strong employee performance, NTIC may award cash bonuses to its employees. Additionally, NTIC has an employee stock purchase plan, which allows employees to purchase NTIC stock at a 10% discount to fair market value. NTIC believes that this gives employees an interest in providing for the continued success of the business, encourages regular and scheduled investing, and is a means of supplementing individual savings programs.</w:t>
      </w:r>
    </w:p>
    <w:p>
      <w:pPr>
        <w:spacing w:after="0" w:line="19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As part of its compensation package, NTIC provides employees with access to a medical plan with an employee-funded health savings account option. The medical plan has no co-pay, and employees are not required to contribute toward premium costs. Dental, vision, life, and long and short-term disability insurance plans are also available to NTIC’s employees.</w:t>
      </w:r>
    </w:p>
    <w:p>
      <w:pPr>
        <w:spacing w:after="0" w:line="19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NTIC prides itself on offering employment arrangements that include competitive time off policies and flexibility. NTIC’s full-time employees are eligible for paid holidays and vacation time based on the length of their service, ranging from 15 to 25 days. NTIC’s part-time employees receive compensation for paid holidays as well. NTIC offers employees the opportunity to work remotely, requiring Tuesday in-person attendance for office staff employees and permitting remote work in the discretion of individual employees the remaining days of the week.</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640"/>
          </w:cols>
          <w:pgMar w:left="1300" w:top="1132" w:right="1300" w:bottom="382" w:gutter="0" w:footer="0" w:header="0"/>
        </w:sectPr>
      </w:pPr>
    </w:p>
    <w:bookmarkStart w:id="97" w:name="page98"/>
    <w:bookmarkEnd w:id="97"/>
    <w:p>
      <w:pPr>
        <w:ind w:left="4"/>
        <w:spacing w:after="0"/>
        <w:rPr>
          <w:sz w:val="20"/>
          <w:szCs w:val="20"/>
          <w:color w:val="auto"/>
        </w:rPr>
      </w:pPr>
      <w:r>
        <w:rPr>
          <w:rFonts w:ascii="Times New Roman" w:cs="Times New Roman" w:eastAsia="Times New Roman" w:hAnsi="Times New Roman"/>
          <w:sz w:val="20"/>
          <w:szCs w:val="20"/>
          <w:i w:val="1"/>
          <w:iCs w:val="1"/>
          <w:color w:val="auto"/>
        </w:rPr>
        <w:t>Values and Ethics</w:t>
      </w:r>
    </w:p>
    <w:p>
      <w:pPr>
        <w:spacing w:after="0" w:line="237" w:lineRule="exact"/>
        <w:rPr>
          <w:sz w:val="20"/>
          <w:szCs w:val="20"/>
          <w:color w:val="auto"/>
        </w:rPr>
      </w:pPr>
    </w:p>
    <w:p>
      <w:pPr>
        <w:ind w:left="4" w:right="100"/>
        <w:spacing w:after="0" w:line="247" w:lineRule="auto"/>
        <w:rPr>
          <w:sz w:val="20"/>
          <w:szCs w:val="20"/>
          <w:color w:val="auto"/>
        </w:rPr>
      </w:pPr>
      <w:r>
        <w:rPr>
          <w:rFonts w:ascii="Times New Roman" w:cs="Times New Roman" w:eastAsia="Times New Roman" w:hAnsi="Times New Roman"/>
          <w:sz w:val="20"/>
          <w:szCs w:val="20"/>
          <w:color w:val="auto"/>
        </w:rPr>
        <w:t>In connection with NTIC’s core values, NTIC acts in accordance with its Code of Ethics. NTIC’s Code of Ethics requires its employees, officers and directors to be honest, trustworthy, conscientious, and dedicated to the highest standards of ethical business practices. Each employee, officer and director must know and abide by applicable laws. Additionally, NTIC holds its vendors to similar standards, as provided in its Vendor Code of Conduct, which sets forth the requirements that NTIC expects its vendors to comply with in order to operate lawfully, ethically and with integrity in every jurisdiction where they conduct business.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i w:val="1"/>
          <w:iCs w:val="1"/>
          <w:color w:val="auto"/>
        </w:rPr>
        <w:t>Additional Information</w:t>
      </w:r>
    </w:p>
    <w:p>
      <w:pPr>
        <w:spacing w:after="0" w:line="237" w:lineRule="exact"/>
        <w:rPr>
          <w:sz w:val="20"/>
          <w:szCs w:val="20"/>
          <w:color w:val="auto"/>
        </w:rPr>
      </w:pPr>
    </w:p>
    <w:p>
      <w:pPr>
        <w:ind w:left="4"/>
        <w:spacing w:after="0" w:line="249" w:lineRule="auto"/>
        <w:rPr>
          <w:sz w:val="20"/>
          <w:szCs w:val="20"/>
          <w:color w:val="auto"/>
        </w:rPr>
      </w:pPr>
      <w:r>
        <w:rPr>
          <w:rFonts w:ascii="Times New Roman" w:cs="Times New Roman" w:eastAsia="Times New Roman" w:hAnsi="Times New Roman"/>
          <w:sz w:val="20"/>
          <w:szCs w:val="20"/>
          <w:color w:val="auto"/>
        </w:rPr>
        <w:t>Additional information about our human capital and people, including our HSE&amp;S Policy, Human Rights Policy, Equal Opportunity, Non-Discrimination, and Anti-Harassment Policy, Code of Ethics, and Vendor Code of Conduct, is included on the Commitment to Environmental, Social, and Governance (ESG) page of the Investor Relations portion of our corporate website. Information contained or referenced on our website is not incorporated by reference and does not form a part of this Annual Report on Form 10-K.</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44" w:lineRule="exact"/>
        <w:rPr>
          <w:sz w:val="20"/>
          <w:szCs w:val="20"/>
          <w:color w:val="auto"/>
        </w:rPr>
      </w:pPr>
    </w:p>
    <w:p>
      <w:pPr>
        <w:ind w:left="4" w:right="300"/>
        <w:spacing w:after="0" w:line="254" w:lineRule="auto"/>
        <w:rPr>
          <w:sz w:val="20"/>
          <w:szCs w:val="20"/>
          <w:color w:val="auto"/>
        </w:rPr>
      </w:pPr>
      <w:r>
        <w:rPr>
          <w:rFonts w:ascii="Times New Roman" w:cs="Times New Roman" w:eastAsia="Times New Roman" w:hAnsi="Times New Roman"/>
          <w:sz w:val="20"/>
          <w:szCs w:val="20"/>
          <w:color w:val="auto"/>
        </w:rPr>
        <w:t>NTIC is a Delaware corporation that was originally organized as a Minnesota corporation in 1970. NTIC’s principal executive office is located at 4201 Woodland Road, Circle Pines, Minnesota 55014, and its telephone number is</w:t>
      </w:r>
    </w:p>
    <w:p>
      <w:pPr>
        <w:spacing w:after="0" w:line="1" w:lineRule="exact"/>
        <w:rPr>
          <w:sz w:val="20"/>
          <w:szCs w:val="20"/>
          <w:color w:val="auto"/>
        </w:rPr>
      </w:pPr>
    </w:p>
    <w:p>
      <w:pPr>
        <w:ind w:left="4" w:right="260" w:hanging="4"/>
        <w:spacing w:after="0" w:line="244" w:lineRule="auto"/>
        <w:tabs>
          <w:tab w:leader="none" w:pos="48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225-6600. NTIC’s website is located at www.ntic.com. References to NTIC’s website addressed in this report are provided as a convenience and as an inactive textual reference only. The information on NTIC’s website or any other website is not incorporated by reference into, and is not considered a part of, this report.</w:t>
      </w:r>
    </w:p>
    <w:p>
      <w:pPr>
        <w:spacing w:after="0" w:line="201" w:lineRule="exact"/>
        <w:rPr>
          <w:sz w:val="20"/>
          <w:szCs w:val="20"/>
          <w:color w:val="auto"/>
        </w:rPr>
      </w:pPr>
    </w:p>
    <w:p>
      <w:pPr>
        <w:ind w:left="4"/>
        <w:spacing w:after="0" w:line="249" w:lineRule="auto"/>
        <w:rPr>
          <w:sz w:val="20"/>
          <w:szCs w:val="20"/>
          <w:color w:val="auto"/>
        </w:rPr>
      </w:pPr>
      <w:r>
        <w:rPr>
          <w:rFonts w:ascii="Times New Roman" w:cs="Times New Roman" w:eastAsia="Times New Roman" w:hAnsi="Times New Roman"/>
          <w:sz w:val="20"/>
          <w:szCs w:val="20"/>
          <w:color w:val="auto"/>
        </w:rPr>
        <w:t>NTIC makes available, free of charge, through its website,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3" w:lineRule="exact"/>
        <w:rPr>
          <w:sz w:val="20"/>
          <w:szCs w:val="20"/>
          <w:color w:val="auto"/>
        </w:rPr>
      </w:pPr>
    </w:p>
    <w:p>
      <w:pPr>
        <w:ind w:left="4" w:right="40"/>
        <w:spacing w:after="0" w:line="242" w:lineRule="auto"/>
        <w:rPr>
          <w:sz w:val="20"/>
          <w:szCs w:val="20"/>
          <w:color w:val="auto"/>
        </w:rPr>
      </w:pPr>
      <w:r>
        <w:rPr>
          <w:rFonts w:ascii="Times New Roman" w:cs="Times New Roman" w:eastAsia="Times New Roman" w:hAnsi="Times New Roman"/>
          <w:sz w:val="20"/>
          <w:szCs w:val="20"/>
          <w:color w:val="auto"/>
        </w:rPr>
        <w:t>This report on Form 10-K contains not only historical information, but also forward- 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operating results and financial condition,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 -looking statements may be contained in the notes to NTIC’s consolidated financial statements and elsewhere in this report, including under “</w:t>
      </w:r>
      <w:r>
        <w:rPr>
          <w:rFonts w:ascii="Times New Roman" w:cs="Times New Roman" w:eastAsia="Times New Roman" w:hAnsi="Times New Roman"/>
          <w:sz w:val="20"/>
          <w:szCs w:val="20"/>
          <w:i w:val="1"/>
          <w:iCs w:val="1"/>
          <w:color w:val="auto"/>
        </w:rPr>
        <w:t>Part II. Item 7. Management’s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Discussion and Analysis of Financial Condition and Results of Operations</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ind w:left="4" w:right="60"/>
        <w:spacing w:after="0" w:line="246" w:lineRule="auto"/>
        <w:rPr>
          <w:sz w:val="20"/>
          <w:szCs w:val="20"/>
          <w:color w:val="auto"/>
        </w:rPr>
      </w:pPr>
      <w:r>
        <w:rPr>
          <w:rFonts w:ascii="Times New Roman" w:cs="Times New Roman" w:eastAsia="Times New Roman" w:hAnsi="Times New Roman"/>
          <w:sz w:val="20"/>
          <w:szCs w:val="20"/>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Some of the uncertainties and factors known to us that could cause NTIC’s actual results to differ materially from what NTIC has anticipated in its forward-looking statements are described under “</w:t>
      </w:r>
      <w:r>
        <w:rPr>
          <w:rFonts w:ascii="Times New Roman" w:cs="Times New Roman" w:eastAsia="Times New Roman" w:hAnsi="Times New Roman"/>
          <w:sz w:val="20"/>
          <w:szCs w:val="20"/>
          <w:i w:val="1"/>
          <w:iCs w:val="1"/>
          <w:color w:val="auto"/>
        </w:rPr>
        <w:t>Part I. Item 1A. Risk Factors</w:t>
      </w:r>
      <w:r>
        <w:rPr>
          <w:rFonts w:ascii="Times New Roman" w:cs="Times New Roman" w:eastAsia="Times New Roman" w:hAnsi="Times New Roman"/>
          <w:sz w:val="20"/>
          <w:szCs w:val="20"/>
          <w:color w:val="auto"/>
        </w:rPr>
        <w:t>.” All forward-looking statements included in this report are expressly qualified in their entirety by the foregoing cautionary statements. NTIC wishes to caution readers not to place undue reliance on any forward-looking statement that speaks only as of the date</w:t>
      </w:r>
    </w:p>
    <w:p>
      <w:pPr>
        <w:spacing w:after="0" w:line="6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644"/>
          </w:cols>
          <w:pgMar w:left="1296" w:top="1134" w:right="1300" w:bottom="382" w:gutter="0" w:footer="0" w:header="0"/>
        </w:sectPr>
      </w:pPr>
    </w:p>
    <w:bookmarkStart w:id="98" w:name="page99"/>
    <w:bookmarkEnd w:id="98"/>
    <w:p>
      <w:pPr>
        <w:ind w:left="20"/>
        <w:spacing w:after="0" w:line="243" w:lineRule="auto"/>
        <w:rPr>
          <w:sz w:val="20"/>
          <w:szCs w:val="20"/>
          <w:color w:val="auto"/>
        </w:rPr>
      </w:pPr>
      <w:r>
        <w:rPr>
          <w:rFonts w:ascii="Times New Roman" w:cs="Times New Roman" w:eastAsia="Times New Roman" w:hAnsi="Times New Roman"/>
          <w:sz w:val="20"/>
          <w:szCs w:val="20"/>
          <w:color w:val="auto"/>
        </w:rPr>
        <w:t>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 -looking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two individuals named below have been designated by NTIC’s Board of Directors as “executive officers” of NTIC.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Their ages and the offices held, as of November 20, 2025,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6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60" w:type="dxa"/>
            <w:vAlign w:val="bottom"/>
          </w:tcPr>
          <w:p>
            <w:pPr>
              <w:spacing w:after="0"/>
              <w:rPr>
                <w:sz w:val="23"/>
                <w:szCs w:val="2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160" w:type="dxa"/>
            <w:vAlign w:val="bottom"/>
          </w:tcPr>
          <w:p>
            <w:pPr>
              <w:spacing w:after="0"/>
              <w:rPr>
                <w:sz w:val="23"/>
                <w:szCs w:val="23"/>
                <w:color w:val="auto"/>
              </w:rPr>
            </w:pPr>
          </w:p>
        </w:tc>
        <w:tc>
          <w:tcPr>
            <w:tcW w:w="59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20"/>
                <w:szCs w:val="20"/>
                <w:b w:val="1"/>
                <w:bCs w:val="1"/>
                <w:color w:val="auto"/>
              </w:rPr>
              <w:t>Position with NTIC</w:t>
            </w:r>
          </w:p>
        </w:tc>
      </w:tr>
      <w:tr>
        <w:trPr>
          <w:trHeight w:val="256"/>
        </w:trPr>
        <w:tc>
          <w:tcPr>
            <w:tcW w:w="2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 Patrick Lynch</w:t>
            </w:r>
          </w:p>
        </w:tc>
        <w:tc>
          <w:tcPr>
            <w:tcW w:w="1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58</w:t>
            </w:r>
          </w:p>
        </w:tc>
        <w:tc>
          <w:tcPr>
            <w:tcW w:w="160" w:type="dxa"/>
            <w:vAlign w:val="bottom"/>
          </w:tcPr>
          <w:p>
            <w:pPr>
              <w:spacing w:after="0"/>
              <w:rPr>
                <w:sz w:val="22"/>
                <w:szCs w:val="22"/>
                <w:color w:val="auto"/>
              </w:rPr>
            </w:pPr>
          </w:p>
        </w:tc>
        <w:tc>
          <w:tcPr>
            <w:tcW w:w="5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441"/>
        </w:trPr>
        <w:tc>
          <w:tcPr>
            <w:tcW w:w="2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Matthew C. Wolsfeld</w:t>
            </w:r>
          </w:p>
        </w:tc>
        <w:tc>
          <w:tcPr>
            <w:tcW w:w="8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51</w:t>
            </w:r>
          </w:p>
        </w:tc>
        <w:tc>
          <w:tcPr>
            <w:tcW w:w="160" w:type="dxa"/>
            <w:vAlign w:val="bottom"/>
          </w:tcPr>
          <w:p>
            <w:pPr>
              <w:spacing w:after="0"/>
              <w:rPr>
                <w:sz w:val="24"/>
                <w:szCs w:val="24"/>
                <w:color w:val="auto"/>
              </w:rPr>
            </w:pPr>
          </w:p>
        </w:tc>
        <w:tc>
          <w:tcPr>
            <w:tcW w:w="5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Financial Officer and Corporate Secretary</w:t>
            </w:r>
          </w:p>
        </w:tc>
      </w:tr>
    </w:tbl>
    <w:p>
      <w:pPr>
        <w:spacing w:after="0" w:line="193" w:lineRule="exact"/>
        <w:rPr>
          <w:sz w:val="20"/>
          <w:szCs w:val="20"/>
          <w:color w:val="auto"/>
        </w:rPr>
      </w:pPr>
    </w:p>
    <w:p>
      <w:pPr>
        <w:ind w:left="20" w:right="60"/>
        <w:spacing w:after="0" w:line="245" w:lineRule="auto"/>
        <w:rPr>
          <w:sz w:val="20"/>
          <w:szCs w:val="20"/>
          <w:color w:val="auto"/>
        </w:rPr>
      </w:pPr>
      <w:r>
        <w:rPr>
          <w:rFonts w:ascii="Times New Roman" w:cs="Times New Roman" w:eastAsia="Times New Roman" w:hAnsi="Times New Roman"/>
          <w:sz w:val="20"/>
          <w:szCs w:val="20"/>
          <w:color w:val="auto"/>
        </w:rPr>
        <w:t>G. Patrick Lynch, an employee of NTIC since 1995, has been President since July 2005 and Chief Executive Officer since January 2006 and has served as a director of NTIC since February 2004.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which is a significant stockholder of NTIC. Prior to joining NTIC, Mr. Lynch held positions in sales management for Fuji Electric Co., Ltd. in Tokyo, Japan, and programming project management for BMW AG in Munich, Germany. Mr. Lynch received a Master of Business Administration degree from the University of Michigan Ross School of Business.</w:t>
      </w:r>
    </w:p>
    <w:p>
      <w:pPr>
        <w:spacing w:after="0" w:line="203" w:lineRule="exact"/>
        <w:rPr>
          <w:sz w:val="20"/>
          <w:szCs w:val="20"/>
          <w:color w:val="auto"/>
        </w:rPr>
      </w:pPr>
    </w:p>
    <w:p>
      <w:pPr>
        <w:ind w:left="20" w:right="100"/>
        <w:spacing w:after="0" w:line="247" w:lineRule="auto"/>
        <w:rPr>
          <w:sz w:val="20"/>
          <w:szCs w:val="20"/>
          <w:color w:val="auto"/>
        </w:rPr>
      </w:pPr>
      <w:r>
        <w:rPr>
          <w:rFonts w:ascii="Times New Roman" w:cs="Times New Roman" w:eastAsia="Times New Roman" w:hAnsi="Times New Roman"/>
          <w:sz w:val="20"/>
          <w:szCs w:val="20"/>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Other corporate officers of NTIC, their ages, and offices held, as of November 20, 2025,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6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60" w:type="dxa"/>
            <w:vAlign w:val="bottom"/>
          </w:tcPr>
          <w:p>
            <w:pPr>
              <w:spacing w:after="0"/>
              <w:rPr>
                <w:sz w:val="23"/>
                <w:szCs w:val="2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160" w:type="dxa"/>
            <w:vAlign w:val="bottom"/>
          </w:tcPr>
          <w:p>
            <w:pPr>
              <w:spacing w:after="0"/>
              <w:rPr>
                <w:sz w:val="23"/>
                <w:szCs w:val="23"/>
                <w:color w:val="auto"/>
              </w:rPr>
            </w:pPr>
          </w:p>
        </w:tc>
        <w:tc>
          <w:tcPr>
            <w:tcW w:w="59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20"/>
                <w:szCs w:val="20"/>
                <w:b w:val="1"/>
                <w:bCs w:val="1"/>
                <w:color w:val="auto"/>
              </w:rPr>
              <w:t>Position with NTIC</w:t>
            </w:r>
          </w:p>
        </w:tc>
      </w:tr>
      <w:tr>
        <w:trPr>
          <w:trHeight w:val="334"/>
        </w:trPr>
        <w:tc>
          <w:tcPr>
            <w:tcW w:w="2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Vineet R. Dalal</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56</w:t>
            </w:r>
          </w:p>
        </w:tc>
        <w:tc>
          <w:tcPr>
            <w:tcW w:w="160" w:type="dxa"/>
            <w:vAlign w:val="bottom"/>
          </w:tcPr>
          <w:p>
            <w:pPr>
              <w:spacing w:after="0"/>
              <w:rPr>
                <w:sz w:val="24"/>
                <w:szCs w:val="24"/>
                <w:color w:val="auto"/>
              </w:rPr>
            </w:pPr>
          </w:p>
        </w:tc>
        <w:tc>
          <w:tcPr>
            <w:tcW w:w="5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Vice President and Director – Global Market Development – Natur-Tec</w:t>
            </w:r>
            <w:r>
              <w:rPr>
                <w:rFonts w:ascii="Times New Roman" w:cs="Times New Roman" w:eastAsia="Times New Roman" w:hAnsi="Times New Roman"/>
                <w:sz w:val="25"/>
                <w:szCs w:val="25"/>
                <w:color w:val="auto"/>
                <w:vertAlign w:val="superscript"/>
              </w:rPr>
              <w:t>®</w:t>
            </w:r>
          </w:p>
        </w:tc>
      </w:tr>
      <w:tr>
        <w:trPr>
          <w:trHeight w:val="363"/>
        </w:trPr>
        <w:tc>
          <w:tcPr>
            <w:tcW w:w="2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Gautam Ramdas</w:t>
            </w:r>
          </w:p>
        </w:tc>
        <w:tc>
          <w:tcPr>
            <w:tcW w:w="8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52</w:t>
            </w:r>
          </w:p>
        </w:tc>
        <w:tc>
          <w:tcPr>
            <w:tcW w:w="160" w:type="dxa"/>
            <w:vAlign w:val="bottom"/>
          </w:tcPr>
          <w:p>
            <w:pPr>
              <w:spacing w:after="0"/>
              <w:rPr>
                <w:sz w:val="24"/>
                <w:szCs w:val="24"/>
                <w:color w:val="auto"/>
              </w:rPr>
            </w:pPr>
          </w:p>
        </w:tc>
        <w:tc>
          <w:tcPr>
            <w:tcW w:w="5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Vice President and Director – Global Market Development – Oil &amp; Gas</w:t>
            </w:r>
          </w:p>
        </w:tc>
      </w:tr>
      <w:tr>
        <w:trPr>
          <w:trHeight w:val="460"/>
        </w:trPr>
        <w:tc>
          <w:tcPr>
            <w:tcW w:w="2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Brian Haglund</w:t>
            </w:r>
          </w:p>
        </w:tc>
        <w:tc>
          <w:tcPr>
            <w:tcW w:w="8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41</w:t>
            </w:r>
          </w:p>
        </w:tc>
        <w:tc>
          <w:tcPr>
            <w:tcW w:w="160" w:type="dxa"/>
            <w:vAlign w:val="bottom"/>
          </w:tcPr>
          <w:p>
            <w:pPr>
              <w:spacing w:after="0"/>
              <w:rPr>
                <w:sz w:val="24"/>
                <w:szCs w:val="24"/>
                <w:color w:val="auto"/>
              </w:rPr>
            </w:pPr>
          </w:p>
        </w:tc>
        <w:tc>
          <w:tcPr>
            <w:tcW w:w="59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Vice President of Operations – North America</w:t>
            </w:r>
          </w:p>
        </w:tc>
      </w:tr>
    </w:tbl>
    <w:p>
      <w:pPr>
        <w:spacing w:after="0" w:line="204" w:lineRule="exact"/>
        <w:rPr>
          <w:sz w:val="20"/>
          <w:szCs w:val="20"/>
          <w:color w:val="auto"/>
        </w:rPr>
      </w:pPr>
    </w:p>
    <w:p>
      <w:pPr>
        <w:ind w:left="20" w:right="100"/>
        <w:spacing w:after="0" w:line="237" w:lineRule="auto"/>
        <w:rPr>
          <w:sz w:val="20"/>
          <w:szCs w:val="20"/>
          <w:color w:val="auto"/>
        </w:rPr>
      </w:pPr>
      <w:r>
        <w:rPr>
          <w:rFonts w:ascii="Times New Roman" w:cs="Times New Roman" w:eastAsia="Times New Roman" w:hAnsi="Times New Roman"/>
          <w:sz w:val="20"/>
          <w:szCs w:val="20"/>
          <w:color w:val="auto"/>
        </w:rPr>
        <w:t>Vineet R. Dalal, an employee of NTIC since 2004, has served as Vice President and Director – Global Market Development –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since November 2005. Prior to joining NTIC, Mr. Dalal was a Principal in the Worldwide Product Development Practice of PRTM, a management consultancy to technology-based companies (now part of PricewaterhouseCoopers Management Consulting). In this position, Mr. Dalal consulted for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660"/>
          </w:cols>
          <w:pgMar w:left="1280" w:top="1132" w:right="1300" w:bottom="382" w:gutter="0" w:footer="0" w:header="0"/>
        </w:sectPr>
      </w:pPr>
    </w:p>
    <w:bookmarkStart w:id="99" w:name="page100"/>
    <w:bookmarkEnd w:id="99"/>
    <w:p>
      <w:pPr>
        <w:ind w:right="40"/>
        <w:spacing w:after="0" w:line="243" w:lineRule="auto"/>
        <w:rPr>
          <w:sz w:val="20"/>
          <w:szCs w:val="20"/>
          <w:color w:val="auto"/>
        </w:rPr>
      </w:pPr>
      <w:r>
        <w:rPr>
          <w:rFonts w:ascii="Times New Roman" w:cs="Times New Roman" w:eastAsia="Times New Roman" w:hAnsi="Times New Roman"/>
          <w:sz w:val="20"/>
          <w:szCs w:val="20"/>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United States and in India. Mr. Ramdas received an M.B.A. from the University of Michigan Ross School of Business in Ann Arbor, Michigan. He also holds a bachelor’s degree in Mechanical Engineering from the College of Engineering, Guindy (Chennai), India.</w:t>
      </w:r>
    </w:p>
    <w:p>
      <w:pPr>
        <w:spacing w:after="0" w:line="20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Brian Haglund, an employee of NTIC since 2018, is currently serving as Vice President of Operations – North America. Prior to joining NTIC, Mr. Haglund held various leadership roles within Textron, a Fortune 500 industrial conglomerate. During his tenure with Textron, Mr. Haglund led various global operations and manufacturing facilities across the US, in China, and in Germany focusing on aerospace and industrial manufacturing. Mr. Haglund received an M.B.A. degree with a concentration in Finance from The Miller College of Business through Ball State University. He also holds a B.A. degree in Supply Chain Management from Eli Broad College of Business through Michigan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620"/>
          </w:cols>
          <w:pgMar w:left="1300" w:top="1132" w:right="1320" w:bottom="382" w:gutter="0" w:footer="0" w:header="0"/>
        </w:sectPr>
      </w:pPr>
    </w:p>
    <w:bookmarkStart w:id="100" w:name="page101"/>
    <w:bookmarkEnd w:id="100"/>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4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The following are the most material factors known to NTIC that could materially adversely affect its business, operating results, or financial condition.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summary is not complete and should be read in conjunction with the risk factors set forth below.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NTIC’s Business and Industry</w:t>
      </w:r>
    </w:p>
    <w:p>
      <w:pPr>
        <w:spacing w:after="0" w:line="20" w:lineRule="exact"/>
        <w:rPr>
          <w:sz w:val="20"/>
          <w:szCs w:val="20"/>
          <w:color w:val="auto"/>
        </w:rPr>
      </w:pPr>
    </w:p>
    <w:p>
      <w:pPr>
        <w:jc w:val="both"/>
        <w:ind w:left="720" w:right="220" w:hanging="364"/>
        <w:spacing w:after="0" w:line="250"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Any weakness in the global economy, and in particular in the United States, Europe, India and China, and in the automotive industry, has negatively impacted and in the future may negatively impact NTIC’s business, operating results, and financial condition.</w:t>
      </w:r>
    </w:p>
    <w:p>
      <w:pPr>
        <w:spacing w:after="0" w:line="1" w:lineRule="exact"/>
        <w:rPr>
          <w:rFonts w:ascii="Arial" w:cs="Arial" w:eastAsia="Arial" w:hAnsi="Arial"/>
          <w:sz w:val="20"/>
          <w:szCs w:val="20"/>
          <w:color w:val="auto"/>
        </w:rPr>
      </w:pPr>
    </w:p>
    <w:p>
      <w:pPr>
        <w:ind w:left="720" w:hanging="364"/>
        <w:spacing w:after="0"/>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NTIC’s business in the past has been and, in the future, may be negatively impacted by inflation.</w:t>
      </w:r>
    </w:p>
    <w:p>
      <w:pPr>
        <w:spacing w:after="0" w:line="12" w:lineRule="exact"/>
        <w:rPr>
          <w:rFonts w:ascii="Arial" w:cs="Arial" w:eastAsia="Arial" w:hAnsi="Arial"/>
          <w:sz w:val="20"/>
          <w:szCs w:val="20"/>
          <w:color w:val="auto"/>
        </w:rPr>
      </w:pPr>
    </w:p>
    <w:p>
      <w:pPr>
        <w:ind w:left="720" w:right="60" w:hanging="364"/>
        <w:spacing w:after="0" w:line="244"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Supply chain disruptions in the past have interrupted and, in the future, could interrupt product manufacturing, increase product costs and result in lost sales, which have had and, in the future, may have a material adverse effect on NTIC’s business, operating results and financial condition.</w:t>
      </w:r>
    </w:p>
    <w:p>
      <w:pPr>
        <w:spacing w:after="0" w:line="2" w:lineRule="exact"/>
        <w:rPr>
          <w:rFonts w:ascii="Arial" w:cs="Arial" w:eastAsia="Arial" w:hAnsi="Arial"/>
          <w:sz w:val="20"/>
          <w:szCs w:val="20"/>
          <w:color w:val="auto"/>
        </w:rPr>
      </w:pPr>
    </w:p>
    <w:p>
      <w:pPr>
        <w:ind w:left="720" w:right="260" w:hanging="364"/>
        <w:spacing w:after="0" w:line="247"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Disruptions to the distribution channels for NTIC’s products in the past have negatively impacted and in the future may negatively impact NTIC’s business, operating results, and financial condition.</w:t>
      </w:r>
    </w:p>
    <w:p>
      <w:pPr>
        <w:spacing w:after="0" w:line="1" w:lineRule="exact"/>
        <w:rPr>
          <w:rFonts w:ascii="Arial" w:cs="Arial" w:eastAsia="Arial" w:hAnsi="Arial"/>
          <w:sz w:val="20"/>
          <w:szCs w:val="20"/>
          <w:color w:val="auto"/>
        </w:rPr>
      </w:pPr>
    </w:p>
    <w:p>
      <w:pPr>
        <w:ind w:left="720" w:right="500" w:hanging="364"/>
        <w:spacing w:after="0" w:line="246"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NTIC’s dependence on key suppliers puts NTIC at risk of interruptions in the availability of its products, which could reduce its net sales and adversely affect its operating results and harm its reputation.</w:t>
      </w:r>
    </w:p>
    <w:p>
      <w:pPr>
        <w:spacing w:after="0" w:line="1" w:lineRule="exact"/>
        <w:rPr>
          <w:rFonts w:ascii="Arial" w:cs="Arial" w:eastAsia="Arial" w:hAnsi="Arial"/>
          <w:sz w:val="20"/>
          <w:szCs w:val="20"/>
          <w:color w:val="auto"/>
        </w:rPr>
      </w:pPr>
    </w:p>
    <w:p>
      <w:pPr>
        <w:ind w:left="720" w:right="520" w:hanging="364"/>
        <w:spacing w:after="0" w:line="246"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prices for raw materials and components used in NTIC’s products in the past have adversely affected and in the future could adversely affect NTIC’s operating results.</w:t>
      </w:r>
    </w:p>
    <w:p>
      <w:pPr>
        <w:spacing w:after="0" w:line="1" w:lineRule="exact"/>
        <w:rPr>
          <w:rFonts w:ascii="Arial" w:cs="Arial" w:eastAsia="Arial" w:hAnsi="Arial"/>
          <w:sz w:val="20"/>
          <w:szCs w:val="20"/>
          <w:color w:val="auto"/>
        </w:rPr>
      </w:pPr>
    </w:p>
    <w:p>
      <w:pPr>
        <w:ind w:left="720" w:right="360" w:hanging="364"/>
        <w:spacing w:after="0" w:line="246"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NTIC relies on others for its production, and any interruptions of these arrangements could disrupt NTIC’s ability to fill its customers’ orders.</w:t>
      </w:r>
    </w:p>
    <w:p>
      <w:pPr>
        <w:spacing w:after="0" w:line="1" w:lineRule="exact"/>
        <w:rPr>
          <w:rFonts w:ascii="Arial" w:cs="Arial" w:eastAsia="Arial" w:hAnsi="Arial"/>
          <w:sz w:val="20"/>
          <w:szCs w:val="20"/>
          <w:color w:val="auto"/>
        </w:rPr>
      </w:pPr>
    </w:p>
    <w:p>
      <w:pPr>
        <w:ind w:left="720" w:right="520" w:hanging="364"/>
        <w:spacing w:after="0" w:line="244"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Changes to trade regulation, quotas, duties, or tariffs, caused by the changing U.S. and geopolitical environments or otherwise, have negatively impacted in the past and in the future may negatively impact NTIC’s business, operating results, and financial condition.</w:t>
      </w:r>
    </w:p>
    <w:p>
      <w:pPr>
        <w:spacing w:after="0" w:line="2" w:lineRule="exact"/>
        <w:rPr>
          <w:rFonts w:ascii="Arial" w:cs="Arial" w:eastAsia="Arial" w:hAnsi="Arial"/>
          <w:sz w:val="20"/>
          <w:szCs w:val="20"/>
          <w:color w:val="auto"/>
        </w:rPr>
      </w:pPr>
    </w:p>
    <w:p>
      <w:pPr>
        <w:ind w:left="720" w:right="300" w:hanging="364"/>
        <w:spacing w:after="0" w:line="244"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Global credit and financial markets in the past have experienced disruptions, including diminished liquidity and credit availability and rapid fluctuations in market valuations, which, if they happen again, could negatively impact NTIC’s business, operating results, and financial condition.</w:t>
      </w:r>
    </w:p>
    <w:p>
      <w:pPr>
        <w:spacing w:after="0" w:line="2" w:lineRule="exact"/>
        <w:rPr>
          <w:rFonts w:ascii="Arial" w:cs="Arial" w:eastAsia="Arial" w:hAnsi="Arial"/>
          <w:sz w:val="20"/>
          <w:szCs w:val="20"/>
          <w:color w:val="auto"/>
        </w:rPr>
      </w:pPr>
    </w:p>
    <w:p>
      <w:pPr>
        <w:ind w:left="720" w:right="280" w:hanging="364"/>
        <w:spacing w:after="0" w:line="246"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NTIC has limited staffing, faces challenges caused by its aging workforce and given its limited resources, it may not effectively manage its growth.</w:t>
      </w:r>
    </w:p>
    <w:p>
      <w:pPr>
        <w:spacing w:after="0" w:line="1" w:lineRule="exact"/>
        <w:rPr>
          <w:rFonts w:ascii="Arial" w:cs="Arial" w:eastAsia="Arial" w:hAnsi="Arial"/>
          <w:sz w:val="20"/>
          <w:szCs w:val="20"/>
          <w:color w:val="auto"/>
        </w:rPr>
      </w:pPr>
    </w:p>
    <w:p>
      <w:pPr>
        <w:ind w:left="720" w:hanging="364"/>
        <w:spacing w:after="0"/>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The evolution of the automotive industry towards electric vehicles could adversely affect NTIC’s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NTIC’s Joint Ventures</w:t>
      </w:r>
    </w:p>
    <w:p>
      <w:pPr>
        <w:spacing w:after="0" w:line="20" w:lineRule="exact"/>
        <w:rPr>
          <w:sz w:val="20"/>
          <w:szCs w:val="20"/>
          <w:color w:val="auto"/>
        </w:rPr>
      </w:pPr>
    </w:p>
    <w:p>
      <w:pPr>
        <w:jc w:val="both"/>
        <w:ind w:left="720" w:right="20" w:hanging="364"/>
        <w:spacing w:after="0" w:line="250" w:lineRule="auto"/>
        <w:tabs>
          <w:tab w:leader="none" w:pos="7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spacing w:after="0" w:line="1" w:lineRule="exact"/>
        <w:rPr>
          <w:rFonts w:ascii="Arial" w:cs="Arial" w:eastAsia="Arial" w:hAnsi="Arial"/>
          <w:sz w:val="20"/>
          <w:szCs w:val="20"/>
          <w:color w:val="auto"/>
        </w:rPr>
      </w:pPr>
    </w:p>
    <w:p>
      <w:pPr>
        <w:ind w:left="720" w:right="60" w:hanging="365"/>
        <w:spacing w:after="0" w:line="255" w:lineRule="auto"/>
        <w:tabs>
          <w:tab w:leader="none" w:pos="7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Since a significant portion of NTIC’s earnings results from its equity income from joint ventures, which varies quarter to quarter, NTIC’s earnings are subject to quarterly fluctuations.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NTIC’s International Operations and the Foreign Markets in which NTIC Operates</w:t>
      </w:r>
    </w:p>
    <w:p>
      <w:pPr>
        <w:spacing w:after="0" w:line="19" w:lineRule="exact"/>
        <w:rPr>
          <w:sz w:val="20"/>
          <w:szCs w:val="20"/>
          <w:color w:val="auto"/>
        </w:rPr>
      </w:pPr>
    </w:p>
    <w:p>
      <w:pPr>
        <w:ind w:left="720" w:right="40" w:hanging="365"/>
        <w:spacing w:after="0" w:line="250" w:lineRule="auto"/>
        <w:tabs>
          <w:tab w:leader="none" w:pos="7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2" w:lineRule="exact"/>
        <w:rPr>
          <w:rFonts w:ascii="Arial" w:cs="Arial" w:eastAsia="Arial" w:hAnsi="Arial"/>
          <w:sz w:val="20"/>
          <w:szCs w:val="20"/>
          <w:color w:val="auto"/>
        </w:rPr>
      </w:pPr>
    </w:p>
    <w:p>
      <w:pPr>
        <w:ind w:left="720" w:right="220" w:hanging="365"/>
        <w:spacing w:after="0" w:line="244" w:lineRule="auto"/>
        <w:tabs>
          <w:tab w:leader="none" w:pos="7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If sales of NTIC’s products and services by its joint venture in Germany were to decline significantly or if NTIC’s relationships with this joint venture were to deteriorate significantly, NTIC’s operating results likely would be adversely affected.</w:t>
      </w:r>
    </w:p>
    <w:p>
      <w:pPr>
        <w:spacing w:after="0" w:line="2" w:lineRule="exact"/>
        <w:rPr>
          <w:rFonts w:ascii="Arial" w:cs="Arial" w:eastAsia="Arial" w:hAnsi="Arial"/>
          <w:sz w:val="20"/>
          <w:szCs w:val="20"/>
          <w:color w:val="auto"/>
        </w:rPr>
      </w:pPr>
    </w:p>
    <w:p>
      <w:pPr>
        <w:ind w:left="720" w:right="600" w:hanging="365"/>
        <w:spacing w:after="0" w:line="246" w:lineRule="auto"/>
        <w:tabs>
          <w:tab w:leader="none" w:pos="7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ongoing war between Russia and Ukraine and the conflicts in the Middle East may adversely affect NTIC’s business and results of operations.</w:t>
      </w:r>
    </w:p>
    <w:p>
      <w:pPr>
        <w:spacing w:after="0" w:line="1" w:lineRule="exact"/>
        <w:rPr>
          <w:rFonts w:ascii="Arial" w:cs="Arial" w:eastAsia="Arial" w:hAnsi="Arial"/>
          <w:sz w:val="20"/>
          <w:szCs w:val="20"/>
          <w:color w:val="auto"/>
        </w:rPr>
      </w:pPr>
    </w:p>
    <w:p>
      <w:pPr>
        <w:ind w:left="720" w:right="140" w:hanging="364"/>
        <w:spacing w:after="0" w:line="246" w:lineRule="auto"/>
        <w:tabs>
          <w:tab w:leader="none" w:pos="7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operations of NTIC China may be adversely affected by China’s evolving economic, political, and social conditions, as well as increasing tensions between the United States and China.</w:t>
      </w:r>
    </w:p>
    <w:p>
      <w:pPr>
        <w:spacing w:after="0" w:line="1" w:lineRule="exact"/>
        <w:rPr>
          <w:rFonts w:ascii="Arial" w:cs="Arial" w:eastAsia="Arial" w:hAnsi="Arial"/>
          <w:sz w:val="20"/>
          <w:szCs w:val="20"/>
          <w:color w:val="auto"/>
        </w:rPr>
      </w:pPr>
    </w:p>
    <w:p>
      <w:pPr>
        <w:ind w:left="720" w:right="420" w:hanging="364"/>
        <w:spacing w:after="0" w:line="247" w:lineRule="auto"/>
        <w:tabs>
          <w:tab w:leader="none" w:pos="7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Intellectual property rights are difficult to enforce in China, which could harm NTIC’s business, results of operations, or financial condition.</w:t>
      </w:r>
    </w:p>
    <w:p>
      <w:pPr>
        <w:spacing w:after="0" w:line="1" w:lineRule="exact"/>
        <w:rPr>
          <w:rFonts w:ascii="Arial" w:cs="Arial" w:eastAsia="Arial" w:hAnsi="Arial"/>
          <w:sz w:val="20"/>
          <w:szCs w:val="20"/>
          <w:color w:val="auto"/>
        </w:rPr>
      </w:pPr>
    </w:p>
    <w:p>
      <w:pPr>
        <w:ind w:left="720" w:hanging="364"/>
        <w:spacing w:after="0"/>
        <w:tabs>
          <w:tab w:leader="none" w:pos="7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Uncertainties with respect to the Chinese legal system may adversely affect the operations of NTIC China.</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620"/>
          </w:cols>
          <w:pgMar w:left="1300" w:top="1128" w:right="1320" w:bottom="382" w:gutter="0" w:footer="0" w:header="0"/>
        </w:sectPr>
      </w:pPr>
    </w:p>
    <w:bookmarkStart w:id="101" w:name="page102"/>
    <w:bookmarkEnd w:id="101"/>
    <w:p>
      <w:pPr>
        <w:ind w:left="720" w:right="560" w:hanging="364"/>
        <w:spacing w:after="0" w:line="258" w:lineRule="auto"/>
        <w:tabs>
          <w:tab w:leader="none" w:pos="7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comply with the U.S. Foreign Corrupt Practices Act could subject NTIC to penalties and legal expenses.</w:t>
      </w:r>
    </w:p>
    <w:p>
      <w:pPr>
        <w:ind w:left="720" w:right="380" w:hanging="364"/>
        <w:spacing w:after="0" w:line="247" w:lineRule="auto"/>
        <w:tabs>
          <w:tab w:leader="none" w:pos="7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foreign currency exchange rates could result in declines in NTIC’s earnings and changes in NTIC’s foreign currency translation adjustments.</w:t>
      </w:r>
    </w:p>
    <w:p>
      <w:pPr>
        <w:spacing w:after="0" w:line="1" w:lineRule="exact"/>
        <w:rPr>
          <w:rFonts w:ascii="Arial" w:cs="Arial" w:eastAsia="Arial" w:hAnsi="Arial"/>
          <w:sz w:val="20"/>
          <w:szCs w:val="20"/>
          <w:color w:val="auto"/>
        </w:rPr>
      </w:pPr>
    </w:p>
    <w:p>
      <w:pPr>
        <w:ind w:left="720" w:hanging="364"/>
        <w:spacing w:after="0"/>
        <w:tabs>
          <w:tab w:leader="none" w:pos="7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Economic uncertainty in developing markets could adversely affect NTIC’s revenue and earnings.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NTIC’s Products</w:t>
      </w:r>
    </w:p>
    <w:p>
      <w:pPr>
        <w:spacing w:after="0" w:line="20" w:lineRule="exact"/>
        <w:rPr>
          <w:sz w:val="20"/>
          <w:szCs w:val="20"/>
          <w:color w:val="auto"/>
        </w:rPr>
      </w:pPr>
    </w:p>
    <w:p>
      <w:pPr>
        <w:ind w:left="720" w:right="620" w:hanging="364"/>
        <w:spacing w:after="0" w:line="250"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NTIC faces intense competition in almost all of its product lines, including from competitors that have substantially greater resources than NTIC does. No assurance can be provided that NTIC will be able to compete effectively, which would harm its business and operating results.</w:t>
      </w:r>
    </w:p>
    <w:p>
      <w:pPr>
        <w:spacing w:after="0" w:line="1" w:lineRule="exact"/>
        <w:rPr>
          <w:rFonts w:ascii="Arial" w:cs="Arial" w:eastAsia="Arial" w:hAnsi="Arial"/>
          <w:sz w:val="20"/>
          <w:szCs w:val="20"/>
          <w:color w:val="auto"/>
        </w:rPr>
      </w:pPr>
    </w:p>
    <w:p>
      <w:pPr>
        <w:jc w:val="both"/>
        <w:ind w:left="720" w:hanging="364"/>
        <w:spacing w:after="0" w:line="226"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ind w:left="720" w:right="100" w:hanging="364"/>
        <w:spacing w:after="0" w:line="244"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spacing w:after="0" w:line="2" w:lineRule="exact"/>
        <w:rPr>
          <w:rFonts w:ascii="Arial" w:cs="Arial" w:eastAsia="Arial" w:hAnsi="Arial"/>
          <w:sz w:val="20"/>
          <w:szCs w:val="20"/>
          <w:color w:val="auto"/>
        </w:rPr>
      </w:pPr>
    </w:p>
    <w:p>
      <w:pPr>
        <w:jc w:val="both"/>
        <w:ind w:left="720" w:right="100" w:hanging="364"/>
        <w:spacing w:after="0" w:line="227"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No assurance can be provided that NTIC’s investments in additional research and development and marketing efforts and resources into the application of its corrosion prevention solutions into the oil and gas industry and the continued launch of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will be successful.</w:t>
      </w:r>
    </w:p>
    <w:p>
      <w:pPr>
        <w:spacing w:after="0" w:line="2" w:lineRule="exact"/>
        <w:rPr>
          <w:rFonts w:ascii="Arial" w:cs="Arial" w:eastAsia="Arial" w:hAnsi="Arial"/>
          <w:sz w:val="20"/>
          <w:szCs w:val="20"/>
          <w:color w:val="auto"/>
        </w:rPr>
      </w:pPr>
    </w:p>
    <w:p>
      <w:pPr>
        <w:ind w:left="720" w:right="120" w:hanging="364"/>
        <w:spacing w:after="0" w:line="223"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NTIC’s strategy of expanding its corrosion prevention solutions into the oil and gas industry and continuing the expansion of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bioplastics resin compounds and finished products is risky and may not prove to be successful, which could harm NTIC’s operating results and financial condition.</w:t>
      </w:r>
    </w:p>
    <w:p>
      <w:pPr>
        <w:spacing w:after="0" w:line="2" w:lineRule="exact"/>
        <w:rPr>
          <w:rFonts w:ascii="Arial" w:cs="Arial" w:eastAsia="Arial" w:hAnsi="Arial"/>
          <w:sz w:val="20"/>
          <w:szCs w:val="20"/>
          <w:color w:val="auto"/>
        </w:rPr>
      </w:pPr>
    </w:p>
    <w:p>
      <w:pPr>
        <w:ind w:left="720" w:right="660" w:hanging="364"/>
        <w:spacing w:after="0" w:line="246"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NTIC’s dependence on manufacturing and logistical services provided by contractors could give rise to product defects or warranty liability.</w:t>
      </w:r>
    </w:p>
    <w:p>
      <w:pPr>
        <w:spacing w:after="0" w:line="1" w:lineRule="exact"/>
        <w:rPr>
          <w:rFonts w:ascii="Arial" w:cs="Arial" w:eastAsia="Arial" w:hAnsi="Arial"/>
          <w:sz w:val="20"/>
          <w:szCs w:val="20"/>
          <w:color w:val="auto"/>
        </w:rPr>
      </w:pPr>
    </w:p>
    <w:p>
      <w:pPr>
        <w:ind w:left="720" w:right="680" w:hanging="364"/>
        <w:spacing w:after="0" w:line="220"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The commercial success of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depends on the widespread market acceptance of products manufactured with bio-based and biodegradable resins.</w:t>
      </w:r>
    </w:p>
    <w:p>
      <w:pPr>
        <w:ind w:left="720" w:right="100" w:hanging="364"/>
        <w:spacing w:after="0" w:line="246"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NTIC relies on its joint ventures, distributors, manufacturer’s sales representatives, and other agents to market and sell its products.</w:t>
      </w:r>
    </w:p>
    <w:p>
      <w:pPr>
        <w:spacing w:after="0" w:line="1" w:lineRule="exact"/>
        <w:rPr>
          <w:rFonts w:ascii="Arial" w:cs="Arial" w:eastAsia="Arial" w:hAnsi="Arial"/>
          <w:sz w:val="20"/>
          <w:szCs w:val="20"/>
          <w:color w:val="auto"/>
        </w:rPr>
      </w:pPr>
    </w:p>
    <w:p>
      <w:pPr>
        <w:ind w:left="720" w:right="20" w:hanging="364"/>
        <w:spacing w:after="0" w:line="229"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NTIC may be subject to product liability claims or other claims arising out of the activities of its joint ventures, which could adversely affect NTIC and its business, and the sale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into the oil and gas industry is risky in light of the hazards typically associated with such operations and the significant amount of potential liability involved.</w:t>
      </w:r>
    </w:p>
    <w:p>
      <w:pPr>
        <w:ind w:left="720" w:right="20" w:hanging="364"/>
        <w:spacing w:after="0" w:line="220"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The sale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into the oil and gas industry is somewhat seasonal and dependent upon oil prices.</w:t>
      </w:r>
    </w:p>
    <w:p>
      <w:pPr>
        <w:ind w:left="720" w:right="60" w:hanging="364"/>
        <w:spacing w:after="0" w:line="225"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The expansion of NTIC’s corrosion prevention solutions into the oil and gas industry and the continued launch of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may require additional capital in the future, which may not be available or may be available only on unfavorable terms.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Governmental Regulation, Laws, and Compliance</w:t>
      </w:r>
    </w:p>
    <w:p>
      <w:pPr>
        <w:spacing w:after="0" w:line="19" w:lineRule="exact"/>
        <w:rPr>
          <w:sz w:val="20"/>
          <w:szCs w:val="20"/>
          <w:color w:val="auto"/>
        </w:rPr>
      </w:pPr>
    </w:p>
    <w:p>
      <w:pPr>
        <w:ind w:left="720" w:right="100" w:hanging="364"/>
        <w:spacing w:after="0" w:line="248" w:lineRule="auto"/>
        <w:tabs>
          <w:tab w:leader="none" w:pos="72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ind w:left="720" w:right="140" w:hanging="364"/>
        <w:spacing w:after="0" w:line="247" w:lineRule="auto"/>
        <w:tabs>
          <w:tab w:leader="none" w:pos="72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NTIC’s effective tax rate could have a significant impact on NTIC’s financial position, results of operations, or cash flows.</w:t>
      </w:r>
    </w:p>
    <w:p>
      <w:pPr>
        <w:spacing w:after="0" w:line="1" w:lineRule="exact"/>
        <w:rPr>
          <w:rFonts w:ascii="Arial" w:cs="Arial" w:eastAsia="Arial" w:hAnsi="Arial"/>
          <w:sz w:val="20"/>
          <w:szCs w:val="20"/>
          <w:color w:val="auto"/>
        </w:rPr>
      </w:pPr>
    </w:p>
    <w:p>
      <w:pPr>
        <w:ind w:left="720" w:hanging="364"/>
        <w:spacing w:after="0"/>
        <w:tabs>
          <w:tab w:leader="none" w:pos="72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Certain of NTIC’s operations are subject to regulation by the U.S. Food and Drug Administration.</w:t>
      </w:r>
    </w:p>
    <w:p>
      <w:pPr>
        <w:spacing w:after="0" w:line="12" w:lineRule="exact"/>
        <w:rPr>
          <w:rFonts w:ascii="Arial" w:cs="Arial" w:eastAsia="Arial" w:hAnsi="Arial"/>
          <w:sz w:val="20"/>
          <w:szCs w:val="20"/>
          <w:color w:val="auto"/>
        </w:rPr>
      </w:pPr>
    </w:p>
    <w:p>
      <w:pPr>
        <w:ind w:left="720" w:right="880" w:hanging="365"/>
        <w:spacing w:after="0" w:line="247" w:lineRule="auto"/>
        <w:tabs>
          <w:tab w:leader="none" w:pos="72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NTIC’s reliance upon patents, trademark laws, trade secrets, and contractual provisions to protect its proprietary rights may not be sufficient to protect its intellectual property.</w:t>
      </w:r>
    </w:p>
    <w:p>
      <w:pPr>
        <w:spacing w:after="0" w:line="1" w:lineRule="exact"/>
        <w:rPr>
          <w:rFonts w:ascii="Arial" w:cs="Arial" w:eastAsia="Arial" w:hAnsi="Arial"/>
          <w:sz w:val="20"/>
          <w:szCs w:val="20"/>
          <w:color w:val="auto"/>
        </w:rPr>
      </w:pPr>
    </w:p>
    <w:p>
      <w:pPr>
        <w:ind w:left="720" w:hanging="365"/>
        <w:spacing w:after="0"/>
        <w:tabs>
          <w:tab w:leader="none" w:pos="72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Any changes in U.S. generally accepted accounting principles might adversely affect NTIC’s operating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NTIC’s Common Stock</w:t>
      </w:r>
    </w:p>
    <w:p>
      <w:pPr>
        <w:spacing w:after="0" w:line="20" w:lineRule="exact"/>
        <w:rPr>
          <w:sz w:val="20"/>
          <w:szCs w:val="20"/>
          <w:color w:val="auto"/>
        </w:rPr>
      </w:pPr>
    </w:p>
    <w:p>
      <w:pPr>
        <w:ind w:left="720" w:right="340" w:hanging="364"/>
        <w:spacing w:after="0" w:line="256" w:lineRule="auto"/>
        <w:tabs>
          <w:tab w:leader="none" w:pos="72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The trading volume of NTIC’s common stock is typically very low, leaving NTIC’s common stock open to risk of high volatility and the price and trading volume has been, and may continue to be, volatile.</w:t>
      </w:r>
    </w:p>
    <w:p>
      <w:pPr>
        <w:ind w:left="720" w:right="580" w:hanging="365"/>
        <w:spacing w:after="0" w:line="253" w:lineRule="auto"/>
        <w:tabs>
          <w:tab w:leader="none" w:pos="72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A large percentage of NTIC’s outstanding common stock is held by insiders, and, as a result, the trading market for NTIC’s common stock is not as liquid as the stock of other public companies.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640"/>
          </w:cols>
          <w:pgMar w:left="1300" w:top="1147" w:right="1300" w:bottom="382"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color w:val="auto"/>
        </w:rPr>
        <w:t>Risks Related to NTIC’s Business and Industry</w:t>
      </w:r>
    </w:p>
    <w:p>
      <w:pPr>
        <w:spacing w:after="0" w:line="234"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Any weakness in the global economy, and in particular in the United States, Europe, India and China, and in the automotive industry, has negatively impacted and in the future may negatively impact NTIC’s business, operating results, and financial condition.</w:t>
      </w:r>
    </w:p>
    <w:p>
      <w:pPr>
        <w:spacing w:after="0" w:line="186"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From time to time, the U.S. and world economies suffer from uncertainty, volatility, disruption, and other adverse conditions, which has adversely impacted and in the future may adversely impact the business community and the financial markets. Adverse economic and financial market conditions have negatively affected and in the future may negatively affect NTIC’s customers and its markets, thereby negatively impacting NTIC’s business and operating results. For example, weak market conditions could extend the length of NTIC’s sales cycle and cause potential customers to delay, defer, or decline to make purchases of NTIC’s products and services due to uncertainties surrounding the future performance of their businesses, limitations on their capital expenditures due to internal budget constraints, the inability to obtain financing in the capital markets, and the adverse effects of the economy on their business and financial condition. As a result, if economic and financial market conditions weaken or deteriorate, then NTIC’s business, financial condition, and operating results, including its ability to grow and expand its business and operations, could be materially and adversely affected.</w:t>
      </w:r>
    </w:p>
    <w:p>
      <w:pPr>
        <w:spacing w:after="0" w:line="199" w:lineRule="exact"/>
        <w:rPr>
          <w:sz w:val="20"/>
          <w:szCs w:val="20"/>
          <w:color w:val="auto"/>
        </w:rPr>
      </w:pPr>
    </w:p>
    <w:p>
      <w:pPr>
        <w:ind w:firstLine="1"/>
        <w:spacing w:after="0" w:line="237" w:lineRule="auto"/>
        <w:rPr>
          <w:sz w:val="20"/>
          <w:szCs w:val="20"/>
          <w:color w:val="auto"/>
        </w:rPr>
      </w:pPr>
      <w:r>
        <w:rPr>
          <w:rFonts w:ascii="Times New Roman" w:cs="Times New Roman" w:eastAsia="Times New Roman" w:hAnsi="Times New Roman"/>
          <w:sz w:val="20"/>
          <w:szCs w:val="20"/>
          <w:color w:val="auto"/>
        </w:rPr>
        <w:t>NTIC’s operating results are especially dependent upon the economic health of the economies in the United States, Europe, India and China. Since a significant portion of 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and services are sold to customers in the automotive industry, adverse economic conditions affecting the automotive industry or other events that may adversely affect the automotive industry may result in an adverse effect on NTIC’s net sales and its other operating results. In fiscal 2025, demand remained soft within the automotive industry, which indirectly adversely impacted NTIC, due in part to a decrease in exports of automotive products resulting from tariffs between the U.S. and both Mexico and Canada. These tariffs have increased the price of vehicles and increased the risk of automotive plant closure, which may further indirectly adversely impact NTIC. In addition, high interest rates continued to impact the automotive industry and indirectly adversely impacted NTIC. Any weakness in the global economy, particularly the United States, Europe, India and China, and in the automotive industry have negatively impacted and may continue to negatively impact NTIC’s business, operating results, and financial condition.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NTIC’s business in the past has been and, in the future, may be negatively impacted by inflation.</w:t>
      </w:r>
    </w:p>
    <w:p>
      <w:pPr>
        <w:spacing w:after="0" w:line="23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Increases in inflation may have a negative impact on NTIC’s business. In the European Union, high energy prices adversely affected our joint venture sales in fiscal 2025 and persistent high levels of inflation in the United States continued to impact the overall demand for NTIC’s products, labor, and the margins NTIC and its joint ventures are able to realize on the sale of products, all of which have had and could continue to have a negative impact on NTIC’s business, financial position, results of operations and cash flows. In prior years, sustained levels of high inflation caused the U.S. Federal Reserve and other central banks to increase interest rates. Although the U.S. Federal Reserve has recently lowered interest rates, it is not known whether additional action will be taken to further lower interest rates and these decreases will have an impact on inflation. High rates of interest or similar increases to interest rates in the future could increase the cost of capital available to NTIC and depress economic growth and could also negatively impact our business.</w:t>
      </w:r>
    </w:p>
    <w:p>
      <w:pPr>
        <w:spacing w:after="0" w:line="192"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Supply chain disruptions in the past have interrupted and, in the future, could interrupt product manufacturing, increase product costs and result in lost sales, which may have a material adverse effect on NTIC’s business, operating results and financial condition.</w:t>
      </w:r>
    </w:p>
    <w:p>
      <w:pPr>
        <w:spacing w:after="0" w:line="18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Supply chain disruptions in fiscal 2025 related primarily to international shipping issues, as described below, which at times resulted in longer lead times, temporary raw material outages and higher shipping expenses. While NTIC took steps to minimize the impact of these increased costs by working closely with its suppliers and customers, these issues may persist in fiscal 2026, and there can be no assurances that unforeseen events impacting the supply chain will not have a material adverse effect on NTIC in the future. Additionally, the impacts supply chain disruptions have on NTIC’s third-party manufacturers are not within NTIC’s control. Prolonged supply chain disruptions impacting NTIC and its third-party manufacturers could interrupt product manufacturing, increase product costs and result in lost sales, which may have a material adverse effect on NTIC’s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620"/>
          </w:cols>
          <w:pgMar w:left="1300" w:top="1128" w:right="1320" w:bottom="382" w:gutter="0" w:footer="0" w:header="0"/>
        </w:sectPr>
      </w:pPr>
    </w:p>
    <w:bookmarkStart w:id="103" w:name="page104"/>
    <w:bookmarkEnd w:id="103"/>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Disruptions to the distribution channels for NTIC’s products in the past have negatively impacted and in the future may negatively impact NTIC’s business, operating results, and financial condition.</w:t>
      </w:r>
    </w:p>
    <w:p>
      <w:pPr>
        <w:spacing w:after="0" w:line="15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During fiscal 2025, a confluence of factors caused disruptions to international shipping, increasing costs and delaying shipments. Geopolitically, continued attacks on ships entering the Red Sea en route to the Suez Canal, an important waterway for vessels moving between Asia and the United States, by Houthi rebels in Yemen forced ships to take longer routes around Africa’s southern coast, increasing shipping time and delaying shipments. A March 2024 cargo ship crash into the Francis Scott Key Bridge in the Port of Baltimore, the largest U.S. port by volume for deliveries of automotive vehicles and components, caused a temporary suspension in activities. While the Port of Baltimore opened to maritime traffic on June 10, 2024, the bridge is not expected to be rebuilt until late 2028 and further work to clear out wreckage and continue maintenance of the port may continue to cause delays in the Port of Baltimore. In addition, in the first half of fiscal 2025, port strikes on the East Coast of the United States, a key port for European automakers, also contributed to shipping delays. These factors collectively decreased the availability of containers and increased shipping costs in fiscal 2025. Increased shipping costs and delays adversely affected NTIC’s consolidated results of operations during fiscal 2025, and we anticipate that these factors will continue to impact us during fiscal 2026. Similar delays and elevated costs in the future could have a material adverse effect on NTIC’s consolidated results of operations. Furthermore, transportation delays, increased shipping containers rates, closures or disruptions of businesses and facilities or social, economic, political or labor instability in the affected areas may impact the operations of NTIC’s suppliers, which could in turn adversely affect NTIC, and its revenues and operating costs. Any of these disruptions may negatively impact NTIC’s business, operating results, and financial condition.</w:t>
      </w:r>
    </w:p>
    <w:p>
      <w:pPr>
        <w:spacing w:after="0" w:line="198"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NTIC’s dependence on key suppliers puts NTIC at risk of interruptions in the availability of its products, which could reduce its net sales and adversely affect its operating results and harm its reputation.</w:t>
      </w:r>
    </w:p>
    <w:p>
      <w:pPr>
        <w:spacing w:after="0" w:line="16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NTIC relies on suppliers for certain raw materials and components used in its products. For reasons of quality assurance, cost effectiveness, or availability, NTIC procures certain raw materials and components from sole or limited source suppliers. NTIC generally acquires these and other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Although NTIC may attempt to increase storage of raw materials to hedge against rising prices or potential shortages, it may not be able to do so on reasonable terms or at all.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w:t>
      </w:r>
    </w:p>
    <w:p>
      <w:pPr>
        <w:spacing w:after="0" w:line="20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Shortages of raw materials, quality control problems, production capacity constraints, or delays by suppliers could negatively affect NTIC’s ability to meet its production obligations and result in increased prices for affected parts, and NTIC may be forced to find new suppliers for certain raw materials. The rapid growth in demand for bioplastics products globally has increased the demand and the volatility of the price for plastic resins, and limited suppliers of such plastic resins may experience shortages caused by demand outpacing their production capabilities, which could result in NTIC’s inability to produce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promptly or in the volumes demanded. Any such shortages, constraints, or delays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w:t>
      </w:r>
    </w:p>
    <w:p>
      <w:pPr>
        <w:spacing w:after="0" w:line="208"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Increases in prices for raw materials and components used in NTIC’s products in the past have adversely affected and in the future could adversely affect NTIC’s operating results.</w:t>
      </w:r>
    </w:p>
    <w:p>
      <w:pPr>
        <w:spacing w:after="0" w:line="167"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0"/>
          <w:szCs w:val="20"/>
          <w:color w:val="auto"/>
        </w:rPr>
        <w:t>NTIC uses certain raw materials and components in its products, including in particular plastic resins, which are subject to price increases. In light of higher demand and freight costs in fiscal 2025, certain raw materials used in the manufacture of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were at times unavailable or were available only at higher costs, which adversely affected gross margins on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If similar shortages of raw materials arise again in the future, the cost and/or production of NTIC’s products could be adversely affected. Additionally, the Russia-Ukraine war and geopolitical tensions in the Middle East have resulted in and may continue to result in commodity price fluctuations, which have decreased our margins and the margins of our joint ventures and resulted in decreased joint venture profitability, which will likely continue through fiscal 2026. In addition, changes to international trade agreements, including recent U.S. tariffs, continue to affect raw materials or components we import into the U.S. 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640"/>
          </w:cols>
          <w:pgMar w:left="1300" w:top="1132" w:right="1300" w:bottom="382" w:gutter="0" w:footer="0" w:header="0"/>
        </w:sectPr>
      </w:pPr>
    </w:p>
    <w:bookmarkStart w:id="104" w:name="page105"/>
    <w:bookmarkEnd w:id="104"/>
    <w:p>
      <w:pPr>
        <w:ind w:right="100"/>
        <w:spacing w:after="0" w:line="258" w:lineRule="auto"/>
        <w:rPr>
          <w:sz w:val="20"/>
          <w:szCs w:val="20"/>
          <w:color w:val="auto"/>
        </w:rPr>
      </w:pPr>
      <w:r>
        <w:rPr>
          <w:rFonts w:ascii="Times New Roman" w:cs="Times New Roman" w:eastAsia="Times New Roman" w:hAnsi="Times New Roman"/>
          <w:sz w:val="20"/>
          <w:szCs w:val="20"/>
          <w:color w:val="auto"/>
        </w:rPr>
        <w:t>reduce exposure to these and other tariffs, NTIC may be required to consider alternative sourcing or manufacturing, in-house production, or regionalized manufacturing, which may require significant ramp-up time and expense or which may not be available on feasible terms at all.</w:t>
      </w:r>
    </w:p>
    <w:p>
      <w:pPr>
        <w:spacing w:after="0" w:line="18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NTIC relies on others for its production, and any interruptions of these arrangements could disrupt NTIC’s ability to fill its customers’ orders.</w:t>
      </w:r>
    </w:p>
    <w:p>
      <w:pPr>
        <w:spacing w:after="0" w:line="16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thus adversely affecting NTIC’s net sales and other operating results.</w:t>
      </w:r>
    </w:p>
    <w:p>
      <w:pPr>
        <w:spacing w:after="0" w:line="202"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Changes to trade regulation, quotas, duties, or tariffs, caused by the changing U.S. and geopolitical environments or otherwise, have negatively impacted in the past and in the future may negatively impact NTIC’s business, operating results, and financial condition.</w:t>
      </w:r>
    </w:p>
    <w:p>
      <w:pPr>
        <w:spacing w:after="0" w:line="18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There is significant uncertainty about the future relationship between the United States and other countries with respect to trade policies, taxes, government regulations, and tariffs. Within recent years, for example, trade policy changes included the imposition of additional tariffs on imported products in an effort to address trade imbalances, specifically with China, the withdrawal of the U.S. from the Trans-Pacific Partnership, the renegotiation of the North American Free Trade Agreement, and sanctions on Russia. On April 2, 2025, the Trump administration implemented additional tariffs on 180 countries and territories, which range from 10% to 125%. Although these tariffs were subsequently paused in part for 90 days, and although some rates have been negotiated, it is uncertain whether and to what extent they will ultimately become effective. In response to some of these actions, certain countries imposed retaliatory actions against the United States, including reciprocal tariffs. On July 31, 2025, another executive order was issued amending previous executive orders, including adjusting the reciprocal tariffs. An oversupply of inexpensive goods from China has raised concerns of dumping, which may cause the further imposition of tariffs or other trade regulations by the U.S. NTIC, its subsidiaries and joint ventures engage in sales outside of the United States and is, therefore, negatively impacted by such actions. Due to this changing landscape, it is unknown to what extent tariffs will adversely affect NTIC’s operations. Tariffs may cause NTIC to increase prices, face decreased profit margins, and/or pause deliveries from countries subject to high tariffs. NTIC may also need to seek alternative sourcing or manufacturing, in-house production, or regionalized manufacturing, which may require significant ramp-up time and expense or which may not be available on feasible terms at all. These factors may affect production economics, customer pricing, and competitive positioning, particularly in markets where the Company competes with local producers not subject to comparable tariff exposure. These or other changes or potential changes in trade policies in the United States and the potential corresponding actions by other countries in which NTIC does business could adversely and materially affect NTIC’s business, results of operations, and financial condition.</w:t>
      </w:r>
    </w:p>
    <w:p>
      <w:pPr>
        <w:spacing w:after="0" w:line="21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Global credit and financial markets in the past have experienced disruptions, including diminished liquidity and credit availability and rapid fluctuations in market valuations, which, if they happen again, could negatively impact NTIC’s business, operating results, and financial condition.</w:t>
      </w:r>
    </w:p>
    <w:p>
      <w:pPr>
        <w:spacing w:after="0" w:line="1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auto"/>
        </w:rPr>
        <w:t>Any tightening of the credit and financial markets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 Although NTIC maintains allowances for credit losses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there are weaknesses in the worldwide economy. A significant change in the liquidity or financial condition of NTIC’s customers, distributors, or joint ventures could cause unfavorable trends in NTIC’s receivable collections and additional allowances may be required, which could adversely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640"/>
          </w:cols>
          <w:pgMar w:left="1300" w:top="1132" w:right="1300" w:bottom="382" w:gutter="0" w:footer="0" w:header="0"/>
        </w:sectPr>
      </w:pPr>
    </w:p>
    <w:bookmarkStart w:id="105" w:name="page106"/>
    <w:bookmarkEnd w:id="105"/>
    <w:p>
      <w:pPr>
        <w:ind w:right="60"/>
        <w:spacing w:after="0" w:line="249" w:lineRule="auto"/>
        <w:rPr>
          <w:sz w:val="20"/>
          <w:szCs w:val="20"/>
          <w:color w:val="auto"/>
        </w:rPr>
      </w:pPr>
      <w:r>
        <w:rPr>
          <w:rFonts w:ascii="Times New Roman" w:cs="Times New Roman" w:eastAsia="Times New Roman" w:hAnsi="Times New Roman"/>
          <w:sz w:val="20"/>
          <w:szCs w:val="20"/>
          <w:color w:val="auto"/>
        </w:rPr>
        <w:t>affect NTIC’s operating results. In addition, weaknesses in the worldwide economy, including the imposition of higher tariffs, the withdrawal from the Trans-Pacific Partnership and sanctions on Russia,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NTIC has limited staffing and will continue to be dependent upon key employees.</w:t>
      </w:r>
    </w:p>
    <w:p>
      <w:pPr>
        <w:spacing w:after="0" w:line="23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Inadequate performance by any of NTIC’s limited staff could have a negative impact on the performance of the company. In addition, none of NTIC’s employees have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operating results, and financial condition.</w:t>
      </w:r>
    </w:p>
    <w:p>
      <w:pPr>
        <w:spacing w:after="0" w:line="20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Although we have not experienced any material labor shortage to date, we have observed an overall tightening and increasingly competitive labor market in recent years. A sustained labor shortage or increased turnover rates within our employee base could lead to increased costs, such as increased overtime to meet demand and increased wage rates to attract and retain employees and could negatively affect our ability to efficiently operate our manufacturing and distribution facilities and overall business. If we are unable to hire and retain employees capable of performing at a high-level, or if mitigation measures we may take to respond to a decrease in labor availability, such as overtime and third-party outsourcing, have unintended negative effects, our business could be adversely affected. An overall labor shortage, lack of skilled labor, increased turnover or labor inflation could have a material adverse impact on NTIC’s operations, results of operations, liquidity or cash flows.</w:t>
      </w:r>
    </w:p>
    <w:p>
      <w:pPr>
        <w:spacing w:after="0" w:line="206" w:lineRule="exact"/>
        <w:rPr>
          <w:sz w:val="20"/>
          <w:szCs w:val="20"/>
          <w:color w:val="auto"/>
        </w:rPr>
      </w:pPr>
    </w:p>
    <w:p>
      <w:pPr>
        <w:ind w:right="7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NTIC faces challenges caused by its aging workforce, and NTIC may not be able to recruit, train and retain adequate replacements for its qualified and skilled employees.</w:t>
      </w:r>
    </w:p>
    <w:p>
      <w:pPr>
        <w:spacing w:after="0" w:line="16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Many of our employees are approaching retirement age. As these experienced employees retire, we may have difficulty recruiting new employees with comparable qualifications and experience, and we may be unable to transfer our employees’ institutional knowledge successfully to new qualified employees. Any such failures would be exacerbated at times of peak demand. Our failure to recruit and train new employees and to ensure they obtain adequate qualifications and experience could result in reduced revenues, loss of customer goodwill and a material negative impact on our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Given NTIC’s limited resources, it may not effectively manage its growth.</w:t>
      </w:r>
    </w:p>
    <w:p>
      <w:pPr>
        <w:spacing w:after="0" w:line="229"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0"/>
          <w:szCs w:val="20"/>
          <w:color w:val="auto"/>
        </w:rPr>
        <w:t>NTIC’s strategy to grow its business, including in particular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for the oil and gas industry and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operating results, and financial condition. In addition, NTIC may not be successful in its strategy to grow its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evolution of the automotive industry towards electric vehicles could adversely affect NTIC’s business.</w:t>
      </w:r>
    </w:p>
    <w:p>
      <w:pPr>
        <w:spacing w:after="0" w:line="230"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9"/>
          <w:szCs w:val="19"/>
          <w:color w:val="auto"/>
        </w:rPr>
        <w:t>The global automotive industry is experiencing a period of significant technological change, including the development and use of electric vehicles, which, compared to non-electric vehicles, do not contain as many metal components that require NTIC’s ZERUST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products and solutions. During fiscal 2025, the automobile sector represented approximately 40-45% of ZERUST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industrial net sales in North America and 55-60% of net sales of NTIC’s joint ventures. Although the slowdown in electric vehicle production continued in fiscal 2025, NTIC continues to seek additional applications of</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640"/>
          </w:cols>
          <w:pgMar w:left="1300" w:top="1132" w:right="1300" w:bottom="382" w:gutter="0" w:footer="0" w:header="0"/>
        </w:sectPr>
      </w:pPr>
    </w:p>
    <w:bookmarkStart w:id="106" w:name="page107"/>
    <w:bookmarkEnd w:id="106"/>
    <w:p>
      <w:pPr>
        <w:jc w:val="both"/>
        <w:ind w:right="440"/>
        <w:spacing w:after="0" w:line="233" w:lineRule="auto"/>
        <w:rPr>
          <w:sz w:val="20"/>
          <w:szCs w:val="20"/>
          <w:color w:val="auto"/>
        </w:rPr>
      </w:pPr>
      <w:r>
        <w:rPr>
          <w:rFonts w:ascii="Times New Roman" w:cs="Times New Roman" w:eastAsia="Times New Roman" w:hAnsi="Times New Roman"/>
          <w:sz w:val="20"/>
          <w:szCs w:val="20"/>
          <w:color w:val="auto"/>
        </w:rPr>
        <w:t>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solutions related to electric vehicles and batteries, which will likely continue to have an increasing presence in the automotive market. However, increased demand for electric vehicles will still adversely affect NTIC’s net sales and other operating results and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NTIC’s Joint Ventures</w:t>
      </w:r>
    </w:p>
    <w:p>
      <w:pPr>
        <w:spacing w:after="0" w:line="2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spacing w:after="0" w:line="17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net sales of the individual joint ventures and NTIC’s receipt of dividend distributions from its joint ventures based on the profitability of its joint ventures. NTIC’s liquidity and financial position in part rely on NTIC’s receipt of fees for services that NTIC provides to its joint ventures and dividend distributions from its joint ventures. During fiscal 2025, NTIC recognized $5,006,151 in fees and $1,566,947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spacing w:after="0" w:line="20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Since a significant portion of NTIC’s earnings results from NTIC’s equity income from joint ventures, and since NTIC’s equity income from joint ventures varies from quarter to quarter, NTIC’s earnings are subject to quarterly fluctuations.</w:t>
      </w:r>
    </w:p>
    <w:p>
      <w:pPr>
        <w:spacing w:after="0" w:line="18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 significant portion of NTIC’s earnings results from NTIC’s equity income from its joint ventures. NTIC’s equity in income from joint ventures consists of NTIC’s share of equity in income from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from joint ventures. Accordingly, the variability in NTIC’s equity income from joint ventures, in turn, subjects NTIC’s earnings to quarterly fluctuations.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NTIC’s International Business and the Foreign Markets in which NTIC Operates</w:t>
      </w:r>
    </w:p>
    <w:p>
      <w:pPr>
        <w:spacing w:after="0" w:line="23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8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20"/>
          <w:szCs w:val="20"/>
          <w:color w:val="auto"/>
        </w:rPr>
        <w:t>NTIC sells products and services directly, through its wholly owned and majority-owned subsidiaries, and indirectly, via a network of joint ventures, independent distributors, manufacturer’s sales representatives, and agents in over</w:t>
      </w:r>
    </w:p>
    <w:p>
      <w:pPr>
        <w:ind w:right="40"/>
        <w:spacing w:after="0" w:line="241" w:lineRule="auto"/>
        <w:rPr>
          <w:sz w:val="20"/>
          <w:szCs w:val="20"/>
          <w:color w:val="auto"/>
        </w:rPr>
      </w:pPr>
      <w:r>
        <w:rPr>
          <w:rFonts w:ascii="Times New Roman" w:cs="Times New Roman" w:eastAsia="Times New Roman" w:hAnsi="Times New Roman"/>
          <w:sz w:val="20"/>
          <w:szCs w:val="20"/>
          <w:color w:val="auto"/>
        </w:rPr>
        <w:t>65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requires management attention and financial resources. For example, NTIC’s expansion of oil and gas activities in the Middle East has faced challenges due to operating a new business unit, coordinating with a new sales team, the ability to find resources and local support, and limited experience in this new space, requiring additional management and financial support. Whether and to what extent such issues persist cannot be predicted.</w:t>
      </w:r>
    </w:p>
    <w:p>
      <w:pPr>
        <w:spacing w:after="0" w:line="20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sale and shipping of products and services across international borders subjects NTIC to extensive and complicated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640"/>
          </w:cols>
          <w:pgMar w:left="1300" w:top="1132" w:right="1300" w:bottom="382" w:gutter="0" w:footer="0" w:header="0"/>
        </w:sectPr>
      </w:pPr>
    </w:p>
    <w:bookmarkStart w:id="107" w:name="page108"/>
    <w:bookmarkEnd w:id="107"/>
    <w:p>
      <w:pPr>
        <w:jc w:val="both"/>
        <w:ind w:right="240"/>
        <w:spacing w:after="0" w:line="258" w:lineRule="auto"/>
        <w:rPr>
          <w:sz w:val="20"/>
          <w:szCs w:val="20"/>
          <w:color w:val="auto"/>
        </w:rPr>
      </w:pPr>
      <w:r>
        <w:rPr>
          <w:rFonts w:ascii="Times New Roman" w:cs="Times New Roman" w:eastAsia="Times New Roman" w:hAnsi="Times New Roman"/>
          <w:sz w:val="20"/>
          <w:szCs w:val="20"/>
          <w:color w:val="auto"/>
        </w:rPr>
        <w:t>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18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Several factors, including implications of withdrawal by the U.S. from, or revision to, international trade agreements, foreign policy changes between the U.S. and other countries,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In many of the countries in which NTIC sells its products directly or indirectly through NTIC China, Zerust Brazil, Natur-Tec India, Natur-Tec Lanka, Zerust Mexico, Zerust Singapore, Zerust Taiwan, Zerust Vietnam, and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207" w:lineRule="exact"/>
        <w:rPr>
          <w:sz w:val="20"/>
          <w:szCs w:val="20"/>
          <w:color w:val="auto"/>
        </w:rPr>
      </w:pPr>
    </w:p>
    <w:p>
      <w:pPr>
        <w:ind w:left="720" w:right="280" w:hanging="364"/>
        <w:spacing w:after="0" w:line="258" w:lineRule="auto"/>
        <w:tabs>
          <w:tab w:leader="none" w:pos="7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managing and staffing international operations and the required infrastructure costs, including legal, tax, accounting, and information technology;</w:t>
      </w:r>
    </w:p>
    <w:p>
      <w:pPr>
        <w:ind w:left="720" w:hanging="364"/>
        <w:spacing w:after="0" w:line="243" w:lineRule="auto"/>
        <w:tabs>
          <w:tab w:leader="none" w:pos="7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2" w:lineRule="exact"/>
        <w:rPr>
          <w:rFonts w:ascii="Arial" w:cs="Arial" w:eastAsia="Arial" w:hAnsi="Arial"/>
          <w:sz w:val="20"/>
          <w:szCs w:val="20"/>
          <w:color w:val="auto"/>
        </w:rPr>
      </w:pPr>
    </w:p>
    <w:p>
      <w:pPr>
        <w:jc w:val="both"/>
        <w:ind w:left="720" w:right="120" w:hanging="363"/>
        <w:spacing w:after="0" w:line="244" w:lineRule="auto"/>
        <w:tabs>
          <w:tab w:leader="none" w:pos="7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the imposition of U.S. and/or international sanctions against a country, company, person, or entity with whom NTIC does business that would restrict or prohibit continued business with the sanctioned country, company, person, or entity;</w:t>
      </w:r>
    </w:p>
    <w:p>
      <w:pPr>
        <w:spacing w:after="0" w:line="2" w:lineRule="exact"/>
        <w:rPr>
          <w:rFonts w:ascii="Arial" w:cs="Arial" w:eastAsia="Arial" w:hAnsi="Arial"/>
          <w:sz w:val="20"/>
          <w:szCs w:val="20"/>
          <w:color w:val="auto"/>
        </w:rPr>
      </w:pPr>
    </w:p>
    <w:p>
      <w:pPr>
        <w:ind w:left="720" w:right="600" w:hanging="363"/>
        <w:spacing w:after="0" w:line="246" w:lineRule="auto"/>
        <w:tabs>
          <w:tab w:leader="none" w:pos="7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pricing pressure that NTIC or its joint ventures, distributors, representatives, and agents may experience internationally;</w:t>
      </w:r>
    </w:p>
    <w:p>
      <w:pPr>
        <w:spacing w:after="0" w:line="1" w:lineRule="exact"/>
        <w:rPr>
          <w:rFonts w:ascii="Arial" w:cs="Arial" w:eastAsia="Arial" w:hAnsi="Arial"/>
          <w:sz w:val="20"/>
          <w:szCs w:val="20"/>
          <w:color w:val="auto"/>
        </w:rPr>
      </w:pPr>
    </w:p>
    <w:p>
      <w:pPr>
        <w:ind w:left="720" w:hanging="363"/>
        <w:spacing w:after="0"/>
        <w:tabs>
          <w:tab w:leader="none" w:pos="7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laws and business practices favoring local companies;</w:t>
      </w:r>
    </w:p>
    <w:p>
      <w:pPr>
        <w:spacing w:after="0" w:line="14" w:lineRule="exact"/>
        <w:rPr>
          <w:rFonts w:ascii="Arial" w:cs="Arial" w:eastAsia="Arial" w:hAnsi="Arial"/>
          <w:sz w:val="20"/>
          <w:szCs w:val="20"/>
          <w:color w:val="auto"/>
        </w:rPr>
      </w:pPr>
    </w:p>
    <w:p>
      <w:pPr>
        <w:ind w:left="720" w:hanging="363"/>
        <w:spacing w:after="0"/>
        <w:tabs>
          <w:tab w:leader="none" w:pos="7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adverse currency exchange rate fluctuations;</w:t>
      </w:r>
    </w:p>
    <w:p>
      <w:pPr>
        <w:spacing w:after="0" w:line="12" w:lineRule="exact"/>
        <w:rPr>
          <w:rFonts w:ascii="Arial" w:cs="Arial" w:eastAsia="Arial" w:hAnsi="Arial"/>
          <w:sz w:val="20"/>
          <w:szCs w:val="20"/>
          <w:color w:val="auto"/>
        </w:rPr>
      </w:pPr>
    </w:p>
    <w:p>
      <w:pPr>
        <w:ind w:left="720" w:right="60" w:hanging="363"/>
        <w:spacing w:after="0" w:line="247" w:lineRule="auto"/>
        <w:tabs>
          <w:tab w:leader="none" w:pos="7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longer payment cycles and difficulties enforcing agreements and collecting receivables through certain foreign legal systems;</w:t>
      </w:r>
    </w:p>
    <w:p>
      <w:pPr>
        <w:spacing w:after="0" w:line="1" w:lineRule="exact"/>
        <w:rPr>
          <w:rFonts w:ascii="Arial" w:cs="Arial" w:eastAsia="Arial" w:hAnsi="Arial"/>
          <w:sz w:val="20"/>
          <w:szCs w:val="20"/>
          <w:color w:val="auto"/>
        </w:rPr>
      </w:pPr>
    </w:p>
    <w:p>
      <w:pPr>
        <w:ind w:left="720" w:hanging="363"/>
        <w:spacing w:after="0"/>
        <w:tabs>
          <w:tab w:leader="none" w:pos="7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national and international conflicts, including foreign policy changes or terrorist acts;</w:t>
      </w:r>
    </w:p>
    <w:p>
      <w:pPr>
        <w:spacing w:after="0" w:line="12" w:lineRule="exact"/>
        <w:rPr>
          <w:rFonts w:ascii="Arial" w:cs="Arial" w:eastAsia="Arial" w:hAnsi="Arial"/>
          <w:sz w:val="20"/>
          <w:szCs w:val="20"/>
          <w:color w:val="auto"/>
        </w:rPr>
      </w:pPr>
    </w:p>
    <w:p>
      <w:pPr>
        <w:ind w:left="720" w:hanging="363"/>
        <w:spacing w:after="0"/>
        <w:tabs>
          <w:tab w:leader="none" w:pos="7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enforcing or defending intellectual property rights;</w:t>
      </w:r>
    </w:p>
    <w:p>
      <w:pPr>
        <w:spacing w:after="0" w:line="14" w:lineRule="exact"/>
        <w:rPr>
          <w:rFonts w:ascii="Arial" w:cs="Arial" w:eastAsia="Arial" w:hAnsi="Arial"/>
          <w:sz w:val="20"/>
          <w:szCs w:val="20"/>
          <w:color w:val="auto"/>
        </w:rPr>
      </w:pPr>
    </w:p>
    <w:p>
      <w:pPr>
        <w:ind w:left="720" w:hanging="363"/>
        <w:spacing w:after="0"/>
        <w:tabs>
          <w:tab w:leader="none" w:pos="7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multiple, changing, and often inconsistent enforcement of laws and regulations; and</w:t>
      </w:r>
    </w:p>
    <w:p>
      <w:pPr>
        <w:spacing w:after="0" w:line="12" w:lineRule="exact"/>
        <w:rPr>
          <w:rFonts w:ascii="Arial" w:cs="Arial" w:eastAsia="Arial" w:hAnsi="Arial"/>
          <w:sz w:val="20"/>
          <w:szCs w:val="20"/>
          <w:color w:val="auto"/>
        </w:rPr>
      </w:pPr>
    </w:p>
    <w:p>
      <w:pPr>
        <w:ind w:left="720" w:hanging="363"/>
        <w:spacing w:after="0"/>
        <w:tabs>
          <w:tab w:leader="none" w:pos="7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payment of U.S. income taxes on certain earnings of joint ventures upon repatriation.</w:t>
      </w:r>
    </w:p>
    <w:p>
      <w:pPr>
        <w:spacing w:after="0" w:line="20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Out of NTIC’s joint ventures, NTIC’s joint venture in Germany is the most significant in terms of assets and income to NTIC. If sales of NTIC’s products and services by this joint venture were to significantly decline or if NTIC’s relationships with this joint venture were to significantly deteriorate, NTIC’s operating results likely would be adversely affected.</w:t>
      </w:r>
    </w:p>
    <w:p>
      <w:pPr>
        <w:spacing w:after="0" w:line="19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NTIC considers its joint venture in Germany (EXCOR) to be individually significant to NTIC’s consolidated assets and income and, therefore, provides certain additional information regarding EXCOR in the notes to NTIC’s consolidated financial statements and in certain sections of this report. Accordingly, if sales of NTIC’s products and services by this joint venture were to significantly decline or if NTIC’s relationships with this joint venture were to significantly deteriorate such that the joint venture terminated or was not motivated to sell NTIC’s products and services, NTIC’s operating results likely would be adversely affected. While this is also true with respect to the other joint venture entities of which additional information is provided in NTIC’s consolidated financial statements and in certain other sections of this report, the significance is not as great as with EXCOR. EXCOR’s profitability has decreased over the past few years as compared to prior years, which has adversely affected NTIC’s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640"/>
          </w:cols>
          <w:pgMar w:left="1300" w:top="1132" w:right="1300" w:bottom="382" w:gutter="0" w:footer="0" w:header="0"/>
        </w:sectPr>
      </w:pPr>
    </w:p>
    <w:bookmarkStart w:id="108" w:name="page109"/>
    <w:bookmarkEnd w:id="108"/>
    <w:p>
      <w:pPr>
        <w:ind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ongoing war between Russia and Ukraine and the conflicts in the Middle East may adversely affect NTIC’s business and results of operations.</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Given the nature of NTIC’s business and its global operations, political, economic, and other conditions in foreign countries and regions, including geopolitical risks, such as the Russia-Ukraine war and ongoing conflicts in the Middle East, may adversely affect NTIC’s business and results of operations.</w:t>
      </w:r>
    </w:p>
    <w:p>
      <w:pPr>
        <w:spacing w:after="0" w:line="17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2022, NTIC took actions to limit its operations in Russia and Ukraine, which were adversely affected by the war between Russia and Ukraine, though these losses did not have a material impact on NTIC’s operating results. NTIC terminated its joint venture in Russia in May 2022, which also did not have an adverse effect on its results of operations or financial condition given the immateriality of the joint venture. The broader consequences of this conflict, which may include additional international sanctions, embargoes, regional instability, and geopolitical shifts; increased tensions between the United States and countries in which NTIC operates; and the extent of the conflict’s effect on NTIC’s business and results of operations, as well as the global economy, cannot be predicted.</w:t>
      </w:r>
    </w:p>
    <w:p>
      <w:pPr>
        <w:spacing w:after="0" w:line="1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To the extent the ongoing war between Russia and Ukraine adversely affects NTIC’s business, it may also have the effect of heightening many other risks disclosed herein, any of which could materially and adversely affect NTIC’s business and results of operations. Such risks include, but are not limited to, adverse effects on macroeconomic conditions, including inflation, demand for NTIC’s products and potential recessionary economic conditions; increased cyber security threats; adverse changes in trade policies, taxes, government regulations, and tariffs; NTIC’s ability to implement and execute its business strategy, particularly with regard to its joint ventures; disruptions in global supply chains; its exposure to foreign currency fluctuations; and constraints, volatility, or disruption in the capital markets.</w:t>
      </w:r>
    </w:p>
    <w:p>
      <w:pPr>
        <w:spacing w:after="0" w:line="17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ongoing conflicts in the Middle East, including the Israel-Hamas war, may adversely affect NTIC’s business and results of operations. Although the length, impact and outcome of these conflicts remain highly unpredictable, it could lead to significant market and other disruptions, including disruptions to the oil and gas industry, significant volatility in commodity prices and supply of energy resources, instability in financial markets, supply chain interruptions, political and social instability and other material and adverse effects on macroeconomic conditions. It is not possible at this time to predict or determine the ultimate consequences of this conflict.</w:t>
      </w:r>
    </w:p>
    <w:p>
      <w:pPr>
        <w:spacing w:after="0" w:line="18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To the extent the ongoing conflicts in the Middle East, including the Israel-Hamas war, adversely affects NTIC’s business, it may also have the effect of heightening many other risks disclosed herein, any of which could materially and adversely affect NTIC’s business and results of operations. Such risks include, but are not limited to, adverse effects on the oil and gas industry, adverse effects on macroeconomic conditions, including inflation, demand for NTIC’s products and potential recessionary economic conditions; increased cyber security threats; adverse changes in trade policies, taxes, government regulations, and tariffs; NTIC’s ability to implement and execute its business strategy, particularly with regard to its joint ventures; disruptions in global supply chains; its exposure to foreign currency fluctuations; and constraints, volatility, or disruption in the capital markets.</w:t>
      </w:r>
    </w:p>
    <w:p>
      <w:pPr>
        <w:spacing w:after="0" w:line="192"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operations of NTIC China may be adversely affected by China’s evolving economic, political, and social conditions, as well as increasing tensions between the United States and China.</w:t>
      </w:r>
    </w:p>
    <w:p>
      <w:pPr>
        <w:spacing w:after="0" w:line="16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The results of operations and future prospects of NTIC China may be adversely affected by, among other things, changes in China’s political, economic, and social conditions, escalating tensions between China and Taiwan, changes in the relationship between China and its western trade partners, changes in policies of the Chinese government, changes in laws and regulations or in the interpretation of existing laws and regulations, changes in foreign exchange regulations, measures that may be introduced to control inflation, such as interest rate increases, changes in the rates or methods of taxation, and increasing tensions between the United States and China. In addition, changes in demand could result from increased competition with local Chinese manufacturers who have cost advantages or who may be preferred suppliers for Chinese end users. In fiscal 2025, there was a continued reduction of export to the U.S. and Europe from China as the Chinese government focused on domestic consumption to maintain gross domestic product growth. Also, Chinese commercial laws, regulations, and interpretations applicable to non- Chinese owned market participants, such as NTIC China, are continually changing, and such changes may require NTIC China to change how it conducts its business. These laws, regulations, and interpretations could impose restrictions on NTIC’s and NTIC China’s ownership or operations or NTIC’s interests in China and could adversely affect NTIC’s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640"/>
          </w:cols>
          <w:pgMar w:left="1300" w:top="1132" w:right="1300" w:bottom="382" w:gutter="0" w:footer="0" w:header="0"/>
        </w:sectPr>
      </w:pPr>
    </w:p>
    <w:bookmarkStart w:id="109" w:name="page110"/>
    <w:bookmarkEnd w:id="109"/>
    <w:p>
      <w:pPr>
        <w:spacing w:after="0" w:line="244" w:lineRule="auto"/>
        <w:rPr>
          <w:sz w:val="20"/>
          <w:szCs w:val="20"/>
          <w:color w:val="auto"/>
        </w:rPr>
      </w:pPr>
      <w:r>
        <w:rPr>
          <w:rFonts w:ascii="Times New Roman" w:cs="Times New Roman" w:eastAsia="Times New Roman" w:hAnsi="Times New Roman"/>
          <w:sz w:val="20"/>
          <w:szCs w:val="20"/>
          <w:color w:val="auto"/>
        </w:rPr>
        <w:t>Local regulations in China relating to the 2021 electric power shortage have been ongoing and may adversely affect NTIC China’s operations or the operations of our suppliers with facilities in China. For example, these regulations could result in partial or complete factory shutdowns due to a lack of continuous supply of electrical power. Additionally, the price of electric power may be increased, and peak-demand periods during which prices are higher may be extended by local governments. Certain of our resin suppliers with facilities in China were adversely impacted by these regulations, which contributed to constrained supply. Although NTIC China’s operations have not been significantly impacted by regulations related to electric power shortages to date, updates to such regulations may in the future decrease or shut down production or increase product costs, which could adversely affect NTIC’s business, results of operations, and financial condition.</w:t>
      </w:r>
    </w:p>
    <w:p>
      <w:pPr>
        <w:spacing w:after="0" w:line="20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These and other factors, including, but not limited to, rising labor costs in China and more favorable investment policies in Southeast Asian countries, have caused some companies to relocate from China to Southeast Asia. Remaining in China could result in these factors together adversely affecting NTIC’s business, results of operations, and financial condition.</w:t>
      </w:r>
    </w:p>
    <w:p>
      <w:pPr>
        <w:spacing w:after="0" w:line="193" w:lineRule="exact"/>
        <w:rPr>
          <w:sz w:val="20"/>
          <w:szCs w:val="20"/>
          <w:color w:val="auto"/>
        </w:rPr>
      </w:pPr>
    </w:p>
    <w:p>
      <w:pPr>
        <w:ind w:right="8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rights are difficult to enforce in China, which could harm NTIC’s business, results of operations, or financial condition.</w:t>
      </w:r>
    </w:p>
    <w:p>
      <w:pPr>
        <w:spacing w:after="0" w:line="16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Chinese commercial law is relatively undeveloped compared to commercial law in many of NTIC’s other major markets, and limited protection of intellectual property is available in China as a practical matter. Although NTIC takes precautions in the operation of NTIC China to protect NTIC’s intellectual property, any local manufacturer of products that NTIC undertakes in China could subject NTIC to an increased risk that unauthorized parties will be able to copy or otherwise obtain or use NTIC’s intellectual property, which could harm NTIC’s business. NTIC may also have limited legal recourse in the event it encounters patent or trademark infringers, which could adversely affect NTIC’s business, results of operations, and financial condition.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Uncertainties with respect to the Chinese legal system may adversely affect the operations of NTIC China.</w:t>
      </w:r>
    </w:p>
    <w:p>
      <w:pPr>
        <w:spacing w:after="0" w:line="24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NTIC China is subject to laws and regulations applicable to foreign investment in China. There are uncertainties regarding the interpretation and enforcement of laws, rules, and policies in China. The Chinese legal system is based on written statutes, and prior court decisions have limited precedential value. Because many laws and regulations are relatively new, and the Chinese legal system is still evolving, the interpretations of many laws, regulations, and rules are not always uniform. Moreover, the relative inexperience of China’s judiciary in many cases creates additional uncertainty as to the outcome of any litigation, and the interpretation of statutes and regulations may be subject to government policies reflecting domestic political agendas. Finally, enforcement of existing laws or contracts based on existing law may be uncertain and sporadic. For the preceding reasons, it may be difficult for NTIC or NTIC China to obtain timely or equitable enforcement of laws ostensibly designed to protect companies like NTIC or NTIC China, which could adversely affect NTIC’s business, results of operations, and financial condition.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the U.S. Foreign Corrupt Practices Act could subject NTIC to, among other things, penalties and legal expenses that could harm its reputation and have a material adverse effect on its business, results of operations, and financial condition.</w:t>
      </w:r>
    </w:p>
    <w:p>
      <w:pPr>
        <w:spacing w:after="0" w:line="17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its contracting processes, performing due diligence on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640"/>
          </w:cols>
          <w:pgMar w:left="1300" w:top="1132" w:right="1300" w:bottom="382" w:gutter="0" w:footer="0" w:header="0"/>
        </w:sectPr>
      </w:pPr>
    </w:p>
    <w:bookmarkStart w:id="110" w:name="page111"/>
    <w:bookmarkEnd w:id="110"/>
    <w:p>
      <w:pPr>
        <w:ind w:right="180"/>
        <w:spacing w:after="0" w:line="252" w:lineRule="auto"/>
        <w:rPr>
          <w:sz w:val="20"/>
          <w:szCs w:val="20"/>
          <w:color w:val="auto"/>
        </w:rPr>
      </w:pPr>
      <w:r>
        <w:rPr>
          <w:rFonts w:ascii="Times New Roman" w:cs="Times New Roman" w:eastAsia="Times New Roman" w:hAnsi="Times New Roman"/>
          <w:sz w:val="20"/>
          <w:szCs w:val="20"/>
          <w:color w:val="auto"/>
        </w:rPr>
        <w:t>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18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and potential personnel changes and disciplinary actions.</w:t>
      </w:r>
    </w:p>
    <w:p>
      <w:pPr>
        <w:spacing w:after="0" w:line="19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putting NTIC at a disadvantage.</w:t>
      </w:r>
    </w:p>
    <w:p>
      <w:pPr>
        <w:spacing w:after="0" w:line="19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Fluctuations in foreign currency exchange rates could result in declines in NTIC’s earnings and changes in NTIC’s foreign currency translation adjustments.</w:t>
      </w:r>
    </w:p>
    <w:p>
      <w:pPr>
        <w:spacing w:after="0" w:line="16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its joint ventures and dividend distributions from these foreign entities are paid in foreign currencies; thus, fluctuations in foreign currency exchange rates could result in declines in NTIC’s earnings.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Economic uncertainty in developing markets could adversely affect NTIC’s revenue and earnings.</w:t>
      </w:r>
    </w:p>
    <w:p>
      <w:pPr>
        <w:spacing w:after="0" w:line="24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NTIC conducts business, or is contemplating expansion, in developing markets with economies that tend to be more volatile than those in the United States and Western Europe. The risk of doing business in developing markets such as China, Brazil, India, Russia, the United Arab Emirates, Mexico, and other economically volatile areas could adversely affect NTIC’s operations and earnings. Such risks include financial instability among customers in these regions, political instability, fraud or corruption, and other non-economic factors, and irregular trade flows that need to be managed successfully with the help of the local governments. In addition, commercial laws in some developing countries can be vague, inconsistently administered, and retroactively applied. If NTIC is deemed not to be in compliance with applicable laws in developing countries where NTIC conducts business, its prospects and business in those countries could be harmed, which could then have a material adverse impact on NTIC’s operating results and financial position. NTIC’s failure to successfully manage economic, political, and other risks relating to doing business in developing countries and economically and politically volatile areas could adversely affect its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NTIC’s Products</w:t>
      </w:r>
    </w:p>
    <w:p>
      <w:pPr>
        <w:spacing w:after="0" w:line="24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NTIC faces intense competition in almost all of its product lines, including from competitors that have substantially greater resources than NTIC does. No assurance can be provided that NTIC will be able to compete effectively, which would harm its business and operating results.</w:t>
      </w:r>
    </w:p>
    <w:p>
      <w:pPr>
        <w:spacing w:after="0" w:line="186" w:lineRule="exact"/>
        <w:rPr>
          <w:sz w:val="20"/>
          <w:szCs w:val="20"/>
          <w:color w:val="auto"/>
        </w:rPr>
      </w:pPr>
    </w:p>
    <w:p>
      <w:pPr>
        <w:ind w:firstLine="1"/>
        <w:spacing w:after="0" w:line="237" w:lineRule="auto"/>
        <w:rPr>
          <w:sz w:val="20"/>
          <w:szCs w:val="20"/>
          <w:color w:val="auto"/>
        </w:rPr>
      </w:pPr>
      <w:r>
        <w:rPr>
          <w:rFonts w:ascii="Times New Roman" w:cs="Times New Roman" w:eastAsia="Times New Roman" w:hAnsi="Times New Roman"/>
          <w:sz w:val="20"/>
          <w:szCs w:val="20"/>
          <w:color w:val="auto"/>
        </w:rPr>
        <w:t>NTIC’s products are sold in intensely competitive markets throughout the world. This intense competition could result in pricing pressures, lower sales, reduced margins, and lower market share. With respect to its rust and corrosion inhibiting products, NTIC competes on the basis of product innovation, quality, reliability, product support, customer service, reputation, and price. With respect to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NTIC competes on the basis of performance, brand awareness, distribution network, product availability, product offering, shelf life, place of manufacture, and price.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640"/>
          </w:cols>
          <w:pgMar w:left="1300" w:top="1132" w:right="1300" w:bottom="382" w:gutter="0" w:footer="0" w:header="0"/>
        </w:sectPr>
      </w:pPr>
    </w:p>
    <w:bookmarkStart w:id="111" w:name="page112"/>
    <w:bookmarkEnd w:id="111"/>
    <w:p>
      <w:pPr>
        <w:ind w:right="20"/>
        <w:spacing w:after="0" w:line="237" w:lineRule="auto"/>
        <w:rPr>
          <w:sz w:val="20"/>
          <w:szCs w:val="20"/>
          <w:color w:val="auto"/>
        </w:rPr>
      </w:pPr>
      <w:r>
        <w:rPr>
          <w:rFonts w:ascii="Times New Roman" w:cs="Times New Roman" w:eastAsia="Times New Roman" w:hAnsi="Times New Roman"/>
          <w:sz w:val="20"/>
          <w:szCs w:val="20"/>
          <w:color w:val="auto"/>
        </w:rPr>
        <w:t>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 experienced more intense competition with respect to many of its traditional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and services, which has led to decreased pricing and smaller margins for NTIC.</w:t>
      </w:r>
    </w:p>
    <w:p>
      <w:pPr>
        <w:spacing w:after="0" w:line="206" w:lineRule="exact"/>
        <w:rPr>
          <w:sz w:val="20"/>
          <w:szCs w:val="20"/>
          <w:color w:val="auto"/>
        </w:rPr>
      </w:pPr>
    </w:p>
    <w:p>
      <w:pPr>
        <w:jc w:val="both"/>
        <w:ind w:right="60"/>
        <w:spacing w:after="0" w:line="233" w:lineRule="auto"/>
        <w:rPr>
          <w:sz w:val="20"/>
          <w:szCs w:val="20"/>
          <w:color w:val="auto"/>
        </w:rPr>
      </w:pPr>
      <w:r>
        <w:rPr>
          <w:rFonts w:ascii="Times New Roman" w:cs="Times New Roman" w:eastAsia="Times New Roman" w:hAnsi="Times New Roman"/>
          <w:sz w:val="20"/>
          <w:szCs w:val="20"/>
          <w:b w:val="1"/>
          <w:bCs w:val="1"/>
          <w:i w:val="1"/>
          <w:iCs w:val="1"/>
          <w:color w:val="auto"/>
        </w:rPr>
        <w:t>NTIC’s ZERUST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spacing w:after="0" w:line="204"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and services generate a significant portion of NTIC’s net sales and the net sales of NTIC’s joint ventures. During fiscal 2025, 74.2% of NTIC’s consolidated net sales were derived from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are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20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spacing w:after="0" w:line="18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may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203" w:lineRule="exact"/>
        <w:rPr>
          <w:sz w:val="20"/>
          <w:szCs w:val="20"/>
          <w:color w:val="auto"/>
        </w:rPr>
      </w:pPr>
    </w:p>
    <w:p>
      <w:pPr>
        <w:ind w:right="60" w:firstLine="1"/>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9"/>
          <w:szCs w:val="19"/>
          <w:b w:val="1"/>
          <w:bCs w:val="1"/>
          <w:i w:val="1"/>
          <w:iCs w:val="1"/>
          <w:color w:val="auto"/>
        </w:rPr>
        <w:t xml:space="preserve"> resin compounds and finished products. No assurance can be provided, however, that NTIC’s investments in these new markets and products will be successful and result in additional revenue to NTIC.</w:t>
      </w:r>
    </w:p>
    <w:p>
      <w:pPr>
        <w:spacing w:after="0" w:line="193"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20"/>
          <w:szCs w:val="20"/>
          <w:color w:val="auto"/>
        </w:rPr>
        <w:t>In an effort to increase net sales, NTIC has expanded the marketing of its corrosion prevention solutions into the oil and gas industry and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 NTIC is dedicating a sufficient amount of resources to ensure the success of these strategic initiatives. The sale of 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and services into the oil and gas industry, in particular, typically involves a long sales cycle, often including a one- to multi-year trial period with each customer and a slow integration process thereafter. This long sales cycle may cause NTIC’s management, stockholders, and investors to lose faith in the business opportunities for 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and services in the oil and gas industry. Additionally, projects NTIC completes for oil and gas industry customers typically involve short turnaround times, and failure to meet these expectations could damage NTIC’s ability to successfully promote its corrosion prevention solutions into the oil and gas industry.</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600"/>
          </w:cols>
          <w:pgMar w:left="1300" w:top="1132" w:right="1340" w:bottom="382" w:gutter="0" w:footer="0" w:header="0"/>
        </w:sectPr>
      </w:pPr>
    </w:p>
    <w:bookmarkStart w:id="112" w:name="page113"/>
    <w:bookmarkEnd w:id="112"/>
    <w:p>
      <w:pPr>
        <w:jc w:val="both"/>
        <w:ind w:right="400"/>
        <w:spacing w:after="0" w:line="233" w:lineRule="auto"/>
        <w:rPr>
          <w:sz w:val="20"/>
          <w:szCs w:val="20"/>
          <w:color w:val="auto"/>
        </w:rPr>
      </w:pPr>
      <w:r>
        <w:rPr>
          <w:rFonts w:ascii="Times New Roman" w:cs="Times New Roman" w:eastAsia="Times New Roman" w:hAnsi="Times New Roman"/>
          <w:sz w:val="20"/>
          <w:szCs w:val="20"/>
          <w:b w:val="1"/>
          <w:bCs w:val="1"/>
          <w:i w:val="1"/>
          <w:iCs w:val="1"/>
          <w:color w:val="auto"/>
        </w:rPr>
        <w:t>NTIC’s strategy of expanding its corrosion prevention solutions into the oil and gas industry and continuing the expansion of its Natur-Tec</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bioplastics resin compounds and finished products is risky and may not prove to be successful, which could harm NTIC’s operating results and financial condition.</w:t>
      </w:r>
    </w:p>
    <w:p>
      <w:pPr>
        <w:spacing w:after="0" w:line="204" w:lineRule="exact"/>
        <w:rPr>
          <w:sz w:val="20"/>
          <w:szCs w:val="20"/>
          <w:color w:val="auto"/>
        </w:rPr>
      </w:pPr>
    </w:p>
    <w:p>
      <w:pPr>
        <w:ind w:right="380"/>
        <w:spacing w:after="0" w:line="234" w:lineRule="auto"/>
        <w:rPr>
          <w:sz w:val="20"/>
          <w:szCs w:val="20"/>
          <w:color w:val="auto"/>
        </w:rPr>
      </w:pPr>
      <w:r>
        <w:rPr>
          <w:rFonts w:ascii="Times New Roman" w:cs="Times New Roman" w:eastAsia="Times New Roman" w:hAnsi="Times New Roman"/>
          <w:sz w:val="20"/>
          <w:szCs w:val="20"/>
          <w:color w:val="auto"/>
        </w:rPr>
        <w:t>NTIC’s strategy of expanding its corrosion prevention solutions into the oil and gas industry and continuing the expansion of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bioplastics resin compounds and finished products, either directly or indirectly through joint ventures and independent distributors and agents, is risky and subject to all of the risks inherent in the establishment of a new business enterprise, including:</w:t>
      </w:r>
    </w:p>
    <w:p>
      <w:pPr>
        <w:spacing w:after="0" w:line="221" w:lineRule="exact"/>
        <w:rPr>
          <w:sz w:val="20"/>
          <w:szCs w:val="20"/>
          <w:color w:val="auto"/>
        </w:rPr>
      </w:pPr>
    </w:p>
    <w:p>
      <w:pPr>
        <w:ind w:left="720" w:hanging="364"/>
        <w:spacing w:after="0"/>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the absence of a significant operating history;</w:t>
      </w:r>
    </w:p>
    <w:p>
      <w:pPr>
        <w:spacing w:after="0" w:line="35" w:lineRule="exact"/>
        <w:rPr>
          <w:rFonts w:ascii="Arial" w:cs="Arial" w:eastAsia="Arial" w:hAnsi="Arial"/>
          <w:sz w:val="20"/>
          <w:szCs w:val="20"/>
          <w:color w:val="auto"/>
        </w:rPr>
      </w:pPr>
    </w:p>
    <w:p>
      <w:pPr>
        <w:ind w:left="720" w:hanging="364"/>
        <w:spacing w:after="0"/>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the lack of commercialized products;</w:t>
      </w:r>
    </w:p>
    <w:p>
      <w:pPr>
        <w:spacing w:after="0" w:line="14" w:lineRule="exact"/>
        <w:rPr>
          <w:rFonts w:ascii="Arial" w:cs="Arial" w:eastAsia="Arial" w:hAnsi="Arial"/>
          <w:sz w:val="20"/>
          <w:szCs w:val="20"/>
          <w:color w:val="auto"/>
        </w:rPr>
      </w:pPr>
    </w:p>
    <w:p>
      <w:pPr>
        <w:ind w:left="720" w:hanging="364"/>
        <w:spacing w:after="0"/>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the lack of market acceptance of new products;</w:t>
      </w:r>
    </w:p>
    <w:p>
      <w:pPr>
        <w:spacing w:after="0" w:line="12" w:lineRule="exact"/>
        <w:rPr>
          <w:rFonts w:ascii="Arial" w:cs="Arial" w:eastAsia="Arial" w:hAnsi="Arial"/>
          <w:sz w:val="20"/>
          <w:szCs w:val="20"/>
          <w:color w:val="auto"/>
        </w:rPr>
      </w:pPr>
    </w:p>
    <w:p>
      <w:pPr>
        <w:ind w:left="720" w:hanging="364"/>
        <w:spacing w:after="0"/>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expected substantial and continual losses for such businesses for the foreseeable future;</w:t>
      </w:r>
    </w:p>
    <w:p>
      <w:pPr>
        <w:spacing w:after="0" w:line="14" w:lineRule="exact"/>
        <w:rPr>
          <w:rFonts w:ascii="Arial" w:cs="Arial" w:eastAsia="Arial" w:hAnsi="Arial"/>
          <w:sz w:val="20"/>
          <w:szCs w:val="20"/>
          <w:color w:val="auto"/>
        </w:rPr>
      </w:pPr>
    </w:p>
    <w:p>
      <w:pPr>
        <w:ind w:left="720" w:hanging="364"/>
        <w:spacing w:after="0"/>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the lack of manufacturing experience and limited marketing experience;</w:t>
      </w:r>
    </w:p>
    <w:p>
      <w:pPr>
        <w:spacing w:after="0" w:line="14" w:lineRule="exact"/>
        <w:rPr>
          <w:rFonts w:ascii="Arial" w:cs="Arial" w:eastAsia="Arial" w:hAnsi="Arial"/>
          <w:sz w:val="20"/>
          <w:szCs w:val="20"/>
          <w:color w:val="auto"/>
        </w:rPr>
      </w:pPr>
    </w:p>
    <w:p>
      <w:pPr>
        <w:ind w:left="720" w:hanging="364"/>
        <w:spacing w:after="0"/>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an expected reliance on third parties for the manufacture and commercialization of some of the products;</w:t>
      </w:r>
    </w:p>
    <w:p>
      <w:pPr>
        <w:spacing w:after="0" w:line="12" w:lineRule="exact"/>
        <w:rPr>
          <w:rFonts w:ascii="Arial" w:cs="Arial" w:eastAsia="Arial" w:hAnsi="Arial"/>
          <w:sz w:val="20"/>
          <w:szCs w:val="20"/>
          <w:color w:val="auto"/>
        </w:rPr>
      </w:pPr>
    </w:p>
    <w:p>
      <w:pPr>
        <w:ind w:left="720" w:hanging="364"/>
        <w:spacing w:after="0"/>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a competitive environment characterized by numerous, well-established and well-capitalized competitors;</w:t>
      </w:r>
    </w:p>
    <w:p>
      <w:pPr>
        <w:spacing w:after="0" w:line="14" w:lineRule="exact"/>
        <w:rPr>
          <w:rFonts w:ascii="Arial" w:cs="Arial" w:eastAsia="Arial" w:hAnsi="Arial"/>
          <w:sz w:val="20"/>
          <w:szCs w:val="20"/>
          <w:color w:val="auto"/>
        </w:rPr>
      </w:pPr>
    </w:p>
    <w:p>
      <w:pPr>
        <w:ind w:left="720" w:hanging="365"/>
        <w:spacing w:after="0"/>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insufficient capital and other resources;</w:t>
      </w:r>
    </w:p>
    <w:p>
      <w:pPr>
        <w:spacing w:after="0" w:line="12" w:lineRule="exact"/>
        <w:rPr>
          <w:rFonts w:ascii="Arial" w:cs="Arial" w:eastAsia="Arial" w:hAnsi="Arial"/>
          <w:sz w:val="20"/>
          <w:szCs w:val="20"/>
          <w:color w:val="auto"/>
        </w:rPr>
      </w:pPr>
    </w:p>
    <w:p>
      <w:pPr>
        <w:ind w:left="720" w:right="300" w:hanging="365"/>
        <w:spacing w:after="0" w:line="247" w:lineRule="auto"/>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key personnel and the need to hire and train local support in a timely manner in order to support customer needs; and</w:t>
      </w:r>
    </w:p>
    <w:p>
      <w:pPr>
        <w:spacing w:after="0" w:line="1" w:lineRule="exact"/>
        <w:rPr>
          <w:rFonts w:ascii="Arial" w:cs="Arial" w:eastAsia="Arial" w:hAnsi="Arial"/>
          <w:sz w:val="20"/>
          <w:szCs w:val="20"/>
          <w:color w:val="auto"/>
        </w:rPr>
      </w:pPr>
    </w:p>
    <w:p>
      <w:pPr>
        <w:ind w:left="720" w:right="640" w:hanging="365"/>
        <w:spacing w:after="0" w:line="253" w:lineRule="auto"/>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NTIC’s dependence on manufacturing and logistical services provided by contractors could give rise to product defects or warranty liability.</w:t>
      </w:r>
    </w:p>
    <w:p>
      <w:pPr>
        <w:spacing w:after="0" w:line="18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NTIC uses third-party manufacturers to produce the majority of its products. In addition, NTIC relies upon certain contractors for logistical services. Although NTIC’s arrangements with its contract manufacturers and contractors may contain provisions for warranty expense reimbursement, NTIC may remain responsible to its customers for warranty service in the event of product defects and could experience an unanticipated product defects or warranty liability. In addition, product defects could harm NTIC’s reputation amongst its customers.</w:t>
      </w:r>
    </w:p>
    <w:p>
      <w:pPr>
        <w:spacing w:after="0" w:line="197"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20"/>
          <w:szCs w:val="20"/>
          <w:b w:val="1"/>
          <w:bCs w:val="1"/>
          <w:i w:val="1"/>
          <w:iCs w:val="1"/>
          <w:color w:val="auto"/>
        </w:rPr>
        <w:t>The commercial success of NTIC’s Natur-Tec</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resin compounds and finished products depends on the widespread market acceptance of products manufactured with bio-based and biodegradable resins.</w:t>
      </w:r>
    </w:p>
    <w:p>
      <w:pPr>
        <w:spacing w:after="0" w:line="20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 is still developing. The market for biodegradable plastics is expanding worldwide, driven by increasing environmental awareness, regulatory support for sustainable materials, and growing demand for eco-friendly alternatives. As consumers and industries seek to reduce plastic waste, biodegradable plastics offer a viable solution, particularly in sectors like packaging, agriculture, and consumer goods. This trend is further supported by government policies promoting sustainable practices and by advances in biodegradable technology, which make these materials more accessible and cost-effective.</w:t>
      </w:r>
    </w:p>
    <w:p>
      <w:pPr>
        <w:spacing w:after="0" w:line="20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9"/>
          <w:szCs w:val="19"/>
          <w:color w:val="auto"/>
        </w:rPr>
        <w:t>The commercial success of NTIC’s Natur-Tec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resin compounds and finished products depends on the continued expansion of the market for biodegradable plastics and widespread market acceptance of products manufactured with bio-based and biodegradable resins, which may result, in part, from government policies promoting sustainable practices at the federal, state or local level. For example, many U.S. states and municipalities have taken action or are considering laws to ban certain single-use plastics, often focusing efforts on single-use plastic bags and plastic straws. However, the Trump administration has reversed many policies related to the market for biodegradable plastics, which may adversely affect demand for NTIC’s Natur-Tec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products. Additionally, different requirements for what qualifies a product as “compostable” under various state and local laws may have variable impacts on demand for these products.</w:t>
      </w:r>
    </w:p>
    <w:p>
      <w:pPr>
        <w:spacing w:after="0" w:line="201" w:lineRule="exact"/>
        <w:rPr>
          <w:sz w:val="20"/>
          <w:szCs w:val="20"/>
          <w:color w:val="auto"/>
        </w:rPr>
      </w:pPr>
    </w:p>
    <w:p>
      <w:pPr>
        <w:ind w:firstLine="1"/>
        <w:spacing w:after="0" w:line="263" w:lineRule="auto"/>
        <w:rPr>
          <w:sz w:val="20"/>
          <w:szCs w:val="20"/>
          <w:color w:val="auto"/>
        </w:rPr>
      </w:pPr>
      <w:r>
        <w:rPr>
          <w:rFonts w:ascii="Times New Roman" w:cs="Times New Roman" w:eastAsia="Times New Roman" w:hAnsi="Times New Roman"/>
          <w:sz w:val="19"/>
          <w:szCs w:val="19"/>
          <w:color w:val="auto"/>
        </w:rPr>
        <w:t>Internationally, the government of India announced a phased ban on the manufacture and sale of single-use plastics beginning in July 2022. Similarly, in January 2021, China implemented a ban on single-use plastic utensils, bags and certain other single- use plastic items. In addition, the European Union continues to push for a ban on single-use plastics, as evidenced by the passing of the Single-Use Plastics Directive in 2021. In August 2024, the European Parliament passed a further advance on this directive with the Packaging and Packaging Waste Regulation, which applies to all packaging on the European Union market. Despite these efforts and other measures taken domestically and internationally, including policies related to the collection of organics, it is currently difficult to assess or predict with any assurance the potential size, timing, and viability of market opportunities for NTIC’s Natur-Tec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resin compounds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620"/>
          </w:cols>
          <w:pgMar w:left="1300" w:top="1132" w:right="1320" w:bottom="382" w:gutter="0" w:footer="0" w:header="0"/>
        </w:sectPr>
      </w:pPr>
    </w:p>
    <w:bookmarkStart w:id="113" w:name="page114"/>
    <w:bookmarkEnd w:id="113"/>
    <w:p>
      <w:pPr>
        <w:ind w:right="60"/>
        <w:spacing w:after="0" w:line="258" w:lineRule="auto"/>
        <w:rPr>
          <w:sz w:val="20"/>
          <w:szCs w:val="20"/>
          <w:color w:val="auto"/>
        </w:rPr>
      </w:pPr>
      <w:r>
        <w:rPr>
          <w:rFonts w:ascii="Times New Roman" w:cs="Times New Roman" w:eastAsia="Times New Roman" w:hAnsi="Times New Roman"/>
          <w:sz w:val="20"/>
          <w:szCs w:val="20"/>
          <w:color w:val="auto"/>
        </w:rPr>
        <w:t>and finished products. Additionally, while legislation has helped increase demand for bioplastics, a lack of enforcement and higher costs associated with bioplastics have adversely impacted the demand anticipated to stem from such legislation.</w:t>
      </w:r>
    </w:p>
    <w:p>
      <w:pPr>
        <w:spacing w:after="0" w:line="188"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20"/>
          <w:szCs w:val="20"/>
          <w:color w:val="auto"/>
        </w:rPr>
        <w:t>The traditional plastics market sector is well-established with entrenched competitors with whom NTIC competes. Pricing for traditional plastics has been highly volatile in recent years, which drives, to some extent, the commercial and other support for bioplastics. While NTIC expects to be able to command a premium price for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a widening gap in the pricing for bioplastics versus petroleum-based plastics may reduce the size of the addressable market for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Whether prices for bioplastics become more competitive with prices for petroleum-based plastics will depend, in part, on continued advances in biodegradable technology. In addition, the growth of the market will create some pressure on price for applications today considered commodities, including in particular NTIC’s current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finished products.</w:t>
      </w:r>
    </w:p>
    <w:p>
      <w:pPr>
        <w:spacing w:after="0" w:line="12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NTIC relies on its joint ventures, distributors, manufacturer’s sales representatives, and other agents to market and sell its products.</w:t>
      </w:r>
    </w:p>
    <w:p>
      <w:pPr>
        <w:spacing w:after="0" w:line="1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202"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NTIC may be subject to product liability claims or other claims arising out of the activities of its joint ventures, which could adversely affect NTIC and its business.</w:t>
      </w:r>
    </w:p>
    <w:p>
      <w:pPr>
        <w:spacing w:after="0" w:line="16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spacing w:after="0" w:line="198"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20"/>
          <w:szCs w:val="20"/>
          <w:b w:val="1"/>
          <w:bCs w:val="1"/>
          <w:i w:val="1"/>
          <w:iCs w:val="1"/>
          <w:color w:val="auto"/>
        </w:rPr>
        <w:t>The sale of ZERUST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rust and corrosion inhibiting products into the oil and gas industry is risky in light of the hazards typically associated with such operations and the significant amount of potential liability involved, which could adversely affect NTIC’s business if ZERUST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rust and corrosion inhibiting products are involved, even if the cause of such events was not related to NTIC’s products.</w:t>
      </w:r>
    </w:p>
    <w:p>
      <w:pPr>
        <w:spacing w:after="0" w:line="20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Because NTIC sells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spacing w:after="0" w:line="207"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20"/>
          <w:szCs w:val="20"/>
          <w:b w:val="1"/>
          <w:bCs w:val="1"/>
          <w:i w:val="1"/>
          <w:iCs w:val="1"/>
          <w:color w:val="auto"/>
        </w:rPr>
        <w:t>The sale of ZERUST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rust and corrosion inhibiting products into the oil and gas industry is dependent on certain macroeconomic factors, including seasonality of installations, fluctuations of crude oil prices, global events and regulatory guidelines.</w:t>
      </w:r>
    </w:p>
    <w:p>
      <w:pPr>
        <w:spacing w:after="0" w:line="204" w:lineRule="exact"/>
        <w:rPr>
          <w:sz w:val="20"/>
          <w:szCs w:val="20"/>
          <w:color w:val="auto"/>
        </w:rPr>
      </w:pPr>
    </w:p>
    <w:p>
      <w:pPr>
        <w:jc w:val="both"/>
        <w:ind w:right="80"/>
        <w:spacing w:after="0" w:line="23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Seasonality of Installations: </w:t>
      </w:r>
      <w:r>
        <w:rPr>
          <w:rFonts w:ascii="Times New Roman" w:cs="Times New Roman" w:eastAsia="Times New Roman" w:hAnsi="Times New Roman"/>
          <w:sz w:val="20"/>
          <w:szCs w:val="20"/>
          <w:color w:val="auto"/>
        </w:rPr>
        <w:t>NTIC has experienced some seasonality with respect to the sale of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rust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corrosion inhibiting products into the oil and gas industry, with sales during parts of the second and third fiscal quarters being adversely affected by winter in the United States.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640"/>
          </w:cols>
          <w:pgMar w:left="1300" w:top="1132" w:right="1300" w:bottom="382" w:gutter="0" w:footer="0" w:header="0"/>
        </w:sectPr>
      </w:pPr>
    </w:p>
    <w:bookmarkStart w:id="114" w:name="page115"/>
    <w:bookmarkEnd w:id="114"/>
    <w:p>
      <w:pPr>
        <w:ind w:right="6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 xml:space="preserve">Fluctuations of Crude Oil Prices: </w:t>
      </w:r>
      <w:r>
        <w:rPr>
          <w:rFonts w:ascii="Times New Roman" w:cs="Times New Roman" w:eastAsia="Times New Roman" w:hAnsi="Times New Roman"/>
          <w:sz w:val="20"/>
          <w:szCs w:val="20"/>
          <w:color w:val="auto"/>
        </w:rPr>
        <w:t>The sale of 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rust and corrosion inhibiting products into the oil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gas industry, particularly in the United States, has historically been hampered by low/unstable global crude oil prices. During fiscal 2025, crude oil prices declined due to fears of recession, the Organization of the Petroleum Exporting Countries increasing output, and Saudi Arabia lowering prices to major customers in Asia. In January 2025, the U.S. Department of Energy forecasted a steady decline in the price of oil, with an average cost of $81 per barrel in 2024 and an expected decline to $66 per barrel by 2026. Fluctuations continue to be expected in part due to the Russia-Ukraine war and the ongoing conflicts in the Middle East. NTIC believes low global crude oil prices constrain capital improvement budgets of its existing and prospective customers and may result in personnel turnover at its oil and gas customers or prospects. Additionally, NTIC believes the ongoing Russia-Ukraine war and ongoing conflicts in the Middle East, including the Israel-Hamas war, may create uncertainty among its existing and prospective customers, which may cause them to halt oil and gas projects or elect to decrease capital improvement budgets, either of which could harm NTIC’s ability to sell its products into the oil and gas industry.</w:t>
      </w:r>
    </w:p>
    <w:p>
      <w:pPr>
        <w:spacing w:after="0" w:line="19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Global Events: </w:t>
      </w:r>
      <w:r>
        <w:rPr>
          <w:rFonts w:ascii="Times New Roman" w:cs="Times New Roman" w:eastAsia="Times New Roman" w:hAnsi="Times New Roman"/>
          <w:sz w:val="20"/>
          <w:szCs w:val="20"/>
          <w:color w:val="auto"/>
        </w:rPr>
        <w:t>The sale of Zerust Oil &amp; Gas solutions to Oil &amp; Gas sector clients is impacted by geopolitical tensions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other events in key oil producing regions like the Middle East. These affect the ability of the teams to have face-to-face meetings, travel for site surveys and implementations, etc., with the added effect of potential supply chain delays/impacts that could delay or postpone sales.</w:t>
      </w:r>
    </w:p>
    <w:p>
      <w:pPr>
        <w:spacing w:after="0" w:line="19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Regulatory Guidelines: </w:t>
      </w:r>
      <w:r>
        <w:rPr>
          <w:rFonts w:ascii="Times New Roman" w:cs="Times New Roman" w:eastAsia="Times New Roman" w:hAnsi="Times New Roman"/>
          <w:sz w:val="20"/>
          <w:szCs w:val="20"/>
          <w:color w:val="auto"/>
        </w:rPr>
        <w:t>The Oil &amp; Gas sector is very conservative and, in addition to long-term trials on- site, client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decision makers typically default to guidelines from the American Petroleum Institute (API), Association of Materials Protection and Performance (AMPP), Pipeline and Hazardous Materials Safety Administration (PHMSA), an agency of the United States Department of Transportation responsible for developing and enforcing regulations for the safe, reliable and environmentally sound transportation of energy and other hazardous materials, European Committee for the Study of Corrosion (CEOCOR), etc. Getting a new technology/solution approach included in these guidelines typically takes years of committee lobbying, client support, field trials and lab validation. The Zerust solutions have been included in several technical reports/committees from these groups though getting full validation is likely to take a few more years.</w:t>
      </w:r>
    </w:p>
    <w:p>
      <w:pPr>
        <w:spacing w:after="0" w:line="20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Although NTIC’s 85% owned subsidiary, Zerust Brazil, recently secured a secured a three- year offshore oil and gas production asset preservation contract with an estimated total value of approximately R$70 million (US$13 million), no assurance can be provided that such total amount will be realized by NTIC during the next three years.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ramp during fiscal 2026 and run through calendar 2028 with an estimated total value of approximately R$ 70 million (US$13 million). This includes approximately R$40 million (US$7.4 million) in materials and approximately R$ 30 million (US$5.6 million) in engineering and field services. While management believes that the amount and timing of revenue anticipated to be generated under this agreement may materially positively affect NTIC’s future quarterly sales and other operating results, no assurance can be provided that such revenues will be recognized. In addition, NTIC’s performance under this agreement and its realization of revenue and other benefits as a result of the agreement are subject to risks, including the success of NTIC’s oil and gas business; NTIC’s ability to perform under the agreements and the realization of the potential revenue thereunder; the health of the U.S., Brazilian and worldwide economies; the effect of economic uncertainty; risks associated with international operations, including in Brazil; exposure to exchange rate fluctuations, tariffs, trade disputes and changes to trade regulation; effect of economic slowdown and political unrest; acceptance of existing and new products; timing of purchase orders and variability in sales to oil and gas customers and the effect on NTIC’s quarterly financial results; increased competition; and costs and effects of complying with changes in tax, fiscal, government and other regulatory policies, and rules relating to environmental, health and safety matters.</w:t>
      </w:r>
    </w:p>
    <w:p>
      <w:pPr>
        <w:spacing w:after="0" w:line="191" w:lineRule="exact"/>
        <w:rPr>
          <w:sz w:val="20"/>
          <w:szCs w:val="20"/>
          <w:color w:val="auto"/>
        </w:rPr>
      </w:pPr>
    </w:p>
    <w:p>
      <w:pPr>
        <w:ind w:right="20" w:firstLine="1"/>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The expansion of NTIC’s corrosion prevention solutions into the oil and gas industry and the continued launch of NTIC’s Natur-Tec</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NTIC’s stockholders.</w:t>
      </w:r>
    </w:p>
    <w:p>
      <w:pPr>
        <w:spacing w:after="0" w:line="205"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9"/>
          <w:szCs w:val="19"/>
          <w:color w:val="auto"/>
        </w:rPr>
        <w:t>The expansion of NTIC’s corrosion prevention solutions into the oil and gas industry and the continued expansion of NTIC’s Natur-Tec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resin compounds and finished products will continue to require resources during fiscal 2026 and beyond. To the extent that NTIC’s existing capital, including amounts available under its revolving line of credit, is insufficient to meet these requirements, NTIC may raise additional capital through financings or additional borrowings.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640"/>
          </w:cols>
          <w:pgMar w:left="1300" w:top="1132" w:right="1300" w:bottom="382" w:gutter="0" w:footer="0" w:header="0"/>
        </w:sectPr>
      </w:pPr>
    </w:p>
    <w:bookmarkStart w:id="115" w:name="page116"/>
    <w:bookmarkEnd w:id="115"/>
    <w:p>
      <w:pPr>
        <w:ind w:right="720"/>
        <w:spacing w:after="0" w:line="278" w:lineRule="auto"/>
        <w:rPr>
          <w:sz w:val="20"/>
          <w:szCs w:val="20"/>
          <w:color w:val="auto"/>
        </w:rPr>
      </w:pPr>
      <w:r>
        <w:rPr>
          <w:rFonts w:ascii="Times New Roman" w:cs="Times New Roman" w:eastAsia="Times New Roman" w:hAnsi="Times New Roman"/>
          <w:sz w:val="20"/>
          <w:szCs w:val="20"/>
          <w:color w:val="auto"/>
        </w:rPr>
        <w:t>Any equity or debt financing, if available at all, may be on terms that are not favorable to NTIC, and any equity financings could result in dilution to NTIC’s stockholders.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Governmental Regulation, Laws, and Compliance</w:t>
      </w:r>
    </w:p>
    <w:p>
      <w:pPr>
        <w:spacing w:after="0" w:line="24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19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In the future, new environmental laws, rules, and regulations with provisions similar to those of the Inflation Reduction Act of 2022, which includes measures to reduce emissions, may be enacted, which may adversely affect NTIC’s business. Further,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including the changes to U.S. federal tax laws included in the Inflation Reduction Act of 2022, such as a 1% excise tax on stock repurchases, and revised tax law interpretations, also may adversely affect NTIC’s operating results. These laws, rules and regulations may be subject to change by the incoming Trump administration, which has announced intentions to alter environmental and other regulations, although it is not possible at this time to determine whether such actions will be taken and the impacts they may have on NTIC.</w:t>
      </w:r>
    </w:p>
    <w:p>
      <w:pPr>
        <w:spacing w:after="0" w:line="203" w:lineRule="exact"/>
        <w:rPr>
          <w:sz w:val="20"/>
          <w:szCs w:val="20"/>
          <w:color w:val="auto"/>
        </w:rPr>
      </w:pPr>
    </w:p>
    <w:p>
      <w:pPr>
        <w:ind w:right="80" w:firstLine="1"/>
        <w:spacing w:after="0" w:line="243" w:lineRule="auto"/>
        <w:rPr>
          <w:sz w:val="20"/>
          <w:szCs w:val="20"/>
          <w:color w:val="auto"/>
        </w:rPr>
      </w:pPr>
      <w:r>
        <w:rPr>
          <w:rFonts w:ascii="Times New Roman" w:cs="Times New Roman" w:eastAsia="Times New Roman" w:hAnsi="Times New Roman"/>
          <w:sz w:val="20"/>
          <w:szCs w:val="20"/>
          <w:color w:val="auto"/>
        </w:rPr>
        <w:t>Governmental regulation also may adversely affect the demand for some of NTIC’s products and its operating results. For example, the Pipeline and Hazardous Materials Safety Administration (PHMSA) added several new rules with specified deadlines in calendar year 2024, with technical revisions made to go into effect in July 2025. As a result, pipeline owners and operators and several service contractors in the pipeline inspection sector were required to complete preliminary reporting requirements to meet these deadlines. These reporting requirements, combined with the current political climate in the United States and competing priorities, significantly delayed pipeline casing protection work during fiscal 2025, pending completion of the compliance work, adversely impacting demand for certain products and NTIC’s operating results. The implementation of high tariffs and actions taken by the Department of Government Efficiency have also contributed to uncertainty and are expected to cause further PHMSA approval slowdowns until these factors stabilize, although it is not possible to predict when this might be. Additionally, other regulations may be enacted, causing similar adverse impacts.</w:t>
      </w:r>
    </w:p>
    <w:p>
      <w:pPr>
        <w:spacing w:after="0" w:line="209"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Fluctuations in NTIC’s effective tax rate could have a significant impact on NTIC’s financial position, results of operations, or cash flows.</w:t>
      </w:r>
    </w:p>
    <w:p>
      <w:pPr>
        <w:spacing w:after="0" w:line="1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9"/>
          <w:szCs w:val="19"/>
          <w:color w:val="auto"/>
        </w:rPr>
        <w:t>The mix of pre-tax income or loss among the tax jurisdictions in which NTIC operates, which have varying tax rates, could impact NTIC’s effective tax rate. For example, NTIC’s effective tax rate was 67.5% for fiscal 2025, compared to 17.3% for fiscal 2024. NTIC is subject to income taxes as well as non-income based taxes in both the United States and various foreign jurisdictions. Judgment is required in determining the worldwide provision for income taxes, other tax liabilities, interest, and penalties. While management expects NTIC’s effective tax rate to normalize in future periods when additional profits are recognized in North American operations, no assurance can be provided that it will.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or jurisdictional regulations could result in a valuation allowance for these assets. Final determination of tax audits or tax disputes may be different from what is currently reflected by NTIC’s income tax provisions and accruals.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640"/>
          </w:cols>
          <w:pgMar w:left="1300" w:top="1132" w:right="1300" w:bottom="382" w:gutter="0" w:footer="0" w:header="0"/>
        </w:sectPr>
      </w:pPr>
    </w:p>
    <w:bookmarkStart w:id="116" w:name="page117"/>
    <w:bookmarkEnd w:id="116"/>
    <w:p>
      <w:pPr>
        <w:spacing w:after="0" w:line="241" w:lineRule="auto"/>
        <w:rPr>
          <w:sz w:val="20"/>
          <w:szCs w:val="20"/>
          <w:color w:val="auto"/>
        </w:rPr>
      </w:pPr>
      <w:r>
        <w:rPr>
          <w:rFonts w:ascii="Times New Roman" w:cs="Times New Roman" w:eastAsia="Times New Roman" w:hAnsi="Times New Roman"/>
          <w:sz w:val="20"/>
          <w:szCs w:val="20"/>
          <w:color w:val="auto"/>
        </w:rPr>
        <w:t>On July 4, 2025, the U.S. enacted a budget reconciliation package known as the One Big Beautiful Bill Act of 2025 (“OBBBA”). The OBBBA includes the permanent extension of certain expiring provisions of the Tax Cuts and Jobs Act of 2017, modifications to the international tax framework and the restoration and continuation of favorable tax treatment for certain business provisions, including immediate expensing for domestic research expenditures paid or incurred beginning January 1, 2025. Additionally, the OBBBA allows accelerated tax deductions for qualified property by making permanent the 100% first-year bonus depreciation deduction that previously existed for purchases of tangible personal property with a recovery period of 20 years or less and allowing a similar 100% deduction for certain “qualified production property” that did not previously qualify for an immediate deduction. The OBBBA introduces other legislative changes, including the restoration of deductible net business interest expense under Code Section 163(j) to 30% of earnings before interest, taxes, depreciation and amortization and again allowing an addback of depreciation and amortization in the calculation of the interest deduction limitation. The OBBBA also provides that certain capitalized interest will now be treated as a business interest expense subject to the Section 163(j) limitation. The OBBBA enacted the repeal or acceleration of the sunset of certain tax credits under the Inflation Reduction Act of 2022 and elimination of certain penalties for violations of certain regulatory credit programs. The OBBBA also makes significant changes to international tax provisions, including provisions addressing the global intangible low-taxed income (GILTI), foreign-derived intangible income (FDII), base erosion anti-abuse tax (BEAT) and controlled foreign corporation (CFC) rules. NTIC is currently assessing the impact of the OBBBA on its consolidated financial statements. Changes in tax laws may affect recorded deferred tax assets and deferred tax liabilities and may increase our effective tax rate, increase the amount of taxes imposed on our business, and harm our financial position. Such changes may also apply retroactively to our historical operations and result in taxes greater than the amounts estimated and recorded in our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of NTIC’s operations are subject to regulation by the U.S. Food and Drug Administration.</w:t>
      </w:r>
    </w:p>
    <w:p>
      <w:pPr>
        <w:spacing w:after="0" w:line="238"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0"/>
          <w:szCs w:val="20"/>
          <w:color w:val="auto"/>
        </w:rPr>
        <w:t>The manufacture, sale, and use of NTIC’s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bio-plastic resin compounds are subject to regulation by the U.S. FDA. The FDA’s regulations are concerned with substances used indirectly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 their intended uses and are of suitable purity for those intended uses. NTIC believes that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comply with all FDA requirements. However, failure to comply with FDA regulations could subject NTIC to administrative, civil, or criminal penalties.</w:t>
      </w:r>
    </w:p>
    <w:p>
      <w:pPr>
        <w:spacing w:after="0" w:line="206" w:lineRule="exact"/>
        <w:rPr>
          <w:sz w:val="20"/>
          <w:szCs w:val="20"/>
          <w:color w:val="auto"/>
        </w:rPr>
      </w:pPr>
    </w:p>
    <w:p>
      <w:pPr>
        <w:ind w:right="8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Any change in accounting principles generally accepted in the United States of America requiring NTIC to consolidate its joint ventures could adversely affect NTIC’s operating results.</w:t>
      </w:r>
    </w:p>
    <w:p>
      <w:pPr>
        <w:spacing w:after="0" w:line="16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If there were a change in accounting rules and NTIC were required to fully consolidate its joint ventures or if NTIC’s joint ventures otherwise would be required to be consolidated with NTIC,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NTIC’s Intellectual Property</w:t>
      </w:r>
    </w:p>
    <w:p>
      <w:pPr>
        <w:spacing w:after="0" w:line="244" w:lineRule="exact"/>
        <w:rPr>
          <w:sz w:val="20"/>
          <w:szCs w:val="20"/>
          <w:color w:val="auto"/>
        </w:rPr>
      </w:pPr>
    </w:p>
    <w:p>
      <w:pPr>
        <w:ind w:right="36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4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640"/>
          </w:cols>
          <w:pgMar w:left="1300" w:top="1132" w:right="1300" w:bottom="382" w:gutter="0" w:footer="0" w:header="0"/>
        </w:sectPr>
      </w:pPr>
    </w:p>
    <w:bookmarkStart w:id="117" w:name="page118"/>
    <w:bookmarkEnd w:id="117"/>
    <w:p>
      <w:pPr>
        <w:ind w:right="80"/>
        <w:spacing w:after="0" w:line="252" w:lineRule="auto"/>
        <w:rPr>
          <w:sz w:val="20"/>
          <w:szCs w:val="20"/>
          <w:color w:val="auto"/>
        </w:rPr>
      </w:pPr>
      <w:r>
        <w:rPr>
          <w:rFonts w:ascii="Times New Roman" w:cs="Times New Roman" w:eastAsia="Times New Roman" w:hAnsi="Times New Roman"/>
          <w:sz w:val="20"/>
          <w:szCs w:val="20"/>
          <w:color w:val="auto"/>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NTIC’s Common Stock</w:t>
      </w:r>
    </w:p>
    <w:p>
      <w:pPr>
        <w:spacing w:after="0" w:line="243"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trading volume of NTIC’s common stock is typically very low, leaving NTIC’s common stock open to risk of high volatility.</w:t>
      </w:r>
    </w:p>
    <w:p>
      <w:pPr>
        <w:spacing w:after="0" w:line="16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The number of shares of NTIC’s common stock being traded daily is often very low, and on some trading days, there is no trading volume at all. During fiscal 2025, the daily trading volume ranged from 4,342 shares to 905,541 shares.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and trading volume of NTIC’s common stock has been, and may continue to be, volatile.</w:t>
      </w:r>
    </w:p>
    <w:p>
      <w:pPr>
        <w:spacing w:after="0" w:line="24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market price and trading volume of NTIC’s common stock price historically has fluctuated over a wide range. During fiscal 2025, the sale price of NTIC’s common stock ranged from a low of $ 6.75 per share to a high of $15.09 per share, and the daily trading volume ranged from 4,342 shares to 905,541 shares. It is likely that the price and trading volume of NTIC’s common stock will continue to fluctuate in the future. The securities of small capitalization companies, including NTIC, from time-to-time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especially if NTIC fails to meet its annual projected financial guidance or lowers its annual projected financial guidance. Securities litigation, whether with or without merit, could result in substantial costs and divert management’s attention and resources, which could harm NTIC’s business, operating results, and financial condition as well as the market price of its common stock.</w:t>
      </w:r>
    </w:p>
    <w:p>
      <w:pPr>
        <w:spacing w:after="0" w:line="209"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16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As of November 20, 2025, NTIC had 9,480,689 shares of common stock outstanding, 24.3% of which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197"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about NTIC’s business, or if they adversely change their recommendations regarding NTIC’s common stock, the market price for NTIC’s common stock and trading volume could decline.</w:t>
      </w:r>
    </w:p>
    <w:p>
      <w:pPr>
        <w:spacing w:after="0" w:line="18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cease coverage of NTIC or fail to regularly publish reports on NTIC, NTIC could lose visibility in the financial markets, which, in turn, could cause the market price or trading volume for NTIC’s common stock to decline.</w:t>
      </w:r>
    </w:p>
    <w:p>
      <w:pPr>
        <w:spacing w:after="0" w:line="19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One of NTIC’s principal stockholders beneficially owns a significant percentage of NTIC’s outstanding common stock and is affiliated with NTIC’s President and Chief Executive Officer and, thus, may be able to influence matters requiring stockholder approval, including the election of directors, and could discourage or otherwise impede a transaction in which a third-party wishes to purchase NTIC’s outstanding shares at a premium.</w:t>
      </w:r>
    </w:p>
    <w:p>
      <w:pPr>
        <w:spacing w:after="0" w:line="19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As of November 20, 2025, Inter Alia Holding Company, or Inter Alia, beneficially owned approximately 12.7% of NTIC’s outstanding common stock. Inter Alia is an entity partially owned by G. Patrick Lynch, NTIC’s President and Chief Executive Officer and director, as well as two other members of the Lynch family. Mr. Lynch shares voting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640"/>
          </w:cols>
          <w:pgMar w:left="1300" w:top="1132" w:right="1300" w:bottom="382" w:gutter="0" w:footer="0" w:header="0"/>
        </w:sectPr>
      </w:pPr>
    </w:p>
    <w:bookmarkStart w:id="118" w:name="page119"/>
    <w:bookmarkEnd w:id="118"/>
    <w:p>
      <w:pPr>
        <w:ind w:right="120"/>
        <w:spacing w:after="0" w:line="254" w:lineRule="auto"/>
        <w:rPr>
          <w:sz w:val="20"/>
          <w:szCs w:val="20"/>
          <w:color w:val="auto"/>
        </w:rPr>
      </w:pPr>
      <w:r>
        <w:rPr>
          <w:rFonts w:ascii="Times New Roman" w:cs="Times New Roman" w:eastAsia="Times New Roman" w:hAnsi="Times New Roman"/>
          <w:sz w:val="20"/>
          <w:szCs w:val="20"/>
          <w:color w:val="auto"/>
        </w:rPr>
        <w:t>dispositive power of shares of NTIC’s common stock held by Inter Alia with the other owners. As a result of his share ownership through Inter Alia and his position as President and Chief Executive Officer and director of NTIC,</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which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43"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Climate change, or legal, regulatory, or market measures to address climate change, may negatively affect our business and operations.</w:t>
      </w:r>
    </w:p>
    <w:p>
      <w:pPr>
        <w:spacing w:after="0" w:line="16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Climate change resulting from increased concentrations of carbon dioxide and other greenhouse gases in the atmosphere may have an adverse impact on global temperatures, weather patterns and the frequency and severity of extreme weather and natural disasters, such as hurricanes, tornadoes, earthquakes, wildfires or flooding. Climate change may also cause water shortages, changes in rainfall and storm patterns, changes in sea levels and other negative weather and climate patterns. Such weather conditions could pose physical risks to our facilities and disrupt operation of our supply chain and may impact operational costs.</w:t>
      </w:r>
    </w:p>
    <w:p>
      <w:pPr>
        <w:spacing w:after="0" w:line="20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increasing global focus on climate change and the need for corporate change also may lead to new regional, federal, and/or global legal and regulatory requirements to reduce or mitigate the effects of greenhouse gases. The inconsistency of regulations in the countries in which we operate may affect the costs of compliance with such legal or regulatory requirements. Additionally, in the event that such regulation is enacted and is more aggressive than the sustainability measures that we are currently undertaking to monitor our emissions and improve our energy efficiently, we may be subject to curtailment or reduced access to resources or experience significant increases in our costs of operation and delivery. As a result, climate change could negatively affect our business and operations.</w:t>
      </w:r>
    </w:p>
    <w:p>
      <w:pPr>
        <w:spacing w:after="0" w:line="20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In addition, public company stockholders are increasingly sensitive to the climate change impacts and mitigation efforts of companies, are increasingly seeking enhanced disclosure on the risks, challenges, governance implications, and financial impacts of climate change faced by companies and are demanding that companies take a proactive approach to addressing perceived environmental risks, including risks associated with climate change, relating to their operations. Adverse publicity or climate- related litigation that may result from such enhanced disclosure or stockholder perception could have a negative impact on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Severe weather could have a material adverse effect on NTIC’s business.</w:t>
      </w:r>
    </w:p>
    <w:p>
      <w:pPr>
        <w:spacing w:after="0" w:line="23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NTIC’s business has been and in the future could be materially and adversely affected by severe weather. NTIC’s customers, including in particular NTIC’s oil and gas customers, may have operations located in parts of the southern United States or other places and may be adversely affected by hurricanes and tropical storms, resulting in reduced demand for NTIC’s products and services or increased operating costs. Furthermore, NTIC’s customers and raw material suppliers’ operations have been and could in the future be adversely affected by such hurricanes and other extreme or seasonal weather conditions. Adverse weather can also directly impede NTIC’s operations. Repercussions of severe weather conditions may include:</w:t>
      </w:r>
    </w:p>
    <w:p>
      <w:pPr>
        <w:spacing w:after="0" w:line="215" w:lineRule="exact"/>
        <w:rPr>
          <w:sz w:val="20"/>
          <w:szCs w:val="20"/>
          <w:color w:val="auto"/>
        </w:rPr>
      </w:pPr>
    </w:p>
    <w:p>
      <w:pPr>
        <w:ind w:left="780" w:hanging="366"/>
        <w:spacing w:after="0"/>
        <w:tabs>
          <w:tab w:leader="none" w:pos="78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curtailment of services or reduced demand for products;</w:t>
      </w:r>
    </w:p>
    <w:p>
      <w:pPr>
        <w:spacing w:after="0" w:line="35" w:lineRule="exact"/>
        <w:rPr>
          <w:rFonts w:ascii="Arial" w:cs="Arial" w:eastAsia="Arial" w:hAnsi="Arial"/>
          <w:sz w:val="20"/>
          <w:szCs w:val="20"/>
          <w:color w:val="auto"/>
        </w:rPr>
      </w:pPr>
    </w:p>
    <w:p>
      <w:pPr>
        <w:ind w:left="780" w:hanging="366"/>
        <w:spacing w:after="0"/>
        <w:tabs>
          <w:tab w:leader="none" w:pos="78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weather-related damage to facilities and equipment, resulting in suspension of operations;</w:t>
      </w:r>
    </w:p>
    <w:p>
      <w:pPr>
        <w:spacing w:after="0" w:line="12" w:lineRule="exact"/>
        <w:rPr>
          <w:rFonts w:ascii="Arial" w:cs="Arial" w:eastAsia="Arial" w:hAnsi="Arial"/>
          <w:sz w:val="20"/>
          <w:szCs w:val="20"/>
          <w:color w:val="auto"/>
        </w:rPr>
      </w:pPr>
    </w:p>
    <w:p>
      <w:pPr>
        <w:ind w:left="780" w:right="320" w:hanging="366"/>
        <w:spacing w:after="0" w:line="247" w:lineRule="auto"/>
        <w:tabs>
          <w:tab w:leader="none" w:pos="78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deliver equipment, personnel and products to job sites in accordance with contract schedules or increased transportation or other operating costs; and</w:t>
      </w:r>
    </w:p>
    <w:p>
      <w:pPr>
        <w:spacing w:after="0" w:line="1" w:lineRule="exact"/>
        <w:rPr>
          <w:rFonts w:ascii="Arial" w:cs="Arial" w:eastAsia="Arial" w:hAnsi="Arial"/>
          <w:sz w:val="20"/>
          <w:szCs w:val="20"/>
          <w:color w:val="auto"/>
        </w:rPr>
      </w:pPr>
    </w:p>
    <w:p>
      <w:pPr>
        <w:ind w:left="780" w:hanging="367"/>
        <w:spacing w:after="0"/>
        <w:tabs>
          <w:tab w:leader="none" w:pos="78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loss of productivity.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constraints could delay NTIC’s operations and materially increase NTIC’s operating and capital costs.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640"/>
          </w:cols>
          <w:pgMar w:left="1300" w:top="1132" w:right="1300" w:bottom="382" w:gutter="0" w:footer="0" w:header="0"/>
        </w:sectPr>
      </w:pPr>
    </w:p>
    <w:bookmarkStart w:id="119" w:name="page120"/>
    <w:bookmarkEnd w:id="119"/>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NTIC may grow its business through additional joint ventures, subsidiaries, alliances, and acquisitions, which could be risky and harm its business.</w:t>
      </w:r>
    </w:p>
    <w:p>
      <w:pPr>
        <w:spacing w:after="0" w:line="16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One of NTIC’s growth strategies may be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211" w:lineRule="exact"/>
        <w:rPr>
          <w:sz w:val="20"/>
          <w:szCs w:val="20"/>
          <w:color w:val="auto"/>
        </w:rPr>
      </w:pPr>
    </w:p>
    <w:p>
      <w:pPr>
        <w:ind w:left="720" w:hanging="364"/>
        <w:spacing w:after="0"/>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management’s attention;</w:t>
      </w:r>
    </w:p>
    <w:p>
      <w:pPr>
        <w:spacing w:after="0" w:line="35" w:lineRule="exact"/>
        <w:rPr>
          <w:rFonts w:ascii="Arial" w:cs="Arial" w:eastAsia="Arial" w:hAnsi="Arial"/>
          <w:sz w:val="20"/>
          <w:szCs w:val="20"/>
          <w:color w:val="auto"/>
        </w:rPr>
      </w:pPr>
    </w:p>
    <w:p>
      <w:pPr>
        <w:ind w:left="720" w:right="680" w:hanging="364"/>
        <w:spacing w:after="0" w:line="246"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assimilating the operations and products of a new joint venture or acquired business or in realizing projected efficiencies, cost savings, and revenue synergies;</w:t>
      </w:r>
    </w:p>
    <w:p>
      <w:pPr>
        <w:spacing w:after="0" w:line="1" w:lineRule="exact"/>
        <w:rPr>
          <w:rFonts w:ascii="Arial" w:cs="Arial" w:eastAsia="Arial" w:hAnsi="Arial"/>
          <w:sz w:val="20"/>
          <w:szCs w:val="20"/>
          <w:color w:val="auto"/>
        </w:rPr>
      </w:pPr>
    </w:p>
    <w:p>
      <w:pPr>
        <w:ind w:left="720" w:right="220" w:hanging="364"/>
        <w:spacing w:after="0" w:line="247"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loss of key employees or customers of the new joint venture or acquired business or adverse effects on existing business relationships with suppliers and customers;</w:t>
      </w:r>
    </w:p>
    <w:p>
      <w:pPr>
        <w:spacing w:after="0" w:line="1" w:lineRule="exact"/>
        <w:rPr>
          <w:rFonts w:ascii="Arial" w:cs="Arial" w:eastAsia="Arial" w:hAnsi="Arial"/>
          <w:sz w:val="20"/>
          <w:szCs w:val="20"/>
          <w:color w:val="auto"/>
        </w:rPr>
      </w:pPr>
    </w:p>
    <w:p>
      <w:pPr>
        <w:ind w:left="720" w:right="580" w:hanging="364"/>
        <w:spacing w:after="0" w:line="246"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adverse impact on overall profitability if the new joint venture or acquired business does not achieve the financial results projected in NTIC’s valuation models;</w:t>
      </w:r>
    </w:p>
    <w:p>
      <w:pPr>
        <w:spacing w:after="0" w:line="1" w:lineRule="exact"/>
        <w:rPr>
          <w:rFonts w:ascii="Arial" w:cs="Arial" w:eastAsia="Arial" w:hAnsi="Arial"/>
          <w:sz w:val="20"/>
          <w:szCs w:val="20"/>
          <w:color w:val="auto"/>
        </w:rPr>
      </w:pPr>
    </w:p>
    <w:p>
      <w:pPr>
        <w:ind w:left="720" w:right="120" w:hanging="364"/>
        <w:spacing w:after="0" w:line="243"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2" w:lineRule="exact"/>
        <w:rPr>
          <w:rFonts w:ascii="Arial" w:cs="Arial" w:eastAsia="Arial" w:hAnsi="Arial"/>
          <w:sz w:val="20"/>
          <w:szCs w:val="20"/>
          <w:color w:val="auto"/>
        </w:rPr>
      </w:pPr>
    </w:p>
    <w:p>
      <w:pPr>
        <w:ind w:left="720" w:right="560" w:hanging="364"/>
        <w:spacing w:after="0" w:line="246" w:lineRule="auto"/>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inaccurate assessment of undisclosed, contingent, or other liabilities or problems and unanticipated costs associated with the new joint venture or acquisition; and</w:t>
      </w:r>
    </w:p>
    <w:p>
      <w:pPr>
        <w:spacing w:after="0" w:line="18" w:lineRule="exact"/>
        <w:rPr>
          <w:rFonts w:ascii="Arial" w:cs="Arial" w:eastAsia="Arial" w:hAnsi="Arial"/>
          <w:sz w:val="20"/>
          <w:szCs w:val="20"/>
          <w:color w:val="auto"/>
        </w:rPr>
      </w:pPr>
    </w:p>
    <w:p>
      <w:pPr>
        <w:ind w:left="720" w:right="60" w:hanging="364"/>
        <w:spacing w:after="0" w:line="235" w:lineRule="auto"/>
        <w:tabs>
          <w:tab w:leader="none" w:pos="720" w:val="left"/>
        </w:tabs>
        <w:numPr>
          <w:ilvl w:val="0"/>
          <w:numId w:val="77"/>
        </w:numPr>
        <w:rPr>
          <w:rFonts w:ascii="Arial" w:cs="Arial" w:eastAsia="Arial" w:hAnsi="Arial"/>
          <w:sz w:val="24"/>
          <w:szCs w:val="24"/>
          <w:color w:val="auto"/>
        </w:rPr>
      </w:pPr>
      <w:r>
        <w:rPr>
          <w:rFonts w:ascii="Times New Roman" w:cs="Times New Roman" w:eastAsia="Times New Roman" w:hAnsi="Times New Roman"/>
          <w:sz w:val="20"/>
          <w:szCs w:val="20"/>
          <w:color w:val="auto"/>
        </w:rPr>
        <w:t>incorrect estimates made in the accounting for acquisitions, occurrence of non-recurring charges, and write-off of significant amounts of goodwill that could adversely affect NTIC’s operating results.</w:t>
      </w:r>
    </w:p>
    <w:p>
      <w:pPr>
        <w:spacing w:after="0" w:line="20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20"/>
          <w:szCs w:val="20"/>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8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NTIC relies on its management information systems , including its recently implemented Enterprise Resource Planning (“ERP”) system,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9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The efficient operation of NTIC’s business is dependent on its management information systems, including its recently implemented new ERP system.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including terrorist attacks, attacks by computer viruses or hackers, power loss to computer systems, Internet outages, and telecommunications or data network failure. Any such interruption could adversely affect NTIC’s business and operating results.</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While NTIC currently uses limited traditional and generative artificial intelligence (“AI”) solutions for certain functions, it may incorporate additional AI solutions into its information systems in the future and these solutions may become important in its operations over time. The ever-increasing use and evolution of technology, including AI, creates opportunities for the potential loss or misuse of personal data that NTIC uses to run its business, and unintentional dissemination or intentional destruction of confidential information stored in NTIC’ or our third party providers' systems, portable media or storage devices, which may result in significantly increased business and security costs, a damaged reputation, administrative penalties, or costs related to defending legal claims. AI programs may be costly and require significant expertise to develop, may be difficult to set up and manage, and require periodic upgrades. NTIC’s competitors or other third parties may incorporate AI into their information systems and operations more quickly or more successfully than NTIC, which could impair NTIC’s ability to compete effectively and adversely affect its results of operations.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640"/>
          </w:cols>
          <w:pgMar w:left="1300" w:top="1132" w:right="1300" w:bottom="382"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i w:val="1"/>
          <w:iCs w:val="1"/>
          <w:color w:val="auto"/>
        </w:rPr>
        <w:t>NTIC’s business could be negatively impacted by cyber security threats.</w:t>
      </w:r>
    </w:p>
    <w:p>
      <w:pPr>
        <w:spacing w:after="0" w:line="23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In the ordinary course of NTIC’s business, NTIC uses its management information systems to store and access proprietary business information. NTIC faces various cyber security threats, including cyber security attacks to its information technology infrastructure and attempts by others to gain access to its proprietary or sensitive information. The procedures and controls NTIC uses to monitor these threats and mitigate its exposure, as described in greater detail under “</w:t>
      </w:r>
      <w:r>
        <w:rPr>
          <w:rFonts w:ascii="Times New Roman" w:cs="Times New Roman" w:eastAsia="Times New Roman" w:hAnsi="Times New Roman"/>
          <w:sz w:val="20"/>
          <w:szCs w:val="20"/>
          <w:i w:val="1"/>
          <w:iCs w:val="1"/>
          <w:color w:val="auto"/>
        </w:rPr>
        <w:t>Part I. Item 1C. Cybersecurity</w:t>
      </w:r>
      <w:r>
        <w:rPr>
          <w:rFonts w:ascii="Times New Roman" w:cs="Times New Roman" w:eastAsia="Times New Roman" w:hAnsi="Times New Roman"/>
          <w:sz w:val="20"/>
          <w:szCs w:val="20"/>
          <w:color w:val="auto"/>
        </w:rPr>
        <w:t>,” may not be sufficient to prevent cyber security incidents. The result of these incidents could include disrupted operations, lost opportunities, misstated financial data, liability for stolen assets or information, increased costs arising from the implementation of additional security protective measures, litigation, and reputational damage. Any remedial costs or other liabilities related to cyber security incidents may not be fully insured or indemnified by other means. Additionally, on July 26, 2023, the SEC issued final rules related to cyber security risk management and related disclosures. NTIC and its Audit Committee continue to monitor and analyze the impact these rules may have on NTIC’s regulatory burden and cost of compliance related to cyber security threats.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NTIC’s quarterly results are typically unpredictable and subject to variation.</w:t>
      </w:r>
    </w:p>
    <w:p>
      <w:pPr>
        <w:spacing w:after="0" w:line="239"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NTIC’s quarterly operating results vary from quarter to quarter for a variety of reasons. For example, NTIC’s quarterly sales to joint ventures can be affected by individual orders to joint ventures. Because of the typical size of individual orders to joint ventures and the overall size of NTIC’s net sales to joint ventures, the timing of one or more orders can materially affect NTIC’s quarterly sales to joint ventures and the comparisons to prior year quarters. In addition, because of the typical size of individual orders and the overall size of NTIC’s net sales derived from sales of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the timing of one or more orders can materially affect NTIC’s quarterly sales of Natur- 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the comparisons to prior year quarters. Furthermore, since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for the oil and gas industry typically carry higher margins than other traditional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the amount of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spacing w:after="0" w:line="214"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NTIC’s business is subject to a number of other miscellaneous risks that may adversely affect NTIC’s operating results, financial condition, or business.</w:t>
      </w:r>
    </w:p>
    <w:p>
      <w:pPr>
        <w:spacing w:after="0" w:line="16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NTIC’s business is subject to a number of other miscellaneous risks that may adversely affect NTIC’s operating results, and financial condition, such as natural or man-made disasters, an unexpected business loss of supply due to a force majeure event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9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1C.</w:t>
        <w:tab/>
        <w:t>CYBERSECURITY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4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Cybersecurity, data privacy, and data protection are critical to NTIC’s business. In the ordinary course of business, NTIC collects and stores certain confidential information, such as information about employees, contractors, vendors, customers, and suppliers. NTIC has processes in place for assessing, identifying, and managing material risks from cybersecurity threats, and NTIC regularly assesses its performance and identifies areas for improvement. NTIC also has implemented measures to safeguard its entire cyber network. Management continually re-assesses NTIC’s cybersecurity risk environment based on changing circumstances and new information identified by monitoring, scanning and testing its systems, as well as utilizing third party resources for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620"/>
          </w:cols>
          <w:pgMar w:left="1300" w:top="1132" w:right="1320" w:bottom="382"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4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NTIC’s processes for assessing, identifying, and managing cybersecurity threats have been integrated into its overall risk management processes. The information provided by these processes facilitates management’s ongoing assessment of NTIC’s cybersecurity risk environment and provides current and accurate information regarding cybersecurity risks to management, the Audit Committee and Board of Directors to allow appropriate management of such risks through remediation or other risk mitigation activities.</w:t>
      </w:r>
    </w:p>
    <w:p>
      <w:pPr>
        <w:spacing w:after="0" w:line="19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auto"/>
        </w:rPr>
        <w:t>NTIC maintains a cybersecurity program that is designed to identify, protect from, detect, respond to, and recover from cybersecurity threats and risks, and protect the confidentiality, integrity, and availability of its information systems, including the information residing on such systems. NTIC takes a risk -based approach to cybersecurity, which begins with the identification and evaluation of cybersecurity risks or threats that could affect its operations, finances, legal or regulatory compliance, or reputation. The scope of NTIC’s evaluation encompasses risks that may be associated with both its internally managed IT systems and key business functions and sensitive data operated or managed by third-party service providers. Once identified, cybersecurity risks and related mitigation efforts are prioritized based on their potential impact, likelihood, velocity, and vulnerability, considering both quantitative and qualitative factors. Risk mitigation strategies are developed and implemented based on the specific nature of each cybersecurity risk. These strategies include, among others, the application of cybersecurity policies and procedures, implementation of administrative, technical, and physical controls, and employee training, education, and awareness initiatives.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Role of Management</w:t>
      </w:r>
    </w:p>
    <w:p>
      <w:pPr>
        <w:spacing w:after="0" w:line="2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Management has implemented risk management structures, policies, and procedures and is responsible for NTIC’s day-to-day cybersecurity risk management. NTIC’s Information Technology Director, who possesses a strong foundation in cybersecurity through prior managerial experience and specialized training, oversees the daily assessment and management of cybersecurity risks. NTIC employs best practices, including real-time monitoring, anti-virus protection, and ongoing patch management across all systems. System maintenance is performed in accordance with industry standards and aligned with recognized best practices. Because cybersecurity threats continue to evolve, NTIC’s implemented measures are designed to be flexible and adaptable to respond to changes in the security landscape. The following security measures give some insight as to what has been implemented:</w:t>
      </w:r>
    </w:p>
    <w:p>
      <w:pPr>
        <w:spacing w:after="0" w:line="208" w:lineRule="exact"/>
        <w:rPr>
          <w:sz w:val="20"/>
          <w:szCs w:val="20"/>
          <w:color w:val="auto"/>
        </w:rPr>
      </w:pPr>
    </w:p>
    <w:p>
      <w:pPr>
        <w:ind w:left="720" w:hanging="363"/>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Multifactor authentication</w:t>
      </w:r>
    </w:p>
    <w:p>
      <w:pPr>
        <w:spacing w:after="0" w:line="35" w:lineRule="exact"/>
        <w:rPr>
          <w:rFonts w:ascii="Arial" w:cs="Arial" w:eastAsia="Arial" w:hAnsi="Arial"/>
          <w:sz w:val="20"/>
          <w:szCs w:val="20"/>
          <w:color w:val="auto"/>
        </w:rPr>
      </w:pPr>
    </w:p>
    <w:p>
      <w:pPr>
        <w:ind w:left="720" w:hanging="363"/>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Phishing simulations</w:t>
      </w:r>
    </w:p>
    <w:p>
      <w:pPr>
        <w:spacing w:after="0" w:line="30" w:lineRule="exact"/>
        <w:rPr>
          <w:rFonts w:ascii="Arial" w:cs="Arial" w:eastAsia="Arial" w:hAnsi="Arial"/>
          <w:sz w:val="20"/>
          <w:szCs w:val="20"/>
          <w:color w:val="auto"/>
        </w:rPr>
      </w:pPr>
    </w:p>
    <w:p>
      <w:pPr>
        <w:ind w:left="720" w:hanging="363"/>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User permissions auditing and tightening</w:t>
      </w:r>
    </w:p>
    <w:p>
      <w:pPr>
        <w:spacing w:after="0" w:line="31" w:lineRule="exact"/>
        <w:rPr>
          <w:rFonts w:ascii="Arial" w:cs="Arial" w:eastAsia="Arial" w:hAnsi="Arial"/>
          <w:sz w:val="20"/>
          <w:szCs w:val="20"/>
          <w:color w:val="auto"/>
        </w:rPr>
      </w:pPr>
    </w:p>
    <w:p>
      <w:pPr>
        <w:ind w:left="720" w:hanging="364"/>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Proactive blocking of high-risk email</w:t>
      </w:r>
    </w:p>
    <w:p>
      <w:pPr>
        <w:spacing w:after="0" w:line="31" w:lineRule="exact"/>
        <w:rPr>
          <w:rFonts w:ascii="Arial" w:cs="Arial" w:eastAsia="Arial" w:hAnsi="Arial"/>
          <w:sz w:val="20"/>
          <w:szCs w:val="20"/>
          <w:color w:val="auto"/>
        </w:rPr>
      </w:pPr>
    </w:p>
    <w:p>
      <w:pPr>
        <w:ind w:left="720" w:hanging="364"/>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Active monitoring of user sign-in</w:t>
      </w:r>
    </w:p>
    <w:p>
      <w:pPr>
        <w:spacing w:after="0" w:line="31" w:lineRule="exact"/>
        <w:rPr>
          <w:rFonts w:ascii="Arial" w:cs="Arial" w:eastAsia="Arial" w:hAnsi="Arial"/>
          <w:sz w:val="20"/>
          <w:szCs w:val="20"/>
          <w:color w:val="auto"/>
        </w:rPr>
      </w:pPr>
    </w:p>
    <w:p>
      <w:pPr>
        <w:ind w:left="720" w:hanging="365"/>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On-premises endpoint reduction</w:t>
      </w:r>
    </w:p>
    <w:p>
      <w:pPr>
        <w:spacing w:after="0" w:line="30" w:lineRule="exact"/>
        <w:rPr>
          <w:rFonts w:ascii="Arial" w:cs="Arial" w:eastAsia="Arial" w:hAnsi="Arial"/>
          <w:sz w:val="20"/>
          <w:szCs w:val="20"/>
          <w:color w:val="auto"/>
        </w:rPr>
      </w:pPr>
    </w:p>
    <w:p>
      <w:pPr>
        <w:ind w:left="720" w:hanging="365"/>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Endpoint detection and response</w:t>
      </w:r>
    </w:p>
    <w:p>
      <w:pPr>
        <w:spacing w:after="0" w:line="31" w:lineRule="exact"/>
        <w:rPr>
          <w:rFonts w:ascii="Arial" w:cs="Arial" w:eastAsia="Arial" w:hAnsi="Arial"/>
          <w:sz w:val="20"/>
          <w:szCs w:val="20"/>
          <w:color w:val="auto"/>
        </w:rPr>
      </w:pPr>
    </w:p>
    <w:p>
      <w:pPr>
        <w:ind w:left="720" w:hanging="365"/>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Licensing, network, and hardware compliance management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Consultants and Advisors</w:t>
      </w:r>
    </w:p>
    <w:p>
      <w:pPr>
        <w:spacing w:after="0" w:line="24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NTIC engages various third-party cybersecurity service providers to assess and enhance its cybersecurity practices and assist with protection and monitoring of its systems and information, including with respect to protection of its e-mail, system access, network monitoring, endpoint protection, vulnerability assessments, and penetration testing. NTIC engages cybersecurity consultants, auditors, and other third parties to assess and enhance its cybersecurity practices, such as a third party consulting firm to perform tabletop exercises and evaluate NTIC’s cyber processes, including an assessment of its incident response procedures.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Oversight</w:t>
      </w:r>
    </w:p>
    <w:p>
      <w:pPr>
        <w:spacing w:after="0" w:line="24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Board of Directors, both directly and through the delegation of responsibilities to the Audit Committee, oversees the proper functioning of NTIC’s cybersecurity risk management program. In particular, the Audit Committee, which is comprised entirely of independent directors, is responsible for reviewing and discussing guidelines and policies governing the process by which senior management of NTIC assesses and manages NTIC’s exposure to risk and reviewing and discussing NTIC’s major financial risk exposures, including cybersecurity risk, and the steps management has taken to monitor and control such exposures; it being understood that it is the job of management to</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580"/>
          </w:cols>
          <w:pgMar w:left="1300" w:top="1128" w:right="1360" w:bottom="382" w:gutter="0" w:footer="0" w:header="0"/>
        </w:sectPr>
      </w:pPr>
    </w:p>
    <w:bookmarkStart w:id="122" w:name="page123"/>
    <w:bookmarkEnd w:id="122"/>
    <w:p>
      <w:pPr>
        <w:ind w:right="120"/>
        <w:spacing w:after="0" w:line="249" w:lineRule="auto"/>
        <w:rPr>
          <w:sz w:val="20"/>
          <w:szCs w:val="20"/>
          <w:color w:val="auto"/>
        </w:rPr>
      </w:pPr>
      <w:r>
        <w:rPr>
          <w:rFonts w:ascii="Times New Roman" w:cs="Times New Roman" w:eastAsia="Times New Roman" w:hAnsi="Times New Roman"/>
          <w:sz w:val="20"/>
          <w:szCs w:val="20"/>
          <w:color w:val="auto"/>
        </w:rPr>
        <w:t>assess and management NTIC’s exposure to risk and that the Audit Committee’s responsibility is to discuss guidelines and policies by which risk assessment and management are undertaken. The Audit Committee additionally receives periodic updates from senior management on NTIC’s policies, processes, procedures and any significant developments related to the identification, mitigation and remediation of cybersecurity risks and is responsible for reviewing the cybersecurity disclosures required to be included in NTIC’s SEC filings.</w:t>
      </w:r>
    </w:p>
    <w:p>
      <w:pPr>
        <w:spacing w:after="0" w:line="19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Although none of the members of the Audit Committee has any work experience, degree, or certifications related to information security or cybersecurity, the Audit Committee works closely with members of management and NTIC has engaged third-party service providers to further enhance its cybersecurity efforts and the oversight thereof by the Audit Committee.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from Material Cybersecurity Threats</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Although NTIC has taken steps to prevent and mitigate data security threats, there can be no assurance that its protective measures and those of its third party service providers will prevent or detect security breaches that could have a significant impact on NTIC’s business, reputation, operating results and financial condition. NTIC maintains cyber liability insurance; however, this insurance may not be sufficient to cover the financial, legal, business or reputational losses that may result from an interruption or breach of NTIC’s systems. As of the date of this filing, NTIC has not identified any cybersecurity threats that have materially affected or are reasonably anticipated to have a material effect on NTIC’s business strategy, results of operations or financial condition. Although NTIC has not experienced cybersecurity incidents that are individually, or in the aggregate, material, NTIC has experienced cyberattacks in the past, which NTIC believes have thus far been mitigated by preventative, detective, and responsive measures it has put in place. See the factors described in the “</w:t>
      </w:r>
      <w:r>
        <w:rPr>
          <w:rFonts w:ascii="Times New Roman" w:cs="Times New Roman" w:eastAsia="Times New Roman" w:hAnsi="Times New Roman"/>
          <w:sz w:val="20"/>
          <w:szCs w:val="20"/>
          <w:i w:val="1"/>
          <w:iCs w:val="1"/>
          <w:color w:val="auto"/>
        </w:rPr>
        <w:t>Part I. Item 1.A. Risk Factors</w:t>
      </w:r>
      <w:r>
        <w:rPr>
          <w:rFonts w:ascii="Times New Roman" w:cs="Times New Roman" w:eastAsia="Times New Roman" w:hAnsi="Times New Roman"/>
          <w:sz w:val="20"/>
          <w:szCs w:val="20"/>
          <w:color w:val="auto"/>
        </w:rPr>
        <w:t>” section of this Form 10-K for further detail about the cybersecurity risks NTIC faces. Maintaining a robust information security system is an ongoing priority for NTIC, and NTIC plans to continue to identify and evaluate new, emerging risks to data protection and cybersecurity both within NTIC and through its engagement of third-party service providers.</w:t>
      </w:r>
    </w:p>
    <w:p>
      <w:pPr>
        <w:spacing w:after="0" w:line="20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b w:val="1"/>
          <w:bCs w:val="1"/>
          <w:color w:val="auto"/>
        </w:rPr>
        <w:t>PROPERTIES</w:t>
      </w:r>
    </w:p>
    <w:p>
      <w:pPr>
        <w:spacing w:after="0" w:line="24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NTIC’s principal executive offices, production facilities, and domestic research and development operations are located in a building owned by NTIC located at 4201 Woodland Road, Circle Pines, Minnesota 55014. NTIC also owns the property immediately adjacent to this property, located at 4203 Woodland Road, which includes a 26,000 square foot industrial building, which is used primarily for warehousing space and light industrial production. In addition to these properties, NTIC owns real estate and a building in Beachwood, Ohio, which it uses for office, manufacturing, laboratory, and warehouse space, and has contract warehousing agreements in California and Indiana to hold and release stock products to customers.</w:t>
      </w:r>
    </w:p>
    <w:p>
      <w:pPr>
        <w:spacing w:after="0" w:line="201"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Internationally, NTIC China owns an approximately 21,000 square feet industrial building in the Qingpu District of Shanghai, China, which is used as NTIC China’s corporate headquarters and NTIC’s subsidiaries in Brazil, India and Mexico, all lease office, warehouse, and laboratory space. Both NTIC’s subsidiaries Natur-Tec India and Brazil are in the process of purchasing and renovating new local corporate headquarters to accommodate new manufacturing capacity and anticipated business growth. These projects are expected to be completed in fiscal 2026 or fiscal 2027.</w:t>
      </w:r>
    </w:p>
    <w:p>
      <w:pPr>
        <w:spacing w:after="0" w:line="197"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color w:val="auto"/>
        </w:rPr>
        <w:t>NTIC’s management considers its current properties and the new expansions noted above to be suitable and adequate for its current and foreseeable needs.</w:t>
      </w:r>
    </w:p>
    <w:p>
      <w:pPr>
        <w:spacing w:after="0" w:line="1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LEGAL PROCEEDINGS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information regarding NTIC’s legal proceedings, see Note 16 to NTIC’s consolidated financial statements.</w:t>
      </w:r>
    </w:p>
    <w:p>
      <w:pPr>
        <w:spacing w:after="0" w:line="23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640"/>
          </w:cols>
          <w:pgMar w:left="1300" w:top="1132" w:right="1300" w:bottom="382" w:gutter="0" w:footer="0" w:header="0"/>
        </w:sectPr>
      </w:pPr>
    </w:p>
    <w:bookmarkStart w:id="123" w:name="page124"/>
    <w:bookmarkEnd w:id="12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9" w:lineRule="exact"/>
        <w:rPr>
          <w:sz w:val="20"/>
          <w:szCs w:val="20"/>
          <w:color w:val="auto"/>
        </w:rPr>
      </w:pPr>
    </w:p>
    <w:p>
      <w:pPr>
        <w:ind w:left="1000" w:right="140" w:hanging="1007"/>
        <w:spacing w:after="0" w:line="287"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 PURCHASES OF EQUITY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NTIC’s common stock trades on the Nasdaq Global Market of The Nasdaq Stock Market under the symbol “NTIC.”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4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During fiscal 2025, NTIC’s Board of Directors declared cash dividends on the following dates in the following amounts to holders of record of NTIC’s common stock as of the following record dates:</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273"/>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Declaration Date</w:t>
            </w:r>
          </w:p>
        </w:tc>
        <w:tc>
          <w:tcPr>
            <w:tcW w:w="160" w:type="dxa"/>
            <w:vAlign w:val="bottom"/>
          </w:tcPr>
          <w:p>
            <w:pPr>
              <w:spacing w:after="0"/>
              <w:rPr>
                <w:sz w:val="23"/>
                <w:szCs w:val="2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160" w:type="dxa"/>
            <w:vAlign w:val="bottom"/>
          </w:tcPr>
          <w:p>
            <w:pPr>
              <w:spacing w:after="0"/>
              <w:rPr>
                <w:sz w:val="23"/>
                <w:szCs w:val="23"/>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Record Date</w:t>
            </w:r>
          </w:p>
        </w:tc>
        <w:tc>
          <w:tcPr>
            <w:tcW w:w="160" w:type="dxa"/>
            <w:vAlign w:val="bottom"/>
          </w:tcPr>
          <w:p>
            <w:pPr>
              <w:spacing w:after="0"/>
              <w:rPr>
                <w:sz w:val="23"/>
                <w:szCs w:val="2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Payable Date</w:t>
            </w:r>
          </w:p>
        </w:tc>
      </w:tr>
      <w:tr>
        <w:trPr>
          <w:trHeight w:val="201"/>
        </w:trPr>
        <w:tc>
          <w:tcPr>
            <w:tcW w:w="226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8"/>
              </w:rPr>
              <w:t>October 16, 2024</w:t>
            </w:r>
          </w:p>
        </w:tc>
        <w:tc>
          <w:tcPr>
            <w:tcW w:w="160" w:type="dxa"/>
            <w:vAlign w:val="bottom"/>
          </w:tcPr>
          <w:p>
            <w:pPr>
              <w:spacing w:after="0"/>
              <w:rPr>
                <w:sz w:val="17"/>
                <w:szCs w:val="17"/>
                <w:color w:val="auto"/>
              </w:rPr>
            </w:pPr>
          </w:p>
        </w:tc>
        <w:tc>
          <w:tcPr>
            <w:tcW w:w="224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$0.07</w:t>
            </w:r>
          </w:p>
        </w:tc>
        <w:tc>
          <w:tcPr>
            <w:tcW w:w="160" w:type="dxa"/>
            <w:vAlign w:val="bottom"/>
          </w:tcPr>
          <w:p>
            <w:pPr>
              <w:spacing w:after="0"/>
              <w:rPr>
                <w:sz w:val="17"/>
                <w:szCs w:val="17"/>
                <w:color w:val="auto"/>
              </w:rPr>
            </w:pPr>
          </w:p>
        </w:tc>
        <w:tc>
          <w:tcPr>
            <w:tcW w:w="226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rPr>
              <w:t>October 30, 2024</w:t>
            </w:r>
          </w:p>
        </w:tc>
        <w:tc>
          <w:tcPr>
            <w:tcW w:w="160" w:type="dxa"/>
            <w:vAlign w:val="bottom"/>
          </w:tcPr>
          <w:p>
            <w:pPr>
              <w:spacing w:after="0"/>
              <w:rPr>
                <w:sz w:val="17"/>
                <w:szCs w:val="17"/>
                <w:color w:val="auto"/>
              </w:rPr>
            </w:pPr>
          </w:p>
        </w:tc>
        <w:tc>
          <w:tcPr>
            <w:tcW w:w="224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rPr>
              <w:t>November 13, 2024</w:t>
            </w:r>
          </w:p>
        </w:tc>
      </w:tr>
      <w:tr>
        <w:trPr>
          <w:trHeight w:val="230"/>
        </w:trPr>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15, 2025</w:t>
            </w:r>
          </w:p>
        </w:tc>
        <w:tc>
          <w:tcPr>
            <w:tcW w:w="24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$0.07</w:t>
            </w:r>
          </w:p>
        </w:tc>
        <w:tc>
          <w:tcPr>
            <w:tcW w:w="16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29, 2025</w:t>
            </w:r>
          </w:p>
        </w:tc>
        <w:tc>
          <w:tcPr>
            <w:tcW w:w="16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12, 2025</w:t>
            </w:r>
          </w:p>
        </w:tc>
      </w:tr>
      <w:tr>
        <w:trPr>
          <w:trHeight w:val="229"/>
        </w:trPr>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16, 2025</w:t>
            </w:r>
          </w:p>
        </w:tc>
        <w:tc>
          <w:tcPr>
            <w:tcW w:w="24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$0.01</w:t>
            </w:r>
          </w:p>
        </w:tc>
        <w:tc>
          <w:tcPr>
            <w:tcW w:w="1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30, 2025</w:t>
            </w:r>
          </w:p>
        </w:tc>
        <w:tc>
          <w:tcPr>
            <w:tcW w:w="16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14, 2025</w:t>
            </w:r>
          </w:p>
        </w:tc>
      </w:tr>
      <w:tr>
        <w:trPr>
          <w:trHeight w:val="267"/>
        </w:trPr>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July 16, 2025</w:t>
            </w:r>
          </w:p>
        </w:tc>
        <w:tc>
          <w:tcPr>
            <w:tcW w:w="24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$0.01</w:t>
            </w:r>
          </w:p>
        </w:tc>
        <w:tc>
          <w:tcPr>
            <w:tcW w:w="16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30, 2025</w:t>
            </w:r>
          </w:p>
        </w:tc>
        <w:tc>
          <w:tcPr>
            <w:tcW w:w="16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13, 2025</w:t>
            </w:r>
          </w:p>
        </w:tc>
      </w:tr>
    </w:tbl>
    <w:p>
      <w:pPr>
        <w:spacing w:after="0" w:line="204" w:lineRule="exact"/>
        <w:rPr>
          <w:sz w:val="20"/>
          <w:szCs w:val="20"/>
          <w:color w:val="auto"/>
        </w:rPr>
      </w:pPr>
    </w:p>
    <w:p>
      <w:pPr>
        <w:jc w:val="both"/>
        <w:ind w:right="360"/>
        <w:spacing w:after="0" w:line="278" w:lineRule="auto"/>
        <w:rPr>
          <w:sz w:val="20"/>
          <w:szCs w:val="20"/>
          <w:color w:val="auto"/>
        </w:rPr>
      </w:pPr>
      <w:r>
        <w:rPr>
          <w:rFonts w:ascii="Times New Roman" w:cs="Times New Roman" w:eastAsia="Times New Roman" w:hAnsi="Times New Roman"/>
          <w:sz w:val="20"/>
          <w:szCs w:val="20"/>
          <w:color w:val="auto"/>
        </w:rPr>
        <w:t>On April 10, 2025, NTIC announced that it had determined to temporarily adjust its quarterly dividend to $0.01 per share effective with its fiscal 2025 third quarter dividend in light of the global environment.</w:t>
      </w:r>
    </w:p>
    <w:p>
      <w:pPr>
        <w:spacing w:after="0" w:line="167"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Subsequent to the end of fiscal 2025, on October 15, 2025, NTIC’s Board of Directors declared a cash dividend of $0.01 per share of NTIC’s common stock, payable on November 12, 2025 to stockholders of record on October 29, 2025.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 Record Holders</w:t>
      </w:r>
    </w:p>
    <w:p>
      <w:pPr>
        <w:spacing w:after="0" w:line="243"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color w:val="auto"/>
        </w:rPr>
        <w:t>As of August 31, 2025, there were 152 record holders of NTIC’s common stock. This does not include shares held in “street name” or beneficially owned.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Equity Securities</w:t>
      </w:r>
    </w:p>
    <w:p>
      <w:pPr>
        <w:spacing w:after="0" w:line="243"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color w:val="auto"/>
        </w:rPr>
        <w:t>NTIC did not sell any shares of its common stock or any other equity securities of NTIC that were not registered under the Securities Act of 1933, as amended, during the fourth quarter of fiscal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4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NTIC did not purchase any shares of its common stock or other equity securities of NTIC during the fourth quarter of fiscal 2025. As of August 31, 2025, up to $2,640,548 in shares of NTIC common stock remained available for repurchase under NTIC’s stock repurchase program.</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600"/>
          </w:cols>
          <w:pgMar w:left="1300" w:top="1128" w:right="1340" w:bottom="382" w:gutter="0" w:footer="0" w:header="0"/>
        </w:sectPr>
      </w:pPr>
    </w:p>
    <w:bookmarkStart w:id="124" w:name="page125"/>
    <w:bookmarkEnd w:id="124"/>
    <w:p>
      <w:pPr>
        <w:ind w:left="1000" w:right="40" w:hanging="1007"/>
        <w:spacing w:after="0" w:line="287"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5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20"/>
          <w:szCs w:val="20"/>
          <w:i w:val="1"/>
          <w:iCs w:val="1"/>
          <w:color w:val="auto"/>
        </w:rPr>
        <w:t>Part I. Item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Business—Forward-Looking Statements” </w:t>
      </w:r>
      <w:r>
        <w:rPr>
          <w:rFonts w:ascii="Times New Roman" w:cs="Times New Roman" w:eastAsia="Times New Roman" w:hAnsi="Times New Roman"/>
          <w:sz w:val="20"/>
          <w:szCs w:val="20"/>
          <w:color w:val="auto"/>
        </w:rPr>
        <w:t>and under the heading</w:t>
      </w:r>
      <w:r>
        <w:rPr>
          <w:rFonts w:ascii="Times New Roman" w:cs="Times New Roman" w:eastAsia="Times New Roman" w:hAnsi="Times New Roman"/>
          <w:sz w:val="20"/>
          <w:szCs w:val="20"/>
          <w:i w:val="1"/>
          <w:iCs w:val="1"/>
          <w:color w:val="auto"/>
        </w:rPr>
        <w:t xml:space="preserve"> “Part I. Item 1A. Risk Factors</w:t>
      </w:r>
      <w:r>
        <w:rPr>
          <w:rFonts w:ascii="Times New Roman" w:cs="Times New Roman" w:eastAsia="Times New Roman" w:hAnsi="Times New Roman"/>
          <w:sz w:val="20"/>
          <w:szCs w:val="20"/>
          <w:color w:val="auto"/>
        </w:rPr>
        <w:t>.” The following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discussion of the results of the operations and financial condition of NTIC should be read in conjunction with NTIC’s consolidated financial statements and the related notes thereto included under “</w:t>
      </w:r>
      <w:r>
        <w:rPr>
          <w:rFonts w:ascii="Times New Roman" w:cs="Times New Roman" w:eastAsia="Times New Roman" w:hAnsi="Times New Roman"/>
          <w:sz w:val="20"/>
          <w:szCs w:val="20"/>
          <w:i w:val="1"/>
          <w:iCs w:val="1"/>
          <w:color w:val="auto"/>
        </w:rPr>
        <w:t>Part II. Item 8. Financial Statements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Supplementary Data</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Management’s Discussion and Analysis is organized in the following major sections:</w:t>
      </w:r>
    </w:p>
    <w:p>
      <w:pPr>
        <w:spacing w:after="0" w:line="250" w:lineRule="exact"/>
        <w:rPr>
          <w:sz w:val="20"/>
          <w:szCs w:val="20"/>
          <w:color w:val="auto"/>
        </w:rPr>
      </w:pPr>
    </w:p>
    <w:p>
      <w:pPr>
        <w:ind w:left="720" w:right="560" w:hanging="364"/>
        <w:spacing w:after="0" w:line="260" w:lineRule="auto"/>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Business Overview</w:t>
      </w:r>
      <w:r>
        <w:rPr>
          <w:rFonts w:ascii="Times New Roman" w:cs="Times New Roman" w:eastAsia="Times New Roman" w:hAnsi="Times New Roman"/>
          <w:sz w:val="20"/>
          <w:szCs w:val="20"/>
          <w:color w:val="auto"/>
        </w:rPr>
        <w:t>. This section provides a brief overview description of NTIC’s business, focusing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particular on developments during the most recent fiscal year.</w:t>
      </w:r>
    </w:p>
    <w:p>
      <w:pPr>
        <w:spacing w:after="0" w:line="1" w:lineRule="exact"/>
        <w:rPr>
          <w:rFonts w:ascii="Arial" w:cs="Arial" w:eastAsia="Arial" w:hAnsi="Arial"/>
          <w:sz w:val="20"/>
          <w:szCs w:val="20"/>
          <w:color w:val="auto"/>
        </w:rPr>
      </w:pPr>
    </w:p>
    <w:p>
      <w:pPr>
        <w:ind w:left="720" w:right="280" w:hanging="364"/>
        <w:spacing w:after="0" w:line="244" w:lineRule="auto"/>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NTIC’s Subsidiaries and Joint Venture Network</w:t>
      </w:r>
      <w:r>
        <w:rPr>
          <w:rFonts w:ascii="Times New Roman" w:cs="Times New Roman" w:eastAsia="Times New Roman" w:hAnsi="Times New Roman"/>
          <w:sz w:val="20"/>
          <w:szCs w:val="20"/>
          <w:color w:val="auto"/>
        </w:rPr>
        <w:t>. This section provides a brief overview of NTIC’s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 and its joint venture network, the joint ventures which are considered individually significant to NTIC’s consolidated assets and income, and how NTIC’s joint ventures are accounted for by NTIC.</w:t>
      </w:r>
    </w:p>
    <w:p>
      <w:pPr>
        <w:spacing w:after="0" w:line="2" w:lineRule="exact"/>
        <w:rPr>
          <w:rFonts w:ascii="Arial" w:cs="Arial" w:eastAsia="Arial" w:hAnsi="Arial"/>
          <w:sz w:val="20"/>
          <w:szCs w:val="20"/>
          <w:color w:val="auto"/>
        </w:rPr>
      </w:pPr>
    </w:p>
    <w:p>
      <w:pPr>
        <w:ind w:left="720" w:right="740" w:hanging="363"/>
        <w:spacing w:after="0" w:line="246" w:lineRule="auto"/>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Financial Overview</w:t>
      </w:r>
      <w:r>
        <w:rPr>
          <w:rFonts w:ascii="Times New Roman" w:cs="Times New Roman" w:eastAsia="Times New Roman" w:hAnsi="Times New Roman"/>
          <w:sz w:val="20"/>
          <w:szCs w:val="20"/>
          <w:color w:val="auto"/>
        </w:rPr>
        <w:t>. This section provides a brief summary of NTIC’s financial results and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 for fiscal 2025 compared to fiscal 2024.</w:t>
      </w:r>
    </w:p>
    <w:p>
      <w:pPr>
        <w:spacing w:after="0" w:line="1" w:lineRule="exact"/>
        <w:rPr>
          <w:rFonts w:ascii="Arial" w:cs="Arial" w:eastAsia="Arial" w:hAnsi="Arial"/>
          <w:sz w:val="20"/>
          <w:szCs w:val="20"/>
          <w:color w:val="auto"/>
        </w:rPr>
      </w:pPr>
    </w:p>
    <w:p>
      <w:pPr>
        <w:ind w:left="720" w:right="420" w:hanging="363"/>
        <w:spacing w:after="0" w:line="246" w:lineRule="auto"/>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Sales and Expense Components</w:t>
      </w:r>
      <w:r>
        <w:rPr>
          <w:rFonts w:ascii="Times New Roman" w:cs="Times New Roman" w:eastAsia="Times New Roman" w:hAnsi="Times New Roman"/>
          <w:sz w:val="20"/>
          <w:szCs w:val="20"/>
          <w:color w:val="auto"/>
        </w:rPr>
        <w:t>. This section provides a brief description of the significant line items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NTIC’s consolidated statements of operations.</w:t>
      </w:r>
    </w:p>
    <w:p>
      <w:pPr>
        <w:spacing w:after="0" w:line="1" w:lineRule="exact"/>
        <w:rPr>
          <w:rFonts w:ascii="Arial" w:cs="Arial" w:eastAsia="Arial" w:hAnsi="Arial"/>
          <w:sz w:val="20"/>
          <w:szCs w:val="20"/>
          <w:color w:val="auto"/>
        </w:rPr>
      </w:pPr>
    </w:p>
    <w:p>
      <w:pPr>
        <w:ind w:left="720" w:right="120" w:hanging="363"/>
        <w:spacing w:after="0" w:line="246" w:lineRule="auto"/>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Results of Operations</w:t>
      </w:r>
      <w:r>
        <w:rPr>
          <w:rFonts w:ascii="Times New Roman" w:cs="Times New Roman" w:eastAsia="Times New Roman" w:hAnsi="Times New Roman"/>
          <w:sz w:val="20"/>
          <w:szCs w:val="20"/>
          <w:color w:val="auto"/>
        </w:rPr>
        <w:t>. This section provides an analysis of the significant line items in NTIC’s consolidated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statements of operations.</w:t>
      </w:r>
    </w:p>
    <w:p>
      <w:pPr>
        <w:spacing w:after="0" w:line="1" w:lineRule="exact"/>
        <w:rPr>
          <w:rFonts w:ascii="Arial" w:cs="Arial" w:eastAsia="Arial" w:hAnsi="Arial"/>
          <w:sz w:val="20"/>
          <w:szCs w:val="20"/>
          <w:color w:val="auto"/>
        </w:rPr>
      </w:pPr>
    </w:p>
    <w:p>
      <w:pPr>
        <w:ind w:left="720" w:right="40" w:hanging="363"/>
        <w:spacing w:after="0" w:line="247" w:lineRule="auto"/>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Liquidity and Capital Resources</w:t>
      </w:r>
      <w:r>
        <w:rPr>
          <w:rFonts w:ascii="Times New Roman" w:cs="Times New Roman" w:eastAsia="Times New Roman" w:hAnsi="Times New Roman"/>
          <w:sz w:val="20"/>
          <w:szCs w:val="20"/>
          <w:color w:val="auto"/>
        </w:rPr>
        <w:t>. This section provides an analysis of NTIC’s liquidity and cash flows and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discussion of NTIC’s financial condition and financial commitments.</w:t>
      </w:r>
    </w:p>
    <w:p>
      <w:pPr>
        <w:spacing w:after="0" w:line="1" w:lineRule="exact"/>
        <w:rPr>
          <w:rFonts w:ascii="Arial" w:cs="Arial" w:eastAsia="Arial" w:hAnsi="Arial"/>
          <w:sz w:val="20"/>
          <w:szCs w:val="20"/>
          <w:color w:val="auto"/>
        </w:rPr>
      </w:pPr>
    </w:p>
    <w:p>
      <w:pPr>
        <w:ind w:left="720" w:right="240" w:hanging="363"/>
        <w:spacing w:after="0" w:line="246" w:lineRule="auto"/>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Inflation and Seasonality</w:t>
      </w:r>
      <w:r>
        <w:rPr>
          <w:rFonts w:ascii="Times New Roman" w:cs="Times New Roman" w:eastAsia="Times New Roman" w:hAnsi="Times New Roman"/>
          <w:sz w:val="20"/>
          <w:szCs w:val="20"/>
          <w:color w:val="auto"/>
        </w:rPr>
        <w:t>. This section describes the effects of inflation and seasonality, if any, on NTIC’s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and operating results.</w:t>
      </w:r>
    </w:p>
    <w:p>
      <w:pPr>
        <w:spacing w:after="0" w:line="1" w:lineRule="exact"/>
        <w:rPr>
          <w:rFonts w:ascii="Arial" w:cs="Arial" w:eastAsia="Arial" w:hAnsi="Arial"/>
          <w:sz w:val="20"/>
          <w:szCs w:val="20"/>
          <w:color w:val="auto"/>
        </w:rPr>
      </w:pPr>
    </w:p>
    <w:p>
      <w:pPr>
        <w:ind w:left="720" w:hanging="363"/>
        <w:spacing w:after="0"/>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Market Risk</w:t>
      </w:r>
      <w:r>
        <w:rPr>
          <w:rFonts w:ascii="Times New Roman" w:cs="Times New Roman" w:eastAsia="Times New Roman" w:hAnsi="Times New Roman"/>
          <w:sz w:val="20"/>
          <w:szCs w:val="20"/>
          <w:color w:val="auto"/>
        </w:rPr>
        <w:t>. This section describes material market risks to which NTIC is subject.</w:t>
      </w:r>
    </w:p>
    <w:p>
      <w:pPr>
        <w:spacing w:after="0" w:line="18" w:lineRule="exact"/>
        <w:rPr>
          <w:rFonts w:ascii="Arial" w:cs="Arial" w:eastAsia="Arial" w:hAnsi="Arial"/>
          <w:sz w:val="20"/>
          <w:szCs w:val="20"/>
          <w:color w:val="auto"/>
        </w:rPr>
      </w:pPr>
    </w:p>
    <w:p>
      <w:pPr>
        <w:ind w:left="720" w:right="120" w:hanging="364"/>
        <w:spacing w:after="0" w:line="244" w:lineRule="auto"/>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Related Party Transactions</w:t>
      </w:r>
      <w:r>
        <w:rPr>
          <w:rFonts w:ascii="Times New Roman" w:cs="Times New Roman" w:eastAsia="Times New Roman" w:hAnsi="Times New Roman"/>
          <w:sz w:val="20"/>
          <w:szCs w:val="20"/>
          <w:color w:val="auto"/>
        </w:rPr>
        <w:t>. This section describes any material related party transactions to which NTIC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party.</w:t>
      </w:r>
    </w:p>
    <w:p>
      <w:pPr>
        <w:spacing w:after="0" w:line="1" w:lineRule="exact"/>
        <w:rPr>
          <w:rFonts w:ascii="Arial" w:cs="Arial" w:eastAsia="Arial" w:hAnsi="Arial"/>
          <w:sz w:val="20"/>
          <w:szCs w:val="20"/>
          <w:color w:val="auto"/>
        </w:rPr>
      </w:pPr>
    </w:p>
    <w:p>
      <w:pPr>
        <w:ind w:left="720" w:right="20" w:hanging="364"/>
        <w:spacing w:after="0" w:line="243" w:lineRule="auto"/>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Critical Accounting Policies and Estimates</w:t>
      </w:r>
      <w:r>
        <w:rPr>
          <w:rFonts w:ascii="Times New Roman" w:cs="Times New Roman" w:eastAsia="Times New Roman" w:hAnsi="Times New Roman"/>
          <w:sz w:val="20"/>
          <w:szCs w:val="20"/>
          <w:color w:val="auto"/>
        </w:rPr>
        <w:t>. This section discusses NTIC’s critical accounting policies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estimates, which require NTIC to exercise subjective or complex judgments in their application. NTIC’s significant accounting policies, including its critical accounting estimates, are summarized in Note 1 to NTIC’s consolidated financial statements.</w:t>
      </w:r>
    </w:p>
    <w:p>
      <w:pPr>
        <w:spacing w:after="0" w:line="13" w:lineRule="exact"/>
        <w:rPr>
          <w:rFonts w:ascii="Arial" w:cs="Arial" w:eastAsia="Arial" w:hAnsi="Arial"/>
          <w:sz w:val="20"/>
          <w:szCs w:val="20"/>
          <w:color w:val="auto"/>
        </w:rPr>
      </w:pPr>
    </w:p>
    <w:p>
      <w:pPr>
        <w:ind w:left="720" w:hanging="364"/>
        <w:spacing w:after="0" w:line="238" w:lineRule="auto"/>
        <w:tabs>
          <w:tab w:leader="none" w:pos="720" w:val="left"/>
        </w:tabs>
        <w:numPr>
          <w:ilvl w:val="0"/>
          <w:numId w:val="79"/>
        </w:numPr>
        <w:rPr>
          <w:rFonts w:ascii="Arial" w:cs="Arial" w:eastAsia="Arial" w:hAnsi="Arial"/>
          <w:sz w:val="24"/>
          <w:szCs w:val="24"/>
          <w:color w:val="auto"/>
        </w:rPr>
      </w:pPr>
      <w:r>
        <w:rPr>
          <w:rFonts w:ascii="Times New Roman" w:cs="Times New Roman" w:eastAsia="Times New Roman" w:hAnsi="Times New Roman"/>
          <w:sz w:val="20"/>
          <w:szCs w:val="20"/>
          <w:b w:val="1"/>
          <w:bCs w:val="1"/>
          <w:color w:val="auto"/>
        </w:rPr>
        <w:t>Recent Accounting Pronouncements</w:t>
      </w:r>
      <w:r>
        <w:rPr>
          <w:rFonts w:ascii="Times New Roman" w:cs="Times New Roman" w:eastAsia="Times New Roman" w:hAnsi="Times New Roman"/>
          <w:sz w:val="20"/>
          <w:szCs w:val="20"/>
          <w:color w:val="auto"/>
        </w:rPr>
        <w:t>. This section references Notes 2 and 3 to NTIC’s consolidated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statements, which summarizes the effect of recently issued accounting pronouncements on NTIC’s results of operations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43"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20"/>
          <w:szCs w:val="20"/>
          <w:color w:val="auto"/>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NTIC has been selling its proprietary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 to the automotive, general industrial, mechanical, mining, agricultural, and retail consumer markets for over 50 years and, more recently, has also expanded into the oil and gas industry. Additionally, NTIC markets and sells a portfolio of proprietary bio-based and certified compostable (fully biodegradable) polymer resin compounds and finished products under the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These sustainable packaging products are intended to reduce NTIC’s customers’ carbon footprint and provide environmentally sound waste disposal options.</w:t>
      </w:r>
    </w:p>
    <w:p>
      <w:pPr>
        <w:spacing w:after="0" w:line="206"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0"/>
          <w:szCs w:val="20"/>
          <w:color w:val="auto"/>
        </w:rPr>
        <w:t>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include plastic and paper packaging, liquids, coatings, rust removers, cleaners, and diffusers as well as engineered solutions designed specifically for the industries it serves. NTIC also offers worldwide, on-site, technical consulting for rust and corrosion prevention issues. In North America, NTIC sells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through a network of independent distributors and agents supported by a direct sales force.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640"/>
          </w:cols>
          <w:pgMar w:left="1300" w:top="1128" w:right="1300" w:bottom="382" w:gutter="0" w:footer="0" w:header="0"/>
        </w:sectPr>
      </w:pPr>
    </w:p>
    <w:bookmarkStart w:id="125" w:name="page126"/>
    <w:bookmarkEnd w:id="125"/>
    <w:p>
      <w:pPr>
        <w:ind w:right="120"/>
        <w:spacing w:after="0" w:line="237" w:lineRule="auto"/>
        <w:rPr>
          <w:sz w:val="20"/>
          <w:szCs w:val="20"/>
          <w:color w:val="auto"/>
        </w:rPr>
      </w:pPr>
      <w:r>
        <w:rPr>
          <w:rFonts w:ascii="Times New Roman" w:cs="Times New Roman" w:eastAsia="Times New Roman" w:hAnsi="Times New Roman"/>
          <w:sz w:val="20"/>
          <w:szCs w:val="20"/>
          <w:color w:val="auto"/>
        </w:rPr>
        <w:t>Internationally, NTIC sells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through its wholly owned subsidiary in China, NTIC (Shanghai) Co., Ltd. (NTIC China), its wholly owned subsidiary in India, HNTI Limited (Zerust India), its majority-owned joint venture holding company for NTIC’s joint venture investments in the Association of Southeast Asian Nations (ASEAN) region, NTI Asean LLC (NTI Asean), its majority-owned subsidiary in Brazil, Zerust Prevenção de Corrosão S.A (Zerust Brazil), and certain majority-owned and wholly owned subsidiaries, and joint venture arrangements in North America, Europe, and Asia. NTIC also sells products directly to its European joint venture partners through its wholly owned subsidiary in Germany, NTIC Europe GmbH (NTI Europe).</w:t>
      </w:r>
    </w:p>
    <w:p>
      <w:pPr>
        <w:spacing w:after="0" w:line="203"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20"/>
          <w:szCs w:val="20"/>
          <w:color w:val="auto"/>
        </w:rPr>
        <w:t>One of NTIC’s strategic initiatives is to expand into and penetrate other markets for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will minimize maintenance downtime on critical oil and gas industry infrastructure, extend the life of such infrastructure, and reduce the risk of environmental pollution due to leaks caused by corrosion. During fiscal 2025, NTIC made significant strategic investments in its ZERUST® oil and gas sales infrastructure.</w:t>
      </w:r>
    </w:p>
    <w:p>
      <w:pPr>
        <w:spacing w:after="0" w:line="205" w:lineRule="exact"/>
        <w:rPr>
          <w:sz w:val="20"/>
          <w:szCs w:val="20"/>
          <w:color w:val="auto"/>
        </w:rPr>
      </w:pPr>
    </w:p>
    <w:p>
      <w:pPr>
        <w:ind w:right="40" w:firstLine="1"/>
        <w:spacing w:after="0" w:line="233" w:lineRule="auto"/>
        <w:rPr>
          <w:sz w:val="20"/>
          <w:szCs w:val="20"/>
          <w:color w:val="auto"/>
        </w:rPr>
      </w:pPr>
      <w:r>
        <w:rPr>
          <w:rFonts w:ascii="Times New Roman" w:cs="Times New Roman" w:eastAsia="Times New Roman" w:hAnsi="Times New Roman"/>
          <w:sz w:val="20"/>
          <w:szCs w:val="20"/>
          <w:color w:val="auto"/>
        </w:rPr>
        <w:t>NTIC markets and sells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prevention solutions to customers in the oil and gas industry in a continuously increasing number of countries either directly, through its subsidiaries, or through its joint venture partners and other strategic partners. The sale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corrosion prevention solutions to customers in the oil and gas industry typically involves long sales cycles, often including multi-year trial periods with each customer and a slow integration process thereafter.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ramp during fiscal 2026 and run through calendar 2028 with an estimated total value of approximately R$70 million (US$13 million). This includes approximately R$40 million (US$7.4 million) in materials and approximately R$30 million (US$5.6 million) in engineering and field services. The amount and timing of revenue anticipated to be generated under this agreement may materially positively affect NTIC’s future quarterly sales and other operating results.</w:t>
      </w:r>
    </w:p>
    <w:p>
      <w:pPr>
        <w:spacing w:after="0" w:line="20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color w:val="auto"/>
        </w:rPr>
        <w:t>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bio-based and compostable plastics are manufactured using NTIC’s patented and/or proprietary technologies and are intended to replace conventional petroleum-based plastics. The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biopolymer resin compound portfolio includes formulations that have been optimized for a variety of applications, including blown-film extrusion, coatings, injection molding, thermoforming, profile extrusion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bioplastic products. During fourth quarter of fiscal 2025, we entered into a preferred supplier agreement with the nation's leading specialized distributor for a foodservice and industrial packaging company, which we expect to translate into higher Natur-Tec sales growth in fiscal 2026 compared to fiscal 2025.</w:t>
      </w:r>
    </w:p>
    <w:p>
      <w:pPr>
        <w:spacing w:after="0" w:line="211" w:lineRule="exact"/>
        <w:rPr>
          <w:sz w:val="20"/>
          <w:szCs w:val="20"/>
          <w:color w:val="auto"/>
        </w:rPr>
      </w:pPr>
    </w:p>
    <w:p>
      <w:pPr>
        <w:jc w:val="both"/>
        <w:ind w:right="100"/>
        <w:spacing w:after="0" w:line="233" w:lineRule="auto"/>
        <w:rPr>
          <w:sz w:val="20"/>
          <w:szCs w:val="20"/>
          <w:color w:val="auto"/>
        </w:rPr>
      </w:pPr>
      <w:r>
        <w:rPr>
          <w:rFonts w:ascii="Times New Roman" w:cs="Times New Roman" w:eastAsia="Times New Roman" w:hAnsi="Times New Roman"/>
          <w:sz w:val="20"/>
          <w:szCs w:val="20"/>
          <w:color w:val="auto"/>
        </w:rPr>
        <w:t>Internationally, NTIC sells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both directly and through its wholly owned subsidiary in China and majority-owned subsidiaries in India and Sri Lanka and through distributors and certain joint ventures.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NTIC’s Subsidiaries and Joint Venture Network</w:t>
      </w:r>
    </w:p>
    <w:p>
      <w:pPr>
        <w:spacing w:after="0" w:line="24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auto"/>
        </w:rPr>
        <w:t>NTIC has ownership interests in 12 operating subsidiaries in North America, South America, Europe, and Asia, which are listed in “</w:t>
      </w:r>
      <w:r>
        <w:rPr>
          <w:rFonts w:ascii="Times New Roman" w:cs="Times New Roman" w:eastAsia="Times New Roman" w:hAnsi="Times New Roman"/>
          <w:sz w:val="20"/>
          <w:szCs w:val="20"/>
          <w:i w:val="1"/>
          <w:iCs w:val="1"/>
          <w:color w:val="auto"/>
        </w:rPr>
        <w:t>Part I. Item 1. Business</w:t>
      </w:r>
      <w:r>
        <w:rPr>
          <w:rFonts w:ascii="Times New Roman" w:cs="Times New Roman" w:eastAsia="Times New Roman" w:hAnsi="Times New Roman"/>
          <w:sz w:val="20"/>
          <w:szCs w:val="20"/>
          <w:color w:val="auto"/>
        </w:rPr>
        <w:t>” of this annual report on Form 10-K. The results of these subsidiaries are fully consolidated in NTIC’s consolidated financial statements.</w:t>
      </w:r>
    </w:p>
    <w:p>
      <w:pPr>
        <w:spacing w:after="0" w:line="18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NTIC participates in 15 active joint venture arrangements in North America, Europe, and Asia, which are listed in “</w:t>
      </w:r>
      <w:r>
        <w:rPr>
          <w:rFonts w:ascii="Times New Roman" w:cs="Times New Roman" w:eastAsia="Times New Roman" w:hAnsi="Times New Roman"/>
          <w:sz w:val="20"/>
          <w:szCs w:val="20"/>
          <w:i w:val="1"/>
          <w:iCs w:val="1"/>
          <w:color w:val="auto"/>
        </w:rPr>
        <w:t>Part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 Item 1. Business</w:t>
      </w:r>
      <w:r>
        <w:rPr>
          <w:rFonts w:ascii="Times New Roman" w:cs="Times New Roman" w:eastAsia="Times New Roman" w:hAnsi="Times New Roman"/>
          <w:sz w:val="20"/>
          <w:szCs w:val="20"/>
          <w:color w:val="auto"/>
        </w:rPr>
        <w:t>” of this annual report on Form 10-K. NTIC has historically funded its investments in joint ventures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cash generated from operations. NTIC’s receives funds from its joint ventures as fees for services that NTIC provides to its joint ventures and as dividend distributions. The fees for services provided to joint ventures are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640"/>
          </w:cols>
          <w:pgMar w:left="1300" w:top="1132" w:right="1300" w:bottom="382" w:gutter="0" w:footer="0" w:header="0"/>
        </w:sectPr>
      </w:pPr>
    </w:p>
    <w:bookmarkStart w:id="126" w:name="page127"/>
    <w:bookmarkEnd w:id="126"/>
    <w:p>
      <w:pPr>
        <w:spacing w:after="0" w:line="243" w:lineRule="auto"/>
        <w:rPr>
          <w:sz w:val="20"/>
          <w:szCs w:val="20"/>
          <w:color w:val="auto"/>
        </w:rPr>
      </w:pPr>
      <w:r>
        <w:rPr>
          <w:rFonts w:ascii="Times New Roman" w:cs="Times New Roman" w:eastAsia="Times New Roman" w:hAnsi="Times New Roman"/>
          <w:sz w:val="20"/>
          <w:szCs w:val="20"/>
          <w:color w:val="auto"/>
        </w:rPr>
        <w:t>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 NTIC accounts for the investments and financial results of its joint ventures in its consolidated financial statements utilizing the equity method of accounting. NTIC considers EXCOR to be individually significant to NTIC’s consolidated assets and income as of August 31, 2025 and 2024. Therefore, NTIC provides certain additional information regarding this entity in the notes to NTIC’s consolidated financial statements and in this section of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Overview</w:t>
      </w:r>
    </w:p>
    <w:p>
      <w:pPr>
        <w:spacing w:after="0" w:line="244"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20"/>
          <w:szCs w:val="20"/>
          <w:color w:val="auto"/>
        </w:rPr>
        <w:t>NTIC’s management, including its chief executive officer, who is NTIC’s chief operating decision maker, reports and manages NTIC’s operations in two reportable business segments based on products sold, customer base, and distribution center: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 and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w:t>
      </w:r>
    </w:p>
    <w:p>
      <w:pPr>
        <w:spacing w:after="0" w:line="9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color w:val="auto"/>
        </w:rPr>
        <w:t>Highlights of NTIC’s financial results for fiscal 2025 include the following, with increases or decreases in each case as compared to fiscal 2024:</w:t>
      </w:r>
    </w:p>
    <w:p>
      <w:pPr>
        <w:spacing w:after="0" w:line="181" w:lineRule="exact"/>
        <w:rPr>
          <w:sz w:val="20"/>
          <w:szCs w:val="20"/>
          <w:color w:val="auto"/>
        </w:rPr>
      </w:pPr>
    </w:p>
    <w:p>
      <w:pPr>
        <w:ind w:left="720" w:right="40" w:hanging="364"/>
        <w:spacing w:after="0" w:line="228" w:lineRule="auto"/>
        <w:tabs>
          <w:tab w:leader="none" w:pos="720"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NTIC’s consolidated net sales decreased 1.0% primarily due to decreased sales and demand for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74.2% of NTIC’s consolidated net sales were derived from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 which decreased 1.0%. 25.8% of NTIC’s consolidated net sales were derived from sales of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which decreased 1.0%.</w:t>
      </w:r>
    </w:p>
    <w:p>
      <w:pPr>
        <w:spacing w:after="0" w:line="136" w:lineRule="exact"/>
        <w:rPr>
          <w:rFonts w:ascii="Arial" w:cs="Arial" w:eastAsia="Arial" w:hAnsi="Arial"/>
          <w:sz w:val="20"/>
          <w:szCs w:val="20"/>
          <w:color w:val="auto"/>
        </w:rPr>
      </w:pPr>
    </w:p>
    <w:p>
      <w:pPr>
        <w:ind w:left="720" w:right="80" w:hanging="363"/>
        <w:spacing w:after="0" w:line="277" w:lineRule="auto"/>
        <w:tabs>
          <w:tab w:leader="none" w:pos="720"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Cost of goods sold as a percentage of net sales increased to 62.4% from 60.3% primarily due to slightly higher raw material prices and discounts on selling prices.</w:t>
      </w:r>
    </w:p>
    <w:p>
      <w:pPr>
        <w:spacing w:after="0" w:line="182" w:lineRule="exact"/>
        <w:rPr>
          <w:rFonts w:ascii="Arial" w:cs="Arial" w:eastAsia="Arial" w:hAnsi="Arial"/>
          <w:sz w:val="20"/>
          <w:szCs w:val="20"/>
          <w:color w:val="auto"/>
        </w:rPr>
      </w:pPr>
    </w:p>
    <w:p>
      <w:pPr>
        <w:ind w:left="720" w:hanging="364"/>
        <w:spacing w:after="0" w:line="249" w:lineRule="auto"/>
        <w:tabs>
          <w:tab w:leader="none" w:pos="720"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NTIC’s total joint venture operations decreased 9.8% to $8,545,207 compared to $9,475,078 during fiscal 2024 primarily due to decreases in equity in income from joint ventures and fees for services provided to joint ventures, which were driven primarily by decreased sales at most joint ventures. Net sales at NTIC’s joint ventures, which are not consolidated with NTIC’s net sales, decreased 4.9% to $91,236,272 compared to $95,940,014 during fiscal 2024.</w:t>
      </w:r>
    </w:p>
    <w:p>
      <w:pPr>
        <w:spacing w:after="0" w:line="210" w:lineRule="exact"/>
        <w:rPr>
          <w:rFonts w:ascii="Arial" w:cs="Arial" w:eastAsia="Arial" w:hAnsi="Arial"/>
          <w:sz w:val="20"/>
          <w:szCs w:val="20"/>
          <w:color w:val="auto"/>
        </w:rPr>
      </w:pPr>
    </w:p>
    <w:p>
      <w:pPr>
        <w:jc w:val="both"/>
        <w:ind w:left="720" w:right="80" w:hanging="363"/>
        <w:spacing w:after="0" w:line="247" w:lineRule="auto"/>
        <w:tabs>
          <w:tab w:leader="none" w:pos="721" w:val="left"/>
        </w:tabs>
        <w:numPr>
          <w:ilvl w:val="0"/>
          <w:numId w:val="80"/>
        </w:numPr>
        <w:rPr>
          <w:rFonts w:ascii="Arial" w:cs="Arial" w:eastAsia="Arial" w:hAnsi="Arial"/>
          <w:sz w:val="19"/>
          <w:szCs w:val="19"/>
          <w:color w:val="auto"/>
        </w:rPr>
      </w:pPr>
      <w:r>
        <w:rPr>
          <w:rFonts w:ascii="Times New Roman" w:cs="Times New Roman" w:eastAsia="Times New Roman" w:hAnsi="Times New Roman"/>
          <w:sz w:val="19"/>
          <w:szCs w:val="19"/>
          <w:color w:val="auto"/>
        </w:rPr>
        <w:t>NTIC’s total operating expenses increased 6.4% to $37,651,465 compared to $35,392,957 during fiscal 2024. This increase was primarily due to strategic investments in ZERUST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oil and gas marketing and sales efforts, including personnel expenses and the corresponding benefits, as well as increased travel and professional fees.</w:t>
      </w:r>
    </w:p>
    <w:p>
      <w:pPr>
        <w:spacing w:after="0" w:line="209" w:lineRule="exact"/>
        <w:rPr>
          <w:rFonts w:ascii="Arial" w:cs="Arial" w:eastAsia="Arial" w:hAnsi="Arial"/>
          <w:sz w:val="19"/>
          <w:szCs w:val="19"/>
          <w:color w:val="auto"/>
        </w:rPr>
      </w:pPr>
    </w:p>
    <w:p>
      <w:pPr>
        <w:ind w:left="720" w:right="180" w:hanging="364"/>
        <w:spacing w:after="0" w:line="277" w:lineRule="auto"/>
        <w:tabs>
          <w:tab w:leader="none" w:pos="719"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NTIC earned net income attributable to NTIC of $17,619, or $0.00 per diluted common share, for fiscal 2025 compared to $5,409,082, or $0.55 per diluted common share, for fiscal 2024.</w:t>
      </w:r>
    </w:p>
    <w:p>
      <w:pPr>
        <w:spacing w:after="0" w:line="1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During fiscal 2025, NTIC incurred additional costs related to tariffs and expects such costs to continue in fiscal 2026. Management has implemented, and expects to continue to implement, proactive measures to mitigate inflationary and supply chain pressures resulting from tariffs through a combination of supplier diversification, regional sourcing initiatives, cost-reduction programs, and manufacturing optimization. Management continues to monitor global trade developments and evaluate opportunities to further reduce its exposure to tariffs by localizing production and developing alternative sourcing options where practicable. With respect to NTIC China, a majority of its production and sales are for local consumption. Accordingly, management believes that NTIC China’s exposure to tariffs, including those imposed by the United States, is limited. However, given the complex and evolving nature of global trade policy, there can be no assurance that tariffs or other trade restrictions will not adversely affect NTIC’s net sales, gross margins, or operating results in fiscal 2026 or future periods. Tariffs have had a particular impact on NTIC’s Natur-Tec® business, which relies on the global procurement of raw materials and finished goods. These factors may affect production economics, customer pricing, and competitive positioning, particularly in markets where NTIC competes with local producers not subject to comparable tariff exposure.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640"/>
          </w:cols>
          <w:pgMar w:left="1300" w:top="1132" w:right="1300" w:bottom="382"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Sales and Expense Components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description of the primary components of net sales and expenses:</w:t>
      </w:r>
    </w:p>
    <w:p>
      <w:pPr>
        <w:spacing w:after="0" w:line="239"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20"/>
          <w:szCs w:val="20"/>
          <w:b w:val="1"/>
          <w:bCs w:val="1"/>
          <w:i w:val="1"/>
          <w:iCs w:val="1"/>
          <w:color w:val="auto"/>
        </w:rPr>
        <w:t>Net Sales</w:t>
      </w:r>
      <w:r>
        <w:rPr>
          <w:rFonts w:ascii="Times New Roman" w:cs="Times New Roman" w:eastAsia="Times New Roman" w:hAnsi="Times New Roman"/>
          <w:sz w:val="20"/>
          <w:szCs w:val="20"/>
          <w:color w:val="auto"/>
        </w:rPr>
        <w:t>. NTIC derives net sales from the sale of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products and services and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NTIC sells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 and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either directly, through its subsidiaries,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primarily upon shipment of the products.</w:t>
      </w:r>
    </w:p>
    <w:p>
      <w:pPr>
        <w:spacing w:after="0" w:line="206"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Cost of Goods Sold</w:t>
      </w:r>
      <w:r>
        <w:rPr>
          <w:rFonts w:ascii="Times New Roman" w:cs="Times New Roman" w:eastAsia="Times New Roman" w:hAnsi="Times New Roman"/>
          <w:sz w:val="20"/>
          <w:szCs w:val="20"/>
          <w:color w:val="auto"/>
        </w:rPr>
        <w:t>. Most of NTIC’s products are manufactured by third parties, and its cost of goods sold for those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products consists primarily of the price invoiced by its third-party vendors. For the portion of products that NTIC manufactures, NTIC’s cost of goods sold for those products consists primarily of direct labor, allocated manufacturing overhead, raw materials, and components. NTIC’s margins on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resin compounds and finished products are generally smaller than its margins on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 and NTIC’s margins on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 sold into the oil and gas industry are generally greater than its margins on its traditional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w:t>
      </w:r>
    </w:p>
    <w:p>
      <w:pPr>
        <w:spacing w:after="0" w:line="12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Equity in Income from Joint Ventures</w:t>
      </w:r>
      <w:r>
        <w:rPr>
          <w:rFonts w:ascii="Times New Roman" w:cs="Times New Roman" w:eastAsia="Times New Roman" w:hAnsi="Times New Roman"/>
          <w:sz w:val="20"/>
          <w:szCs w:val="20"/>
          <w:color w:val="auto"/>
        </w:rPr>
        <w:t>. NTIC’s equity in income from joint ventures consists of NTIC’s share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equity in income from each joint venture based on 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20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Fees for Services Provided to Joint Ventures</w:t>
      </w:r>
      <w:r>
        <w:rPr>
          <w:rFonts w:ascii="Times New Roman" w:cs="Times New Roman" w:eastAsia="Times New Roman" w:hAnsi="Times New Roman"/>
          <w:sz w:val="20"/>
          <w:szCs w:val="20"/>
          <w:color w:val="auto"/>
        </w:rPr>
        <w:t>. NTIC provides certain services to its joint ventures,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consulting, legal, travel, insurance, technical, and marketing services based on licensing or other agreements with its joint ventures.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Under NTIC’s agreements with its joint ventures in which the fees for services are described, amounts are earned when product is shipped from joint venture facilities, at which point a sale is deemed to have occurred and results in obligation of the joint venture to pay the royalty and recognition of the fee by NTIC.</w:t>
      </w:r>
    </w:p>
    <w:p>
      <w:pPr>
        <w:spacing w:after="0" w:line="20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Selling Expenses</w:t>
      </w:r>
      <w:r>
        <w:rPr>
          <w:rFonts w:ascii="Times New Roman" w:cs="Times New Roman" w:eastAsia="Times New Roman" w:hAnsi="Times New Roman"/>
          <w:sz w:val="20"/>
          <w:szCs w:val="20"/>
          <w:color w:val="auto"/>
        </w:rPr>
        <w:t>. Selling expenses consist primarily of sales commissions and support costs for NTIC’s direct sale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distribution system and marketing costs.</w:t>
      </w:r>
    </w:p>
    <w:p>
      <w:pPr>
        <w:spacing w:after="0" w:line="167"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r>
        <w:rPr>
          <w:rFonts w:ascii="Times New Roman" w:cs="Times New Roman" w:eastAsia="Times New Roman" w:hAnsi="Times New Roman"/>
          <w:sz w:val="20"/>
          <w:szCs w:val="20"/>
          <w:color w:val="auto"/>
        </w:rPr>
        <w:t>. General and administrative expenses consist primarily of salaries and benefits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other costs for NTIC’s executives, accounting, stock-based compensation, finance, legal, information technology, and human resources functions.</w:t>
      </w:r>
    </w:p>
    <w:p>
      <w:pPr>
        <w:spacing w:after="0" w:line="18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r>
        <w:rPr>
          <w:rFonts w:ascii="Times New Roman" w:cs="Times New Roman" w:eastAsia="Times New Roman" w:hAnsi="Times New Roman"/>
          <w:sz w:val="20"/>
          <w:szCs w:val="20"/>
          <w:color w:val="auto"/>
        </w:rPr>
        <w:t>. Research and development expenses include costs associated with the design,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development, market analysis, lab testing, and field trials and enhancements of NTIC’s products and services. NTIC expenses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201"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Interest Income</w:t>
      </w:r>
      <w:r>
        <w:rPr>
          <w:rFonts w:ascii="Times New Roman" w:cs="Times New Roman" w:eastAsia="Times New Roman" w:hAnsi="Times New Roman"/>
          <w:sz w:val="20"/>
          <w:szCs w:val="20"/>
          <w:color w:val="auto"/>
        </w:rPr>
        <w:t>. Interest income consists of interest earned on investments, which typically consist of investment-grade, interest-bearing securities and money market accounts.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640"/>
          </w:cols>
          <w:pgMar w:left="1300" w:top="1128" w:right="1300" w:bottom="382" w:gutter="0" w:footer="0" w:header="0"/>
        </w:sectPr>
      </w:pPr>
    </w:p>
    <w:bookmarkStart w:id="128" w:name="page129"/>
    <w:bookmarkEnd w:id="128"/>
    <w:p>
      <w:pPr>
        <w:ind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Interest Expense</w:t>
      </w:r>
      <w:r>
        <w:rPr>
          <w:rFonts w:ascii="Times New Roman" w:cs="Times New Roman" w:eastAsia="Times New Roman" w:hAnsi="Times New Roman"/>
          <w:sz w:val="20"/>
          <w:szCs w:val="20"/>
          <w:color w:val="auto"/>
        </w:rPr>
        <w:t>. Interest expense results primarily from interest associated with any borrowings under NTIC’s line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credit with JPMorgan Chase Bank, N.A. and NTIC China’s terms loans with China Construction Bank Corporation.</w:t>
      </w:r>
    </w:p>
    <w:p>
      <w:pPr>
        <w:spacing w:after="0" w:line="167"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Other Income</w:t>
      </w:r>
      <w:r>
        <w:rPr>
          <w:rFonts w:ascii="Times New Roman" w:cs="Times New Roman" w:eastAsia="Times New Roman" w:hAnsi="Times New Roman"/>
          <w:sz w:val="20"/>
          <w:szCs w:val="20"/>
          <w:color w:val="auto"/>
        </w:rPr>
        <w:t>. Other income for fiscal 2025 consists of $1,139,756 in cash received during fiscal 2025 as a result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 retention credits received under the Coronavirus Aid, Relief, and Economic Security Act. See Note 1 to NTIC’s consolidated financial statements.</w:t>
      </w:r>
    </w:p>
    <w:p>
      <w:pPr>
        <w:spacing w:after="0" w:line="186"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Other Expense</w:t>
      </w:r>
      <w:r>
        <w:rPr>
          <w:rFonts w:ascii="Times New Roman" w:cs="Times New Roman" w:eastAsia="Times New Roman" w:hAnsi="Times New Roman"/>
          <w:sz w:val="20"/>
          <w:szCs w:val="20"/>
          <w:color w:val="auto"/>
        </w:rPr>
        <w:t>. Other expense for fiscal 2025 consists of an accrual of $386,785 for an assessed repayment obligation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NTIC China to Ningbo Customs, the customs authority at the Ningbo Port in China, for misclassified Natur-Tec products. See Note 16 to NTIC’s consolidated financial statements.</w:t>
      </w:r>
    </w:p>
    <w:p>
      <w:pPr>
        <w:spacing w:after="0" w:line="186"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Income Tax Expense</w:t>
      </w:r>
      <w:r>
        <w:rPr>
          <w:rFonts w:ascii="Times New Roman" w:cs="Times New Roman" w:eastAsia="Times New Roman" w:hAnsi="Times New Roman"/>
          <w:sz w:val="20"/>
          <w:szCs w:val="20"/>
          <w:color w:val="auto"/>
        </w:rPr>
        <w:t>. Income tax expense includes federal income taxes, foreign withholding taxes, income tax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consolidated entities in foreign jurisdictions, state income tax, and changes to NTIC’s deferred tax valuation allowance. NTIC utilizes the asset and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205" w:lineRule="exact"/>
        <w:rPr>
          <w:sz w:val="20"/>
          <w:szCs w:val="20"/>
          <w:color w:val="auto"/>
        </w:rPr>
      </w:pPr>
    </w:p>
    <w:p>
      <w:pPr>
        <w:jc w:val="both"/>
        <w:ind w:right="40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Net Income Attributable to Non-Controlling Interests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Net income attributable to non-controlling interests represents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portion of net income (or loss) in consolidated subsidiaries that is allocated to shareholders outside of NTIC. These non-controlling shareholders hold ownership stakes in certain subsidiaries but do not control these entities. In instances where NTIC owns less than 100% of a subsidiary, the share of that subsidiary’s income attributable to non-controlling shareholders is excluded from NTIC’s net income and reported separately in NTIC’s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Fiscal Year 2025 Compared to Fiscal Year 2024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NTIC’s results of operations for fiscal 2025 and fiscal 2024.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80" w:type="dxa"/>
            <w:vAlign w:val="bottom"/>
          </w:tcPr>
          <w:p>
            <w:pPr>
              <w:spacing w:after="0"/>
              <w:rPr>
                <w:sz w:val="18"/>
                <w:szCs w:val="18"/>
                <w:color w:val="auto"/>
              </w:rPr>
            </w:pPr>
          </w:p>
        </w:tc>
        <w:tc>
          <w:tcPr>
            <w:tcW w:w="1100" w:type="dxa"/>
            <w:vAlign w:val="bottom"/>
            <w:vMerge w:val="restart"/>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1360" w:type="dxa"/>
            <w:vAlign w:val="bottom"/>
            <w:gridSpan w:val="2"/>
          </w:tcPr>
          <w:p>
            <w:pPr>
              <w:jc w:val="right"/>
              <w:ind w:right="465"/>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4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6"/>
        </w:trPr>
        <w:tc>
          <w:tcPr>
            <w:tcW w:w="3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1100" w:type="dxa"/>
            <w:vAlign w:val="bottom"/>
            <w:tcBorders>
              <w:bottom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60" w:type="dxa"/>
            <w:vAlign w:val="bottom"/>
          </w:tcPr>
          <w:p>
            <w:pPr>
              <w:spacing w:after="0"/>
              <w:rPr>
                <w:sz w:val="21"/>
                <w:szCs w:val="21"/>
                <w:color w:val="auto"/>
              </w:rPr>
            </w:pPr>
          </w:p>
        </w:tc>
        <w:tc>
          <w:tcPr>
            <w:tcW w:w="11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60" w:type="dxa"/>
            <w:vAlign w:val="bottom"/>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21"/>
                <w:szCs w:val="21"/>
                <w:color w:val="auto"/>
              </w:rPr>
            </w:pPr>
          </w:p>
        </w:tc>
        <w:tc>
          <w:tcPr>
            <w:tcW w:w="12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c>
          <w:tcPr>
            <w:tcW w:w="8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1"/>
        </w:trPr>
        <w:tc>
          <w:tcPr>
            <w:tcW w:w="3580" w:type="dxa"/>
            <w:vAlign w:val="bottom"/>
            <w:vMerge w:val="continue"/>
          </w:tcPr>
          <w:p>
            <w:pPr>
              <w:ind w:left="820"/>
              <w:spacing w:after="0" w:line="178"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$84,234,474</w:t>
            </w:r>
          </w:p>
        </w:tc>
        <w:tc>
          <w:tcPr>
            <w:tcW w:w="16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N/A</w:t>
            </w:r>
          </w:p>
        </w:tc>
        <w:tc>
          <w:tcPr>
            <w:tcW w:w="16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99"/>
              </w:rPr>
              <w:t>$ 85,059,517</w:t>
            </w:r>
          </w:p>
        </w:tc>
        <w:tc>
          <w:tcPr>
            <w:tcW w:w="16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N/A</w:t>
            </w:r>
          </w:p>
        </w:tc>
        <w:tc>
          <w:tcPr>
            <w:tcW w:w="16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$(825,043)</w:t>
            </w:r>
          </w:p>
        </w:tc>
        <w:tc>
          <w:tcPr>
            <w:tcW w:w="16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52,557,919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51,273,155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1,284,764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Equity in income from joint ventures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3,539,056</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4,223,296</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(684,240)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Fees for services provided to joint ventures</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5,006,151</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5,251,782</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(245,631)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Selling expenses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17,820,196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16,413,672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1,406,524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14,792,988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14,176,494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616,494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67"/>
        </w:trPr>
        <w:tc>
          <w:tcPr>
            <w:tcW w:w="358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expenses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5,038,281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4,802,791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235,490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80"/>
        <w:spacing w:after="0" w:line="233" w:lineRule="auto"/>
        <w:rPr>
          <w:sz w:val="20"/>
          <w:szCs w:val="20"/>
          <w:color w:val="auto"/>
        </w:rPr>
      </w:pPr>
      <w:r>
        <w:rPr>
          <w:rFonts w:ascii="Times New Roman" w:cs="Times New Roman" w:eastAsia="Times New Roman" w:hAnsi="Times New Roman"/>
          <w:sz w:val="20"/>
          <w:szCs w:val="20"/>
          <w:i w:val="1"/>
          <w:iCs w:val="1"/>
          <w:color w:val="auto"/>
        </w:rPr>
        <w:t>Net Sales</w:t>
      </w:r>
      <w:r>
        <w:rPr>
          <w:rFonts w:ascii="Times New Roman" w:cs="Times New Roman" w:eastAsia="Times New Roman" w:hAnsi="Times New Roman"/>
          <w:sz w:val="20"/>
          <w:szCs w:val="20"/>
          <w:color w:val="auto"/>
        </w:rPr>
        <w:t>. NTIC’s consolidated net sales decreased 1.0% to $84,234,474 during fiscal 2025 compared to $85,059,517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during fiscal 2024. This decrease was primarily due to decreased sales and demand for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NTIC’s net sales by product segment for fiscal 2025 and fiscal 2024:</w:t>
      </w:r>
    </w:p>
    <w:p>
      <w:pPr>
        <w:spacing w:after="0" w:line="238" w:lineRule="exact"/>
        <w:rPr>
          <w:sz w:val="20"/>
          <w:szCs w:val="20"/>
          <w:color w:val="auto"/>
        </w:rPr>
      </w:pPr>
    </w:p>
    <w:tbl>
      <w:tblPr>
        <w:tblLayout w:type="fixed"/>
        <w:tblInd w:w="10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gridSpan w:val="2"/>
          </w:tcPr>
          <w:p>
            <w:pPr>
              <w:jc w:val="right"/>
              <w:ind w:right="463"/>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38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6"/>
        </w:trPr>
        <w:tc>
          <w:tcPr>
            <w:tcW w:w="3600" w:type="dxa"/>
            <w:vAlign w:val="bottom"/>
            <w:vMerge w:val="restart"/>
          </w:tcPr>
          <w:p>
            <w:pPr>
              <w:jc w:val="right"/>
              <w:ind w:right="1720"/>
              <w:spacing w:after="0"/>
              <w:rPr>
                <w:sz w:val="20"/>
                <w:szCs w:val="20"/>
                <w:color w:val="auto"/>
              </w:rPr>
            </w:pPr>
            <w:r>
              <w:rPr>
                <w:rFonts w:ascii="Times New Roman" w:cs="Times New Roman" w:eastAsia="Times New Roman" w:hAnsi="Times New Roman"/>
                <w:sz w:val="20"/>
                <w:szCs w:val="20"/>
                <w:color w:val="auto"/>
                <w:w w:val="98"/>
              </w:rPr>
              <w:t>Total ZERUST</w:t>
            </w:r>
            <w:r>
              <w:rPr>
                <w:rFonts w:ascii="Times New Roman" w:cs="Times New Roman" w:eastAsia="Times New Roman" w:hAnsi="Times New Roman"/>
                <w:sz w:val="25"/>
                <w:szCs w:val="25"/>
                <w:color w:val="auto"/>
                <w:w w:val="98"/>
                <w:vertAlign w:val="superscript"/>
              </w:rPr>
              <w:t>®</w:t>
            </w:r>
            <w:r>
              <w:rPr>
                <w:rFonts w:ascii="Times New Roman" w:cs="Times New Roman" w:eastAsia="Times New Roman" w:hAnsi="Times New Roman"/>
                <w:sz w:val="20"/>
                <w:szCs w:val="20"/>
                <w:color w:val="auto"/>
                <w:w w:val="98"/>
              </w:rPr>
              <w:t xml:space="preserve"> sales</w:t>
            </w:r>
          </w:p>
        </w:tc>
        <w:tc>
          <w:tcPr>
            <w:tcW w:w="15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60" w:type="dxa"/>
            <w:vAlign w:val="bottom"/>
          </w:tcPr>
          <w:p>
            <w:pPr>
              <w:spacing w:after="0"/>
              <w:rPr>
                <w:sz w:val="21"/>
                <w:szCs w:val="21"/>
                <w:color w:val="auto"/>
              </w:rPr>
            </w:pPr>
          </w:p>
        </w:tc>
        <w:tc>
          <w:tcPr>
            <w:tcW w:w="12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c>
          <w:tcPr>
            <w:tcW w:w="11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2"/>
        </w:trPr>
        <w:tc>
          <w:tcPr>
            <w:tcW w:w="3600" w:type="dxa"/>
            <w:vAlign w:val="bottom"/>
            <w:vMerge w:val="continue"/>
          </w:tcPr>
          <w:p>
            <w:pPr>
              <w:jc w:val="right"/>
              <w:ind w:right="120"/>
              <w:spacing w:after="0" w:line="178" w:lineRule="exact"/>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$62,488,397</w:t>
            </w:r>
          </w:p>
        </w:tc>
        <w:tc>
          <w:tcPr>
            <w:tcW w:w="16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63,092,575</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$(604,178)</w:t>
            </w: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69"/>
        </w:trPr>
        <w:tc>
          <w:tcPr>
            <w:tcW w:w="3600" w:type="dxa"/>
            <w:vAlign w:val="bottom"/>
          </w:tcPr>
          <w:p>
            <w:pPr>
              <w:jc w:val="right"/>
              <w:ind w:right="120"/>
              <w:spacing w:after="0" w:line="269" w:lineRule="exact"/>
              <w:rPr>
                <w:sz w:val="20"/>
                <w:szCs w:val="20"/>
                <w:color w:val="auto"/>
              </w:rPr>
            </w:pPr>
            <w:r>
              <w:rPr>
                <w:rFonts w:ascii="Times New Roman" w:cs="Times New Roman" w:eastAsia="Times New Roman" w:hAnsi="Times New Roman"/>
                <w:sz w:val="20"/>
                <w:szCs w:val="20"/>
                <w:color w:val="auto"/>
                <w:w w:val="98"/>
              </w:rPr>
              <w:t>Total Natur-Tec</w:t>
            </w:r>
            <w:r>
              <w:rPr>
                <w:rFonts w:ascii="Times New Roman" w:cs="Times New Roman" w:eastAsia="Times New Roman" w:hAnsi="Times New Roman"/>
                <w:sz w:val="25"/>
                <w:szCs w:val="25"/>
                <w:color w:val="auto"/>
                <w:w w:val="98"/>
                <w:vertAlign w:val="superscript"/>
              </w:rPr>
              <w:t>®</w:t>
            </w:r>
            <w:r>
              <w:rPr>
                <w:rFonts w:ascii="Times New Roman" w:cs="Times New Roman" w:eastAsia="Times New Roman" w:hAnsi="Times New Roman"/>
                <w:sz w:val="20"/>
                <w:szCs w:val="20"/>
                <w:color w:val="auto"/>
                <w:w w:val="98"/>
              </w:rPr>
              <w:t xml:space="preserve"> sales ..............................</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21,746,077</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21,966,942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(220,865)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49"/>
        </w:trPr>
        <w:tc>
          <w:tcPr>
            <w:tcW w:w="36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............................................Totalnetsales</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$84,234,474</w:t>
            </w:r>
          </w:p>
        </w:tc>
        <w:tc>
          <w:tcPr>
            <w:tcW w:w="1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85,059,517</w:t>
            </w:r>
          </w:p>
        </w:tc>
        <w:tc>
          <w:tcPr>
            <w:tcW w:w="16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$(825,043)</w:t>
            </w:r>
          </w:p>
        </w:tc>
        <w:tc>
          <w:tcPr>
            <w:tcW w:w="16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592"/>
        </w:trPr>
        <w:tc>
          <w:tcPr>
            <w:tcW w:w="3600" w:type="dxa"/>
            <w:vAlign w:val="bottom"/>
          </w:tcPr>
          <w:p>
            <w:pPr>
              <w:spacing w:after="0"/>
              <w:rPr>
                <w:sz w:val="24"/>
                <w:szCs w:val="24"/>
                <w:color w:val="auto"/>
              </w:rPr>
            </w:pPr>
          </w:p>
        </w:tc>
        <w:tc>
          <w:tcPr>
            <w:tcW w:w="150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rPr>
              <w:t>43</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940"/>
          </w:cols>
          <w:pgMar w:left="1300" w:top="1132" w:right="1000" w:bottom="345" w:gutter="0" w:footer="0" w:header="0"/>
        </w:sectPr>
      </w:pPr>
    </w:p>
    <w:bookmarkStart w:id="129" w:name="page130"/>
    <w:bookmarkEnd w:id="129"/>
    <w:p>
      <w:pPr>
        <w:ind w:right="40"/>
        <w:spacing w:after="0" w:line="228" w:lineRule="auto"/>
        <w:rPr>
          <w:sz w:val="20"/>
          <w:szCs w:val="20"/>
          <w:color w:val="auto"/>
        </w:rPr>
      </w:pPr>
      <w:r>
        <w:rPr>
          <w:rFonts w:ascii="Times New Roman" w:cs="Times New Roman" w:eastAsia="Times New Roman" w:hAnsi="Times New Roman"/>
          <w:sz w:val="20"/>
          <w:szCs w:val="20"/>
          <w:color w:val="auto"/>
        </w:rPr>
        <w:t>During fiscal 2025, 74.2% of NTIC’s consolidated net sales were derived from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 which decreased 1.0% to $62,488,397 compared to $63,092,575 during fiscal 2024. This decrease was primarily due to decreased demand for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oil and gas products and was partially offset by increased demand for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industrial products.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NTIC’s net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for fiscal 2025 and fiscal 2024:</w:t>
      </w:r>
    </w:p>
    <w:p>
      <w:pPr>
        <w:spacing w:after="0" w:line="182" w:lineRule="exact"/>
        <w:rPr>
          <w:sz w:val="20"/>
          <w:szCs w:val="20"/>
          <w:color w:val="auto"/>
        </w:rPr>
      </w:pPr>
    </w:p>
    <w:tbl>
      <w:tblPr>
        <w:tblLayout w:type="fixed"/>
        <w:tblInd w:w="10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vMerge w:val="restart"/>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360" w:type="dxa"/>
            <w:vAlign w:val="bottom"/>
            <w:gridSpan w:val="2"/>
          </w:tcPr>
          <w:p>
            <w:pPr>
              <w:jc w:val="right"/>
              <w:ind w:right="46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36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6"/>
        </w:trPr>
        <w:tc>
          <w:tcPr>
            <w:tcW w:w="3600" w:type="dxa"/>
            <w:vAlign w:val="bottom"/>
            <w:vMerge w:val="restart"/>
          </w:tcPr>
          <w:p>
            <w:pPr>
              <w:jc w:val="right"/>
              <w:ind w:right="1100"/>
              <w:spacing w:after="0"/>
              <w:rPr>
                <w:sz w:val="20"/>
                <w:szCs w:val="20"/>
                <w:color w:val="auto"/>
              </w:rPr>
            </w:pPr>
            <w:r>
              <w:rPr>
                <w:rFonts w:ascii="Times New Roman" w:cs="Times New Roman" w:eastAsia="Times New Roman" w:hAnsi="Times New Roman"/>
                <w:sz w:val="20"/>
                <w:szCs w:val="20"/>
                <w:color w:val="auto"/>
                <w:w w:val="98"/>
              </w:rPr>
              <w:t>ZERUST</w:t>
            </w:r>
            <w:r>
              <w:rPr>
                <w:rFonts w:ascii="Times New Roman" w:cs="Times New Roman" w:eastAsia="Times New Roman" w:hAnsi="Times New Roman"/>
                <w:sz w:val="25"/>
                <w:szCs w:val="25"/>
                <w:color w:val="auto"/>
                <w:w w:val="98"/>
                <w:vertAlign w:val="superscript"/>
              </w:rPr>
              <w:t>®</w:t>
            </w:r>
            <w:r>
              <w:rPr>
                <w:rFonts w:ascii="Times New Roman" w:cs="Times New Roman" w:eastAsia="Times New Roman" w:hAnsi="Times New Roman"/>
                <w:sz w:val="20"/>
                <w:szCs w:val="20"/>
                <w:color w:val="auto"/>
                <w:w w:val="98"/>
              </w:rPr>
              <w:t xml:space="preserve"> industrial net sales</w:t>
            </w:r>
          </w:p>
        </w:tc>
        <w:tc>
          <w:tcPr>
            <w:tcW w:w="1500" w:type="dxa"/>
            <w:vAlign w:val="bottom"/>
            <w:tcBorders>
              <w:bottom w:val="single" w:sz="8" w:color="auto"/>
            </w:tcBorders>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c>
          <w:tcPr>
            <w:tcW w:w="11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7"/>
        </w:trPr>
        <w:tc>
          <w:tcPr>
            <w:tcW w:w="3600" w:type="dxa"/>
            <w:vAlign w:val="bottom"/>
            <w:vMerge w:val="continue"/>
          </w:tcPr>
          <w:p>
            <w:pPr>
              <w:jc w:val="right"/>
              <w:ind w:right="120"/>
              <w:spacing w:after="0" w:line="178"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ind w:left="320"/>
              <w:spacing w:after="0" w:line="217"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55,170,693</w:t>
            </w:r>
          </w:p>
        </w:tc>
        <w:tc>
          <w:tcPr>
            <w:tcW w:w="160" w:type="dxa"/>
            <w:vAlign w:val="bottom"/>
          </w:tcPr>
          <w:p>
            <w:pPr>
              <w:spacing w:after="0"/>
              <w:rPr>
                <w:sz w:val="18"/>
                <w:szCs w:val="18"/>
                <w:color w:val="auto"/>
              </w:rPr>
            </w:pPr>
          </w:p>
        </w:tc>
        <w:tc>
          <w:tcPr>
            <w:tcW w:w="26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53,863,296</w:t>
            </w:r>
          </w:p>
        </w:tc>
        <w:tc>
          <w:tcPr>
            <w:tcW w:w="160" w:type="dxa"/>
            <w:vAlign w:val="bottom"/>
          </w:tcPr>
          <w:p>
            <w:pPr>
              <w:spacing w:after="0"/>
              <w:rPr>
                <w:sz w:val="18"/>
                <w:szCs w:val="18"/>
                <w:color w:val="auto"/>
              </w:rPr>
            </w:pPr>
          </w:p>
        </w:tc>
        <w:tc>
          <w:tcPr>
            <w:tcW w:w="12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$ 1,307,397</w:t>
            </w:r>
          </w:p>
        </w:tc>
        <w:tc>
          <w:tcPr>
            <w:tcW w:w="160" w:type="dxa"/>
            <w:vAlign w:val="bottom"/>
          </w:tcPr>
          <w:p>
            <w:pPr>
              <w:spacing w:after="0"/>
              <w:rPr>
                <w:sz w:val="18"/>
                <w:szCs w:val="18"/>
                <w:color w:val="auto"/>
              </w:rPr>
            </w:pPr>
          </w:p>
        </w:tc>
        <w:tc>
          <w:tcPr>
            <w:tcW w:w="11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69"/>
        </w:trPr>
        <w:tc>
          <w:tcPr>
            <w:tcW w:w="3600" w:type="dxa"/>
            <w:vAlign w:val="bottom"/>
          </w:tcPr>
          <w:p>
            <w:pPr>
              <w:jc w:val="right"/>
              <w:ind w:right="120"/>
              <w:spacing w:after="0" w:line="269" w:lineRule="exact"/>
              <w:rPr>
                <w:sz w:val="20"/>
                <w:szCs w:val="20"/>
                <w:color w:val="auto"/>
              </w:rPr>
            </w:pPr>
            <w:r>
              <w:rPr>
                <w:rFonts w:ascii="Times New Roman" w:cs="Times New Roman" w:eastAsia="Times New Roman" w:hAnsi="Times New Roman"/>
                <w:sz w:val="20"/>
                <w:szCs w:val="20"/>
                <w:color w:val="auto"/>
                <w:w w:val="97"/>
              </w:rPr>
              <w:t>ZERUST</w:t>
            </w:r>
            <w:r>
              <w:rPr>
                <w:rFonts w:ascii="Times New Roman" w:cs="Times New Roman" w:eastAsia="Times New Roman" w:hAnsi="Times New Roman"/>
                <w:sz w:val="25"/>
                <w:szCs w:val="25"/>
                <w:color w:val="auto"/>
                <w:w w:val="97"/>
                <w:vertAlign w:val="superscript"/>
              </w:rPr>
              <w:t>®</w:t>
            </w:r>
            <w:r>
              <w:rPr>
                <w:rFonts w:ascii="Times New Roman" w:cs="Times New Roman" w:eastAsia="Times New Roman" w:hAnsi="Times New Roman"/>
                <w:sz w:val="20"/>
                <w:szCs w:val="20"/>
                <w:color w:val="auto"/>
                <w:w w:val="97"/>
              </w:rPr>
              <w:t xml:space="preserve"> oil &amp; gas net sales ....................</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7,317,704</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9,229,279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(1,911,575)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0" w:type="dxa"/>
            <w:vAlign w:val="bottom"/>
          </w:tcPr>
          <w:p>
            <w:pPr>
              <w:spacing w:after="0"/>
              <w:rPr>
                <w:sz w:val="1"/>
                <w:szCs w:val="1"/>
                <w:color w:val="auto"/>
              </w:rPr>
            </w:pPr>
          </w:p>
        </w:tc>
      </w:tr>
      <w:tr>
        <w:trPr>
          <w:trHeight w:val="249"/>
        </w:trPr>
        <w:tc>
          <w:tcPr>
            <w:tcW w:w="3600" w:type="dxa"/>
            <w:vAlign w:val="bottom"/>
          </w:tcPr>
          <w:p>
            <w:pPr>
              <w:jc w:val="right"/>
              <w:ind w:right="120"/>
              <w:spacing w:after="0" w:line="240" w:lineRule="exact"/>
              <w:rPr>
                <w:sz w:val="20"/>
                <w:szCs w:val="20"/>
                <w:color w:val="auto"/>
              </w:rPr>
            </w:pPr>
            <w:r>
              <w:rPr>
                <w:rFonts w:ascii="Times New Roman" w:cs="Times New Roman" w:eastAsia="Times New Roman" w:hAnsi="Times New Roman"/>
                <w:sz w:val="20"/>
                <w:szCs w:val="20"/>
                <w:color w:val="auto"/>
              </w:rPr>
              <w:t>...................TotalZERUST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netsales</w:t>
            </w:r>
          </w:p>
        </w:tc>
        <w:tc>
          <w:tcPr>
            <w:tcW w:w="5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62,488,397</w:t>
            </w:r>
          </w:p>
        </w:tc>
        <w:tc>
          <w:tcPr>
            <w:tcW w:w="16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63,092,575</w:t>
            </w:r>
          </w:p>
        </w:tc>
        <w:tc>
          <w:tcPr>
            <w:tcW w:w="16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(604,178)</w:t>
            </w:r>
          </w:p>
        </w:tc>
        <w:tc>
          <w:tcPr>
            <w:tcW w:w="16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360"/>
        <w:spacing w:after="0" w:line="221" w:lineRule="auto"/>
        <w:rPr>
          <w:sz w:val="20"/>
          <w:szCs w:val="20"/>
          <w:color w:val="auto"/>
        </w:rPr>
      </w:pPr>
      <w:r>
        <w:rPr>
          <w:rFonts w:ascii="Times New Roman" w:cs="Times New Roman" w:eastAsia="Times New Roman" w:hAnsi="Times New Roman"/>
          <w:sz w:val="20"/>
          <w:szCs w:val="20"/>
          <w:color w:val="auto"/>
        </w:rPr>
        <w:t>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industrial net sales increased 2.4% during fiscal 2025 compared to fiscal 2024 primarily due to increased demand for North American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industrial products. Overall, demand for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 depends heavily on the overall health of the markets in which NTIC sells its products, including the automotive, construction, agriculture, and mining markets in particular.</w:t>
      </w:r>
    </w:p>
    <w:p>
      <w:pPr>
        <w:spacing w:after="0" w:line="20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color w:val="auto"/>
        </w:rPr>
        <w:t>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oil and gas net sales decreased 20.7% during fiscal 2025 compared to fiscal 2024 primarily due to decreased demand. NTIC anticipates that its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 into the oil and gas industry will continue to remain subject to significant volatility from quarter to quarter as sales are recognized.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 For example,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ramp during fiscal 2026 and run through calendar 2028 with an estimated total value of approximately R$70 million (US$13 million). This includes approximately R$40 million (US$7.4 million) in materials and approximately R$30 million (US$5.6 million) in engineering and field services. The amount and timing of revenue anticipated to be generated under this agreement may materially positively affect NTIC’s future quarterly sales and other operating results.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each of fiscal 2025 and fiscal 2024, 25.8% of NTIC’s consolidated net sales were derived from sales of Natur-</w:t>
      </w:r>
    </w:p>
    <w:p>
      <w:pPr>
        <w:spacing w:after="0" w:line="215" w:lineRule="auto"/>
        <w:rPr>
          <w:sz w:val="20"/>
          <w:szCs w:val="20"/>
          <w:color w:val="auto"/>
        </w:rPr>
      </w:pPr>
      <w:r>
        <w:rPr>
          <w:rFonts w:ascii="Times New Roman" w:cs="Times New Roman" w:eastAsia="Times New Roman" w:hAnsi="Times New Roman"/>
          <w:sz w:val="20"/>
          <w:szCs w:val="20"/>
          <w:color w:val="auto"/>
        </w:rPr>
        <w:t>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Sales of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decreased 1.0% to $21,746,077 during fiscal 2025 compared to</w:t>
      </w:r>
    </w:p>
    <w:p>
      <w:pPr>
        <w:spacing w:after="0"/>
        <w:rPr>
          <w:sz w:val="20"/>
          <w:szCs w:val="20"/>
          <w:color w:val="auto"/>
        </w:rPr>
      </w:pPr>
      <w:r>
        <w:rPr>
          <w:rFonts w:ascii="Times New Roman" w:cs="Times New Roman" w:eastAsia="Times New Roman" w:hAnsi="Times New Roman"/>
          <w:sz w:val="20"/>
          <w:szCs w:val="20"/>
          <w:color w:val="auto"/>
        </w:rPr>
        <w:t>$21,966,942 during fiscal 2024 primarily due to reduced pricing to major customers during fiscal 2025. The market for</w:t>
      </w:r>
    </w:p>
    <w:p>
      <w:pPr>
        <w:spacing w:after="0"/>
        <w:rPr>
          <w:sz w:val="20"/>
          <w:szCs w:val="20"/>
          <w:color w:val="auto"/>
        </w:rPr>
      </w:pPr>
      <w:r>
        <w:rPr>
          <w:rFonts w:ascii="Times New Roman" w:cs="Times New Roman" w:eastAsia="Times New Roman" w:hAnsi="Times New Roman"/>
          <w:sz w:val="20"/>
          <w:szCs w:val="20"/>
          <w:color w:val="auto"/>
        </w:rPr>
        <w:t>biodegradable plastics is expanding worldwide, driven by increasing environmental awareness, regulatory support for</w:t>
      </w:r>
    </w:p>
    <w:p>
      <w:pPr>
        <w:spacing w:after="0"/>
        <w:rPr>
          <w:sz w:val="20"/>
          <w:szCs w:val="20"/>
          <w:color w:val="auto"/>
        </w:rPr>
      </w:pPr>
      <w:r>
        <w:rPr>
          <w:rFonts w:ascii="Times New Roman" w:cs="Times New Roman" w:eastAsia="Times New Roman" w:hAnsi="Times New Roman"/>
          <w:sz w:val="20"/>
          <w:szCs w:val="20"/>
          <w:color w:val="auto"/>
        </w:rPr>
        <w:t>sustainable materials, and growing demand for eco-friendly alternatives. As consumers and industries seek to reduce</w:t>
      </w:r>
    </w:p>
    <w:p>
      <w:pPr>
        <w:spacing w:after="0"/>
        <w:rPr>
          <w:sz w:val="20"/>
          <w:szCs w:val="20"/>
          <w:color w:val="auto"/>
        </w:rPr>
      </w:pPr>
      <w:r>
        <w:rPr>
          <w:rFonts w:ascii="Times New Roman" w:cs="Times New Roman" w:eastAsia="Times New Roman" w:hAnsi="Times New Roman"/>
          <w:sz w:val="20"/>
          <w:szCs w:val="20"/>
          <w:color w:val="auto"/>
        </w:rPr>
        <w:t>plastic waste, biodegradable plastics offer a viable solution, particularly in sectors like packaging, agriculture, and</w:t>
      </w:r>
    </w:p>
    <w:p>
      <w:pPr>
        <w:spacing w:after="0"/>
        <w:rPr>
          <w:sz w:val="20"/>
          <w:szCs w:val="20"/>
          <w:color w:val="auto"/>
        </w:rPr>
      </w:pPr>
      <w:r>
        <w:rPr>
          <w:rFonts w:ascii="Times New Roman" w:cs="Times New Roman" w:eastAsia="Times New Roman" w:hAnsi="Times New Roman"/>
          <w:sz w:val="20"/>
          <w:szCs w:val="20"/>
          <w:color w:val="auto"/>
        </w:rPr>
        <w:t>consumer goods. This trend is further supported by government policies promoting sustainable practices and by</w:t>
      </w:r>
    </w:p>
    <w:p>
      <w:pPr>
        <w:spacing w:after="0"/>
        <w:rPr>
          <w:sz w:val="20"/>
          <w:szCs w:val="20"/>
          <w:color w:val="auto"/>
        </w:rPr>
      </w:pPr>
      <w:r>
        <w:rPr>
          <w:rFonts w:ascii="Times New Roman" w:cs="Times New Roman" w:eastAsia="Times New Roman" w:hAnsi="Times New Roman"/>
          <w:sz w:val="20"/>
          <w:szCs w:val="20"/>
          <w:color w:val="auto"/>
        </w:rPr>
        <w:t>advances in biodegradable technology, which make these materials more accessible and cost-effective.</w:t>
      </w:r>
    </w:p>
    <w:p>
      <w:pPr>
        <w:spacing w:after="0" w:line="212" w:lineRule="exact"/>
        <w:rPr>
          <w:sz w:val="20"/>
          <w:szCs w:val="20"/>
          <w:color w:val="auto"/>
        </w:rPr>
      </w:pPr>
    </w:p>
    <w:p>
      <w:pPr>
        <w:ind w:right="80" w:firstLine="1"/>
        <w:spacing w:after="0" w:line="234" w:lineRule="auto"/>
        <w:rPr>
          <w:sz w:val="20"/>
          <w:szCs w:val="20"/>
          <w:color w:val="auto"/>
        </w:rPr>
      </w:pPr>
      <w:r>
        <w:rPr>
          <w:rFonts w:ascii="Times New Roman" w:cs="Times New Roman" w:eastAsia="Times New Roman" w:hAnsi="Times New Roman"/>
          <w:sz w:val="20"/>
          <w:szCs w:val="20"/>
          <w:i w:val="1"/>
          <w:iCs w:val="1"/>
          <w:color w:val="auto"/>
        </w:rPr>
        <w:t>Cost of Goods Sold</w:t>
      </w:r>
      <w:r>
        <w:rPr>
          <w:rFonts w:ascii="Times New Roman" w:cs="Times New Roman" w:eastAsia="Times New Roman" w:hAnsi="Times New Roman"/>
          <w:sz w:val="20"/>
          <w:szCs w:val="20"/>
          <w:color w:val="auto"/>
        </w:rPr>
        <w:t>. Cost of goods sold increased 2.5% in fiscal 2025 compared to fiscal 2024 primarily due to slightly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higher raw material prices and reduced pricing to major customers during fiscal 2025 for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Cost of goods sold as a percentage of net sales increased to 62.4% during fiscal 2025 compared to 60.3% during fiscal 2024 primarily due to the factors noted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 Income from Joint Ventures</w:t>
      </w:r>
      <w:r>
        <w:rPr>
          <w:rFonts w:ascii="Times New Roman" w:cs="Times New Roman" w:eastAsia="Times New Roman" w:hAnsi="Times New Roman"/>
          <w:sz w:val="20"/>
          <w:szCs w:val="20"/>
          <w:color w:val="auto"/>
        </w:rPr>
        <w:t>. NTIC’s equity in income from joint ventures decreased 16.2% to $3,539,056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fiscal 2025 compared to $4,223,296 during fiscal 2024 primarily due to a decrease in net income at NTIC’s joint</w:t>
      </w:r>
    </w:p>
    <w:p>
      <w:pPr>
        <w:spacing w:after="0"/>
        <w:rPr>
          <w:sz w:val="20"/>
          <w:szCs w:val="20"/>
          <w:color w:val="auto"/>
        </w:rPr>
      </w:pPr>
      <w:r>
        <w:rPr>
          <w:rFonts w:ascii="Times New Roman" w:cs="Times New Roman" w:eastAsia="Times New Roman" w:hAnsi="Times New Roman"/>
          <w:sz w:val="20"/>
          <w:szCs w:val="20"/>
          <w:color w:val="auto"/>
        </w:rPr>
        <w:t>venture in Germany, EXCOR. NTIC’s equity in income from joint ventures fluctuates based on net sales and</w:t>
      </w:r>
    </w:p>
    <w:p>
      <w:pPr>
        <w:spacing w:after="0"/>
        <w:rPr>
          <w:sz w:val="20"/>
          <w:szCs w:val="20"/>
          <w:color w:val="auto"/>
        </w:rPr>
      </w:pPr>
      <w:r>
        <w:rPr>
          <w:rFonts w:ascii="Times New Roman" w:cs="Times New Roman" w:eastAsia="Times New Roman" w:hAnsi="Times New Roman"/>
          <w:sz w:val="20"/>
          <w:szCs w:val="20"/>
          <w:color w:val="auto"/>
        </w:rPr>
        <w:t>profitability of the joint ventures during the respective periods. Of the total equity in income from joint ventures, NTIC</w:t>
      </w:r>
    </w:p>
    <w:p>
      <w:pPr>
        <w:spacing w:after="0"/>
        <w:rPr>
          <w:sz w:val="20"/>
          <w:szCs w:val="20"/>
          <w:color w:val="auto"/>
        </w:rPr>
      </w:pPr>
      <w:r>
        <w:rPr>
          <w:rFonts w:ascii="Times New Roman" w:cs="Times New Roman" w:eastAsia="Times New Roman" w:hAnsi="Times New Roman"/>
          <w:sz w:val="20"/>
          <w:szCs w:val="20"/>
          <w:color w:val="auto"/>
        </w:rPr>
        <w:t>had equity in income from joint ventures of $1,664,532 attributable to EXCOR during fiscal 2025 compared to</w:t>
      </w:r>
    </w:p>
    <w:p>
      <w:pPr>
        <w:spacing w:after="0"/>
        <w:rPr>
          <w:sz w:val="20"/>
          <w:szCs w:val="20"/>
          <w:color w:val="auto"/>
        </w:rPr>
      </w:pPr>
      <w:r>
        <w:rPr>
          <w:rFonts w:ascii="Times New Roman" w:cs="Times New Roman" w:eastAsia="Times New Roman" w:hAnsi="Times New Roman"/>
          <w:sz w:val="20"/>
          <w:szCs w:val="20"/>
          <w:color w:val="auto"/>
        </w:rPr>
        <w:t>$2,299,274 in fiscal 2024. This decrease was due to a decrease in net sales by EXCOR during fiscal 2025 compared to</w:t>
      </w:r>
    </w:p>
    <w:p>
      <w:pPr>
        <w:spacing w:after="0"/>
        <w:rPr>
          <w:sz w:val="20"/>
          <w:szCs w:val="20"/>
          <w:color w:val="auto"/>
        </w:rPr>
      </w:pPr>
      <w:r>
        <w:rPr>
          <w:rFonts w:ascii="Times New Roman" w:cs="Times New Roman" w:eastAsia="Times New Roman" w:hAnsi="Times New Roman"/>
          <w:sz w:val="20"/>
          <w:szCs w:val="20"/>
          <w:color w:val="auto"/>
        </w:rPr>
        <w:t>fiscal 2024. NTIC had equity in income of all other joint ventures of $1,874,524 during fiscal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Fees for Services Provided to Joint Ventures</w:t>
      </w:r>
      <w:r>
        <w:rPr>
          <w:rFonts w:ascii="Times New Roman" w:cs="Times New Roman" w:eastAsia="Times New Roman" w:hAnsi="Times New Roman"/>
          <w:sz w:val="20"/>
          <w:szCs w:val="20"/>
          <w:color w:val="auto"/>
        </w:rPr>
        <w:t>. NTIC recognized fee income for services provided to joint ventures of</w:t>
      </w:r>
    </w:p>
    <w:p>
      <w:pPr>
        <w:spacing w:after="0" w:line="2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$5,006,151 during fiscal 2025 compared to $5,251,782 during fiscal 2024, representing a decrease of 4.7%. Fee income for services provided to joint ventures is traditionally a function of the sales made by NTIC’s joint ventures; however, at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640"/>
          </w:cols>
          <w:pgMar w:left="1300" w:top="1132" w:right="1300" w:bottom="376"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color w:val="auto"/>
        </w:rPr>
        <w:t>various joint ventures, the fee income for services is a fixed amount that does not fluctuate with the change in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experienced by certain joint ventures, specifically EXCOR. Net sales at the joint ventures decreased 4.9% to</w:t>
      </w:r>
    </w:p>
    <w:p>
      <w:pPr>
        <w:spacing w:after="0"/>
        <w:rPr>
          <w:sz w:val="20"/>
          <w:szCs w:val="20"/>
          <w:color w:val="auto"/>
        </w:rPr>
      </w:pPr>
      <w:r>
        <w:rPr>
          <w:rFonts w:ascii="Times New Roman" w:cs="Times New Roman" w:eastAsia="Times New Roman" w:hAnsi="Times New Roman"/>
          <w:sz w:val="20"/>
          <w:szCs w:val="20"/>
          <w:color w:val="auto"/>
        </w:rPr>
        <w:t>$91,236,272 during fiscal 2025 compared to $95,940,014 during fiscal 2024. This decrease was primarily due to</w:t>
      </w:r>
    </w:p>
    <w:p>
      <w:pPr>
        <w:spacing w:after="0"/>
        <w:rPr>
          <w:sz w:val="20"/>
          <w:szCs w:val="20"/>
          <w:color w:val="auto"/>
        </w:rPr>
      </w:pPr>
      <w:r>
        <w:rPr>
          <w:rFonts w:ascii="Times New Roman" w:cs="Times New Roman" w:eastAsia="Times New Roman" w:hAnsi="Times New Roman"/>
          <w:sz w:val="20"/>
          <w:szCs w:val="20"/>
          <w:color w:val="auto"/>
        </w:rPr>
        <w:t>decreased demand at NTIC’s joint venture in Germany. Net sales of NTIC’s joint ventures are not included in NTIC’s</w:t>
      </w:r>
    </w:p>
    <w:p>
      <w:pPr>
        <w:spacing w:after="0"/>
        <w:rPr>
          <w:sz w:val="20"/>
          <w:szCs w:val="20"/>
          <w:color w:val="auto"/>
        </w:rPr>
      </w:pPr>
      <w:r>
        <w:rPr>
          <w:rFonts w:ascii="Times New Roman" w:cs="Times New Roman" w:eastAsia="Times New Roman" w:hAnsi="Times New Roman"/>
          <w:sz w:val="20"/>
          <w:szCs w:val="20"/>
          <w:color w:val="auto"/>
        </w:rPr>
        <w:t>product sales and are not included in NTIC’s consolidated financial statements. Of the total fee income for services</w:t>
      </w:r>
    </w:p>
    <w:p>
      <w:pPr>
        <w:spacing w:after="0"/>
        <w:rPr>
          <w:sz w:val="20"/>
          <w:szCs w:val="20"/>
          <w:color w:val="auto"/>
        </w:rPr>
      </w:pPr>
      <w:r>
        <w:rPr>
          <w:rFonts w:ascii="Times New Roman" w:cs="Times New Roman" w:eastAsia="Times New Roman" w:hAnsi="Times New Roman"/>
          <w:sz w:val="20"/>
          <w:szCs w:val="20"/>
          <w:color w:val="auto"/>
        </w:rPr>
        <w:t>provided to joint ventures, fees of $846,281 were attributable to EXCOR during fiscal 2025 compared to $828,932</w:t>
      </w:r>
    </w:p>
    <w:p>
      <w:pPr>
        <w:spacing w:after="0"/>
        <w:rPr>
          <w:sz w:val="20"/>
          <w:szCs w:val="20"/>
          <w:color w:val="auto"/>
        </w:rPr>
      </w:pPr>
      <w:r>
        <w:rPr>
          <w:rFonts w:ascii="Times New Roman" w:cs="Times New Roman" w:eastAsia="Times New Roman" w:hAnsi="Times New Roman"/>
          <w:sz w:val="20"/>
          <w:szCs w:val="20"/>
          <w:color w:val="auto"/>
        </w:rPr>
        <w:t>attributable to EXCOR during fiscal 2024.</w:t>
      </w:r>
    </w:p>
    <w:p>
      <w:pPr>
        <w:spacing w:after="0" w:line="211" w:lineRule="exact"/>
        <w:rPr>
          <w:sz w:val="20"/>
          <w:szCs w:val="20"/>
          <w:color w:val="auto"/>
        </w:rPr>
      </w:pPr>
    </w:p>
    <w:p>
      <w:pPr>
        <w:ind w:right="20" w:firstLine="1"/>
        <w:spacing w:after="0" w:line="235" w:lineRule="auto"/>
        <w:rPr>
          <w:sz w:val="20"/>
          <w:szCs w:val="20"/>
          <w:color w:val="auto"/>
        </w:rPr>
      </w:pPr>
      <w:r>
        <w:rPr>
          <w:rFonts w:ascii="Times New Roman" w:cs="Times New Roman" w:eastAsia="Times New Roman" w:hAnsi="Times New Roman"/>
          <w:sz w:val="20"/>
          <w:szCs w:val="20"/>
          <w:i w:val="1"/>
          <w:iCs w:val="1"/>
          <w:color w:val="auto"/>
        </w:rPr>
        <w:t>Selling Expenses</w:t>
      </w:r>
      <w:r>
        <w:rPr>
          <w:rFonts w:ascii="Times New Roman" w:cs="Times New Roman" w:eastAsia="Times New Roman" w:hAnsi="Times New Roman"/>
          <w:sz w:val="20"/>
          <w:szCs w:val="20"/>
          <w:color w:val="auto"/>
        </w:rPr>
        <w:t>. NTIC’s selling expenses increased 8.6% in fiscal 2025 compared to fiscal 2024 primarily due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increased personnel expense in fiscal 2025 as a result of an expansion in the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oil and gas sales team. As a percentage of net sales, selling expenses increased to 21.2% for fiscal 2025 compared to 19.3% in fiscal 2024 primarily due to increased selling expenses and decreased net sales.</w:t>
      </w:r>
    </w:p>
    <w:p>
      <w:pPr>
        <w:spacing w:after="0" w:line="203"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i w:val="1"/>
          <w:iCs w:val="1"/>
          <w:color w:val="auto"/>
        </w:rPr>
        <w:t>General and Administrative Expenses</w:t>
      </w:r>
      <w:r>
        <w:rPr>
          <w:rFonts w:ascii="Times New Roman" w:cs="Times New Roman" w:eastAsia="Times New Roman" w:hAnsi="Times New Roman"/>
          <w:sz w:val="20"/>
          <w:szCs w:val="20"/>
          <w:color w:val="auto"/>
        </w:rPr>
        <w:t>. NTIC’s general and administrative expenses increased 4.3% in fiscal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to fiscal 2024 primarily due to increased professional services and travel and personnel expenses, which relate in part to increased information technology infrastructure, during fiscal 2025 compared to fiscal 2024. As a percentage of net sales, general and administrative expenses increased to 17.6% for fiscal 2025 from 16.7% for fiscal 2024 primarily due to increased general and administrative expenses and decreased net sales.</w:t>
      </w:r>
    </w:p>
    <w:p>
      <w:pPr>
        <w:spacing w:after="0" w:line="197"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i w:val="1"/>
          <w:iCs w:val="1"/>
          <w:color w:val="auto"/>
        </w:rPr>
        <w:t>Research and Development Expenses</w:t>
      </w:r>
      <w:r>
        <w:rPr>
          <w:rFonts w:ascii="Times New Roman" w:cs="Times New Roman" w:eastAsia="Times New Roman" w:hAnsi="Times New Roman"/>
          <w:sz w:val="20"/>
          <w:szCs w:val="20"/>
          <w:color w:val="auto"/>
        </w:rPr>
        <w:t>. NTIC’s research and development expenses increased 4.9% in fiscal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to fiscal 2024 primarily due to continued investment in new product development.</w:t>
      </w:r>
    </w:p>
    <w:p>
      <w:pPr>
        <w:spacing w:after="0" w:line="16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i w:val="1"/>
          <w:iCs w:val="1"/>
          <w:color w:val="auto"/>
        </w:rPr>
        <w:t>Interest Income</w:t>
      </w:r>
      <w:r>
        <w:rPr>
          <w:rFonts w:ascii="Times New Roman" w:cs="Times New Roman" w:eastAsia="Times New Roman" w:hAnsi="Times New Roman"/>
          <w:sz w:val="20"/>
          <w:szCs w:val="20"/>
          <w:color w:val="auto"/>
        </w:rPr>
        <w:t>. NTIC’s interest income increased to $308,053 in fiscal 2025 compared to $118,827 in fiscal 2024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due to $181,529 in interest income earned on a delayed IRS payment related to Employee Retention Credit (ERC) claims recognized in the second quarter of fiscal 2025, as described in Note 1 to NTIC’s consolidated financial statements, and changes in the invested cash balances and rate of return at various subsidiaries.</w:t>
      </w:r>
    </w:p>
    <w:p>
      <w:pPr>
        <w:spacing w:after="0" w:line="19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i w:val="1"/>
          <w:iCs w:val="1"/>
          <w:color w:val="auto"/>
        </w:rPr>
        <w:t>Interest Expense</w:t>
      </w:r>
      <w:r>
        <w:rPr>
          <w:rFonts w:ascii="Times New Roman" w:cs="Times New Roman" w:eastAsia="Times New Roman" w:hAnsi="Times New Roman"/>
          <w:sz w:val="20"/>
          <w:szCs w:val="20"/>
          <w:color w:val="auto"/>
        </w:rPr>
        <w:t>. NTIC’s interest expense increased to $599,927 in fiscal 2025 compared to $340,129 in fiscal 2024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due to increased average outstanding borrowings during fiscal 2025.</w:t>
      </w:r>
    </w:p>
    <w:p>
      <w:pPr>
        <w:spacing w:after="0" w:line="16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i w:val="1"/>
          <w:iCs w:val="1"/>
          <w:color w:val="auto"/>
        </w:rPr>
        <w:t>Other Income</w:t>
      </w:r>
      <w:r>
        <w:rPr>
          <w:rFonts w:ascii="Times New Roman" w:cs="Times New Roman" w:eastAsia="Times New Roman" w:hAnsi="Times New Roman"/>
          <w:sz w:val="20"/>
          <w:szCs w:val="20"/>
          <w:color w:val="auto"/>
        </w:rPr>
        <w:t>. In February 2025, NTIC recognized $1,139,756 in other income during due to the receipt of an ERC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No other income was recognized during fiscal 2024. The ERC income was recognized upon receipt of a cash payment in accordance with applicable accounting guidance and was claimed under the suspension test criteria, as described in Note 1 to NTIC’s consolidated financial statements. The ERC payment is a one-time event and does not represent recurring operational revenue.</w:t>
      </w:r>
    </w:p>
    <w:p>
      <w:pPr>
        <w:spacing w:after="0" w:line="19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i w:val="1"/>
          <w:iCs w:val="1"/>
          <w:color w:val="auto"/>
        </w:rPr>
        <w:t>Other Expense</w:t>
      </w:r>
      <w:r>
        <w:rPr>
          <w:rFonts w:ascii="Times New Roman" w:cs="Times New Roman" w:eastAsia="Times New Roman" w:hAnsi="Times New Roman"/>
          <w:sz w:val="20"/>
          <w:szCs w:val="20"/>
          <w:color w:val="auto"/>
        </w:rPr>
        <w:t>. In June 2025, NTIC China was notified by Ningbo Customs, the customs authority at the Ningbo Port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China, that certain Natur-Tec® masterbatch resin products had been historically misclassified for export value-added tax rebate purposes. Ningbo Customs reclassified the products to a code that does not qualify for a value- added tax rebate, resulting in repayment obligations and penalties totaling approximately $386,785. NTIC recorded the full amount within Other Expense in fiscal 2025 and is evaluating potential avenues to negotiate a reduction in penalties; however, no such reductions have been agreed upon as of the issuance date of the consolidated financial statements included in this Annual Report on Form 10-K. See Note 16 to NTIC’s consolidated financial statements.</w:t>
      </w:r>
    </w:p>
    <w:p>
      <w:pPr>
        <w:spacing w:after="0" w:line="199"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20"/>
          <w:szCs w:val="20"/>
          <w:i w:val="1"/>
          <w:iCs w:val="1"/>
          <w:color w:val="auto"/>
        </w:rPr>
        <w:t>Income Before Income Tax Expense</w:t>
      </w:r>
      <w:r>
        <w:rPr>
          <w:rFonts w:ascii="Times New Roman" w:cs="Times New Roman" w:eastAsia="Times New Roman" w:hAnsi="Times New Roman"/>
          <w:sz w:val="20"/>
          <w:szCs w:val="20"/>
          <w:color w:val="auto"/>
        </w:rPr>
        <w:t>. NTIC had income before income tax expense of $3,031,395 for fiscal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to income before income tax expense of $7,647,181 for fiscal 2024.</w:t>
      </w:r>
    </w:p>
    <w:p>
      <w:pPr>
        <w:spacing w:after="0" w:line="16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i w:val="1"/>
          <w:iCs w:val="1"/>
          <w:color w:val="auto"/>
        </w:rPr>
        <w:t>Income Tax Expense</w:t>
      </w:r>
      <w:r>
        <w:rPr>
          <w:rFonts w:ascii="Times New Roman" w:cs="Times New Roman" w:eastAsia="Times New Roman" w:hAnsi="Times New Roman"/>
          <w:sz w:val="20"/>
          <w:szCs w:val="20"/>
          <w:color w:val="auto"/>
        </w:rPr>
        <w:t>. Income tax expense was $2,045,002 during fiscal 2025 compared to $1,325,797 during fiscal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2024 for an effective tax rate of 67.5% and 17.3% during fiscal 2025 and 2024, respectively. The change primarily reflects increased income tax expense at NTIC’s foreign subsidiaries. The increase in the effective tax rate is primarily due to the aforementioned increase in income tax expense as compared to reduced consolidated pre-tax book income. As a result, NTIC’s effective tax rate was unusually high and volatile for fiscal 2025. Management expects NTIC’s effective tax rate to normalize in future periods when additional profits are recognized in NTIC’s North American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580"/>
          </w:cols>
          <w:pgMar w:left="1300" w:top="1132" w:right="1360" w:bottom="382" w:gutter="0" w:footer="0" w:header="0"/>
        </w:sectPr>
      </w:pPr>
    </w:p>
    <w:bookmarkStart w:id="131" w:name="page132"/>
    <w:bookmarkEnd w:id="131"/>
    <w:p>
      <w:pPr>
        <w:ind w:right="40"/>
        <w:spacing w:after="0" w:line="247" w:lineRule="auto"/>
        <w:rPr>
          <w:sz w:val="20"/>
          <w:szCs w:val="20"/>
          <w:color w:val="auto"/>
        </w:rPr>
      </w:pPr>
      <w:r>
        <w:rPr>
          <w:rFonts w:ascii="Times New Roman" w:cs="Times New Roman" w:eastAsia="Times New Roman" w:hAnsi="Times New Roman"/>
          <w:sz w:val="20"/>
          <w:szCs w:val="20"/>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$27,667,432 and $23,645,685 as of August 31, 2025 and August 31, 2024, respectively. To the extent undistributed earnings of NTIC’s joint ventures are distributed in the future, they are not expected to result in any material additional income tax liability after the application of foreign tax credits.</w:t>
      </w:r>
    </w:p>
    <w:p>
      <w:pPr>
        <w:spacing w:after="0" w:line="20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i w:val="1"/>
          <w:iCs w:val="1"/>
          <w:color w:val="auto"/>
        </w:rPr>
        <w:t>Net Income Attributable to NTIC</w:t>
      </w:r>
      <w:r>
        <w:rPr>
          <w:rFonts w:ascii="Times New Roman" w:cs="Times New Roman" w:eastAsia="Times New Roman" w:hAnsi="Times New Roman"/>
          <w:sz w:val="20"/>
          <w:szCs w:val="20"/>
          <w:color w:val="auto"/>
        </w:rPr>
        <w:t>. Net income attributable to NTIC decreased to $17,619, or $0.00 per diluted common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 for fiscal 2025 compared to $5,409,082, or $0.55 per diluted common share, for fiscal 2024. This decrease was primarily due to increases in operating expenses, decreases in gross margin and income from our joint venture operations and the other expense incurred as a result of the Customs issue in China discussed above. This decrease in net income attributable to NTIC was partially offset by the one-time ERC payment received during fiscal 2025.</w:t>
      </w:r>
    </w:p>
    <w:p>
      <w:pPr>
        <w:spacing w:after="0" w:line="197" w:lineRule="exact"/>
        <w:rPr>
          <w:sz w:val="20"/>
          <w:szCs w:val="20"/>
          <w:color w:val="auto"/>
        </w:rPr>
      </w:pPr>
    </w:p>
    <w:p>
      <w:pPr>
        <w:ind w:firstLine="2"/>
        <w:spacing w:after="0"/>
        <w:rPr>
          <w:sz w:val="20"/>
          <w:szCs w:val="20"/>
          <w:color w:val="auto"/>
        </w:rPr>
      </w:pPr>
      <w:r>
        <w:rPr>
          <w:rFonts w:ascii="Times New Roman" w:cs="Times New Roman" w:eastAsia="Times New Roman" w:hAnsi="Times New Roman"/>
          <w:sz w:val="20"/>
          <w:szCs w:val="20"/>
          <w:color w:val="auto"/>
        </w:rPr>
        <w:t>NTIC anticipates that its earnings will continue to be adversely affected to some extent by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 into the oil and gas industry, and sales of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bioplastics products, which sales fluctuate more on a quarterly basis than the traditional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business.</w:t>
      </w:r>
    </w:p>
    <w:p>
      <w:pPr>
        <w:spacing w:after="0" w:line="12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i w:val="1"/>
          <w:iCs w:val="1"/>
          <w:color w:val="auto"/>
        </w:rPr>
        <w:t>Other Comprehensive Income – Foreign Currency Translations Adjustment</w:t>
      </w:r>
      <w:r>
        <w:rPr>
          <w:rFonts w:ascii="Times New Roman" w:cs="Times New Roman" w:eastAsia="Times New Roman" w:hAnsi="Times New Roman"/>
          <w:sz w:val="20"/>
          <w:szCs w:val="20"/>
          <w:color w:val="auto"/>
        </w:rPr>
        <w:t>. The changes in the foreign currency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translations adjustment were due to the fluctuation of the U.S. dollar compared to the Euro and other foreign currencies during fiscal 2025 compared to fiscal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Cash and Working Capital</w:t>
      </w:r>
    </w:p>
    <w:p>
      <w:pPr>
        <w:spacing w:after="0" w:line="239"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NTIC’s working capital, defined as current assets less current liabilities, was $20,438,722 as of August 31, 2025, including $7,250,523 in cash and cash equivalents, $9,329,021 outstanding under NTIC’s line of credit, $2,804,695 outstanding under NTIC China’s term loans and $522,545 outstanding under Natur-Tec India’s term loan, compared to $23,682,276 as of August 31, 2024, including $4,952,184 in cash and cash equivalents, $4,291,608 outstanding under NTIC’s line of credit and $2,820,835 outstanding under NTIC China’s term loans. Reducing debt through positive operating cash flow and improving working capital efficiencies will be a strategic focus for fiscal 2026.</w:t>
      </w:r>
    </w:p>
    <w:p>
      <w:pPr>
        <w:spacing w:after="0" w:line="200" w:lineRule="exact"/>
        <w:rPr>
          <w:sz w:val="20"/>
          <w:szCs w:val="20"/>
          <w:color w:val="auto"/>
        </w:rPr>
      </w:pPr>
    </w:p>
    <w:p>
      <w:pPr>
        <w:ind w:right="60" w:firstLine="1"/>
        <w:spacing w:after="0" w:line="237" w:lineRule="auto"/>
        <w:rPr>
          <w:sz w:val="20"/>
          <w:szCs w:val="20"/>
          <w:color w:val="auto"/>
        </w:rPr>
      </w:pPr>
      <w:r>
        <w:rPr>
          <w:rFonts w:ascii="Times New Roman" w:cs="Times New Roman" w:eastAsia="Times New Roman" w:hAnsi="Times New Roman"/>
          <w:sz w:val="20"/>
          <w:szCs w:val="20"/>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In fiscal 2026, NTIC expects to continue to invest through its use of working capital in Zerust India, NTIC China, NTI Europe, its joint ventures, research and development, marketing efforts, resources for the application of its corrosion prevention technology in the oil and gas industry, and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bio-plastics business, although the amounts of these various investments are not known at this time.</w:t>
      </w:r>
    </w:p>
    <w:p>
      <w:pPr>
        <w:spacing w:after="0" w:line="20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NTIC also expects to use some of its capital resources to acquire the remaining ownership interests of joint ventures not owned by NTIC as they become available or appropriate and for the formation of one or more new subsidiaries to assume the operations of a joint venture. Some of these joint venture transitions may materially impact NTIC’s results of operations for a particular reporting period.</w:t>
      </w:r>
    </w:p>
    <w:p>
      <w:pPr>
        <w:spacing w:after="0" w:line="19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200"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9"/>
          <w:szCs w:val="19"/>
          <w:color w:val="auto"/>
        </w:rPr>
        <w:t>In order to take advantage of new product and market opportunities to expand its business and increase its revenues and assist with joint venture transitions, NTIC may decide to finance such opportunities by additional borrowings under its</w:t>
      </w: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640"/>
          </w:cols>
          <w:pgMar w:left="1300" w:top="1132" w:right="1300" w:bottom="382" w:gutter="0" w:footer="0" w:header="0"/>
        </w:sectPr>
      </w:pPr>
    </w:p>
    <w:bookmarkStart w:id="132" w:name="page133"/>
    <w:bookmarkEnd w:id="132"/>
    <w:p>
      <w:pPr>
        <w:ind w:right="340"/>
        <w:spacing w:after="0" w:line="258" w:lineRule="auto"/>
        <w:rPr>
          <w:sz w:val="20"/>
          <w:szCs w:val="20"/>
          <w:color w:val="auto"/>
        </w:rPr>
      </w:pPr>
      <w:r>
        <w:rPr>
          <w:rFonts w:ascii="Times New Roman" w:cs="Times New Roman" w:eastAsia="Times New Roman" w:hAnsi="Times New Roman"/>
          <w:sz w:val="20"/>
          <w:szCs w:val="20"/>
          <w:color w:val="auto"/>
        </w:rPr>
        <w:t>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Agreement with JPMorgan Chase Bank, N.A.</w:t>
      </w:r>
    </w:p>
    <w:p>
      <w:pPr>
        <w:spacing w:after="0" w:line="23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NTIC is party to a Credit Agreement (as amended, the Credit Agreement) with JPMorgan Chase Bank, N.A. (JPM), which provides NTIC with a senior secured revolving line of credit (the Credit Facility) of up to $10.0 million. The Credit Facility includes a $5.0 million sublimit for standby letters of credit. Borrowings of $9,329,021 were outstanding under the Credit Facility as of August 31, 2025. Since NTIC was out of compliance with the fixed charge coverage ratio under the Credit Agreement, NTIC obtained a waiver of the non-compliance from JPM. Based on its current business plan and projections for fiscal 2026, NTIC expects to remain in compliance with the covenant during fiscal 2026, although no assurance can be provided that it will do so. The principal amount under the Credit Facility, together with all accrued unpaid interest and other amounts owing thereunder, if any, will be payable in full on the January 5, 2026 maturity date unless the Credit Facility is extended or renewed or terminated earlier. It is anticipated that the Credit Facility will be renewed each year for one additional year for the immediate foreseeable future.</w:t>
      </w:r>
    </w:p>
    <w:p>
      <w:pPr>
        <w:spacing w:after="0" w:line="203"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2.35% applied per annum. There is no applicable margin with respect to borrowings using a CB Floating Rate. The weighted average interest rate was 6.61% for fiscal 2025.</w:t>
      </w:r>
    </w:p>
    <w:p>
      <w:pPr>
        <w:spacing w:after="0" w:line="19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To secure the Credit Agreement, NTIC assigned to JPM a continuing security interest in all of its right, title and interest in collateral made up of the assets of NTIC.</w:t>
      </w:r>
    </w:p>
    <w:p>
      <w:pPr>
        <w:spacing w:after="0" w:line="16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w:t>
      </w:r>
    </w:p>
    <w:p>
      <w:pPr>
        <w:spacing w:after="0" w:line="5"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color w:val="auto"/>
        </w:rPr>
        <w:t>1.25 to 1.00. The term “Fixed Charge Coverage Ratio” means the ratio, computed for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20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Credit Arrangements</w:t>
      </w:r>
    </w:p>
    <w:p>
      <w:pPr>
        <w:spacing w:after="0" w:line="23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On each of April 22, 2025 and May 29, 2025, NTIC’s wholly owned subsidiary in China, NTIC China, entered into a loan agreement with China Construction Bank Corporation. Each term loan provided NTIC China with a RMB 10,000,000 (USD $1.39 million). The term loans mature in April 2026 and May 2026, respectively, unless extended. It is anticipated that each term loan will be extended for an additional one-year period. The term loan that matures in April 2026 has an annual interest rate of 2.75% with interest due monthly, and the term loan that matures in May 2026 has an annual interest rate of 2.96% with interest due monthly. Both term loans are secured by an office building owned by NTIC China and the loan agreements contain certain financial and other covenants. NTIC was in compliance with the covenants as of August 31, 2025. The outstanding balance as of August 31, 2025 for both term loans is a total of USD $2,804,695.</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640"/>
          </w:cols>
          <w:pgMar w:left="1300" w:top="1132" w:right="1300" w:bottom="382" w:gutter="0" w:footer="0" w:header="0"/>
        </w:sectPr>
      </w:pPr>
    </w:p>
    <w:bookmarkStart w:id="133" w:name="page134"/>
    <w:bookmarkEnd w:id="133"/>
    <w:p>
      <w:pPr>
        <w:ind w:right="40"/>
        <w:spacing w:after="0" w:line="243" w:lineRule="auto"/>
        <w:rPr>
          <w:sz w:val="20"/>
          <w:szCs w:val="20"/>
          <w:color w:val="auto"/>
        </w:rPr>
      </w:pPr>
      <w:r>
        <w:rPr>
          <w:rFonts w:ascii="Times New Roman" w:cs="Times New Roman" w:eastAsia="Times New Roman" w:hAnsi="Times New Roman"/>
          <w:sz w:val="20"/>
          <w:szCs w:val="20"/>
          <w:color w:val="auto"/>
        </w:rPr>
        <w:t>On August 30, 2025, NTIC’s majority owned subsidiary in India, Natur-Tec India, entered into a Foreign Currency Term Loan Agreement with IDFC FIRST Bank Limited (the Bank). The term loan provides Natur-Tec India with a facility of INR 500 lakhs (USD $600,000) to finance the purchase of land in Chennai, India. The loan was disbursed on August 30, 2025 for INR 461 lakhs (USD $522,545) and is repayable in 85 monthly installments to a US dollar account of USD $7,899 each beginning October 5, 2025 and continuing through September 5, 2032. Borrowings bear interest at a fixed rate of 6.45% per annum. The loan is secured by a lien over Natur-Tec India’s cash deposits with the Bank totaling INR 476 lakhs (USD $539,731), and the related land purchase is expected to be registered in late November 2025. The outstanding balance as of August 31, 2025 was INR 461 lakhs (USD $522,545), of which INR 61.7 lakhs (USD $55,561) was classified as current and INR 399.3 lakhs (USD $466,984) as long-term. The term loan contains customary affirmative and negative covenants applicable to Natur- Tec India, including, among other matters, restrictions on incurring additional indebtedness, creating liens, or changing the nature of its business. Natur-Tec India was in compliance with all covenants as of August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Uses of Cash and Cash Flow</w:t>
      </w:r>
    </w:p>
    <w:p>
      <w:pPr>
        <w:spacing w:after="0" w:line="23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Net cash provided by operating activities during fiscal 2025 was $2,388,573$2,442,955, which resulted principally from NTIC’s net income, dividends received from joint ventures, depreciation and amortization expense, stock-based compensation and changes in working capital, deferred income tax, partially offset by equity in income from joint ventures and changes in working capital. Net cash provided by operating activities during fiscal 2024 was $5,883,193, which resulted principally from NTIC’s net income, dividends received from joint ventures, dividends receivable from joint venture, depreciation and amortization expense, stock-based compensation and changes in working capital, partially offset by equity in income from joint ventures, deferred income tax and an increase in trade receivables and inventories.</w:t>
      </w:r>
    </w:p>
    <w:p>
      <w:pPr>
        <w:spacing w:after="0" w:line="20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20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auto"/>
        </w:rPr>
        <w:t>NTIC experienced a decrease in trade receivables and an increase in inventory as of August 31, 2025 compared to August 31, 2024. Trade receivables as of August 31, 2025 decreased $743,849 compared to August 31, 2024, primarily related to timing differences of sales and collections.</w:t>
      </w:r>
    </w:p>
    <w:p>
      <w:pPr>
        <w:spacing w:after="0" w:line="185"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color w:val="auto"/>
        </w:rPr>
        <w:t>Outstanding trade receivables increased by an average of 2 days to an average of 80 days from balances outstanding from these customers as of August 31, 2025 from an average of 82 days as of August 31, 2024.</w:t>
      </w:r>
    </w:p>
    <w:p>
      <w:pPr>
        <w:spacing w:after="0" w:line="16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Outstanding receivables for services provided to joint ventures as of August 31, 2025 decreased $157,464 compared to August 31, 2024, and the average days to pay decreased an average of 7 days to an average of 79 days from an average of 86 days as of August 31, 2024.</w:t>
      </w:r>
    </w:p>
    <w:p>
      <w:pPr>
        <w:spacing w:after="0" w:line="187"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20"/>
          <w:szCs w:val="20"/>
          <w:color w:val="auto"/>
        </w:rPr>
        <w:t>Net cash used in investing activities during fiscal 2025 was $3,390,323, which was primarily the result of purchases of property and equipment and investment in intangibles for software costs, and, to a lesser extent, investments in patents. Net cash used in investing activities during fiscal 2024 was $3,418,228, which was primarily the result of purchases of property and equipment, investment in intangibles for software costs and investments in patents.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620"/>
          </w:cols>
          <w:pgMar w:left="1300" w:top="1132" w:right="1320" w:bottom="382" w:gutter="0" w:footer="0" w:header="0"/>
        </w:sectPr>
      </w:pPr>
    </w:p>
    <w:bookmarkStart w:id="134" w:name="page135"/>
    <w:bookmarkEnd w:id="134"/>
    <w:p>
      <w:pPr>
        <w:spacing w:after="0" w:line="247" w:lineRule="auto"/>
        <w:rPr>
          <w:sz w:val="20"/>
          <w:szCs w:val="20"/>
          <w:color w:val="auto"/>
        </w:rPr>
      </w:pPr>
      <w:r>
        <w:rPr>
          <w:rFonts w:ascii="Times New Roman" w:cs="Times New Roman" w:eastAsia="Times New Roman" w:hAnsi="Times New Roman"/>
          <w:sz w:val="20"/>
          <w:szCs w:val="20"/>
          <w:color w:val="auto"/>
        </w:rPr>
        <w:t>Net cash used in financing activities for fiscal 2025 was $3,861,638, which resulted from borrowing on the line of credit, proceeds from long-term debt and NTIC’s employee stock purchase plan, partially offset by repayments on the line of credit, dividends paid on NTIC common stock and dividends received by non-controlling interest. Net cash used in financing activities for fiscal 2024 was $2,957,280, which resulted from dividends paid on NTIC common stock and dividends received by non-controlling interest and was partially offset by borrowings under the line of credit and proceeds from the exercise of stock options and NTIC’s employee stock purchase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Repurchase Program</w:t>
      </w:r>
    </w:p>
    <w:p>
      <w:pPr>
        <w:spacing w:after="0" w:line="239" w:lineRule="exact"/>
        <w:rPr>
          <w:sz w:val="20"/>
          <w:szCs w:val="20"/>
          <w:color w:val="auto"/>
        </w:rPr>
      </w:pPr>
    </w:p>
    <w:p>
      <w:pPr>
        <w:ind w:right="380"/>
        <w:spacing w:after="0" w:line="249" w:lineRule="auto"/>
        <w:rPr>
          <w:sz w:val="20"/>
          <w:szCs w:val="20"/>
          <w:color w:val="auto"/>
        </w:rPr>
      </w:pPr>
      <w:r>
        <w:rPr>
          <w:rFonts w:ascii="Times New Roman" w:cs="Times New Roman" w:eastAsia="Times New Roman" w:hAnsi="Times New Roman"/>
          <w:sz w:val="20"/>
          <w:szCs w:val="20"/>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 As of August 31, 2025, up to $2,640,548 in shares of NTIC common stock remained available for repurchase under NTIC’s stock repurchase program. No repurchases occurred during fiscal 2025 or fiscal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Dividends</w:t>
      </w:r>
    </w:p>
    <w:p>
      <w:pPr>
        <w:spacing w:after="0" w:line="239"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During fiscal 2025, NTIC’s Board of Directors declared cash dividends on the following dates in the following amounts to holders of record of NTIC common stock as of the following record dates:</w:t>
      </w:r>
    </w:p>
    <w:p>
      <w:pPr>
        <w:spacing w:after="0" w:line="164" w:lineRule="exact"/>
        <w:rPr>
          <w:sz w:val="20"/>
          <w:szCs w:val="20"/>
          <w:color w:val="auto"/>
        </w:rPr>
      </w:pPr>
    </w:p>
    <w:tbl>
      <w:tblPr>
        <w:tblLayout w:type="fixed"/>
        <w:tblInd w:w="80" w:type="dxa"/>
        <w:tblCellMar>
          <w:top w:w="0" w:type="dxa"/>
          <w:left w:w="0" w:type="dxa"/>
          <w:bottom w:w="0" w:type="dxa"/>
          <w:right w:w="0" w:type="dxa"/>
        </w:tblCellMar>
      </w:tblPr>
      <w:tr>
        <w:trPr>
          <w:trHeight w:val="272"/>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Declaration Date</w:t>
            </w:r>
          </w:p>
        </w:tc>
        <w:tc>
          <w:tcPr>
            <w:tcW w:w="160" w:type="dxa"/>
            <w:vAlign w:val="bottom"/>
          </w:tcPr>
          <w:p>
            <w:pPr>
              <w:spacing w:after="0"/>
              <w:rPr>
                <w:sz w:val="23"/>
                <w:szCs w:val="2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160" w:type="dxa"/>
            <w:vAlign w:val="bottom"/>
          </w:tcPr>
          <w:p>
            <w:pPr>
              <w:spacing w:after="0"/>
              <w:rPr>
                <w:sz w:val="23"/>
                <w:szCs w:val="23"/>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Record Date</w:t>
            </w:r>
          </w:p>
        </w:tc>
        <w:tc>
          <w:tcPr>
            <w:tcW w:w="160" w:type="dxa"/>
            <w:vAlign w:val="bottom"/>
          </w:tcPr>
          <w:p>
            <w:pPr>
              <w:spacing w:after="0"/>
              <w:rPr>
                <w:sz w:val="23"/>
                <w:szCs w:val="2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Payable Date</w:t>
            </w:r>
          </w:p>
        </w:tc>
      </w:tr>
      <w:tr>
        <w:trPr>
          <w:trHeight w:val="202"/>
        </w:trPr>
        <w:tc>
          <w:tcPr>
            <w:tcW w:w="2260" w:type="dxa"/>
            <w:vAlign w:val="bottom"/>
          </w:tcPr>
          <w:p>
            <w:pPr>
              <w:jc w:val="center"/>
              <w:spacing w:after="0" w:line="202" w:lineRule="exact"/>
              <w:rPr>
                <w:sz w:val="20"/>
                <w:szCs w:val="20"/>
                <w:color w:val="auto"/>
              </w:rPr>
            </w:pPr>
            <w:r>
              <w:rPr>
                <w:rFonts w:ascii="Times New Roman" w:cs="Times New Roman" w:eastAsia="Times New Roman" w:hAnsi="Times New Roman"/>
                <w:sz w:val="20"/>
                <w:szCs w:val="20"/>
                <w:color w:val="auto"/>
                <w:w w:val="98"/>
              </w:rPr>
              <w:t>October 16, 2024</w:t>
            </w:r>
          </w:p>
        </w:tc>
        <w:tc>
          <w:tcPr>
            <w:tcW w:w="16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20"/>
                <w:szCs w:val="20"/>
                <w:color w:val="auto"/>
                <w:w w:val="97"/>
              </w:rPr>
              <w:t>$0.07</w:t>
            </w:r>
          </w:p>
        </w:tc>
        <w:tc>
          <w:tcPr>
            <w:tcW w:w="160" w:type="dxa"/>
            <w:vAlign w:val="bottom"/>
          </w:tcPr>
          <w:p>
            <w:pPr>
              <w:spacing w:after="0"/>
              <w:rPr>
                <w:sz w:val="17"/>
                <w:szCs w:val="17"/>
                <w:color w:val="auto"/>
              </w:rPr>
            </w:pPr>
          </w:p>
        </w:tc>
        <w:tc>
          <w:tcPr>
            <w:tcW w:w="2260" w:type="dxa"/>
            <w:vAlign w:val="bottom"/>
          </w:tcPr>
          <w:p>
            <w:pPr>
              <w:jc w:val="center"/>
              <w:spacing w:after="0" w:line="202" w:lineRule="exact"/>
              <w:rPr>
                <w:sz w:val="20"/>
                <w:szCs w:val="20"/>
                <w:color w:val="auto"/>
              </w:rPr>
            </w:pPr>
            <w:r>
              <w:rPr>
                <w:rFonts w:ascii="Times New Roman" w:cs="Times New Roman" w:eastAsia="Times New Roman" w:hAnsi="Times New Roman"/>
                <w:sz w:val="20"/>
                <w:szCs w:val="20"/>
                <w:color w:val="auto"/>
              </w:rPr>
              <w:t>October 30, 2024</w:t>
            </w:r>
          </w:p>
        </w:tc>
        <w:tc>
          <w:tcPr>
            <w:tcW w:w="16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20"/>
                <w:szCs w:val="20"/>
                <w:color w:val="auto"/>
              </w:rPr>
              <w:t>November 13, 2024</w:t>
            </w:r>
          </w:p>
        </w:tc>
      </w:tr>
      <w:tr>
        <w:trPr>
          <w:trHeight w:val="229"/>
        </w:trPr>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15, 2025</w:t>
            </w:r>
          </w:p>
        </w:tc>
        <w:tc>
          <w:tcPr>
            <w:tcW w:w="24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$0.07</w:t>
            </w:r>
          </w:p>
        </w:tc>
        <w:tc>
          <w:tcPr>
            <w:tcW w:w="1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29, 2025</w:t>
            </w:r>
          </w:p>
        </w:tc>
        <w:tc>
          <w:tcPr>
            <w:tcW w:w="16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12, 2025</w:t>
            </w:r>
          </w:p>
        </w:tc>
      </w:tr>
      <w:tr>
        <w:trPr>
          <w:trHeight w:val="230"/>
        </w:trPr>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16, 2025</w:t>
            </w:r>
          </w:p>
        </w:tc>
        <w:tc>
          <w:tcPr>
            <w:tcW w:w="24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$0.01</w:t>
            </w:r>
          </w:p>
        </w:tc>
        <w:tc>
          <w:tcPr>
            <w:tcW w:w="16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30, 2025</w:t>
            </w:r>
          </w:p>
        </w:tc>
        <w:tc>
          <w:tcPr>
            <w:tcW w:w="16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14, 2025</w:t>
            </w:r>
          </w:p>
        </w:tc>
      </w:tr>
      <w:tr>
        <w:trPr>
          <w:trHeight w:val="267"/>
        </w:trPr>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July 16, 2025</w:t>
            </w:r>
          </w:p>
        </w:tc>
        <w:tc>
          <w:tcPr>
            <w:tcW w:w="24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$0.01</w:t>
            </w:r>
          </w:p>
        </w:tc>
        <w:tc>
          <w:tcPr>
            <w:tcW w:w="16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30, 2025</w:t>
            </w:r>
          </w:p>
        </w:tc>
        <w:tc>
          <w:tcPr>
            <w:tcW w:w="16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13, 2025</w:t>
            </w:r>
          </w:p>
        </w:tc>
      </w:tr>
    </w:tbl>
    <w:p>
      <w:pPr>
        <w:spacing w:after="0" w:line="193" w:lineRule="exact"/>
        <w:rPr>
          <w:sz w:val="20"/>
          <w:szCs w:val="20"/>
          <w:color w:val="auto"/>
        </w:rPr>
      </w:pPr>
    </w:p>
    <w:p>
      <w:pPr>
        <w:jc w:val="both"/>
        <w:ind w:right="380"/>
        <w:spacing w:after="0" w:line="278" w:lineRule="auto"/>
        <w:rPr>
          <w:sz w:val="20"/>
          <w:szCs w:val="20"/>
          <w:color w:val="auto"/>
        </w:rPr>
      </w:pPr>
      <w:r>
        <w:rPr>
          <w:rFonts w:ascii="Times New Roman" w:cs="Times New Roman" w:eastAsia="Times New Roman" w:hAnsi="Times New Roman"/>
          <w:sz w:val="20"/>
          <w:szCs w:val="20"/>
          <w:color w:val="auto"/>
        </w:rPr>
        <w:t>On April 10, 2025, NTIC announced that it had determined to temporarily adjust its quarterly dividend to $0.01 per share effective with its fiscal 2025 third quarter dividend in light of the current global environment.</w:t>
      </w:r>
    </w:p>
    <w:p>
      <w:pPr>
        <w:spacing w:after="0" w:line="168"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Subsequent to the end of fiscal 2025, on October 15, 2025, NTIC’s Board of Directors declared a cash dividend of $0.01 per share of NTIC’s common stock, payable on November 12, 2025 to stockholders of record on October 29, 2025.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 and Commitments</w:t>
      </w:r>
    </w:p>
    <w:p>
      <w:pPr>
        <w:spacing w:after="0" w:line="24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NTIC spent $3,950,323 on capital expenditures during fiscal 2025, which related primarily to facility improvements to the warehouse facility NTIC purchased during fiscal 2023 and the installation of a new Enterprise Resource Planning (ERP) software system and associated equipment. NTIC expects to spend an aggregate of approximately $3,000,000 to $4,500,000 on capital expenditures during fiscal 2026, which it expects will relate primarily to construction of new buildings and warehouses in India and Brazil, as well as the purchase of new equipment and facility improvements in the United States.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 and Seasonality</w:t>
      </w:r>
    </w:p>
    <w:p>
      <w:pPr>
        <w:spacing w:after="0" w:line="24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Inflation in the United States and abroad historically has had minimal effect on NTIC and did not adversely affect NTIC’s gross margins during fiscal 2025. NTIC believes there is some seasonality in its business. NTIC’s net sales in the second fiscal quarter are typically adversely affected by the long Chinese New Year, the North American holiday season, and overall less corrosion taking place at lower winter temperatures worldwide.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243" w:lineRule="exact"/>
        <w:rPr>
          <w:sz w:val="20"/>
          <w:szCs w:val="20"/>
          <w:color w:val="auto"/>
        </w:rPr>
      </w:pPr>
    </w:p>
    <w:p>
      <w:pPr>
        <w:ind w:right="840"/>
        <w:spacing w:after="0" w:line="278" w:lineRule="auto"/>
        <w:rPr>
          <w:sz w:val="20"/>
          <w:szCs w:val="20"/>
          <w:color w:val="auto"/>
        </w:rPr>
      </w:pPr>
      <w:r>
        <w:rPr>
          <w:rFonts w:ascii="Times New Roman" w:cs="Times New Roman" w:eastAsia="Times New Roman" w:hAnsi="Times New Roman"/>
          <w:sz w:val="20"/>
          <w:szCs w:val="20"/>
          <w:color w:val="auto"/>
        </w:rPr>
        <w:t>For information regarding NTIC’s exposure to market risk, see “</w:t>
      </w:r>
      <w:r>
        <w:rPr>
          <w:rFonts w:ascii="Times New Roman" w:cs="Times New Roman" w:eastAsia="Times New Roman" w:hAnsi="Times New Roman"/>
          <w:sz w:val="20"/>
          <w:szCs w:val="20"/>
          <w:i w:val="1"/>
          <w:iCs w:val="1"/>
          <w:color w:val="auto"/>
        </w:rPr>
        <w:t>Part I. Item 7A. Quantitative and Qualitative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 About Market Risk</w:t>
      </w:r>
      <w:r>
        <w:rPr>
          <w:rFonts w:ascii="Times New Roman" w:cs="Times New Roman" w:eastAsia="Times New Roman" w:hAnsi="Times New Roman"/>
          <w:sz w:val="20"/>
          <w:szCs w:val="20"/>
          <w:color w:val="auto"/>
        </w:rPr>
        <w: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620"/>
          </w:cols>
          <w:pgMar w:left="1300" w:top="1132" w:right="1320" w:bottom="382"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color w:val="auto"/>
        </w:rPr>
        <w:t>Related Party Transactions</w:t>
      </w:r>
    </w:p>
    <w:p>
      <w:pPr>
        <w:spacing w:after="0" w:line="243"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Since NTIC’s joint ventures are considered related parties, NTIC recorded sales to its joint ventures as a separate line item on the face of NTIC’s consolidated statements of operations and recorded fees for services provided to its joint ventures as separate line items on the face of NTIC’s consolidated statements of operations. NTIC also records trade receivables from joint ventures, receivables for fees for services provided to joint ventures, and NTIC’s investments in joint ventures as separate line items on its consolidated balance sheets.</w:t>
      </w:r>
    </w:p>
    <w:p>
      <w:pPr>
        <w:spacing w:after="0" w:line="19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NTIC established its joint venture network approximately 30 years ago as a method to increase its worldwide distribution network for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and services. NTIC participates, either directly or indirectly, in 15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14 to NTIC’s consolidated financial statements for other related party transaction disclosures.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those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24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included in this report include the accounts of Northern Technologies International Corporation, its wholly owned subsidiaries, Northern Technologies Holding Company, LLC, NTIC (Shanghai) Co., Ltd., NTIC Europe GmbH ZERUST-EXCOR MEXICO, S. de R.L. de C.V., and HNTI Limited, NTIC’s majority-owned subsidiary in Brazil, Zerust Prevenção de Corrosão S.A., NTIC’s majority-owned holding company, NTI Asean LLC, and NTIC’s majority-owned subsidiary in India, Natur-Tec India Private Limited, Natur-Tec Lanka, Zerust Integrity Solutions Trading LLC (ZIS UAE), Zerust Singapore Pte Ltd (Zerust Singapore), Zerust Vietnam Co. Ltd (Zerust Vietnam) and Zerust Taiwan Co. Ltd (Zerust Taiwan). NTIC’s consolidated financial statements do not include the accounts of any of its joint ventures.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640"/>
          </w:cols>
          <w:pgMar w:left="1300" w:top="1128" w:right="1300" w:bottom="382"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Joint Ventures and Recoverability of Investments in Joint Ventures</w:t>
      </w:r>
    </w:p>
    <w:p>
      <w:pPr>
        <w:spacing w:after="0" w:line="23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anything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at Carrying Value</w:t>
      </w:r>
    </w:p>
    <w:p>
      <w:pPr>
        <w:spacing w:after="0" w:line="24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9"/>
          <w:szCs w:val="19"/>
          <w:color w:val="auto"/>
        </w:rPr>
        <w:t>If NTIC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71" w:lineRule="exact"/>
        <w:rPr>
          <w:sz w:val="20"/>
          <w:szCs w:val="20"/>
          <w:color w:val="auto"/>
        </w:rPr>
      </w:pPr>
    </w:p>
    <w:p>
      <w:pPr>
        <w:ind w:firstLine="1"/>
        <w:spacing w:after="0" w:line="244" w:lineRule="auto"/>
        <w:rPr>
          <w:sz w:val="20"/>
          <w:szCs w:val="20"/>
          <w:color w:val="auto"/>
        </w:rPr>
      </w:pPr>
      <w:r>
        <w:rPr>
          <w:rFonts w:ascii="Times New Roman" w:cs="Times New Roman" w:eastAsia="Times New Roman" w:hAnsi="Times New Roman"/>
          <w:sz w:val="20"/>
          <w:szCs w:val="20"/>
          <w:color w:val="auto"/>
        </w:rPr>
        <w:t>Investments are considered to be impaired when a decline in fair value is judged to be other-than-temporary. Fair value is calculated based on publicly available market information or other estimates determined by management. NTIC employs a systematic methodology on a quarterly basis that considers available quantitative and qualitative evidence in evaluating potential impairment of its investments. If the cost of an investment exceeds its fair value, NTIC evaluates, among other factors, general market conditions, credit quality of debt instrument issuers, the duration and extent to which the fair value is less than cost, and for equity securities, its intent and ability to hold, or plans to sell, the investment. NTIC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3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Revenue is measured based on consideration specified in the contract with a customer, adjusted for any applicable estimates of variable consideration and other factors affecting the transaction price, including noncash consideration, consideration paid or payable to customers, and significant financing components. While most of NTIC’s revenue is contracted with customers through one-time purchase orders and short-term contracts, NTIC does have long-term arrangements with certain customers. Revenue from all customers is recognized when a performance obligation is satisfied by transferring control of a distinct good or service to a customer. The transaction price for NTIC’s products is the invoiced amount. Revenue is recognized when transfer of control occurs as defined by the terms in the customer agreement, generally upon shipment of product.</w:t>
      </w:r>
    </w:p>
    <w:p>
      <w:pPr>
        <w:spacing w:after="0" w:line="1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With respect to recording revenue related to fees earned for services provided to NTIC’s joint ventures, amounts are earned when product is shipped from joint venture facilities, at which point a sale is deemed to have occurred and results in obligation for the joint venture to pay the royalty and recognition of the fee by NTIC.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based on licensing or other agreements with its joint ventures. NTIC receives fees for the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620"/>
          </w:cols>
          <w:pgMar w:left="1300" w:top="1132" w:right="1320" w:bottom="382" w:gutter="0" w:footer="0" w:header="0"/>
        </w:sectPr>
      </w:pPr>
    </w:p>
    <w:bookmarkStart w:id="137" w:name="page138"/>
    <w:bookmarkEnd w:id="137"/>
    <w:p>
      <w:pPr>
        <w:ind w:right="120"/>
        <w:spacing w:after="0" w:line="249" w:lineRule="auto"/>
        <w:rPr>
          <w:sz w:val="20"/>
          <w:szCs w:val="20"/>
          <w:color w:val="auto"/>
        </w:rPr>
      </w:pPr>
      <w:r>
        <w:rPr>
          <w:rFonts w:ascii="Times New Roman" w:cs="Times New Roman" w:eastAsia="Times New Roman" w:hAnsi="Times New Roman"/>
          <w:sz w:val="20"/>
          <w:szCs w:val="20"/>
          <w:color w:val="auto"/>
        </w:rPr>
        <w:t>Goodwill represents the excess purchase price over the fair value of tangible net assets acquired in acquisitions after amounts have been allocated to intangible assets. Goodwill is tested for impairment annually (at August 31),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Recoverability of Long-Lived Assets</w:t>
      </w:r>
    </w:p>
    <w:p>
      <w:pPr>
        <w:spacing w:after="0" w:line="24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 (Accumulated Other Comprehensive Loss)</w:t>
      </w:r>
    </w:p>
    <w:p>
      <w:pPr>
        <w:spacing w:after="0" w:line="23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functional currency of each international joint venture and subsidiary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 (loss).</w:t>
      </w:r>
    </w:p>
    <w:p>
      <w:pPr>
        <w:spacing w:after="0" w:line="19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NTIC (excluding NTIC China, Zerust Brazil, Natur-Tec India, Natur-Tec Lanka, NTI Asean, Zerust Singapore, Zerust Vietnam, Zerust Taiwan, Zerust Mexico, Zerust India, NTI Europe, and NTIC’s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from joint ventures reflected in NTIC’s consolidated statements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9"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NTIC utilizes the asset and liability method of accounting for income taxes, which requires the recognition of deferred tax assets 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spacing w:after="0" w:line="20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NTIC records net deferred tax assets to the extent NTIC believes these assets will more likely than not be realized. In making such a determination, NTIC considers all available positive and negative evidence, including future reversals of existing taxable temporary differences, projected future taxable income, tax-planning strategies, and results of recent operations, including the prior three-year history. In the event NTIC determines that it would be able to realize its deferred tax assets in the future in excess of their net recorded amount, NTIC makes an adjustment to the deferred tax asset valuation allowance, which would reduce the provision for income taxes.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2 and 3 to NTIC’s consolidated financial statements for a discussion of recent accounting pronouncements.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640"/>
          </w:cols>
          <w:pgMar w:left="1300" w:top="1132" w:right="1300" w:bottom="382" w:gutter="0" w:footer="0" w:header="0"/>
        </w:sectPr>
      </w:pPr>
    </w:p>
    <w:bookmarkStart w:id="138" w:name="page139"/>
    <w:bookmarkEnd w:id="138"/>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43"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color w:val="auto"/>
        </w:rPr>
        <w:t>NTIC is exposed to some market risk stemming from changes in foreign currency exchange rates, tariffs, commodity prices and interest rates.</w:t>
      </w:r>
    </w:p>
    <w:p>
      <w:pPr>
        <w:spacing w:after="0" w:line="16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20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tariff environment is complex and evolving. NTIC’s business incurred in fiscal 2025, and expects to continue to incur in fiscal 2026, additional costs as it relates to tariffs. NTIC has taken and will continue to take action to mitigate inflationary pressures caused by tariffs through a combination of targeted price increases, supplier diversification and other strategic sourcing adjustments, cost reductions, and manufacturing optimization. With respect to NTIC China, specifically, the majority of NTIC China’s production and sales are for local consumption; and therefore, NTIC believes NTIC China’s exposure to tariffs, included those imposed by the United States is limited.</w:t>
      </w:r>
    </w:p>
    <w:p>
      <w:pPr>
        <w:spacing w:after="0" w:line="20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color w:val="auto"/>
        </w:rPr>
        <w:t>Some raw materials used in NTIC’s products are exposed to commodity price changes. The primary commodity price exposures are with a variety of plastic resins.</w:t>
      </w:r>
    </w:p>
    <w:p>
      <w:pPr>
        <w:spacing w:after="0" w:line="16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With respect to interest rate risk, 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2.35% applied per annum. There is no applicable margin with respect to borrowings using a CB Floating Rate. The weighted average interest rate was 6.61% for fiscal year 2025. Borrowings of $9,329,021 were outstanding under the Credit Facility as of August 31, 2025. The two term loans undertaken by NTIC China with China Construction Bank Corporation have annual interest rates of 2.75% and 2.96%, respectively, with interest due monthly. The outstanding balance as of August 31, 2025 for both term loans is a total of USD $2,804,695. In addition, the foreign currency term loan entered into by Natur-Tec India with IDFC FIRST Bank Limited bears interest at a fixed rate of 6.45% per annum. The outstanding balance as of August 31, 2025 for this term loan is USD $522,545.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620"/>
          </w:cols>
          <w:pgMar w:left="1300" w:top="1128" w:right="1320" w:bottom="382" w:gutter="0" w:footer="0" w:header="0"/>
        </w:sectPr>
      </w:pPr>
    </w:p>
    <w:bookmarkStart w:id="139" w:name="page140"/>
    <w:bookmarkEnd w:id="139"/>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4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items are included herein:</w:t>
      </w:r>
    </w:p>
    <w:p>
      <w:pPr>
        <w:spacing w:after="0" w:line="240"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30" w:lineRule="exact"/>
        <w:rPr>
          <w:sz w:val="20"/>
          <w:szCs w:val="20"/>
          <w:color w:val="auto"/>
        </w:rPr>
      </w:pPr>
    </w:p>
    <w:p>
      <w:pPr>
        <w:spacing w:after="0"/>
        <w:tabs>
          <w:tab w:leader="dot" w:pos="9320" w:val="left"/>
        </w:tabs>
        <w:rPr>
          <w:sz w:val="20"/>
          <w:szCs w:val="20"/>
          <w:color w:val="auto"/>
        </w:rPr>
      </w:pPr>
      <w:r>
        <w:rPr>
          <w:rFonts w:ascii="Times New Roman" w:cs="Times New Roman" w:eastAsia="Times New Roman" w:hAnsi="Times New Roman"/>
          <w:sz w:val="20"/>
          <w:szCs w:val="20"/>
          <w:color w:val="auto"/>
        </w:rPr>
        <w:t>Report of Independent Registered Public Accounting Firm (PCAOB Firm ID # 23)</w:t>
      </w:r>
      <w:r>
        <w:rPr>
          <w:sz w:val="20"/>
          <w:szCs w:val="20"/>
          <w:color w:val="auto"/>
        </w:rPr>
        <w:tab/>
      </w:r>
      <w:r>
        <w:rPr>
          <w:rFonts w:ascii="Times New Roman" w:cs="Times New Roman" w:eastAsia="Times New Roman" w:hAnsi="Times New Roman"/>
          <w:sz w:val="20"/>
          <w:szCs w:val="20"/>
          <w:color w:val="auto"/>
        </w:rPr>
        <w:t>55</w:t>
      </w:r>
    </w:p>
    <w:p>
      <w:pPr>
        <w:spacing w:after="0" w:line="28" w:lineRule="exact"/>
        <w:rPr>
          <w:sz w:val="20"/>
          <w:szCs w:val="20"/>
          <w:color w:val="auto"/>
        </w:rPr>
      </w:pPr>
    </w:p>
    <w:p>
      <w:pPr>
        <w:spacing w:after="0"/>
        <w:tabs>
          <w:tab w:leader="dot" w:pos="9320" w:val="left"/>
        </w:tabs>
        <w:rPr>
          <w:sz w:val="20"/>
          <w:szCs w:val="20"/>
          <w:color w:val="auto"/>
        </w:rPr>
      </w:pPr>
      <w:r>
        <w:rPr>
          <w:rFonts w:ascii="Times New Roman" w:cs="Times New Roman" w:eastAsia="Times New Roman" w:hAnsi="Times New Roman"/>
          <w:sz w:val="20"/>
          <w:szCs w:val="20"/>
          <w:color w:val="auto"/>
        </w:rPr>
        <w:t>Consolidated Balance Sheets as of August 31, 2025 and 2024</w:t>
      </w:r>
      <w:r>
        <w:rPr>
          <w:sz w:val="20"/>
          <w:szCs w:val="20"/>
          <w:color w:val="auto"/>
        </w:rPr>
        <w:tab/>
      </w:r>
      <w:r>
        <w:rPr>
          <w:rFonts w:ascii="Times New Roman" w:cs="Times New Roman" w:eastAsia="Times New Roman" w:hAnsi="Times New Roman"/>
          <w:sz w:val="20"/>
          <w:szCs w:val="20"/>
          <w:color w:val="auto"/>
        </w:rPr>
        <w:t>56</w:t>
      </w:r>
    </w:p>
    <w:p>
      <w:pPr>
        <w:spacing w:after="0"/>
        <w:tabs>
          <w:tab w:leader="dot" w:pos="9320" w:val="left"/>
        </w:tabs>
        <w:rPr>
          <w:sz w:val="20"/>
          <w:szCs w:val="20"/>
          <w:color w:val="auto"/>
        </w:rPr>
      </w:pPr>
      <w:r>
        <w:rPr>
          <w:rFonts w:ascii="Times New Roman" w:cs="Times New Roman" w:eastAsia="Times New Roman" w:hAnsi="Times New Roman"/>
          <w:sz w:val="20"/>
          <w:szCs w:val="20"/>
          <w:color w:val="auto"/>
        </w:rPr>
        <w:t>Consolidated Statements of Operations for the years ended August 31, 2025 and 2024</w:t>
      </w:r>
      <w:r>
        <w:rPr>
          <w:sz w:val="20"/>
          <w:szCs w:val="20"/>
          <w:color w:val="auto"/>
        </w:rPr>
        <w:tab/>
      </w:r>
      <w:r>
        <w:rPr>
          <w:rFonts w:ascii="Times New Roman" w:cs="Times New Roman" w:eastAsia="Times New Roman" w:hAnsi="Times New Roman"/>
          <w:sz w:val="20"/>
          <w:szCs w:val="20"/>
          <w:color w:val="auto"/>
        </w:rPr>
        <w:t>57</w:t>
      </w:r>
    </w:p>
    <w:p>
      <w:pPr>
        <w:spacing w:after="0"/>
        <w:tabs>
          <w:tab w:leader="dot" w:pos="9320" w:val="left"/>
        </w:tabs>
        <w:rPr>
          <w:sz w:val="20"/>
          <w:szCs w:val="20"/>
          <w:color w:val="auto"/>
        </w:rPr>
      </w:pPr>
      <w:r>
        <w:rPr>
          <w:rFonts w:ascii="Times New Roman" w:cs="Times New Roman" w:eastAsia="Times New Roman" w:hAnsi="Times New Roman"/>
          <w:sz w:val="20"/>
          <w:szCs w:val="20"/>
          <w:color w:val="auto"/>
        </w:rPr>
        <w:t>Consolidated Statements of Comprehensive Income for the years ended August 31, 2025 and 2024</w:t>
      </w:r>
      <w:r>
        <w:rPr>
          <w:sz w:val="20"/>
          <w:szCs w:val="20"/>
          <w:color w:val="auto"/>
        </w:rPr>
        <w:tab/>
      </w:r>
      <w:r>
        <w:rPr>
          <w:rFonts w:ascii="Times New Roman" w:cs="Times New Roman" w:eastAsia="Times New Roman" w:hAnsi="Times New Roman"/>
          <w:sz w:val="20"/>
          <w:szCs w:val="20"/>
          <w:color w:val="auto"/>
        </w:rPr>
        <w:t>58</w:t>
      </w:r>
    </w:p>
    <w:p>
      <w:pPr>
        <w:spacing w:after="0"/>
        <w:tabs>
          <w:tab w:leader="dot" w:pos="9320" w:val="left"/>
        </w:tabs>
        <w:rPr>
          <w:sz w:val="20"/>
          <w:szCs w:val="20"/>
          <w:color w:val="auto"/>
        </w:rPr>
      </w:pPr>
      <w:r>
        <w:rPr>
          <w:rFonts w:ascii="Times New Roman" w:cs="Times New Roman" w:eastAsia="Times New Roman" w:hAnsi="Times New Roman"/>
          <w:sz w:val="20"/>
          <w:szCs w:val="20"/>
          <w:color w:val="auto"/>
        </w:rPr>
        <w:t>Consolidated Statements of Equity for the years ended August 31, 2025 and 2024</w:t>
      </w:r>
      <w:r>
        <w:rPr>
          <w:sz w:val="20"/>
          <w:szCs w:val="20"/>
          <w:color w:val="auto"/>
        </w:rPr>
        <w:tab/>
      </w:r>
      <w:r>
        <w:rPr>
          <w:rFonts w:ascii="Times New Roman" w:cs="Times New Roman" w:eastAsia="Times New Roman" w:hAnsi="Times New Roman"/>
          <w:sz w:val="20"/>
          <w:szCs w:val="20"/>
          <w:color w:val="auto"/>
        </w:rPr>
        <w:t>59</w:t>
      </w:r>
    </w:p>
    <w:p>
      <w:pPr>
        <w:spacing w:after="0"/>
        <w:tabs>
          <w:tab w:leader="dot" w:pos="9320" w:val="left"/>
        </w:tabs>
        <w:rPr>
          <w:sz w:val="20"/>
          <w:szCs w:val="20"/>
          <w:color w:val="auto"/>
        </w:rPr>
      </w:pPr>
      <w:r>
        <w:rPr>
          <w:rFonts w:ascii="Times New Roman" w:cs="Times New Roman" w:eastAsia="Times New Roman" w:hAnsi="Times New Roman"/>
          <w:sz w:val="20"/>
          <w:szCs w:val="20"/>
          <w:color w:val="auto"/>
        </w:rPr>
        <w:t>Consolidated Statements of Cash Flows for the years ended August 31, 2025 and 2024</w:t>
      </w:r>
      <w:r>
        <w:rPr>
          <w:sz w:val="20"/>
          <w:szCs w:val="20"/>
          <w:color w:val="auto"/>
        </w:rPr>
        <w:tab/>
      </w:r>
      <w:r>
        <w:rPr>
          <w:rFonts w:ascii="Times New Roman" w:cs="Times New Roman" w:eastAsia="Times New Roman" w:hAnsi="Times New Roman"/>
          <w:sz w:val="20"/>
          <w:szCs w:val="20"/>
          <w:color w:val="auto"/>
        </w:rPr>
        <w:t>60</w:t>
      </w:r>
    </w:p>
    <w:p>
      <w:pPr>
        <w:spacing w:after="0"/>
        <w:tabs>
          <w:tab w:leader="dot" w:pos="898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19"/>
          <w:szCs w:val="19"/>
          <w:color w:val="auto"/>
        </w:rPr>
        <w:t>61 - 83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560"/>
          </w:cols>
          <w:pgMar w:left="1300" w:top="1128" w:right="1380" w:bottom="382"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Northern Technologies International Corporation and Subsidiaries: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5"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Northern Technologies International Corporation and Subsidiaries (the "Company") as of August 31, 2025 and 2024, the related consolidated statements of operations, comprehensive income, equity, and cash flows, for each of the two years in the period ended August 31, 2025, and the related notes (collectively referred to as the "consolidated financial statements"). In our opinion, the consolidated financial statements present fairly, in all material respects, the financial position of the Company as of August 31, 2025 and 2024, and the results of its operations and its cash flows for each of the two years in the period ended August 31, 2025,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8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Baker Tilly US,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2004.</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640"/>
          </w:cols>
          <w:pgMar w:left="1300" w:top="1128" w:right="1300" w:bottom="382" w:gutter="0" w:footer="0" w:header="0"/>
        </w:sectPr>
      </w:pPr>
    </w:p>
    <w:bookmarkStart w:id="141" w:name="page142"/>
    <w:bookmarkEnd w:id="141"/>
    <w:p>
      <w:pPr>
        <w:ind w:right="1700"/>
        <w:spacing w:after="0" w:line="255" w:lineRule="auto"/>
        <w:rPr>
          <w:sz w:val="20"/>
          <w:szCs w:val="20"/>
          <w:color w:val="auto"/>
        </w:rPr>
      </w:pPr>
      <w:r>
        <w:rPr>
          <w:rFonts w:ascii="Times New Roman" w:cs="Times New Roman" w:eastAsia="Times New Roman" w:hAnsi="Times New Roman"/>
          <w:sz w:val="28"/>
          <w:szCs w:val="28"/>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 - AUGUST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-12700</wp:posOffset>
                </wp:positionV>
                <wp:extent cx="626300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00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pt" to="493pt,-1pt" o:allowincell="f" strokecolor="#000000" strokeweight="0.96pt"/>
            </w:pict>
          </mc:Fallback>
        </mc:AlternateContent>
      </w:r>
    </w:p>
    <w:tbl>
      <w:tblPr>
        <w:tblLayout w:type="fixed"/>
        <w:tblInd w:w="200" w:type="dxa"/>
        <w:tblCellMar>
          <w:top w:w="0" w:type="dxa"/>
          <w:left w:w="0" w:type="dxa"/>
          <w:bottom w:w="0" w:type="dxa"/>
          <w:right w:w="0" w:type="dxa"/>
        </w:tblCellMar>
      </w:tblPr>
      <w:tr>
        <w:trPr>
          <w:trHeight w:val="204"/>
        </w:trPr>
        <w:tc>
          <w:tcPr>
            <w:tcW w:w="63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7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August 31, 2025</w:t>
            </w:r>
          </w:p>
        </w:tc>
        <w:tc>
          <w:tcPr>
            <w:tcW w:w="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August 31, 2024</w:t>
            </w:r>
          </w:p>
        </w:tc>
        <w:tc>
          <w:tcPr>
            <w:tcW w:w="0" w:type="dxa"/>
            <w:vAlign w:val="bottom"/>
          </w:tcPr>
          <w:p>
            <w:pPr>
              <w:spacing w:after="0"/>
              <w:rPr>
                <w:sz w:val="1"/>
                <w:szCs w:val="1"/>
                <w:color w:val="auto"/>
              </w:rPr>
            </w:pPr>
          </w:p>
        </w:tc>
      </w:tr>
      <w:tr>
        <w:trPr>
          <w:trHeight w:val="179"/>
        </w:trPr>
        <w:tc>
          <w:tcPr>
            <w:tcW w:w="63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ASSETS:</w:t>
            </w:r>
          </w:p>
        </w:tc>
        <w:tc>
          <w:tcPr>
            <w:tcW w:w="44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rPr>
              <w:t>7,250,523</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rPr>
              <w:t>4,952,184</w:t>
            </w:r>
          </w:p>
        </w:tc>
        <w:tc>
          <w:tcPr>
            <w:tcW w:w="0" w:type="dxa"/>
            <w:vAlign w:val="bottom"/>
          </w:tcPr>
          <w:p>
            <w:pPr>
              <w:spacing w:after="0"/>
              <w:rPr>
                <w:sz w:val="1"/>
                <w:szCs w:val="1"/>
                <w:color w:val="auto"/>
              </w:rPr>
            </w:pPr>
          </w:p>
        </w:tc>
      </w:tr>
      <w:tr>
        <w:trPr>
          <w:trHeight w:val="228"/>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Receivables:</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Trade, less allowance for credit losses</w:t>
            </w:r>
          </w:p>
        </w:tc>
        <w:tc>
          <w:tcPr>
            <w:tcW w:w="440" w:type="dxa"/>
            <w:vAlign w:val="bottom"/>
          </w:tcPr>
          <w:p>
            <w:pPr>
              <w:spacing w:after="0"/>
              <w:rPr>
                <w:sz w:val="17"/>
                <w:szCs w:val="17"/>
                <w:color w:val="auto"/>
              </w:rPr>
            </w:pPr>
          </w:p>
        </w:tc>
        <w:tc>
          <w:tcPr>
            <w:tcW w:w="130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color w:val="auto"/>
              </w:rPr>
              <w:t>18,443,230</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rPr>
              <w:t>19,187,079</w:t>
            </w:r>
          </w:p>
        </w:tc>
        <w:tc>
          <w:tcPr>
            <w:tcW w:w="0" w:type="dxa"/>
            <w:vAlign w:val="bottom"/>
          </w:tcPr>
          <w:p>
            <w:pPr>
              <w:spacing w:after="0"/>
              <w:rPr>
                <w:sz w:val="1"/>
                <w:szCs w:val="1"/>
                <w:color w:val="auto"/>
              </w:rPr>
            </w:pPr>
          </w:p>
        </w:tc>
      </w:tr>
      <w:tr>
        <w:trPr>
          <w:trHeight w:val="196"/>
        </w:trPr>
        <w:tc>
          <w:tcPr>
            <w:tcW w:w="63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of $235,000 and $310,000 as of August 31, 2025 and 2024</w:t>
            </w:r>
          </w:p>
        </w:tc>
        <w:tc>
          <w:tcPr>
            <w:tcW w:w="4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Fees for services provided to joint ventures</w:t>
            </w:r>
          </w:p>
        </w:tc>
        <w:tc>
          <w:tcPr>
            <w:tcW w:w="440" w:type="dxa"/>
            <w:vAlign w:val="bottom"/>
          </w:tcPr>
          <w:p>
            <w:pPr>
              <w:spacing w:after="0"/>
              <w:rPr>
                <w:sz w:val="17"/>
                <w:szCs w:val="17"/>
                <w:color w:val="auto"/>
              </w:rPr>
            </w:pPr>
          </w:p>
        </w:tc>
        <w:tc>
          <w:tcPr>
            <w:tcW w:w="13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1,077,552</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1,235,016</w:t>
            </w:r>
          </w:p>
        </w:tc>
        <w:tc>
          <w:tcPr>
            <w:tcW w:w="0" w:type="dxa"/>
            <w:vAlign w:val="bottom"/>
          </w:tcPr>
          <w:p>
            <w:pPr>
              <w:spacing w:after="0"/>
              <w:rPr>
                <w:sz w:val="1"/>
                <w:szCs w:val="1"/>
                <w:color w:val="auto"/>
              </w:rPr>
            </w:pPr>
          </w:p>
        </w:tc>
      </w:tr>
      <w:tr>
        <w:trPr>
          <w:trHeight w:val="208"/>
        </w:trPr>
        <w:tc>
          <w:tcPr>
            <w:tcW w:w="6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Income taxes</w:t>
            </w:r>
          </w:p>
        </w:tc>
        <w:tc>
          <w:tcPr>
            <w:tcW w:w="440" w:type="dxa"/>
            <w:vAlign w:val="bottom"/>
          </w:tcPr>
          <w:p>
            <w:pPr>
              <w:spacing w:after="0"/>
              <w:rPr>
                <w:sz w:val="18"/>
                <w:szCs w:val="18"/>
                <w:color w:val="auto"/>
              </w:rPr>
            </w:pP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340,002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392,293</w:t>
            </w:r>
          </w:p>
        </w:tc>
        <w:tc>
          <w:tcPr>
            <w:tcW w:w="0" w:type="dxa"/>
            <w:vAlign w:val="bottom"/>
          </w:tcPr>
          <w:p>
            <w:pPr>
              <w:spacing w:after="0"/>
              <w:rPr>
                <w:sz w:val="1"/>
                <w:szCs w:val="1"/>
                <w:color w:val="auto"/>
              </w:rPr>
            </w:pPr>
          </w:p>
        </w:tc>
      </w:tr>
      <w:tr>
        <w:trPr>
          <w:trHeight w:val="20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Inventories, net</w:t>
            </w:r>
          </w:p>
        </w:tc>
        <w:tc>
          <w:tcPr>
            <w:tcW w:w="440" w:type="dxa"/>
            <w:vAlign w:val="bottom"/>
          </w:tcPr>
          <w:p>
            <w:pPr>
              <w:spacing w:after="0"/>
              <w:rPr>
                <w:sz w:val="17"/>
                <w:szCs w:val="17"/>
                <w:color w:val="auto"/>
              </w:rPr>
            </w:pP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15,525,230</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14,390,844</w:t>
            </w:r>
          </w:p>
        </w:tc>
        <w:tc>
          <w:tcPr>
            <w:tcW w:w="0" w:type="dxa"/>
            <w:vAlign w:val="bottom"/>
          </w:tcPr>
          <w:p>
            <w:pPr>
              <w:spacing w:after="0"/>
              <w:rPr>
                <w:sz w:val="1"/>
                <w:szCs w:val="1"/>
                <w:color w:val="auto"/>
              </w:rPr>
            </w:pPr>
          </w:p>
        </w:tc>
      </w:tr>
      <w:tr>
        <w:trPr>
          <w:trHeight w:val="225"/>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Prepaid expenses</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1,706,279</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1,421,803</w:t>
            </w:r>
          </w:p>
        </w:tc>
        <w:tc>
          <w:tcPr>
            <w:tcW w:w="0" w:type="dxa"/>
            <w:vAlign w:val="bottom"/>
          </w:tcPr>
          <w:p>
            <w:pPr>
              <w:spacing w:after="0"/>
              <w:rPr>
                <w:sz w:val="1"/>
                <w:szCs w:val="1"/>
                <w:color w:val="auto"/>
              </w:rPr>
            </w:pPr>
          </w:p>
        </w:tc>
      </w:tr>
      <w:tr>
        <w:trPr>
          <w:trHeight w:val="197"/>
        </w:trPr>
        <w:tc>
          <w:tcPr>
            <w:tcW w:w="63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Total current assets</w:t>
            </w:r>
          </w:p>
        </w:tc>
        <w:tc>
          <w:tcPr>
            <w:tcW w:w="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44,342,816</w:t>
            </w:r>
          </w:p>
        </w:tc>
        <w:tc>
          <w:tcPr>
            <w:tcW w:w="48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41,579,219</w:t>
            </w:r>
          </w:p>
        </w:tc>
        <w:tc>
          <w:tcPr>
            <w:tcW w:w="0" w:type="dxa"/>
            <w:vAlign w:val="bottom"/>
          </w:tcPr>
          <w:p>
            <w:pPr>
              <w:spacing w:after="0"/>
              <w:rPr>
                <w:sz w:val="1"/>
                <w:szCs w:val="1"/>
                <w:color w:val="auto"/>
              </w:rPr>
            </w:pPr>
          </w:p>
        </w:tc>
      </w:tr>
      <w:tr>
        <w:trPr>
          <w:trHeight w:val="408"/>
        </w:trPr>
        <w:tc>
          <w:tcPr>
            <w:tcW w:w="6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440" w:type="dxa"/>
            <w:vAlign w:val="bottom"/>
          </w:tcPr>
          <w:p>
            <w:pPr>
              <w:spacing w:after="0"/>
              <w:rPr>
                <w:sz w:val="24"/>
                <w:szCs w:val="24"/>
                <w:color w:val="auto"/>
              </w:rPr>
            </w:pPr>
          </w:p>
        </w:tc>
        <w:tc>
          <w:tcPr>
            <w:tcW w:w="13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15,183,918</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16,265,653</w:t>
            </w:r>
          </w:p>
        </w:tc>
        <w:tc>
          <w:tcPr>
            <w:tcW w:w="0" w:type="dxa"/>
            <w:vAlign w:val="bottom"/>
          </w:tcPr>
          <w:p>
            <w:pPr>
              <w:spacing w:after="0"/>
              <w:rPr>
                <w:sz w:val="1"/>
                <w:szCs w:val="1"/>
                <w:color w:val="auto"/>
              </w:rPr>
            </w:pPr>
          </w:p>
        </w:tc>
      </w:tr>
      <w:tr>
        <w:trPr>
          <w:trHeight w:val="381"/>
        </w:trPr>
        <w:tc>
          <w:tcPr>
            <w:tcW w:w="6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440" w:type="dxa"/>
            <w:vAlign w:val="bottom"/>
          </w:tcPr>
          <w:p>
            <w:pPr>
              <w:spacing w:after="0"/>
              <w:rPr>
                <w:sz w:val="24"/>
                <w:szCs w:val="24"/>
                <w:color w:val="auto"/>
              </w:rPr>
            </w:pPr>
          </w:p>
        </w:tc>
        <w:tc>
          <w:tcPr>
            <w:tcW w:w="130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color w:val="auto"/>
              </w:rPr>
              <w:t>28,611,777</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rPr>
              <w:t>25,397,287</w:t>
            </w:r>
          </w:p>
        </w:tc>
        <w:tc>
          <w:tcPr>
            <w:tcW w:w="0" w:type="dxa"/>
            <w:vAlign w:val="bottom"/>
          </w:tcPr>
          <w:p>
            <w:pPr>
              <w:spacing w:after="0"/>
              <w:rPr>
                <w:sz w:val="1"/>
                <w:szCs w:val="1"/>
                <w:color w:val="auto"/>
              </w:rPr>
            </w:pPr>
          </w:p>
        </w:tc>
      </w:tr>
      <w:tr>
        <w:trPr>
          <w:trHeight w:val="19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Investments in joint ventures</w:t>
            </w:r>
          </w:p>
        </w:tc>
        <w:tc>
          <w:tcPr>
            <w:tcW w:w="4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income tax, net</w:t>
            </w:r>
          </w:p>
        </w:tc>
        <w:tc>
          <w:tcPr>
            <w:tcW w:w="440" w:type="dxa"/>
            <w:vAlign w:val="bottom"/>
          </w:tcPr>
          <w:p>
            <w:pPr>
              <w:spacing w:after="0"/>
              <w:rPr>
                <w:sz w:val="18"/>
                <w:szCs w:val="18"/>
                <w:color w:val="auto"/>
              </w:rPr>
            </w:pP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503,575</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544,464</w:t>
            </w:r>
          </w:p>
        </w:tc>
        <w:tc>
          <w:tcPr>
            <w:tcW w:w="0" w:type="dxa"/>
            <w:vAlign w:val="bottom"/>
          </w:tcPr>
          <w:p>
            <w:pPr>
              <w:spacing w:after="0"/>
              <w:rPr>
                <w:sz w:val="1"/>
                <w:szCs w:val="1"/>
                <w:color w:val="auto"/>
              </w:rPr>
            </w:pPr>
          </w:p>
        </w:tc>
      </w:tr>
      <w:tr>
        <w:trPr>
          <w:trHeight w:val="20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Intangible assets, net</w:t>
            </w:r>
          </w:p>
        </w:tc>
        <w:tc>
          <w:tcPr>
            <w:tcW w:w="440" w:type="dxa"/>
            <w:vAlign w:val="bottom"/>
          </w:tcPr>
          <w:p>
            <w:pPr>
              <w:spacing w:after="0"/>
              <w:rPr>
                <w:sz w:val="17"/>
                <w:szCs w:val="17"/>
                <w:color w:val="auto"/>
              </w:rPr>
            </w:pPr>
          </w:p>
        </w:tc>
        <w:tc>
          <w:tcPr>
            <w:tcW w:w="13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8,827,768</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5,682,945</w:t>
            </w:r>
          </w:p>
        </w:tc>
        <w:tc>
          <w:tcPr>
            <w:tcW w:w="0" w:type="dxa"/>
            <w:vAlign w:val="bottom"/>
          </w:tcPr>
          <w:p>
            <w:pPr>
              <w:spacing w:after="0"/>
              <w:rPr>
                <w:sz w:val="1"/>
                <w:szCs w:val="1"/>
                <w:color w:val="auto"/>
              </w:rPr>
            </w:pPr>
          </w:p>
        </w:tc>
      </w:tr>
      <w:tr>
        <w:trPr>
          <w:trHeight w:val="208"/>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Goodwill</w:t>
            </w:r>
          </w:p>
        </w:tc>
        <w:tc>
          <w:tcPr>
            <w:tcW w:w="440" w:type="dxa"/>
            <w:vAlign w:val="bottom"/>
          </w:tcPr>
          <w:p>
            <w:pPr>
              <w:spacing w:after="0"/>
              <w:rPr>
                <w:sz w:val="18"/>
                <w:szCs w:val="18"/>
                <w:color w:val="auto"/>
              </w:rPr>
            </w:pPr>
          </w:p>
        </w:tc>
        <w:tc>
          <w:tcPr>
            <w:tcW w:w="13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4,782,376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4,782,376</w:t>
            </w:r>
          </w:p>
        </w:tc>
        <w:tc>
          <w:tcPr>
            <w:tcW w:w="0" w:type="dxa"/>
            <w:vAlign w:val="bottom"/>
          </w:tcPr>
          <w:p>
            <w:pPr>
              <w:spacing w:after="0"/>
              <w:rPr>
                <w:sz w:val="1"/>
                <w:szCs w:val="1"/>
                <w:color w:val="auto"/>
              </w:rPr>
            </w:pPr>
          </w:p>
        </w:tc>
      </w:tr>
      <w:tr>
        <w:trPr>
          <w:trHeight w:val="224"/>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493,050</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424,558</w:t>
            </w:r>
          </w:p>
        </w:tc>
        <w:tc>
          <w:tcPr>
            <w:tcW w:w="0" w:type="dxa"/>
            <w:vAlign w:val="bottom"/>
          </w:tcPr>
          <w:p>
            <w:pPr>
              <w:spacing w:after="0"/>
              <w:rPr>
                <w:sz w:val="1"/>
                <w:szCs w:val="1"/>
                <w:color w:val="auto"/>
              </w:rPr>
            </w:pPr>
          </w:p>
        </w:tc>
      </w:tr>
      <w:tr>
        <w:trPr>
          <w:trHeight w:val="197"/>
        </w:trPr>
        <w:tc>
          <w:tcPr>
            <w:tcW w:w="63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other assets</w:t>
            </w: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43,218,546</w:t>
            </w:r>
          </w:p>
        </w:tc>
        <w:tc>
          <w:tcPr>
            <w:tcW w:w="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36,831,630</w:t>
            </w:r>
          </w:p>
        </w:tc>
        <w:tc>
          <w:tcPr>
            <w:tcW w:w="0" w:type="dxa"/>
            <w:vAlign w:val="bottom"/>
          </w:tcPr>
          <w:p>
            <w:pPr>
              <w:spacing w:after="0"/>
              <w:rPr>
                <w:sz w:val="1"/>
                <w:szCs w:val="1"/>
                <w:color w:val="auto"/>
              </w:rPr>
            </w:pPr>
          </w:p>
        </w:tc>
      </w:tr>
      <w:tr>
        <w:trPr>
          <w:trHeight w:val="206"/>
        </w:trPr>
        <w:tc>
          <w:tcPr>
            <w:tcW w:w="630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Total assets</w:t>
            </w:r>
          </w:p>
        </w:tc>
        <w:tc>
          <w:tcPr>
            <w:tcW w:w="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102,745,280</w:t>
            </w:r>
          </w:p>
        </w:tc>
        <w:tc>
          <w:tcPr>
            <w:tcW w:w="48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94,676,502</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CURRENT LIABILITIES:</w:t>
            </w:r>
          </w:p>
        </w:tc>
        <w:tc>
          <w:tcPr>
            <w:tcW w:w="440" w:type="dxa"/>
            <w:vAlign w:val="bottom"/>
          </w:tcPr>
          <w:p>
            <w:pPr>
              <w:spacing w:after="0"/>
              <w:rPr>
                <w:sz w:val="17"/>
                <w:szCs w:val="17"/>
                <w:color w:val="auto"/>
              </w:rPr>
            </w:pPr>
          </w:p>
        </w:tc>
        <w:tc>
          <w:tcPr>
            <w:tcW w:w="130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color w:val="auto"/>
              </w:rPr>
              <w:t>$9,329,021</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rPr>
              <w:t>4,291,608</w:t>
            </w:r>
          </w:p>
        </w:tc>
        <w:tc>
          <w:tcPr>
            <w:tcW w:w="0" w:type="dxa"/>
            <w:vAlign w:val="bottom"/>
          </w:tcPr>
          <w:p>
            <w:pPr>
              <w:spacing w:after="0"/>
              <w:rPr>
                <w:sz w:val="1"/>
                <w:szCs w:val="1"/>
                <w:color w:val="auto"/>
              </w:rPr>
            </w:pPr>
          </w:p>
        </w:tc>
      </w:tr>
      <w:tr>
        <w:trPr>
          <w:trHeight w:val="19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Line of credit</w:t>
            </w:r>
          </w:p>
        </w:tc>
        <w:tc>
          <w:tcPr>
            <w:tcW w:w="4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Term loan, current portion</w:t>
            </w:r>
          </w:p>
        </w:tc>
        <w:tc>
          <w:tcPr>
            <w:tcW w:w="440" w:type="dxa"/>
            <w:vAlign w:val="bottom"/>
          </w:tcPr>
          <w:p>
            <w:pPr>
              <w:spacing w:after="0"/>
              <w:rPr>
                <w:sz w:val="18"/>
                <w:szCs w:val="18"/>
                <w:color w:val="auto"/>
              </w:rPr>
            </w:pP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2,860,256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2,820,835</w:t>
            </w:r>
          </w:p>
        </w:tc>
        <w:tc>
          <w:tcPr>
            <w:tcW w:w="0" w:type="dxa"/>
            <w:vAlign w:val="bottom"/>
          </w:tcPr>
          <w:p>
            <w:pPr>
              <w:spacing w:after="0"/>
              <w:rPr>
                <w:sz w:val="1"/>
                <w:szCs w:val="1"/>
                <w:color w:val="auto"/>
              </w:rPr>
            </w:pPr>
          </w:p>
        </w:tc>
      </w:tr>
      <w:tr>
        <w:trPr>
          <w:trHeight w:val="20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440" w:type="dxa"/>
            <w:vAlign w:val="bottom"/>
          </w:tcPr>
          <w:p>
            <w:pPr>
              <w:spacing w:after="0"/>
              <w:rPr>
                <w:sz w:val="17"/>
                <w:szCs w:val="17"/>
                <w:color w:val="auto"/>
              </w:rPr>
            </w:pPr>
          </w:p>
        </w:tc>
        <w:tc>
          <w:tcPr>
            <w:tcW w:w="13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8,044,196</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6,393,355</w:t>
            </w:r>
          </w:p>
        </w:tc>
        <w:tc>
          <w:tcPr>
            <w:tcW w:w="0" w:type="dxa"/>
            <w:vAlign w:val="bottom"/>
          </w:tcPr>
          <w:p>
            <w:pPr>
              <w:spacing w:after="0"/>
              <w:rPr>
                <w:sz w:val="1"/>
                <w:szCs w:val="1"/>
                <w:color w:val="auto"/>
              </w:rPr>
            </w:pPr>
          </w:p>
        </w:tc>
      </w:tr>
      <w:tr>
        <w:trPr>
          <w:trHeight w:val="218"/>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Income taxes payable</w:t>
            </w:r>
          </w:p>
        </w:tc>
        <w:tc>
          <w:tcPr>
            <w:tcW w:w="440" w:type="dxa"/>
            <w:vAlign w:val="bottom"/>
          </w:tcPr>
          <w:p>
            <w:pPr>
              <w:spacing w:after="0"/>
              <w:rPr>
                <w:sz w:val="18"/>
                <w:szCs w:val="18"/>
                <w:color w:val="auto"/>
              </w:rPr>
            </w:pP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414,304</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327,781</w:t>
            </w:r>
          </w:p>
        </w:tc>
        <w:tc>
          <w:tcPr>
            <w:tcW w:w="0" w:type="dxa"/>
            <w:vAlign w:val="bottom"/>
          </w:tcPr>
          <w:p>
            <w:pPr>
              <w:spacing w:after="0"/>
              <w:rPr>
                <w:sz w:val="1"/>
                <w:szCs w:val="1"/>
                <w:color w:val="auto"/>
              </w:rPr>
            </w:pPr>
          </w:p>
        </w:tc>
      </w:tr>
      <w:tr>
        <w:trPr>
          <w:trHeight w:val="208"/>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liabilities:</w:t>
            </w:r>
          </w:p>
        </w:tc>
        <w:tc>
          <w:tcPr>
            <w:tcW w:w="440" w:type="dxa"/>
            <w:vAlign w:val="bottom"/>
          </w:tcPr>
          <w:p>
            <w:pPr>
              <w:spacing w:after="0"/>
              <w:rPr>
                <w:sz w:val="18"/>
                <w:szCs w:val="18"/>
                <w:color w:val="auto"/>
              </w:rPr>
            </w:pPr>
          </w:p>
        </w:tc>
        <w:tc>
          <w:tcPr>
            <w:tcW w:w="1300" w:type="dxa"/>
            <w:vAlign w:val="bottom"/>
            <w:vMerge w:val="restart"/>
          </w:tcPr>
          <w:p>
            <w:pPr>
              <w:jc w:val="right"/>
              <w:ind w:right="295"/>
              <w:spacing w:after="0"/>
              <w:rPr>
                <w:sz w:val="20"/>
                <w:szCs w:val="20"/>
                <w:color w:val="auto"/>
              </w:rPr>
            </w:pPr>
            <w:r>
              <w:rPr>
                <w:rFonts w:ascii="Times New Roman" w:cs="Times New Roman" w:eastAsia="Times New Roman" w:hAnsi="Times New Roman"/>
                <w:sz w:val="17"/>
                <w:szCs w:val="17"/>
                <w:color w:val="auto"/>
              </w:rPr>
              <w:t>1,844,817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rPr>
              <w:t>3,163,372</w:t>
            </w:r>
          </w:p>
        </w:tc>
        <w:tc>
          <w:tcPr>
            <w:tcW w:w="0" w:type="dxa"/>
            <w:vAlign w:val="bottom"/>
          </w:tcPr>
          <w:p>
            <w:pPr>
              <w:spacing w:after="0"/>
              <w:rPr>
                <w:sz w:val="1"/>
                <w:szCs w:val="1"/>
                <w:color w:val="auto"/>
              </w:rPr>
            </w:pPr>
          </w:p>
        </w:tc>
      </w:tr>
      <w:tr>
        <w:trPr>
          <w:trHeight w:val="196"/>
        </w:trPr>
        <w:tc>
          <w:tcPr>
            <w:tcW w:w="6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Payroll and related benefits</w:t>
            </w:r>
          </w:p>
        </w:tc>
        <w:tc>
          <w:tcPr>
            <w:tcW w:w="4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w:t>
            </w:r>
          </w:p>
        </w:tc>
        <w:tc>
          <w:tcPr>
            <w:tcW w:w="440" w:type="dxa"/>
            <w:vAlign w:val="bottom"/>
          </w:tcPr>
          <w:p>
            <w:pPr>
              <w:spacing w:after="0"/>
              <w:rPr>
                <w:sz w:val="17"/>
                <w:szCs w:val="17"/>
                <w:color w:val="auto"/>
              </w:rPr>
            </w:pPr>
          </w:p>
        </w:tc>
        <w:tc>
          <w:tcPr>
            <w:tcW w:w="13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1,066,761</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574,876</w:t>
            </w:r>
          </w:p>
        </w:tc>
        <w:tc>
          <w:tcPr>
            <w:tcW w:w="0" w:type="dxa"/>
            <w:vAlign w:val="bottom"/>
          </w:tcPr>
          <w:p>
            <w:pPr>
              <w:spacing w:after="0"/>
              <w:rPr>
                <w:sz w:val="1"/>
                <w:szCs w:val="1"/>
                <w:color w:val="auto"/>
              </w:rPr>
            </w:pPr>
          </w:p>
        </w:tc>
      </w:tr>
      <w:tr>
        <w:trPr>
          <w:trHeight w:val="225"/>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Current portion of operating leases</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344,739</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325,116</w:t>
            </w:r>
          </w:p>
        </w:tc>
        <w:tc>
          <w:tcPr>
            <w:tcW w:w="0" w:type="dxa"/>
            <w:vAlign w:val="bottom"/>
          </w:tcPr>
          <w:p>
            <w:pPr>
              <w:spacing w:after="0"/>
              <w:rPr>
                <w:sz w:val="1"/>
                <w:szCs w:val="1"/>
                <w:color w:val="auto"/>
              </w:rPr>
            </w:pPr>
          </w:p>
        </w:tc>
      </w:tr>
      <w:tr>
        <w:trPr>
          <w:trHeight w:val="180"/>
        </w:trPr>
        <w:tc>
          <w:tcPr>
            <w:tcW w:w="6300" w:type="dxa"/>
            <w:vAlign w:val="bottom"/>
          </w:tcPr>
          <w:p>
            <w:pPr>
              <w:ind w:left="1000"/>
              <w:spacing w:after="0" w:line="180" w:lineRule="exact"/>
              <w:rPr>
                <w:sz w:val="20"/>
                <w:szCs w:val="20"/>
                <w:color w:val="auto"/>
              </w:rPr>
            </w:pPr>
            <w:r>
              <w:rPr>
                <w:rFonts w:ascii="Times New Roman" w:cs="Times New Roman" w:eastAsia="Times New Roman" w:hAnsi="Times New Roman"/>
                <w:sz w:val="17"/>
                <w:szCs w:val="17"/>
                <w:color w:val="auto"/>
              </w:rPr>
              <w:t>Total current liabilities</w:t>
            </w:r>
          </w:p>
        </w:tc>
        <w:tc>
          <w:tcPr>
            <w:tcW w:w="440" w:type="dxa"/>
            <w:vAlign w:val="bottom"/>
          </w:tcPr>
          <w:p>
            <w:pPr>
              <w:spacing w:after="0"/>
              <w:rPr>
                <w:sz w:val="15"/>
                <w:szCs w:val="15"/>
                <w:color w:val="auto"/>
              </w:rPr>
            </w:pPr>
          </w:p>
        </w:tc>
        <w:tc>
          <w:tcPr>
            <w:tcW w:w="1300" w:type="dxa"/>
            <w:vAlign w:val="bottom"/>
          </w:tcPr>
          <w:p>
            <w:pPr>
              <w:jc w:val="right"/>
              <w:ind w:right="315"/>
              <w:spacing w:after="0" w:line="180" w:lineRule="exact"/>
              <w:rPr>
                <w:sz w:val="20"/>
                <w:szCs w:val="20"/>
                <w:color w:val="auto"/>
              </w:rPr>
            </w:pPr>
            <w:r>
              <w:rPr>
                <w:rFonts w:ascii="Times New Roman" w:cs="Times New Roman" w:eastAsia="Times New Roman" w:hAnsi="Times New Roman"/>
                <w:sz w:val="17"/>
                <w:szCs w:val="17"/>
                <w:color w:val="auto"/>
              </w:rPr>
              <w:t>23,904,094</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175"/>
              <w:spacing w:after="0" w:line="180" w:lineRule="exact"/>
              <w:rPr>
                <w:sz w:val="20"/>
                <w:szCs w:val="20"/>
                <w:color w:val="auto"/>
              </w:rPr>
            </w:pPr>
            <w:r>
              <w:rPr>
                <w:rFonts w:ascii="Times New Roman" w:cs="Times New Roman" w:eastAsia="Times New Roman" w:hAnsi="Times New Roman"/>
                <w:sz w:val="17"/>
                <w:szCs w:val="17"/>
                <w:color w:val="auto"/>
              </w:rPr>
              <w:t>17,896,943</w:t>
            </w:r>
          </w:p>
        </w:tc>
        <w:tc>
          <w:tcPr>
            <w:tcW w:w="0" w:type="dxa"/>
            <w:vAlign w:val="bottom"/>
          </w:tcPr>
          <w:p>
            <w:pPr>
              <w:spacing w:after="0"/>
              <w:rPr>
                <w:sz w:val="1"/>
                <w:szCs w:val="1"/>
                <w:color w:val="auto"/>
              </w:rPr>
            </w:pPr>
          </w:p>
        </w:tc>
      </w:tr>
      <w:tr>
        <w:trPr>
          <w:trHeight w:val="20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LONG-TERM LIABILITIES:</w:t>
            </w:r>
          </w:p>
        </w:tc>
        <w:tc>
          <w:tcPr>
            <w:tcW w:w="440" w:type="dxa"/>
            <w:vAlign w:val="bottom"/>
          </w:tcPr>
          <w:p>
            <w:pPr>
              <w:spacing w:after="0"/>
              <w:rPr>
                <w:sz w:val="17"/>
                <w:szCs w:val="17"/>
                <w:color w:val="auto"/>
              </w:rPr>
            </w:pPr>
          </w:p>
        </w:tc>
        <w:tc>
          <w:tcPr>
            <w:tcW w:w="1300" w:type="dxa"/>
            <w:vAlign w:val="bottom"/>
            <w:vMerge w:val="restart"/>
          </w:tcPr>
          <w:p>
            <w:pPr>
              <w:jc w:val="right"/>
              <w:ind w:right="295"/>
              <w:spacing w:after="0"/>
              <w:rPr>
                <w:sz w:val="20"/>
                <w:szCs w:val="20"/>
                <w:color w:val="auto"/>
              </w:rPr>
            </w:pPr>
            <w:r>
              <w:rPr>
                <w:rFonts w:ascii="Times New Roman" w:cs="Times New Roman" w:eastAsia="Times New Roman" w:hAnsi="Times New Roman"/>
                <w:sz w:val="17"/>
                <w:szCs w:val="17"/>
                <w:color w:val="auto"/>
              </w:rPr>
              <w:t>1,513,166</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rPr>
              <w:t>1,504,796</w:t>
            </w:r>
          </w:p>
        </w:tc>
        <w:tc>
          <w:tcPr>
            <w:tcW w:w="0" w:type="dxa"/>
            <w:vAlign w:val="bottom"/>
          </w:tcPr>
          <w:p>
            <w:pPr>
              <w:spacing w:after="0"/>
              <w:rPr>
                <w:sz w:val="1"/>
                <w:szCs w:val="1"/>
                <w:color w:val="auto"/>
              </w:rPr>
            </w:pPr>
          </w:p>
        </w:tc>
      </w:tr>
      <w:tr>
        <w:trPr>
          <w:trHeight w:val="196"/>
        </w:trPr>
        <w:tc>
          <w:tcPr>
            <w:tcW w:w="63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Deferred income tax, net</w:t>
            </w:r>
          </w:p>
        </w:tc>
        <w:tc>
          <w:tcPr>
            <w:tcW w:w="4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Term loans, noncurrent portion</w:t>
            </w:r>
          </w:p>
        </w:tc>
        <w:tc>
          <w:tcPr>
            <w:tcW w:w="440" w:type="dxa"/>
            <w:vAlign w:val="bottom"/>
          </w:tcPr>
          <w:p>
            <w:pPr>
              <w:spacing w:after="0"/>
              <w:rPr>
                <w:sz w:val="17"/>
                <w:szCs w:val="17"/>
                <w:color w:val="auto"/>
              </w:rPr>
            </w:pP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466,984</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63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Operating leases, less current portion</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148,311</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99,442</w:t>
            </w:r>
          </w:p>
        </w:tc>
        <w:tc>
          <w:tcPr>
            <w:tcW w:w="0" w:type="dxa"/>
            <w:vAlign w:val="bottom"/>
          </w:tcPr>
          <w:p>
            <w:pPr>
              <w:spacing w:after="0"/>
              <w:rPr>
                <w:sz w:val="1"/>
                <w:szCs w:val="1"/>
                <w:color w:val="auto"/>
              </w:rPr>
            </w:pPr>
          </w:p>
        </w:tc>
      </w:tr>
      <w:tr>
        <w:trPr>
          <w:trHeight w:val="197"/>
        </w:trPr>
        <w:tc>
          <w:tcPr>
            <w:tcW w:w="630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4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2,128,461</w:t>
            </w:r>
          </w:p>
        </w:tc>
        <w:tc>
          <w:tcPr>
            <w:tcW w:w="48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1,604,238</w:t>
            </w:r>
          </w:p>
        </w:tc>
        <w:tc>
          <w:tcPr>
            <w:tcW w:w="0" w:type="dxa"/>
            <w:vAlign w:val="bottom"/>
          </w:tcPr>
          <w:p>
            <w:pPr>
              <w:spacing w:after="0"/>
              <w:rPr>
                <w:sz w:val="1"/>
                <w:szCs w:val="1"/>
                <w:color w:val="auto"/>
              </w:rPr>
            </w:pPr>
          </w:p>
        </w:tc>
      </w:tr>
      <w:tr>
        <w:trPr>
          <w:trHeight w:val="374"/>
        </w:trPr>
        <w:tc>
          <w:tcPr>
            <w:tcW w:w="6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Preferred stock, no par value; authorized 10,000 shares; none issued and</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outstanding</w:t>
            </w:r>
          </w:p>
        </w:tc>
        <w:tc>
          <w:tcPr>
            <w:tcW w:w="440" w:type="dxa"/>
            <w:vAlign w:val="bottom"/>
          </w:tcPr>
          <w:p>
            <w:pPr>
              <w:spacing w:after="0"/>
              <w:rPr>
                <w:sz w:val="18"/>
                <w:szCs w:val="18"/>
                <w:color w:val="auto"/>
              </w:rPr>
            </w:pP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 $0.02 par value per share; authorized 15,000,000</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shares; issued and outstanding 9,475,490 and 9,466,976, as of August 31, 2025</w:t>
            </w:r>
          </w:p>
        </w:tc>
        <w:tc>
          <w:tcPr>
            <w:tcW w:w="440" w:type="dxa"/>
            <w:vAlign w:val="bottom"/>
          </w:tcPr>
          <w:p>
            <w:pPr>
              <w:spacing w:after="0"/>
              <w:rPr>
                <w:sz w:val="17"/>
                <w:szCs w:val="17"/>
                <w:color w:val="auto"/>
              </w:rPr>
            </w:pP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189,510</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189,340</w:t>
            </w:r>
          </w:p>
        </w:tc>
        <w:tc>
          <w:tcPr>
            <w:tcW w:w="0" w:type="dxa"/>
            <w:vAlign w:val="bottom"/>
          </w:tcPr>
          <w:p>
            <w:pPr>
              <w:spacing w:after="0"/>
              <w:rPr>
                <w:sz w:val="1"/>
                <w:szCs w:val="1"/>
                <w:color w:val="auto"/>
              </w:rPr>
            </w:pPr>
          </w:p>
        </w:tc>
      </w:tr>
      <w:tr>
        <w:trPr>
          <w:trHeight w:val="20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and 2024, respectively</w:t>
            </w:r>
          </w:p>
        </w:tc>
        <w:tc>
          <w:tcPr>
            <w:tcW w:w="440" w:type="dxa"/>
            <w:vAlign w:val="bottom"/>
          </w:tcPr>
          <w:p>
            <w:pPr>
              <w:spacing w:after="0"/>
              <w:rPr>
                <w:sz w:val="17"/>
                <w:szCs w:val="17"/>
                <w:color w:val="auto"/>
              </w:rPr>
            </w:pPr>
          </w:p>
        </w:tc>
        <w:tc>
          <w:tcPr>
            <w:tcW w:w="130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color w:val="auto"/>
              </w:rPr>
              <w:t>25,056,976</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rPr>
              <w:t>23,615,564</w:t>
            </w:r>
          </w:p>
        </w:tc>
        <w:tc>
          <w:tcPr>
            <w:tcW w:w="0" w:type="dxa"/>
            <w:vAlign w:val="bottom"/>
          </w:tcPr>
          <w:p>
            <w:pPr>
              <w:spacing w:after="0"/>
              <w:rPr>
                <w:sz w:val="1"/>
                <w:szCs w:val="1"/>
                <w:color w:val="auto"/>
              </w:rPr>
            </w:pPr>
          </w:p>
        </w:tc>
      </w:tr>
      <w:tr>
        <w:trPr>
          <w:trHeight w:val="19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Retained earnings</w:t>
            </w:r>
          </w:p>
        </w:tc>
        <w:tc>
          <w:tcPr>
            <w:tcW w:w="440" w:type="dxa"/>
            <w:vAlign w:val="bottom"/>
          </w:tcPr>
          <w:p>
            <w:pPr>
              <w:spacing w:after="0"/>
              <w:rPr>
                <w:sz w:val="17"/>
                <w:szCs w:val="17"/>
                <w:color w:val="auto"/>
              </w:rPr>
            </w:pP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52,273,469</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53,771,211</w:t>
            </w:r>
          </w:p>
        </w:tc>
        <w:tc>
          <w:tcPr>
            <w:tcW w:w="0" w:type="dxa"/>
            <w:vAlign w:val="bottom"/>
          </w:tcPr>
          <w:p>
            <w:pPr>
              <w:spacing w:after="0"/>
              <w:rPr>
                <w:sz w:val="1"/>
                <w:szCs w:val="1"/>
                <w:color w:val="auto"/>
              </w:rPr>
            </w:pPr>
          </w:p>
        </w:tc>
      </w:tr>
      <w:tr>
        <w:trPr>
          <w:trHeight w:val="225"/>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(5,371,201)</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(6,382,124)</w:t>
            </w:r>
          </w:p>
        </w:tc>
        <w:tc>
          <w:tcPr>
            <w:tcW w:w="0" w:type="dxa"/>
            <w:vAlign w:val="bottom"/>
          </w:tcPr>
          <w:p>
            <w:pPr>
              <w:spacing w:after="0"/>
              <w:rPr>
                <w:sz w:val="1"/>
                <w:szCs w:val="1"/>
                <w:color w:val="auto"/>
              </w:rPr>
            </w:pPr>
          </w:p>
        </w:tc>
      </w:tr>
      <w:tr>
        <w:trPr>
          <w:trHeight w:val="180"/>
        </w:trPr>
        <w:tc>
          <w:tcPr>
            <w:tcW w:w="6300" w:type="dxa"/>
            <w:vAlign w:val="bottom"/>
          </w:tcPr>
          <w:p>
            <w:pPr>
              <w:ind w:left="800"/>
              <w:spacing w:after="0" w:line="180" w:lineRule="exact"/>
              <w:rPr>
                <w:sz w:val="20"/>
                <w:szCs w:val="20"/>
                <w:color w:val="auto"/>
              </w:rPr>
            </w:pPr>
            <w:r>
              <w:rPr>
                <w:rFonts w:ascii="Times New Roman" w:cs="Times New Roman" w:eastAsia="Times New Roman" w:hAnsi="Times New Roman"/>
                <w:sz w:val="17"/>
                <w:szCs w:val="17"/>
                <w:color w:val="auto"/>
              </w:rPr>
              <w:t>Stockholders’ equity</w:t>
            </w:r>
          </w:p>
        </w:tc>
        <w:tc>
          <w:tcPr>
            <w:tcW w:w="440" w:type="dxa"/>
            <w:vAlign w:val="bottom"/>
          </w:tcPr>
          <w:p>
            <w:pPr>
              <w:spacing w:after="0"/>
              <w:rPr>
                <w:sz w:val="15"/>
                <w:szCs w:val="15"/>
                <w:color w:val="auto"/>
              </w:rPr>
            </w:pPr>
          </w:p>
        </w:tc>
        <w:tc>
          <w:tcPr>
            <w:tcW w:w="1300" w:type="dxa"/>
            <w:vAlign w:val="bottom"/>
          </w:tcPr>
          <w:p>
            <w:pPr>
              <w:jc w:val="right"/>
              <w:ind w:right="315"/>
              <w:spacing w:after="0" w:line="180" w:lineRule="exact"/>
              <w:rPr>
                <w:sz w:val="20"/>
                <w:szCs w:val="20"/>
                <w:color w:val="auto"/>
              </w:rPr>
            </w:pPr>
            <w:r>
              <w:rPr>
                <w:rFonts w:ascii="Times New Roman" w:cs="Times New Roman" w:eastAsia="Times New Roman" w:hAnsi="Times New Roman"/>
                <w:sz w:val="17"/>
                <w:szCs w:val="17"/>
                <w:color w:val="auto"/>
              </w:rPr>
              <w:t>72,148,754</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175"/>
              <w:spacing w:after="0" w:line="180" w:lineRule="exact"/>
              <w:rPr>
                <w:sz w:val="20"/>
                <w:szCs w:val="20"/>
                <w:color w:val="auto"/>
              </w:rPr>
            </w:pPr>
            <w:r>
              <w:rPr>
                <w:rFonts w:ascii="Times New Roman" w:cs="Times New Roman" w:eastAsia="Times New Roman" w:hAnsi="Times New Roman"/>
                <w:sz w:val="17"/>
                <w:szCs w:val="17"/>
                <w:color w:val="auto"/>
              </w:rPr>
              <w:t>71,193,991</w:t>
            </w:r>
          </w:p>
        </w:tc>
        <w:tc>
          <w:tcPr>
            <w:tcW w:w="0" w:type="dxa"/>
            <w:vAlign w:val="bottom"/>
          </w:tcPr>
          <w:p>
            <w:pPr>
              <w:spacing w:after="0"/>
              <w:rPr>
                <w:sz w:val="1"/>
                <w:szCs w:val="1"/>
                <w:color w:val="auto"/>
              </w:rPr>
            </w:pPr>
          </w:p>
        </w:tc>
      </w:tr>
      <w:tr>
        <w:trPr>
          <w:trHeight w:val="224"/>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4,563,971</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3,981,330</w:t>
            </w:r>
          </w:p>
        </w:tc>
        <w:tc>
          <w:tcPr>
            <w:tcW w:w="0" w:type="dxa"/>
            <w:vAlign w:val="bottom"/>
          </w:tcPr>
          <w:p>
            <w:pPr>
              <w:spacing w:after="0"/>
              <w:rPr>
                <w:sz w:val="1"/>
                <w:szCs w:val="1"/>
                <w:color w:val="auto"/>
              </w:rPr>
            </w:pPr>
          </w:p>
        </w:tc>
      </w:tr>
      <w:tr>
        <w:trPr>
          <w:trHeight w:val="197"/>
        </w:trPr>
        <w:tc>
          <w:tcPr>
            <w:tcW w:w="63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Total equity</w:t>
            </w: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76,712,725</w:t>
            </w:r>
          </w:p>
        </w:tc>
        <w:tc>
          <w:tcPr>
            <w:tcW w:w="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75,175,321</w:t>
            </w:r>
          </w:p>
        </w:tc>
        <w:tc>
          <w:tcPr>
            <w:tcW w:w="0" w:type="dxa"/>
            <w:vAlign w:val="bottom"/>
          </w:tcPr>
          <w:p>
            <w:pPr>
              <w:spacing w:after="0"/>
              <w:rPr>
                <w:sz w:val="1"/>
                <w:szCs w:val="1"/>
                <w:color w:val="auto"/>
              </w:rPr>
            </w:pPr>
          </w:p>
        </w:tc>
      </w:tr>
      <w:tr>
        <w:trPr>
          <w:trHeight w:val="197"/>
        </w:trPr>
        <w:tc>
          <w:tcPr>
            <w:tcW w:w="63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102,745,280</w:t>
            </w:r>
          </w:p>
        </w:tc>
        <w:tc>
          <w:tcPr>
            <w:tcW w:w="48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94,676,502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340"/>
          </w:cols>
          <w:pgMar w:left="1300" w:top="1118" w:right="600" w:bottom="382" w:gutter="0" w:footer="0" w:header="0"/>
        </w:sectPr>
      </w:pPr>
    </w:p>
    <w:bookmarkStart w:id="142" w:name="page143"/>
    <w:bookmarkEnd w:id="142"/>
    <w:p>
      <w:pPr>
        <w:ind w:right="1020"/>
        <w:spacing w:after="0" w:line="255" w:lineRule="auto"/>
        <w:rPr>
          <w:sz w:val="20"/>
          <w:szCs w:val="20"/>
          <w:color w:val="auto"/>
        </w:rPr>
      </w:pPr>
      <w:r>
        <w:rPr>
          <w:rFonts w:ascii="Times New Roman" w:cs="Times New Roman" w:eastAsia="Times New Roman" w:hAnsi="Times New Roman"/>
          <w:sz w:val="28"/>
          <w:szCs w:val="28"/>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rPr>
          <w:sz w:val="20"/>
          <w:szCs w:val="20"/>
          <w:color w:val="auto"/>
        </w:rPr>
      </w:pPr>
      <w:r>
        <w:rPr>
          <w:rFonts w:ascii="Times New Roman" w:cs="Times New Roman" w:eastAsia="Times New Roman" w:hAnsi="Times New Roman"/>
          <w:sz w:val="20"/>
          <w:szCs w:val="20"/>
          <w:b w:val="1"/>
          <w:bCs w:val="1"/>
          <w:color w:val="auto"/>
        </w:rPr>
        <w:t>YEARS ENDED AUGUST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-12700</wp:posOffset>
                </wp:positionV>
                <wp:extent cx="611441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441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pt" to="481.3pt,-1pt" o:allowincell="f" strokecolor="#000000" strokeweight="0.96pt"/>
            </w:pict>
          </mc:Fallback>
        </mc:AlternateContent>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56"/>
        </w:trPr>
        <w:tc>
          <w:tcPr>
            <w:tcW w:w="5660" w:type="dxa"/>
            <w:vAlign w:val="bottom"/>
          </w:tcPr>
          <w:p>
            <w:pPr>
              <w:spacing w:after="0"/>
              <w:rPr>
                <w:sz w:val="22"/>
                <w:szCs w:val="22"/>
                <w:color w:val="auto"/>
              </w:rPr>
            </w:pPr>
          </w:p>
        </w:tc>
        <w:tc>
          <w:tcPr>
            <w:tcW w:w="1820" w:type="dxa"/>
            <w:vAlign w:val="bottom"/>
            <w:tcBorders>
              <w:bottom w:val="single" w:sz="8" w:color="auto"/>
            </w:tcBorders>
            <w:gridSpan w:val="2"/>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6"/>
              </w:rPr>
              <w:t>84,234,474</w:t>
            </w:r>
          </w:p>
        </w:tc>
        <w:tc>
          <w:tcPr>
            <w:tcW w:w="580" w:type="dxa"/>
            <w:vAlign w:val="bottom"/>
            <w:gridSpan w:val="2"/>
            <w:vMerge w:val="restart"/>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85,059,517</w:t>
            </w:r>
          </w:p>
        </w:tc>
        <w:tc>
          <w:tcPr>
            <w:tcW w:w="0" w:type="dxa"/>
            <w:vAlign w:val="bottom"/>
          </w:tcPr>
          <w:p>
            <w:pPr>
              <w:spacing w:after="0"/>
              <w:rPr>
                <w:sz w:val="1"/>
                <w:szCs w:val="1"/>
                <w:color w:val="auto"/>
              </w:rPr>
            </w:pPr>
          </w:p>
        </w:tc>
      </w:tr>
      <w:tr>
        <w:trPr>
          <w:trHeight w:val="209"/>
        </w:trPr>
        <w:tc>
          <w:tcPr>
            <w:tcW w:w="5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of goods sold</w:t>
            </w: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52,557,919</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51,273,155</w:t>
            </w:r>
          </w:p>
        </w:tc>
        <w:tc>
          <w:tcPr>
            <w:tcW w:w="0" w:type="dxa"/>
            <w:vAlign w:val="bottom"/>
          </w:tcPr>
          <w:p>
            <w:pPr>
              <w:spacing w:after="0"/>
              <w:rPr>
                <w:sz w:val="1"/>
                <w:szCs w:val="1"/>
                <w:color w:val="auto"/>
              </w:rPr>
            </w:pPr>
          </w:p>
        </w:tc>
      </w:tr>
      <w:tr>
        <w:trPr>
          <w:trHeight w:val="220"/>
        </w:trPr>
        <w:tc>
          <w:tcPr>
            <w:tcW w:w="5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31,676,555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33,786,362</w:t>
            </w:r>
          </w:p>
        </w:tc>
        <w:tc>
          <w:tcPr>
            <w:tcW w:w="0" w:type="dxa"/>
            <w:vAlign w:val="bottom"/>
          </w:tcPr>
          <w:p>
            <w:pPr>
              <w:spacing w:after="0"/>
              <w:rPr>
                <w:sz w:val="1"/>
                <w:szCs w:val="1"/>
                <w:color w:val="auto"/>
              </w:rPr>
            </w:pPr>
          </w:p>
        </w:tc>
      </w:tr>
      <w:tr>
        <w:trPr>
          <w:trHeight w:val="388"/>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10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3,539,056</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4,223,296</w:t>
            </w:r>
          </w:p>
        </w:tc>
        <w:tc>
          <w:tcPr>
            <w:tcW w:w="0" w:type="dxa"/>
            <w:vAlign w:val="bottom"/>
          </w:tcPr>
          <w:p>
            <w:pPr>
              <w:spacing w:after="0"/>
              <w:rPr>
                <w:sz w:val="1"/>
                <w:szCs w:val="1"/>
                <w:color w:val="auto"/>
              </w:rPr>
            </w:pPr>
          </w:p>
        </w:tc>
      </w:tr>
      <w:tr>
        <w:trPr>
          <w:trHeight w:val="209"/>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0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5,006,151</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5,251,782</w:t>
            </w:r>
          </w:p>
        </w:tc>
        <w:tc>
          <w:tcPr>
            <w:tcW w:w="0" w:type="dxa"/>
            <w:vAlign w:val="bottom"/>
          </w:tcPr>
          <w:p>
            <w:pPr>
              <w:spacing w:after="0"/>
              <w:rPr>
                <w:sz w:val="1"/>
                <w:szCs w:val="1"/>
                <w:color w:val="auto"/>
              </w:rPr>
            </w:pPr>
          </w:p>
        </w:tc>
      </w:tr>
      <w:tr>
        <w:trPr>
          <w:trHeight w:val="220"/>
        </w:trPr>
        <w:tc>
          <w:tcPr>
            <w:tcW w:w="5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10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8,545,207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9,475,078</w:t>
            </w:r>
          </w:p>
        </w:tc>
        <w:tc>
          <w:tcPr>
            <w:tcW w:w="0" w:type="dxa"/>
            <w:vAlign w:val="bottom"/>
          </w:tcPr>
          <w:p>
            <w:pPr>
              <w:spacing w:after="0"/>
              <w:rPr>
                <w:sz w:val="1"/>
                <w:szCs w:val="1"/>
                <w:color w:val="auto"/>
              </w:rPr>
            </w:pPr>
          </w:p>
        </w:tc>
      </w:tr>
      <w:tr>
        <w:trPr>
          <w:trHeight w:val="38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6"/>
              </w:rPr>
              <w:t>17,820,196</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16,413,672</w:t>
            </w:r>
          </w:p>
        </w:tc>
        <w:tc>
          <w:tcPr>
            <w:tcW w:w="0" w:type="dxa"/>
            <w:vAlign w:val="bottom"/>
          </w:tcPr>
          <w:p>
            <w:pPr>
              <w:spacing w:after="0"/>
              <w:rPr>
                <w:sz w:val="1"/>
                <w:szCs w:val="1"/>
                <w:color w:val="auto"/>
              </w:rPr>
            </w:pPr>
          </w:p>
        </w:tc>
      </w:tr>
      <w:tr>
        <w:trPr>
          <w:trHeight w:val="207"/>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expenses</w:t>
            </w:r>
          </w:p>
        </w:tc>
        <w:tc>
          <w:tcPr>
            <w:tcW w:w="10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14,792,988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14,176,494</w:t>
            </w:r>
          </w:p>
        </w:tc>
        <w:tc>
          <w:tcPr>
            <w:tcW w:w="0" w:type="dxa"/>
            <w:vAlign w:val="bottom"/>
          </w:tcPr>
          <w:p>
            <w:pPr>
              <w:spacing w:after="0"/>
              <w:rPr>
                <w:sz w:val="1"/>
                <w:szCs w:val="1"/>
                <w:color w:val="auto"/>
              </w:rPr>
            </w:pPr>
          </w:p>
        </w:tc>
      </w:tr>
      <w:tr>
        <w:trPr>
          <w:trHeight w:val="232"/>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5,038,281</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4,802,791</w:t>
            </w:r>
          </w:p>
        </w:tc>
        <w:tc>
          <w:tcPr>
            <w:tcW w:w="0" w:type="dxa"/>
            <w:vAlign w:val="bottom"/>
          </w:tcPr>
          <w:p>
            <w:pPr>
              <w:spacing w:after="0"/>
              <w:rPr>
                <w:sz w:val="1"/>
                <w:szCs w:val="1"/>
                <w:color w:val="auto"/>
              </w:rPr>
            </w:pPr>
          </w:p>
        </w:tc>
      </w:tr>
      <w:tr>
        <w:trPr>
          <w:trHeight w:val="220"/>
        </w:trPr>
        <w:tc>
          <w:tcPr>
            <w:tcW w:w="5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37,651,465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35,392,957</w:t>
            </w:r>
          </w:p>
        </w:tc>
        <w:tc>
          <w:tcPr>
            <w:tcW w:w="0" w:type="dxa"/>
            <w:vAlign w:val="bottom"/>
          </w:tcPr>
          <w:p>
            <w:pPr>
              <w:spacing w:after="0"/>
              <w:rPr>
                <w:sz w:val="1"/>
                <w:szCs w:val="1"/>
                <w:color w:val="auto"/>
              </w:rPr>
            </w:pPr>
          </w:p>
        </w:tc>
      </w:tr>
      <w:tr>
        <w:trPr>
          <w:trHeight w:val="4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2,570,297</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7,868,483</w:t>
            </w:r>
          </w:p>
        </w:tc>
        <w:tc>
          <w:tcPr>
            <w:tcW w:w="0" w:type="dxa"/>
            <w:vAlign w:val="bottom"/>
          </w:tcPr>
          <w:p>
            <w:pPr>
              <w:spacing w:after="0"/>
              <w:rPr>
                <w:sz w:val="1"/>
                <w:szCs w:val="1"/>
                <w:color w:val="auto"/>
              </w:rPr>
            </w:pPr>
          </w:p>
        </w:tc>
      </w:tr>
      <w:tr>
        <w:trPr>
          <w:trHeight w:val="387"/>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308,054</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118,827</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(599,927)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(340,129)</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1,139,756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(386,785)</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3,031,395</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7,647,181</w:t>
            </w:r>
          </w:p>
        </w:tc>
        <w:tc>
          <w:tcPr>
            <w:tcW w:w="0" w:type="dxa"/>
            <w:vAlign w:val="bottom"/>
          </w:tcPr>
          <w:p>
            <w:pPr>
              <w:spacing w:after="0"/>
              <w:rPr>
                <w:sz w:val="1"/>
                <w:szCs w:val="1"/>
                <w:color w:val="auto"/>
              </w:rPr>
            </w:pPr>
          </w:p>
        </w:tc>
      </w:tr>
      <w:tr>
        <w:trPr>
          <w:trHeight w:val="4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2,045,002</w:t>
            </w: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1,325,797</w:t>
            </w:r>
          </w:p>
        </w:tc>
        <w:tc>
          <w:tcPr>
            <w:tcW w:w="0" w:type="dxa"/>
            <w:vAlign w:val="bottom"/>
          </w:tcPr>
          <w:p>
            <w:pPr>
              <w:spacing w:after="0"/>
              <w:rPr>
                <w:sz w:val="1"/>
                <w:szCs w:val="1"/>
                <w:color w:val="auto"/>
              </w:rPr>
            </w:pPr>
          </w:p>
        </w:tc>
      </w:tr>
      <w:tr>
        <w:trPr>
          <w:trHeight w:val="42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986,393</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6,321,384</w:t>
            </w:r>
          </w:p>
        </w:tc>
        <w:tc>
          <w:tcPr>
            <w:tcW w:w="0" w:type="dxa"/>
            <w:vAlign w:val="bottom"/>
          </w:tcPr>
          <w:p>
            <w:pPr>
              <w:spacing w:after="0"/>
              <w:rPr>
                <w:sz w:val="1"/>
                <w:szCs w:val="1"/>
                <w:color w:val="auto"/>
              </w:rPr>
            </w:pPr>
          </w:p>
        </w:tc>
      </w:tr>
      <w:tr>
        <w:trPr>
          <w:trHeight w:val="38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10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968,774</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912,302</w:t>
            </w:r>
          </w:p>
        </w:tc>
        <w:tc>
          <w:tcPr>
            <w:tcW w:w="0" w:type="dxa"/>
            <w:vAlign w:val="bottom"/>
          </w:tcPr>
          <w:p>
            <w:pPr>
              <w:spacing w:after="0"/>
              <w:rPr>
                <w:sz w:val="1"/>
                <w:szCs w:val="1"/>
                <w:color w:val="auto"/>
              </w:rPr>
            </w:pPr>
          </w:p>
        </w:tc>
      </w:tr>
      <w:tr>
        <w:trPr>
          <w:trHeight w:val="21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INTERESTS</w:t>
            </w: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0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17,619</w:t>
            </w:r>
          </w:p>
        </w:tc>
        <w:tc>
          <w:tcPr>
            <w:tcW w:w="160" w:type="dxa"/>
            <w:vAlign w:val="bottom"/>
          </w:tcPr>
          <w:p>
            <w:pPr>
              <w:spacing w:after="0"/>
              <w:rPr>
                <w:sz w:val="24"/>
                <w:szCs w:val="24"/>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5,409,082</w:t>
            </w:r>
          </w:p>
        </w:tc>
        <w:tc>
          <w:tcPr>
            <w:tcW w:w="0" w:type="dxa"/>
            <w:vAlign w:val="bottom"/>
          </w:tcPr>
          <w:p>
            <w:pPr>
              <w:spacing w:after="0"/>
              <w:rPr>
                <w:sz w:val="1"/>
                <w:szCs w:val="1"/>
                <w:color w:val="auto"/>
              </w:rPr>
            </w:pPr>
          </w:p>
        </w:tc>
      </w:tr>
      <w:tr>
        <w:trPr>
          <w:trHeight w:val="437"/>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1020" w:type="dxa"/>
            <w:vAlign w:val="bottom"/>
            <w:vMerge w:val="restart"/>
          </w:tcPr>
          <w:p>
            <w:pPr>
              <w:jc w:val="right"/>
              <w:ind w:right="7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580" w:type="dxa"/>
            <w:vAlign w:val="bottom"/>
            <w:gridSpan w:val="2"/>
            <w:vMerge w:val="restart"/>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ind w:right="234"/>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20"/>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408"/>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ASSUMED OUTSTANDING:</w:t>
            </w:r>
          </w:p>
        </w:tc>
        <w:tc>
          <w:tcPr>
            <w:tcW w:w="10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9,476,085</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vMerge w:val="restart"/>
          </w:tcPr>
          <w:p>
            <w:pPr>
              <w:jc w:val="right"/>
              <w:ind w:right="254"/>
              <w:spacing w:after="0"/>
              <w:rPr>
                <w:sz w:val="20"/>
                <w:szCs w:val="20"/>
                <w:color w:val="auto"/>
              </w:rPr>
            </w:pPr>
            <w:r>
              <w:rPr>
                <w:rFonts w:ascii="Times New Roman" w:cs="Times New Roman" w:eastAsia="Times New Roman" w:hAnsi="Times New Roman"/>
                <w:sz w:val="18"/>
                <w:szCs w:val="18"/>
                <w:color w:val="auto"/>
              </w:rPr>
              <w:t>9,434,020</w:t>
            </w:r>
          </w:p>
        </w:tc>
        <w:tc>
          <w:tcPr>
            <w:tcW w:w="0" w:type="dxa"/>
            <w:vAlign w:val="bottom"/>
          </w:tcPr>
          <w:p>
            <w:pPr>
              <w:spacing w:after="0"/>
              <w:rPr>
                <w:sz w:val="1"/>
                <w:szCs w:val="1"/>
                <w:color w:val="auto"/>
              </w:rPr>
            </w:pPr>
          </w:p>
        </w:tc>
      </w:tr>
      <w:tr>
        <w:trPr>
          <w:trHeight w:val="219"/>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9,639,676</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9,833,450</w:t>
            </w:r>
          </w:p>
        </w:tc>
        <w:tc>
          <w:tcPr>
            <w:tcW w:w="0" w:type="dxa"/>
            <w:vAlign w:val="bottom"/>
          </w:tcPr>
          <w:p>
            <w:pPr>
              <w:spacing w:after="0"/>
              <w:rPr>
                <w:sz w:val="1"/>
                <w:szCs w:val="1"/>
                <w:color w:val="auto"/>
              </w:rPr>
            </w:pPr>
          </w:p>
        </w:tc>
      </w:tr>
      <w:tr>
        <w:trPr>
          <w:trHeight w:val="44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0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tcPr>
          <w:p>
            <w:pPr>
              <w:spacing w:after="0"/>
              <w:rPr>
                <w:sz w:val="24"/>
                <w:szCs w:val="24"/>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0.28</w:t>
            </w: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660"/>
          </w:cols>
          <w:pgMar w:left="1300" w:top="1118" w:right="1280" w:bottom="382" w:gutter="0" w:footer="0" w:header="0"/>
        </w:sectPr>
      </w:pPr>
    </w:p>
    <w:bookmarkStart w:id="143" w:name="page144"/>
    <w:bookmarkEnd w:id="143"/>
    <w:p>
      <w:pPr>
        <w:ind w:right="1020"/>
        <w:spacing w:after="0" w:line="255" w:lineRule="auto"/>
        <w:rPr>
          <w:sz w:val="20"/>
          <w:szCs w:val="20"/>
          <w:color w:val="auto"/>
        </w:rPr>
      </w:pPr>
      <w:r>
        <w:rPr>
          <w:rFonts w:ascii="Times New Roman" w:cs="Times New Roman" w:eastAsia="Times New Roman" w:hAnsi="Times New Roman"/>
          <w:sz w:val="28"/>
          <w:szCs w:val="28"/>
          <w:b w:val="1"/>
          <w:bCs w:val="1"/>
          <w:color w:val="auto"/>
        </w:rPr>
        <w:t>NORTHERN TECHNOLOGIES INTERNATIONAL CORPORATION AND SUBSIDIARIES</w:t>
      </w:r>
    </w:p>
    <w:p>
      <w:pPr>
        <w:spacing w:after="0" w:line="1" w:lineRule="exact"/>
        <w:rPr>
          <w:sz w:val="20"/>
          <w:szCs w:val="20"/>
          <w:color w:val="auto"/>
        </w:rPr>
      </w:pPr>
    </w:p>
    <w:p>
      <w:pPr>
        <w:ind w:right="3560"/>
        <w:spacing w:after="0" w:line="253" w:lineRule="auto"/>
        <w:rPr>
          <w:sz w:val="20"/>
          <w:szCs w:val="20"/>
          <w:color w:val="auto"/>
        </w:rPr>
      </w:pPr>
      <w:r>
        <w:rPr>
          <w:rFonts w:ascii="Times New Roman" w:cs="Times New Roman" w:eastAsia="Times New Roman" w:hAnsi="Times New Roman"/>
          <w:sz w:val="20"/>
          <w:szCs w:val="20"/>
          <w:b w:val="1"/>
          <w:bCs w:val="1"/>
          <w:color w:val="auto"/>
        </w:rPr>
        <w:t>CONSOLIDATED STATEMENTS OF COMPREHENSIVE INCOME YEARS ENDED AUGUST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-27940</wp:posOffset>
                </wp:positionV>
                <wp:extent cx="611441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441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2.1999pt" to="481.3pt,-2.1999pt" o:allowincell="f" strokecolor="#000000" strokeweight="0.96pt"/>
            </w:pict>
          </mc:Fallback>
        </mc:AlternateConten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256"/>
        </w:trPr>
        <w:tc>
          <w:tcPr>
            <w:tcW w:w="60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4"/>
        </w:trPr>
        <w:tc>
          <w:tcPr>
            <w:tcW w:w="6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0"/>
              <w:spacing w:after="0" w:line="194" w:lineRule="exact"/>
              <w:rPr>
                <w:sz w:val="20"/>
                <w:szCs w:val="20"/>
                <w:color w:val="auto"/>
              </w:rPr>
            </w:pPr>
            <w:r>
              <w:rPr>
                <w:rFonts w:ascii="Times New Roman" w:cs="Times New Roman" w:eastAsia="Times New Roman" w:hAnsi="Times New Roman"/>
                <w:sz w:val="18"/>
                <w:szCs w:val="18"/>
                <w:color w:val="auto"/>
              </w:rPr>
              <w:t>986,393</w:t>
            </w:r>
          </w:p>
        </w:tc>
        <w:tc>
          <w:tcPr>
            <w:tcW w:w="160" w:type="dxa"/>
            <w:vAlign w:val="bottom"/>
          </w:tcPr>
          <w:p>
            <w:pPr>
              <w:spacing w:after="0"/>
              <w:rPr>
                <w:sz w:val="16"/>
                <w:szCs w:val="16"/>
                <w:color w:val="auto"/>
              </w:rPr>
            </w:pPr>
          </w:p>
        </w:tc>
        <w:tc>
          <w:tcPr>
            <w:tcW w:w="32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0"/>
              <w:spacing w:after="0" w:line="194" w:lineRule="exact"/>
              <w:rPr>
                <w:sz w:val="20"/>
                <w:szCs w:val="20"/>
                <w:color w:val="auto"/>
              </w:rPr>
            </w:pPr>
            <w:r>
              <w:rPr>
                <w:rFonts w:ascii="Times New Roman" w:cs="Times New Roman" w:eastAsia="Times New Roman" w:hAnsi="Times New Roman"/>
                <w:sz w:val="18"/>
                <w:szCs w:val="18"/>
                <w:color w:val="auto"/>
              </w:rPr>
              <w:t>6,321,384</w:t>
            </w:r>
          </w:p>
        </w:tc>
        <w:tc>
          <w:tcPr>
            <w:tcW w:w="0" w:type="dxa"/>
            <w:vAlign w:val="bottom"/>
          </w:tcPr>
          <w:p>
            <w:pPr>
              <w:spacing w:after="0"/>
              <w:rPr>
                <w:sz w:val="1"/>
                <w:szCs w:val="1"/>
                <w:color w:val="auto"/>
              </w:rPr>
            </w:pPr>
          </w:p>
        </w:tc>
      </w:tr>
      <w:tr>
        <w:trPr>
          <w:trHeight w:val="20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 FOREIGN</w:t>
            </w:r>
          </w:p>
        </w:tc>
        <w:tc>
          <w:tcPr>
            <w:tcW w:w="320" w:type="dxa"/>
            <w:vAlign w:val="bottom"/>
          </w:tcPr>
          <w:p>
            <w:pPr>
              <w:spacing w:after="0"/>
              <w:rPr>
                <w:sz w:val="17"/>
                <w:szCs w:val="17"/>
                <w:color w:val="auto"/>
              </w:rPr>
            </w:pPr>
          </w:p>
        </w:tc>
        <w:tc>
          <w:tcPr>
            <w:tcW w:w="13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904,790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422,859</w:t>
            </w:r>
          </w:p>
        </w:tc>
        <w:tc>
          <w:tcPr>
            <w:tcW w:w="0" w:type="dxa"/>
            <w:vAlign w:val="bottom"/>
          </w:tcPr>
          <w:p>
            <w:pPr>
              <w:spacing w:after="0"/>
              <w:rPr>
                <w:sz w:val="1"/>
                <w:szCs w:val="1"/>
                <w:color w:val="auto"/>
              </w:rPr>
            </w:pPr>
          </w:p>
        </w:tc>
      </w:tr>
      <w:tr>
        <w:trPr>
          <w:trHeight w:val="215"/>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Pr>
          <w:p>
            <w:pPr>
              <w:spacing w:after="0"/>
              <w:rPr>
                <w:sz w:val="24"/>
                <w:szCs w:val="24"/>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1,891,183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6,744,243</w:t>
            </w:r>
          </w:p>
        </w:tc>
        <w:tc>
          <w:tcPr>
            <w:tcW w:w="0" w:type="dxa"/>
            <w:vAlign w:val="bottom"/>
          </w:tcPr>
          <w:p>
            <w:pPr>
              <w:spacing w:after="0"/>
              <w:rPr>
                <w:sz w:val="1"/>
                <w:szCs w:val="1"/>
                <w:color w:val="auto"/>
              </w:rPr>
            </w:pPr>
          </w:p>
        </w:tc>
      </w:tr>
      <w:tr>
        <w:trPr>
          <w:trHeight w:val="384"/>
        </w:trPr>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COMPREHENSIVE INCOME ATTRIBUTABLE TO</w:t>
            </w:r>
          </w:p>
        </w:tc>
        <w:tc>
          <w:tcPr>
            <w:tcW w:w="320" w:type="dxa"/>
            <w:vAlign w:val="bottom"/>
          </w:tcPr>
          <w:p>
            <w:pPr>
              <w:spacing w:after="0"/>
              <w:rPr>
                <w:sz w:val="24"/>
                <w:szCs w:val="24"/>
                <w:color w:val="auto"/>
              </w:rPr>
            </w:pP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(862,641)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(893,882)</w:t>
            </w:r>
          </w:p>
        </w:tc>
        <w:tc>
          <w:tcPr>
            <w:tcW w:w="0" w:type="dxa"/>
            <w:vAlign w:val="bottom"/>
          </w:tcPr>
          <w:p>
            <w:pPr>
              <w:spacing w:after="0"/>
              <w:rPr>
                <w:sz w:val="1"/>
                <w:szCs w:val="1"/>
                <w:color w:val="auto"/>
              </w:rPr>
            </w:pPr>
          </w:p>
        </w:tc>
      </w:tr>
      <w:tr>
        <w:trPr>
          <w:trHeight w:val="215"/>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NON-CONTROLLING INTERESTS, (NET OF TAX)</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NTIC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1,028,542</w:t>
            </w:r>
          </w:p>
        </w:tc>
        <w:tc>
          <w:tcPr>
            <w:tcW w:w="16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5,850,361</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660"/>
          </w:cols>
          <w:pgMar w:left="1300" w:top="1118" w:right="1280" w:bottom="382" w:gutter="0" w:footer="0" w:header="0"/>
        </w:sectPr>
      </w:pPr>
    </w:p>
    <w:bookmarkStart w:id="144" w:name="page145"/>
    <w:bookmarkEnd w:id="144"/>
    <w:p>
      <w:pPr>
        <w:ind w:left="980" w:right="1700"/>
        <w:spacing w:after="0" w:line="255" w:lineRule="auto"/>
        <w:rPr>
          <w:sz w:val="20"/>
          <w:szCs w:val="20"/>
          <w:color w:val="auto"/>
        </w:rPr>
      </w:pPr>
      <w:r>
        <w:rPr>
          <w:rFonts w:ascii="Times New Roman" w:cs="Times New Roman" w:eastAsia="Times New Roman" w:hAnsi="Times New Roman"/>
          <w:sz w:val="28"/>
          <w:szCs w:val="28"/>
          <w:b w:val="1"/>
          <w:bCs w:val="1"/>
          <w:color w:val="auto"/>
        </w:rPr>
        <w:t>NORTHERN TECHNOLOGIES INTERNATIONAL CORPORATION AND SUBSIDIARIES</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CONSOLIDATED STATEMENTS OF EQUITY</w:t>
      </w:r>
    </w:p>
    <w:p>
      <w:pPr>
        <w:ind w:left="980"/>
        <w:spacing w:after="0"/>
        <w:rPr>
          <w:sz w:val="20"/>
          <w:szCs w:val="20"/>
          <w:color w:val="auto"/>
        </w:rPr>
      </w:pPr>
      <w:r>
        <w:rPr>
          <w:rFonts w:ascii="Times New Roman" w:cs="Times New Roman" w:eastAsia="Times New Roman" w:hAnsi="Times New Roman"/>
          <w:sz w:val="20"/>
          <w:szCs w:val="20"/>
          <w:b w:val="1"/>
          <w:bCs w:val="1"/>
          <w:color w:val="auto"/>
        </w:rPr>
        <w:t>YEARS ENDED AUGUST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619760</wp:posOffset>
                </wp:positionH>
                <wp:positionV relativeFrom="paragraph">
                  <wp:posOffset>-12700</wp:posOffset>
                </wp:positionV>
                <wp:extent cx="512064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2064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8pt,-1pt" to="452pt,-1pt" o:allowincell="f" strokecolor="#000000" strokeweight="0.96pt"/>
            </w:pict>
          </mc:Fallback>
        </mc:AlternateConten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2"/>
          </w:tcPr>
          <w:p>
            <w:pPr>
              <w:jc w:val="right"/>
              <w:ind w:right="726"/>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20" w:type="dxa"/>
            <w:vAlign w:val="bottom"/>
            <w:gridSpan w:val="2"/>
          </w:tcPr>
          <w:p>
            <w:pPr>
              <w:jc w:val="center"/>
              <w:ind w:left="67"/>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60" w:type="dxa"/>
            <w:vAlign w:val="bottom"/>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Non-</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auto"/>
            </w:tcBorders>
            <w:gridSpan w:val="2"/>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3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2"/>
          </w:tcPr>
          <w:p>
            <w:pPr>
              <w:jc w:val="center"/>
              <w:ind w:left="67"/>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460" w:type="dxa"/>
            <w:vAlign w:val="bottom"/>
          </w:tcPr>
          <w:p>
            <w:pPr>
              <w:spacing w:after="0"/>
              <w:rPr>
                <w:sz w:val="17"/>
                <w:szCs w:val="17"/>
                <w:color w:val="auto"/>
              </w:rPr>
            </w:pPr>
          </w:p>
        </w:tc>
        <w:tc>
          <w:tcPr>
            <w:tcW w:w="880" w:type="dxa"/>
            <w:vAlign w:val="bottom"/>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2"/>
        </w:trPr>
        <w:tc>
          <w:tcPr>
            <w:tcW w:w="26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tcBorders>
              <w:bottom w:val="single" w:sz="8" w:color="auto"/>
            </w:tcBorders>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3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20" w:type="dxa"/>
            <w:vAlign w:val="bottom"/>
            <w:tcBorders>
              <w:bottom w:val="single" w:sz="8" w:color="auto"/>
            </w:tcBorders>
            <w:gridSpan w:val="2"/>
          </w:tcPr>
          <w:p>
            <w:pPr>
              <w:jc w:val="center"/>
              <w:ind w:left="67"/>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60" w:type="dxa"/>
            <w:vAlign w:val="bottom"/>
            <w:tcBorders>
              <w:bottom w:val="single" w:sz="8" w:color="auto"/>
            </w:tcBorders>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482"/>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BALANCE AT AUGUST 31, 2023</w:t>
            </w:r>
          </w:p>
        </w:tc>
        <w:tc>
          <w:tcPr>
            <w:tcW w:w="100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9,424,102</w:t>
            </w: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$188,482</w:t>
            </w:r>
          </w:p>
        </w:tc>
        <w:tc>
          <w:tcPr>
            <w:tcW w:w="140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8"/>
              </w:rPr>
              <w:t>$21,986,767</w:t>
            </w:r>
          </w:p>
        </w:tc>
        <w:tc>
          <w:tcPr>
            <w:tcW w:w="13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$ 51,004,427</w:t>
            </w:r>
          </w:p>
        </w:tc>
        <w:tc>
          <w:tcPr>
            <w:tcW w:w="4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(6,823,403)</w:t>
            </w: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$ 4,342,524</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70,698,797</w:t>
            </w:r>
          </w:p>
        </w:tc>
        <w:tc>
          <w:tcPr>
            <w:tcW w:w="0" w:type="dxa"/>
            <w:vAlign w:val="bottom"/>
          </w:tcPr>
          <w:p>
            <w:pPr>
              <w:spacing w:after="0"/>
              <w:rPr>
                <w:sz w:val="1"/>
                <w:szCs w:val="1"/>
                <w:color w:val="auto"/>
              </w:rPr>
            </w:pPr>
          </w:p>
        </w:tc>
      </w:tr>
      <w:tr>
        <w:trPr>
          <w:trHeight w:val="267"/>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Stock options exercised</w:t>
            </w:r>
          </w:p>
        </w:tc>
        <w:tc>
          <w:tcPr>
            <w:tcW w:w="100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36,094</w:t>
            </w: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722</w:t>
            </w:r>
          </w:p>
        </w:tc>
        <w:tc>
          <w:tcPr>
            <w:tcW w:w="140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167,797</w:t>
            </w:r>
          </w:p>
        </w:tc>
        <w:tc>
          <w:tcPr>
            <w:tcW w:w="13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3"/>
                <w:szCs w:val="23"/>
                <w:color w:val="auto"/>
              </w:rPr>
            </w:pP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23"/>
                <w:szCs w:val="23"/>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168,519</w:t>
            </w:r>
          </w:p>
        </w:tc>
        <w:tc>
          <w:tcPr>
            <w:tcW w:w="0" w:type="dxa"/>
            <w:vAlign w:val="bottom"/>
          </w:tcPr>
          <w:p>
            <w:pPr>
              <w:spacing w:after="0"/>
              <w:rPr>
                <w:sz w:val="1"/>
                <w:szCs w:val="1"/>
                <w:color w:val="auto"/>
              </w:rPr>
            </w:pPr>
          </w:p>
        </w:tc>
      </w:tr>
      <w:tr>
        <w:trPr>
          <w:trHeight w:val="162"/>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Stock issued for employee stock</w:t>
            </w:r>
          </w:p>
        </w:tc>
        <w:tc>
          <w:tcPr>
            <w:tcW w:w="1000" w:type="dxa"/>
            <w:vAlign w:val="bottom"/>
            <w:vMerge w:val="restart"/>
          </w:tcPr>
          <w:p>
            <w:pPr>
              <w:jc w:val="right"/>
              <w:ind w:right="206"/>
              <w:spacing w:after="0"/>
              <w:rPr>
                <w:sz w:val="20"/>
                <w:szCs w:val="20"/>
                <w:color w:val="auto"/>
              </w:rPr>
            </w:pPr>
            <w:r>
              <w:rPr>
                <w:rFonts w:ascii="Times New Roman" w:cs="Times New Roman" w:eastAsia="Times New Roman" w:hAnsi="Times New Roman"/>
                <w:sz w:val="15"/>
                <w:szCs w:val="15"/>
                <w:color w:val="auto"/>
              </w:rPr>
              <w:t>6,780</w:t>
            </w:r>
          </w:p>
        </w:tc>
        <w:tc>
          <w:tcPr>
            <w:tcW w:w="98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136</w:t>
            </w:r>
          </w:p>
        </w:tc>
        <w:tc>
          <w:tcPr>
            <w:tcW w:w="1400" w:type="dxa"/>
            <w:vAlign w:val="bottom"/>
            <w:vMerge w:val="restart"/>
          </w:tcPr>
          <w:p>
            <w:pPr>
              <w:jc w:val="right"/>
              <w:ind w:right="226"/>
              <w:spacing w:after="0"/>
              <w:rPr>
                <w:sz w:val="20"/>
                <w:szCs w:val="20"/>
                <w:color w:val="auto"/>
              </w:rPr>
            </w:pPr>
            <w:r>
              <w:rPr>
                <w:rFonts w:ascii="Times New Roman" w:cs="Times New Roman" w:eastAsia="Times New Roman" w:hAnsi="Times New Roman"/>
                <w:sz w:val="15"/>
                <w:szCs w:val="15"/>
                <w:color w:val="auto"/>
              </w:rPr>
              <w:t>79,831</w:t>
            </w:r>
          </w:p>
        </w:tc>
        <w:tc>
          <w:tcPr>
            <w:tcW w:w="1340" w:type="dxa"/>
            <w:vAlign w:val="bottom"/>
            <w:vMerge w:val="restart"/>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92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4"/>
                <w:szCs w:val="14"/>
                <w:color w:val="auto"/>
              </w:rPr>
            </w:pPr>
          </w:p>
        </w:tc>
        <w:tc>
          <w:tcPr>
            <w:tcW w:w="88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auto"/>
              </w:rPr>
              <w:t>79,967</w:t>
            </w:r>
          </w:p>
        </w:tc>
        <w:tc>
          <w:tcPr>
            <w:tcW w:w="0" w:type="dxa"/>
            <w:vAlign w:val="bottom"/>
          </w:tcPr>
          <w:p>
            <w:pPr>
              <w:spacing w:after="0"/>
              <w:rPr>
                <w:sz w:val="1"/>
                <w:szCs w:val="1"/>
                <w:color w:val="auto"/>
              </w:rPr>
            </w:pPr>
          </w:p>
        </w:tc>
      </w:tr>
      <w:tr>
        <w:trPr>
          <w:trHeight w:val="189"/>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purchase plan</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Stock option expense</w:t>
            </w:r>
          </w:p>
        </w:tc>
        <w:tc>
          <w:tcPr>
            <w:tcW w:w="100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1,381,169</w:t>
            </w:r>
          </w:p>
        </w:tc>
        <w:tc>
          <w:tcPr>
            <w:tcW w:w="13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4"/>
                <w:szCs w:val="24"/>
                <w:color w:val="auto"/>
              </w:rPr>
            </w:pP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24"/>
                <w:szCs w:val="24"/>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1,381,169</w:t>
            </w:r>
          </w:p>
        </w:tc>
        <w:tc>
          <w:tcPr>
            <w:tcW w:w="0" w:type="dxa"/>
            <w:vAlign w:val="bottom"/>
          </w:tcPr>
          <w:p>
            <w:pPr>
              <w:spacing w:after="0"/>
              <w:rPr>
                <w:sz w:val="1"/>
                <w:szCs w:val="1"/>
                <w:color w:val="auto"/>
              </w:rPr>
            </w:pPr>
          </w:p>
        </w:tc>
      </w:tr>
      <w:tr>
        <w:trPr>
          <w:trHeight w:val="269"/>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100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(2,642,298)</w:t>
            </w:r>
          </w:p>
        </w:tc>
        <w:tc>
          <w:tcPr>
            <w:tcW w:w="400" w:type="dxa"/>
            <w:vAlign w:val="bottom"/>
          </w:tcPr>
          <w:p>
            <w:pPr>
              <w:spacing w:after="0"/>
              <w:rPr>
                <w:sz w:val="23"/>
                <w:szCs w:val="23"/>
                <w:color w:val="auto"/>
              </w:rPr>
            </w:pP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(2,642,298)</w:t>
            </w:r>
          </w:p>
        </w:tc>
        <w:tc>
          <w:tcPr>
            <w:tcW w:w="0" w:type="dxa"/>
            <w:vAlign w:val="bottom"/>
          </w:tcPr>
          <w:p>
            <w:pPr>
              <w:spacing w:after="0"/>
              <w:rPr>
                <w:sz w:val="1"/>
                <w:szCs w:val="1"/>
                <w:color w:val="auto"/>
              </w:rPr>
            </w:pPr>
          </w:p>
        </w:tc>
      </w:tr>
      <w:tr>
        <w:trPr>
          <w:trHeight w:val="161"/>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Dividend received by non-controlling</w:t>
            </w:r>
          </w:p>
        </w:tc>
        <w:tc>
          <w:tcPr>
            <w:tcW w:w="1000" w:type="dxa"/>
            <w:vAlign w:val="bottom"/>
            <w:vMerge w:val="restart"/>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vMerge w:val="restart"/>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vMerge w:val="restart"/>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3"/>
                <w:szCs w:val="13"/>
                <w:color w:val="auto"/>
              </w:rPr>
            </w:pPr>
          </w:p>
        </w:tc>
        <w:tc>
          <w:tcPr>
            <w:tcW w:w="92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auto"/>
              </w:rPr>
              <w:t>(1,255,076)</w:t>
            </w:r>
          </w:p>
        </w:tc>
        <w:tc>
          <w:tcPr>
            <w:tcW w:w="460" w:type="dxa"/>
            <w:vAlign w:val="bottom"/>
          </w:tcPr>
          <w:p>
            <w:pPr>
              <w:spacing w:after="0"/>
              <w:rPr>
                <w:sz w:val="13"/>
                <w:szCs w:val="13"/>
                <w:color w:val="auto"/>
              </w:rPr>
            </w:pPr>
          </w:p>
        </w:tc>
        <w:tc>
          <w:tcPr>
            <w:tcW w:w="880" w:type="dxa"/>
            <w:vAlign w:val="bottom"/>
            <w:vMerge w:val="restart"/>
          </w:tcPr>
          <w:p>
            <w:pPr>
              <w:jc w:val="right"/>
              <w:ind w:right="26"/>
              <w:spacing w:after="0"/>
              <w:rPr>
                <w:sz w:val="20"/>
                <w:szCs w:val="20"/>
                <w:color w:val="auto"/>
              </w:rPr>
            </w:pPr>
            <w:r>
              <w:rPr>
                <w:rFonts w:ascii="Times New Roman" w:cs="Times New Roman" w:eastAsia="Times New Roman" w:hAnsi="Times New Roman"/>
                <w:sz w:val="15"/>
                <w:szCs w:val="15"/>
                <w:color w:val="auto"/>
              </w:rPr>
              <w:t>(1,255,076)</w:t>
            </w:r>
          </w:p>
        </w:tc>
        <w:tc>
          <w:tcPr>
            <w:tcW w:w="0" w:type="dxa"/>
            <w:vAlign w:val="bottom"/>
          </w:tcPr>
          <w:p>
            <w:pPr>
              <w:spacing w:after="0"/>
              <w:rPr>
                <w:sz w:val="1"/>
                <w:szCs w:val="1"/>
                <w:color w:val="auto"/>
              </w:rPr>
            </w:pPr>
          </w:p>
        </w:tc>
      </w:tr>
      <w:tr>
        <w:trPr>
          <w:trHeight w:val="189"/>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interest</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5,409,082</w:t>
            </w:r>
          </w:p>
        </w:tc>
        <w:tc>
          <w:tcPr>
            <w:tcW w:w="400" w:type="dxa"/>
            <w:vAlign w:val="bottom"/>
          </w:tcPr>
          <w:p>
            <w:pPr>
              <w:spacing w:after="0"/>
              <w:rPr>
                <w:sz w:val="24"/>
                <w:szCs w:val="24"/>
                <w:color w:val="auto"/>
              </w:rPr>
            </w:pP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912,302</w:t>
            </w:r>
          </w:p>
        </w:tc>
        <w:tc>
          <w:tcPr>
            <w:tcW w:w="460" w:type="dxa"/>
            <w:vAlign w:val="bottom"/>
          </w:tcPr>
          <w:p>
            <w:pPr>
              <w:spacing w:after="0"/>
              <w:rPr>
                <w:sz w:val="24"/>
                <w:szCs w:val="24"/>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6,321,384</w:t>
            </w:r>
          </w:p>
        </w:tc>
        <w:tc>
          <w:tcPr>
            <w:tcW w:w="0" w:type="dxa"/>
            <w:vAlign w:val="bottom"/>
          </w:tcPr>
          <w:p>
            <w:pPr>
              <w:spacing w:after="0"/>
              <w:rPr>
                <w:sz w:val="1"/>
                <w:szCs w:val="1"/>
                <w:color w:val="auto"/>
              </w:rPr>
            </w:pPr>
          </w:p>
        </w:tc>
      </w:tr>
      <w:tr>
        <w:trPr>
          <w:trHeight w:val="283"/>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441,279</w:t>
            </w:r>
          </w:p>
        </w:tc>
        <w:tc>
          <w:tcPr>
            <w:tcW w:w="12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5"/>
                <w:szCs w:val="15"/>
                <w:color w:val="auto"/>
              </w:rPr>
              <w:t>(18,420)</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5"/>
                <w:szCs w:val="15"/>
                <w:color w:val="auto"/>
              </w:rPr>
              <w:t>422,859</w:t>
            </w:r>
          </w:p>
        </w:tc>
        <w:tc>
          <w:tcPr>
            <w:tcW w:w="0" w:type="dxa"/>
            <w:vAlign w:val="bottom"/>
          </w:tcPr>
          <w:p>
            <w:pPr>
              <w:spacing w:after="0"/>
              <w:rPr>
                <w:sz w:val="1"/>
                <w:szCs w:val="1"/>
                <w:color w:val="auto"/>
              </w:rPr>
            </w:pPr>
          </w:p>
        </w:tc>
      </w:tr>
      <w:tr>
        <w:trPr>
          <w:trHeight w:val="300"/>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BALANCE AT AUGUST 31, 2024</w:t>
            </w:r>
          </w:p>
        </w:tc>
        <w:tc>
          <w:tcPr>
            <w:tcW w:w="100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9,466,976</w:t>
            </w: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$189,340</w:t>
            </w:r>
          </w:p>
        </w:tc>
        <w:tc>
          <w:tcPr>
            <w:tcW w:w="1400" w:type="dxa"/>
            <w:vAlign w:val="bottom"/>
          </w:tcPr>
          <w:p>
            <w:pPr>
              <w:jc w:val="center"/>
              <w:ind w:left="26"/>
              <w:spacing w:after="0"/>
              <w:rPr>
                <w:sz w:val="20"/>
                <w:szCs w:val="20"/>
                <w:color w:val="auto"/>
              </w:rPr>
            </w:pPr>
            <w:r>
              <w:rPr>
                <w:rFonts w:ascii="Times New Roman" w:cs="Times New Roman" w:eastAsia="Times New Roman" w:hAnsi="Times New Roman"/>
                <w:sz w:val="15"/>
                <w:szCs w:val="15"/>
                <w:color w:val="auto"/>
                <w:w w:val="98"/>
              </w:rPr>
              <w:t>$23,615,564</w:t>
            </w:r>
          </w:p>
        </w:tc>
        <w:tc>
          <w:tcPr>
            <w:tcW w:w="13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$ 53,771,211</w:t>
            </w:r>
          </w:p>
        </w:tc>
        <w:tc>
          <w:tcPr>
            <w:tcW w:w="4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(6,382,124)</w:t>
            </w: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$ 3,981,330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75,175,321</w:t>
            </w:r>
          </w:p>
        </w:tc>
        <w:tc>
          <w:tcPr>
            <w:tcW w:w="0" w:type="dxa"/>
            <w:vAlign w:val="bottom"/>
          </w:tcPr>
          <w:p>
            <w:pPr>
              <w:spacing w:after="0"/>
              <w:rPr>
                <w:sz w:val="1"/>
                <w:szCs w:val="1"/>
                <w:color w:val="auto"/>
              </w:rPr>
            </w:pPr>
          </w:p>
        </w:tc>
      </w:tr>
      <w:tr>
        <w:trPr>
          <w:trHeight w:val="267"/>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Stock options exercised</w:t>
            </w:r>
          </w:p>
        </w:tc>
        <w:tc>
          <w:tcPr>
            <w:tcW w:w="100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1,127</w:t>
            </w: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23</w:t>
            </w:r>
          </w:p>
        </w:tc>
        <w:tc>
          <w:tcPr>
            <w:tcW w:w="140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(23)</w:t>
            </w:r>
          </w:p>
        </w:tc>
        <w:tc>
          <w:tcPr>
            <w:tcW w:w="13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3"/>
                <w:szCs w:val="23"/>
                <w:color w:val="auto"/>
              </w:rPr>
            </w:pP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23"/>
                <w:szCs w:val="23"/>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Stock issued for employee stock</w:t>
            </w:r>
          </w:p>
        </w:tc>
        <w:tc>
          <w:tcPr>
            <w:tcW w:w="1000" w:type="dxa"/>
            <w:vAlign w:val="bottom"/>
            <w:vMerge w:val="restart"/>
          </w:tcPr>
          <w:p>
            <w:pPr>
              <w:jc w:val="right"/>
              <w:ind w:right="206"/>
              <w:spacing w:after="0"/>
              <w:rPr>
                <w:sz w:val="20"/>
                <w:szCs w:val="20"/>
                <w:color w:val="auto"/>
              </w:rPr>
            </w:pPr>
            <w:r>
              <w:rPr>
                <w:rFonts w:ascii="Times New Roman" w:cs="Times New Roman" w:eastAsia="Times New Roman" w:hAnsi="Times New Roman"/>
                <w:sz w:val="15"/>
                <w:szCs w:val="15"/>
                <w:color w:val="auto"/>
              </w:rPr>
              <w:t>7,383</w:t>
            </w:r>
          </w:p>
        </w:tc>
        <w:tc>
          <w:tcPr>
            <w:tcW w:w="98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147</w:t>
            </w:r>
          </w:p>
        </w:tc>
        <w:tc>
          <w:tcPr>
            <w:tcW w:w="1400" w:type="dxa"/>
            <w:vAlign w:val="bottom"/>
            <w:vMerge w:val="restart"/>
          </w:tcPr>
          <w:p>
            <w:pPr>
              <w:jc w:val="right"/>
              <w:ind w:right="226"/>
              <w:spacing w:after="0"/>
              <w:rPr>
                <w:sz w:val="20"/>
                <w:szCs w:val="20"/>
                <w:color w:val="auto"/>
              </w:rPr>
            </w:pPr>
            <w:r>
              <w:rPr>
                <w:rFonts w:ascii="Times New Roman" w:cs="Times New Roman" w:eastAsia="Times New Roman" w:hAnsi="Times New Roman"/>
                <w:sz w:val="15"/>
                <w:szCs w:val="15"/>
                <w:color w:val="auto"/>
              </w:rPr>
              <w:t>81,349</w:t>
            </w:r>
          </w:p>
        </w:tc>
        <w:tc>
          <w:tcPr>
            <w:tcW w:w="1340" w:type="dxa"/>
            <w:vAlign w:val="bottom"/>
            <w:vMerge w:val="restart"/>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92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4"/>
                <w:szCs w:val="14"/>
                <w:color w:val="auto"/>
              </w:rPr>
            </w:pPr>
          </w:p>
        </w:tc>
        <w:tc>
          <w:tcPr>
            <w:tcW w:w="88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auto"/>
              </w:rPr>
              <w:t>81,496</w:t>
            </w:r>
          </w:p>
        </w:tc>
        <w:tc>
          <w:tcPr>
            <w:tcW w:w="0" w:type="dxa"/>
            <w:vAlign w:val="bottom"/>
          </w:tcPr>
          <w:p>
            <w:pPr>
              <w:spacing w:after="0"/>
              <w:rPr>
                <w:sz w:val="1"/>
                <w:szCs w:val="1"/>
                <w:color w:val="auto"/>
              </w:rPr>
            </w:pPr>
          </w:p>
        </w:tc>
      </w:tr>
      <w:tr>
        <w:trPr>
          <w:trHeight w:val="189"/>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purchase plan</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Stock option expense</w:t>
            </w:r>
          </w:p>
        </w:tc>
        <w:tc>
          <w:tcPr>
            <w:tcW w:w="100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1,360,086</w:t>
            </w:r>
          </w:p>
        </w:tc>
        <w:tc>
          <w:tcPr>
            <w:tcW w:w="13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24"/>
                <w:szCs w:val="24"/>
                <w:color w:val="auto"/>
              </w:rPr>
            </w:pP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24"/>
                <w:szCs w:val="24"/>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1,360,086</w:t>
            </w:r>
          </w:p>
        </w:tc>
        <w:tc>
          <w:tcPr>
            <w:tcW w:w="0" w:type="dxa"/>
            <w:vAlign w:val="bottom"/>
          </w:tcPr>
          <w:p>
            <w:pPr>
              <w:spacing w:after="0"/>
              <w:rPr>
                <w:sz w:val="1"/>
                <w:szCs w:val="1"/>
                <w:color w:val="auto"/>
              </w:rPr>
            </w:pPr>
          </w:p>
        </w:tc>
      </w:tr>
      <w:tr>
        <w:trPr>
          <w:trHeight w:val="565"/>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100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(1,515,361)</w:t>
            </w:r>
          </w:p>
        </w:tc>
        <w:tc>
          <w:tcPr>
            <w:tcW w:w="400" w:type="dxa"/>
            <w:vAlign w:val="bottom"/>
          </w:tcPr>
          <w:p>
            <w:pPr>
              <w:spacing w:after="0"/>
              <w:rPr>
                <w:sz w:val="24"/>
                <w:szCs w:val="24"/>
                <w:color w:val="auto"/>
              </w:rPr>
            </w:pP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(1,515,361)</w:t>
            </w:r>
          </w:p>
        </w:tc>
        <w:tc>
          <w:tcPr>
            <w:tcW w:w="0" w:type="dxa"/>
            <w:vAlign w:val="bottom"/>
          </w:tcPr>
          <w:p>
            <w:pPr>
              <w:spacing w:after="0"/>
              <w:rPr>
                <w:sz w:val="1"/>
                <w:szCs w:val="1"/>
                <w:color w:val="auto"/>
              </w:rPr>
            </w:pPr>
          </w:p>
        </w:tc>
      </w:tr>
      <w:tr>
        <w:trPr>
          <w:trHeight w:val="161"/>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Dividend received by non-controlling</w:t>
            </w:r>
          </w:p>
        </w:tc>
        <w:tc>
          <w:tcPr>
            <w:tcW w:w="1000" w:type="dxa"/>
            <w:vAlign w:val="bottom"/>
            <w:vMerge w:val="restart"/>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vMerge w:val="restart"/>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vMerge w:val="restart"/>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3"/>
                <w:szCs w:val="13"/>
                <w:color w:val="auto"/>
              </w:rPr>
            </w:pPr>
          </w:p>
        </w:tc>
        <w:tc>
          <w:tcPr>
            <w:tcW w:w="92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auto"/>
              </w:rPr>
              <w:t>(280,000)</w:t>
            </w:r>
          </w:p>
        </w:tc>
        <w:tc>
          <w:tcPr>
            <w:tcW w:w="460" w:type="dxa"/>
            <w:vAlign w:val="bottom"/>
          </w:tcPr>
          <w:p>
            <w:pPr>
              <w:spacing w:after="0"/>
              <w:rPr>
                <w:sz w:val="13"/>
                <w:szCs w:val="13"/>
                <w:color w:val="auto"/>
              </w:rPr>
            </w:pPr>
          </w:p>
        </w:tc>
        <w:tc>
          <w:tcPr>
            <w:tcW w:w="880" w:type="dxa"/>
            <w:vAlign w:val="bottom"/>
            <w:vMerge w:val="restart"/>
          </w:tcPr>
          <w:p>
            <w:pPr>
              <w:jc w:val="right"/>
              <w:ind w:right="26"/>
              <w:spacing w:after="0"/>
              <w:rPr>
                <w:sz w:val="20"/>
                <w:szCs w:val="20"/>
                <w:color w:val="auto"/>
              </w:rPr>
            </w:pPr>
            <w:r>
              <w:rPr>
                <w:rFonts w:ascii="Times New Roman" w:cs="Times New Roman" w:eastAsia="Times New Roman" w:hAnsi="Times New Roman"/>
                <w:sz w:val="15"/>
                <w:szCs w:val="15"/>
                <w:color w:val="auto"/>
              </w:rPr>
              <w:t>(280,000)</w:t>
            </w:r>
          </w:p>
        </w:tc>
        <w:tc>
          <w:tcPr>
            <w:tcW w:w="0" w:type="dxa"/>
            <w:vAlign w:val="bottom"/>
          </w:tcPr>
          <w:p>
            <w:pPr>
              <w:spacing w:after="0"/>
              <w:rPr>
                <w:sz w:val="1"/>
                <w:szCs w:val="1"/>
                <w:color w:val="auto"/>
              </w:rPr>
            </w:pPr>
          </w:p>
        </w:tc>
      </w:tr>
      <w:tr>
        <w:trPr>
          <w:trHeight w:val="189"/>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interest</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17,619</w:t>
            </w:r>
          </w:p>
        </w:tc>
        <w:tc>
          <w:tcPr>
            <w:tcW w:w="400" w:type="dxa"/>
            <w:vAlign w:val="bottom"/>
          </w:tcPr>
          <w:p>
            <w:pPr>
              <w:spacing w:after="0"/>
              <w:rPr>
                <w:sz w:val="24"/>
                <w:szCs w:val="24"/>
                <w:color w:val="auto"/>
              </w:rPr>
            </w:pP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968,774</w:t>
            </w:r>
          </w:p>
        </w:tc>
        <w:tc>
          <w:tcPr>
            <w:tcW w:w="460" w:type="dxa"/>
            <w:vAlign w:val="bottom"/>
          </w:tcPr>
          <w:p>
            <w:pPr>
              <w:spacing w:after="0"/>
              <w:rPr>
                <w:sz w:val="24"/>
                <w:szCs w:val="24"/>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986,393</w:t>
            </w:r>
          </w:p>
        </w:tc>
        <w:tc>
          <w:tcPr>
            <w:tcW w:w="0" w:type="dxa"/>
            <w:vAlign w:val="bottom"/>
          </w:tcPr>
          <w:p>
            <w:pPr>
              <w:spacing w:after="0"/>
              <w:rPr>
                <w:sz w:val="1"/>
                <w:szCs w:val="1"/>
                <w:color w:val="auto"/>
              </w:rPr>
            </w:pPr>
          </w:p>
        </w:tc>
      </w:tr>
      <w:tr>
        <w:trPr>
          <w:trHeight w:val="282"/>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1,010,923</w:t>
            </w:r>
          </w:p>
        </w:tc>
        <w:tc>
          <w:tcPr>
            <w:tcW w:w="12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5"/>
                <w:szCs w:val="15"/>
                <w:color w:val="auto"/>
              </w:rPr>
              <w:t>(106,133)</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5"/>
                <w:szCs w:val="15"/>
                <w:color w:val="auto"/>
              </w:rPr>
              <w:t>904,790</w:t>
            </w:r>
          </w:p>
        </w:tc>
        <w:tc>
          <w:tcPr>
            <w:tcW w:w="0" w:type="dxa"/>
            <w:vAlign w:val="bottom"/>
          </w:tcPr>
          <w:p>
            <w:pPr>
              <w:spacing w:after="0"/>
              <w:rPr>
                <w:sz w:val="1"/>
                <w:szCs w:val="1"/>
                <w:color w:val="auto"/>
              </w:rPr>
            </w:pPr>
          </w:p>
        </w:tc>
      </w:tr>
      <w:tr>
        <w:trPr>
          <w:trHeight w:val="296"/>
        </w:trPr>
        <w:tc>
          <w:tcPr>
            <w:tcW w:w="2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BALANCE AT AUGUST 31, 2025</w:t>
            </w: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5"/>
                <w:szCs w:val="15"/>
                <w:color w:val="auto"/>
              </w:rPr>
              <w:t>9,475,490</w:t>
            </w:r>
          </w:p>
        </w:tc>
        <w:tc>
          <w:tcPr>
            <w:tcW w:w="9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$189,510</w:t>
            </w:r>
          </w:p>
        </w:tc>
        <w:tc>
          <w:tcPr>
            <w:tcW w:w="140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5"/>
                <w:szCs w:val="15"/>
                <w:color w:val="auto"/>
                <w:w w:val="98"/>
              </w:rPr>
              <w:t>$25,056,976</w:t>
            </w:r>
          </w:p>
        </w:tc>
        <w:tc>
          <w:tcPr>
            <w:tcW w:w="1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5"/>
                <w:szCs w:val="15"/>
                <w:color w:val="auto"/>
              </w:rPr>
              <w:t>$ 52,273,469</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(5,371,201)</w:t>
            </w:r>
          </w:p>
        </w:tc>
        <w:tc>
          <w:tcPr>
            <w:tcW w:w="1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5"/>
                <w:szCs w:val="15"/>
                <w:color w:val="auto"/>
              </w:rPr>
              <w:t>$ 4,563,971</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5"/>
                <w:szCs w:val="15"/>
                <w:color w:val="auto"/>
              </w:rPr>
              <w:t>76,712,725</w:t>
            </w:r>
          </w:p>
        </w:tc>
        <w:tc>
          <w:tcPr>
            <w:tcW w:w="0" w:type="dxa"/>
            <w:vAlign w:val="bottom"/>
          </w:tcPr>
          <w:p>
            <w:pPr>
              <w:spacing w:after="0"/>
              <w:rPr>
                <w:sz w:val="1"/>
                <w:szCs w:val="1"/>
                <w:color w:val="auto"/>
              </w:rPr>
            </w:pPr>
          </w:p>
        </w:tc>
      </w:tr>
    </w:tbl>
    <w:p>
      <w:pPr>
        <w:spacing w:after="0" w:line="35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1320"/>
          </w:cols>
          <w:pgMar w:left="320" w:top="1118" w:right="600" w:bottom="382" w:gutter="0" w:footer="0" w:header="0"/>
        </w:sectPr>
      </w:pPr>
    </w:p>
    <w:bookmarkStart w:id="145" w:name="page146"/>
    <w:bookmarkEnd w:id="145"/>
    <w:p>
      <w:pPr>
        <w:ind w:right="860"/>
        <w:spacing w:after="0" w:line="255" w:lineRule="auto"/>
        <w:rPr>
          <w:sz w:val="20"/>
          <w:szCs w:val="20"/>
          <w:color w:val="auto"/>
        </w:rPr>
      </w:pPr>
      <w:r>
        <w:rPr>
          <w:rFonts w:ascii="Times New Roman" w:cs="Times New Roman" w:eastAsia="Times New Roman" w:hAnsi="Times New Roman"/>
          <w:sz w:val="28"/>
          <w:szCs w:val="28"/>
          <w:b w:val="1"/>
          <w:bCs w:val="1"/>
          <w:color w:val="auto"/>
        </w:rPr>
        <w:t>NORTHERN TECHNOLOGIES INTERNATIONAL CORPORATION AND SUBSIDIARIES</w:t>
      </w:r>
    </w:p>
    <w:p>
      <w:pPr>
        <w:spacing w:after="0" w:line="1" w:lineRule="exact"/>
        <w:rPr>
          <w:sz w:val="20"/>
          <w:szCs w:val="20"/>
          <w:color w:val="auto"/>
        </w:rPr>
      </w:pPr>
    </w:p>
    <w:p>
      <w:pPr>
        <w:ind w:right="4560"/>
        <w:spacing w:after="0" w:line="253" w:lineRule="auto"/>
        <w:rPr>
          <w:sz w:val="20"/>
          <w:szCs w:val="20"/>
          <w:color w:val="auto"/>
        </w:rPr>
      </w:pPr>
      <w:r>
        <w:rPr>
          <w:rFonts w:ascii="Times New Roman" w:cs="Times New Roman" w:eastAsia="Times New Roman" w:hAnsi="Times New Roman"/>
          <w:sz w:val="20"/>
          <w:szCs w:val="20"/>
          <w:b w:val="1"/>
          <w:bCs w:val="1"/>
          <w:color w:val="auto"/>
        </w:rPr>
        <w:t>CONSOLIDATED STATEMENTS OF CASH FLOWS FOR THE YEARS ENDED AUGUST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-27940</wp:posOffset>
                </wp:positionV>
                <wp:extent cx="611441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441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2.1999pt" to="481.3pt,-2.1999pt" o:allowincell="f" strokecolor="#000000" strokeweight="0.96pt"/>
            </w:pict>
          </mc:Fallback>
        </mc:AlternateContent>
      </w:r>
    </w:p>
    <w:p>
      <w:pPr>
        <w:spacing w:after="0" w:line="158" w:lineRule="exact"/>
        <w:rPr>
          <w:sz w:val="20"/>
          <w:szCs w:val="20"/>
          <w:color w:val="auto"/>
        </w:rPr>
      </w:pPr>
    </w:p>
    <w:p>
      <w:pPr>
        <w:jc w:val="both"/>
        <w:ind w:left="6900"/>
        <w:spacing w:after="0"/>
        <w:tabs>
          <w:tab w:leader="none" w:pos="868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3959860</wp:posOffset>
                </wp:positionH>
                <wp:positionV relativeFrom="paragraph">
                  <wp:posOffset>27305</wp:posOffset>
                </wp:positionV>
                <wp:extent cx="104394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9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8pt,2.15pt" to="394pt,2.1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5102860</wp:posOffset>
                </wp:positionH>
                <wp:positionV relativeFrom="paragraph">
                  <wp:posOffset>27305</wp:posOffset>
                </wp:positionV>
                <wp:extent cx="104394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9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8pt,2.15pt" to="484pt,2.15pt" o:allowincell="f" strokecolor="#000000" strokeweight="0.4799pt"/>
            </w:pict>
          </mc:Fallback>
        </mc:AlternateContent>
      </w:r>
    </w:p>
    <w:p>
      <w:pPr>
        <w:sectPr>
          <w:pgSz w:w="12240" w:h="15840" w:orient="portrait"/>
          <w:cols w:equalWidth="0" w:num="1">
            <w:col w:w="9500"/>
          </w:cols>
          <w:pgMar w:left="1300" w:top="1118" w:right="1440" w:bottom="382" w:gutter="0" w:footer="0" w:header="0"/>
        </w:sectPr>
      </w:pP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CASH FLOWS FROM OPERATING ACTIVITIES:</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Net income</w:t>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Depreciation expense</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Amortization expense</w:t>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Loss on disposal of property and equipment</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Change in allowance for credit losses</w:t>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Equity in income from joint ventures</w:t>
      </w:r>
    </w:p>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Dividends received from joint ventures</w:t>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current assets and liabilities:</w:t>
      </w:r>
    </w:p>
    <w:p>
      <w:pPr>
        <w:spacing w:after="0" w:line="1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Receivables:</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Trade</w:t>
      </w:r>
    </w:p>
    <w:p>
      <w:pPr>
        <w:spacing w:after="0" w:line="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Fees for services provided to joint ventures</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Dividends receivable from joint venture</w:t>
      </w:r>
    </w:p>
    <w:p>
      <w:pPr>
        <w:spacing w:after="0" w:line="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Income taxes</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Inventories, net</w:t>
      </w:r>
    </w:p>
    <w:p>
      <w:pPr>
        <w:spacing w:after="0" w:line="1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Prepaid expenses and other</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1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Income tax payable</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Accrued liabilities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Net cash provided by operating activities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CASH FLOWS FROM INVESTING ACTIVITIES:</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Purchases of property and equipment</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Investments in patents and capitalized software costs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Net cash used in investing activities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CASH FLOWS FROM FINANCING ACTIVITIES:</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Dividend received by non-controlling interest</w:t>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Repayments of line of credit</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Proceeds from issuance of long-term debt</w:t>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Proceeds from line of credit</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Dividends paid on NTIC common stock</w:t>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Proceeds from employee stock purchase plan</w:t>
      </w:r>
    </w:p>
    <w:p>
      <w:pPr>
        <w:spacing w:after="0" w:line="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Proceeds from exercise of stock options</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p>
      <w:pPr>
        <w:spacing w:after="0" w:line="267" w:lineRule="exact"/>
        <w:rPr>
          <w:sz w:val="20"/>
          <w:szCs w:val="20"/>
          <w:color w:val="auto"/>
        </w:rPr>
      </w:pPr>
    </w:p>
    <w:p>
      <w:pPr>
        <w:ind w:left="480" w:right="900"/>
        <w:spacing w:after="0" w:line="277" w:lineRule="auto"/>
        <w:rPr>
          <w:sz w:val="20"/>
          <w:szCs w:val="20"/>
          <w:color w:val="auto"/>
        </w:rPr>
      </w:pPr>
      <w:r>
        <w:rPr>
          <w:rFonts w:ascii="Times New Roman" w:cs="Times New Roman" w:eastAsia="Times New Roman" w:hAnsi="Times New Roman"/>
          <w:sz w:val="16"/>
          <w:szCs w:val="16"/>
          <w:color w:val="auto"/>
        </w:rPr>
        <w:t>EFFECT OF EXCHANGE RATE CHANGES ON CASH AND CASH EQUIVALENTS</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INCREASE IN CASH AND CASH EQUIVALENTS</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200"/>
        <w:spacing w:after="0"/>
        <w:tabs>
          <w:tab w:leader="none" w:pos="6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986,393</w:t>
      </w:r>
    </w:p>
    <w:p>
      <w:pPr>
        <w:spacing w:after="0" w:line="2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1,360,086</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979,981</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777,289</w:t>
      </w:r>
    </w:p>
    <w:p>
      <w:pPr>
        <w:spacing w:after="0" w:line="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77,984</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color w:val="auto"/>
        </w:rPr>
        <w:t>(75,000)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(3,539,056)</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1,566,947</w:t>
      </w:r>
    </w:p>
    <w:p>
      <w:pPr>
        <w:spacing w:after="0" w:line="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50,984</w:t>
      </w:r>
    </w:p>
    <w:p>
      <w:pPr>
        <w:spacing w:after="0" w:line="200" w:lineRule="exact"/>
        <w:rPr>
          <w:sz w:val="20"/>
          <w:szCs w:val="20"/>
          <w:color w:val="auto"/>
        </w:rPr>
      </w:pPr>
    </w:p>
    <w:p>
      <w:pPr>
        <w:spacing w:after="0" w:line="20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941,732</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157,463</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(418)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(1,277,772)</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(300,058)</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1,472,793</w:t>
      </w:r>
    </w:p>
    <w:p>
      <w:pPr>
        <w:spacing w:after="0" w:line="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109,712</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(846,105)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-281305</wp:posOffset>
                </wp:positionH>
                <wp:positionV relativeFrom="paragraph">
                  <wp:posOffset>8890</wp:posOffset>
                </wp:positionV>
                <wp:extent cx="104330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30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499pt,0.7pt" to="60pt,0.7pt" o:allowincell="f" strokecolor="#000000" strokeweight="0.9599pt"/>
            </w:pict>
          </mc:Fallback>
        </mc:AlternateContent>
      </w:r>
    </w:p>
    <w:p>
      <w:pPr>
        <w:jc w:val="right"/>
        <w:ind w:right="20"/>
        <w:spacing w:after="0"/>
        <w:rPr>
          <w:sz w:val="20"/>
          <w:szCs w:val="20"/>
          <w:color w:val="auto"/>
        </w:rPr>
      </w:pPr>
      <w:r>
        <w:rPr>
          <w:rFonts w:ascii="Times New Roman" w:cs="Times New Roman" w:eastAsia="Times New Roman" w:hAnsi="Times New Roman"/>
          <w:sz w:val="16"/>
          <w:szCs w:val="16"/>
          <w:color w:val="auto"/>
        </w:rPr>
        <w:t>2,442,955</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(1,526,437)</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20,000</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(2,423,886)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-281305</wp:posOffset>
                </wp:positionH>
                <wp:positionV relativeFrom="paragraph">
                  <wp:posOffset>7620</wp:posOffset>
                </wp:positionV>
                <wp:extent cx="104330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305" cy="4763"/>
                        </a:xfrm>
                        <a:prstGeom prst="line">
                          <a:avLst/>
                        </a:prstGeom>
                        <a:solidFill>
                          <a:srgbClr val="FFFFFF"/>
                        </a:solidFill>
                        <a:ln w="1218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499pt,0.6pt" to="60pt,0.6pt" o:allowincell="f" strokecolor="#000000" strokeweight="0.9591pt"/>
            </w:pict>
          </mc:Fallback>
        </mc:AlternateConten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(3,930,323)</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(280,000)</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(26,950,508)</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538,090</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31,987,921</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(1,515,361)</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81,496</w:t>
      </w:r>
    </w:p>
    <w:p>
      <w:pPr>
        <w:spacing w:after="0" w:line="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-52705</wp:posOffset>
                </wp:positionH>
                <wp:positionV relativeFrom="paragraph">
                  <wp:posOffset>13335</wp:posOffset>
                </wp:positionV>
                <wp:extent cx="81470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47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99pt,1.05pt" to="60pt,1.05pt" o:allowincell="f" strokecolor="#000000" strokeweight="0.4799pt"/>
            </w:pict>
          </mc:Fallback>
        </mc:AlternateConten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3,861,638</w:t>
      </w:r>
    </w:p>
    <w:p>
      <w:pPr>
        <w:spacing w:after="0" w:line="200" w:lineRule="exact"/>
        <w:rPr>
          <w:sz w:val="20"/>
          <w:szCs w:val="20"/>
          <w:color w:val="auto"/>
        </w:rPr>
      </w:pP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(75,931)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-281305</wp:posOffset>
                </wp:positionH>
                <wp:positionV relativeFrom="paragraph">
                  <wp:posOffset>24765</wp:posOffset>
                </wp:positionV>
                <wp:extent cx="104330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30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499pt,1.95pt" to="60pt,1.95pt" o:allowincell="f" strokecolor="#000000" strokeweight="0.4809pt"/>
            </w:pict>
          </mc:Fallback>
        </mc:AlternateConten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2,298,339</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4,952,184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-281305</wp:posOffset>
                </wp:positionH>
                <wp:positionV relativeFrom="paragraph">
                  <wp:posOffset>13335</wp:posOffset>
                </wp:positionV>
                <wp:extent cx="104330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30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499pt,1.05pt" to="60pt,1.05pt" o:allowincell="f" strokecolor="#000000" strokeweight="0.96pt"/>
            </w:pict>
          </mc:Fallback>
        </mc:AlternateContent>
      </w:r>
    </w:p>
    <w:p>
      <w:pPr>
        <w:spacing w:after="0" w:line="22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7,250,523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-281305</wp:posOffset>
                </wp:positionH>
                <wp:positionV relativeFrom="paragraph">
                  <wp:posOffset>45085</wp:posOffset>
                </wp:positionV>
                <wp:extent cx="104330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30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499pt,3.55pt" to="60pt,3.5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-281305</wp:posOffset>
                </wp:positionH>
                <wp:positionV relativeFrom="paragraph">
                  <wp:posOffset>26670</wp:posOffset>
                </wp:positionV>
                <wp:extent cx="104330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30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499pt,2.1pt" to="60pt,2.1pt" o:allowincell="f" strokecolor="#000000" strokeweight="0.7199pt"/>
            </w:pict>
          </mc:Fallback>
        </mc:AlternateConten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6,321,384</w:t>
      </w:r>
    </w:p>
    <w:p>
      <w:pPr>
        <w:spacing w:after="0" w:line="201"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1,381,169</w:t>
      </w:r>
    </w:p>
    <w:p>
      <w:pPr>
        <w:spacing w:after="0" w:line="28"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1,156,364</w:t>
      </w:r>
    </w:p>
    <w:p>
      <w:pPr>
        <w:spacing w:after="0" w:line="16"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596,700</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p>
    <w:p>
      <w:pPr>
        <w:spacing w:after="0" w:line="18"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6"/>
          <w:szCs w:val="16"/>
          <w:color w:val="auto"/>
        </w:rPr>
        <w:t>(233,539)</w:t>
      </w:r>
    </w:p>
    <w:p>
      <w:pPr>
        <w:spacing w:after="0" w:line="28"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6"/>
          <w:szCs w:val="16"/>
          <w:color w:val="auto"/>
        </w:rPr>
        <w:t>(4,223,296)</w:t>
      </w:r>
    </w:p>
    <w:p>
      <w:pPr>
        <w:spacing w:after="0" w:line="16"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2,997,164</w:t>
      </w:r>
    </w:p>
    <w:p>
      <w:pPr>
        <w:spacing w:after="0" w:line="18"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6"/>
          <w:szCs w:val="16"/>
          <w:color w:val="auto"/>
        </w:rPr>
        <w:t>(336,252)</w:t>
      </w:r>
    </w:p>
    <w:p>
      <w:pPr>
        <w:spacing w:after="0" w:line="200" w:lineRule="exact"/>
        <w:rPr>
          <w:sz w:val="20"/>
          <w:szCs w:val="20"/>
          <w:color w:val="auto"/>
        </w:rPr>
      </w:pPr>
    </w:p>
    <w:p>
      <w:pPr>
        <w:spacing w:after="0" w:line="208"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6"/>
          <w:szCs w:val="16"/>
          <w:color w:val="auto"/>
        </w:rPr>
        <w:t>(3,016,064)</w:t>
      </w:r>
    </w:p>
    <w:p>
      <w:pPr>
        <w:spacing w:after="0" w:line="28"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61,578</w:t>
      </w:r>
    </w:p>
    <w:p>
      <w:pPr>
        <w:spacing w:after="0" w:line="16"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1,986,027</w:t>
      </w:r>
    </w:p>
    <w:p>
      <w:pPr>
        <w:spacing w:after="0" w:line="18"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6"/>
          <w:szCs w:val="16"/>
          <w:color w:val="auto"/>
        </w:rPr>
        <w:t>(311,731)</w:t>
      </w:r>
    </w:p>
    <w:p>
      <w:pPr>
        <w:spacing w:after="0" w:line="16"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6"/>
          <w:szCs w:val="16"/>
          <w:color w:val="auto"/>
        </w:rPr>
        <w:t>(1,333,954)</w:t>
      </w:r>
    </w:p>
    <w:p>
      <w:pPr>
        <w:spacing w:after="0" w:line="18"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308,064</w:t>
      </w:r>
    </w:p>
    <w:p>
      <w:pPr>
        <w:spacing w:after="0" w:line="16"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449,009</w:t>
      </w:r>
    </w:p>
    <w:p>
      <w:pPr>
        <w:spacing w:after="0" w:line="18"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6"/>
          <w:szCs w:val="16"/>
          <w:color w:val="auto"/>
        </w:rPr>
        <w:t>(151,720)</w:t>
      </w:r>
    </w:p>
    <w:p>
      <w:pPr>
        <w:spacing w:after="0" w:line="16"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232,290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8890</wp:posOffset>
                </wp:positionV>
                <wp:extent cx="104330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30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7pt" to="81pt,0.7pt" o:allowincell="f" strokecolor="#000000" strokeweight="0.9599pt"/>
            </w:pict>
          </mc:Fallback>
        </mc:AlternateContent>
      </w:r>
    </w:p>
    <w:p>
      <w:pPr>
        <w:jc w:val="right"/>
        <w:ind w:right="280"/>
        <w:spacing w:after="0"/>
        <w:rPr>
          <w:sz w:val="20"/>
          <w:szCs w:val="20"/>
          <w:color w:val="auto"/>
        </w:rPr>
      </w:pPr>
      <w:r>
        <w:rPr>
          <w:rFonts w:ascii="Times New Roman" w:cs="Times New Roman" w:eastAsia="Times New Roman" w:hAnsi="Times New Roman"/>
          <w:sz w:val="16"/>
          <w:szCs w:val="16"/>
          <w:color w:val="auto"/>
        </w:rPr>
        <w:t>5,883,193</w:t>
      </w:r>
    </w:p>
    <w:p>
      <w:pPr>
        <w:spacing w:after="0" w:line="200" w:lineRule="exact"/>
        <w:rPr>
          <w:sz w:val="20"/>
          <w:szCs w:val="20"/>
          <w:color w:val="auto"/>
        </w:rPr>
      </w:pP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(1,917,842)</w:t>
      </w:r>
    </w:p>
    <w:p>
      <w:pPr>
        <w:spacing w:after="0" w:line="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5"/>
          <w:szCs w:val="15"/>
          <w:color w:val="auto"/>
        </w:rPr>
        <w:t>—</w:t>
      </w:r>
    </w:p>
    <w:p>
      <w:pPr>
        <w:spacing w:after="0" w:line="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(1,500,386)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14605</wp:posOffset>
                </wp:positionV>
                <wp:extent cx="104330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305" cy="4763"/>
                        </a:xfrm>
                        <a:prstGeom prst="line">
                          <a:avLst/>
                        </a:prstGeom>
                        <a:solidFill>
                          <a:srgbClr val="FFFFFF"/>
                        </a:solidFill>
                        <a:ln w="1218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1.15pt" to="81pt,1.15pt" o:allowincell="f" strokecolor="#000000" strokeweight="0.9591pt"/>
            </w:pict>
          </mc:Fallback>
        </mc:AlternateContent>
      </w:r>
    </w:p>
    <w:p>
      <w:pPr>
        <w:spacing w:after="0" w:line="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(3,418,228)</w:t>
      </w:r>
    </w:p>
    <w:p>
      <w:pPr>
        <w:spacing w:after="0" w:line="200" w:lineRule="exact"/>
        <w:rPr>
          <w:sz w:val="20"/>
          <w:szCs w:val="20"/>
          <w:color w:val="auto"/>
        </w:rPr>
      </w:pP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(1,255,076)</w:t>
      </w:r>
    </w:p>
    <w:p>
      <w:pPr>
        <w:spacing w:after="0" w:line="28"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6"/>
          <w:szCs w:val="16"/>
          <w:color w:val="auto"/>
        </w:rPr>
        <w:t>(36,980,700)</w:t>
      </w:r>
    </w:p>
    <w:p>
      <w:pPr>
        <w:spacing w:after="0" w:line="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5"/>
          <w:szCs w:val="15"/>
          <w:color w:val="auto"/>
        </w:rPr>
        <w:t>—</w:t>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37,672,308</w:t>
      </w:r>
    </w:p>
    <w:p>
      <w:pPr>
        <w:spacing w:after="0" w:line="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(2,642,298)</w:t>
      </w:r>
    </w:p>
    <w:p>
      <w:pPr>
        <w:spacing w:after="0" w:line="16"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79,967</w:t>
      </w:r>
    </w:p>
    <w:p>
      <w:pPr>
        <w:spacing w:after="0" w:line="11"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168,519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10795</wp:posOffset>
                </wp:positionV>
                <wp:extent cx="104330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3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0.85pt" to="81pt,0.85pt" o:allowincell="f" strokecolor="#000000" strokeweight="0.4799pt"/>
            </w:pict>
          </mc:Fallback>
        </mc:AlternateContent>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(2,957,280)</w:t>
      </w:r>
    </w:p>
    <w:p>
      <w:pPr>
        <w:spacing w:after="0" w:line="200" w:lineRule="exact"/>
        <w:rPr>
          <w:sz w:val="20"/>
          <w:szCs w:val="20"/>
          <w:color w:val="auto"/>
        </w:rPr>
      </w:pP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38,326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24765</wp:posOffset>
                </wp:positionV>
                <wp:extent cx="104330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30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1.95pt" to="81pt,1.95pt" o:allowincell="f" strokecolor="#000000" strokeweight="0.4809pt"/>
            </w:pict>
          </mc:Fallback>
        </mc:AlternateConten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(453,989)</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5,406,173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13335</wp:posOffset>
                </wp:positionV>
                <wp:extent cx="104330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30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1.05pt" to="81pt,1.05pt" o:allowincell="f" strokecolor="#000000" strokeweight="0.96pt"/>
            </w:pict>
          </mc:Fallback>
        </mc:AlternateContent>
      </w:r>
    </w:p>
    <w:p>
      <w:pPr>
        <w:spacing w:after="0" w:line="2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4,952,184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45085</wp:posOffset>
                </wp:positionV>
                <wp:extent cx="104330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30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3.55pt" to="81pt,3.5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-14605</wp:posOffset>
                </wp:positionH>
                <wp:positionV relativeFrom="paragraph">
                  <wp:posOffset>26670</wp:posOffset>
                </wp:positionV>
                <wp:extent cx="104330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330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2.1pt" to="81pt,2.1pt" o:allowincell="f" strokecolor="#000000" strokeweight="0.7199pt"/>
            </w:pict>
          </mc:Fallback>
        </mc:AlternateContent>
      </w:r>
    </w:p>
    <w:p>
      <w:pPr>
        <w:spacing w:after="0" w:line="264" w:lineRule="exact"/>
        <w:rPr>
          <w:sz w:val="20"/>
          <w:szCs w:val="20"/>
          <w:color w:val="auto"/>
        </w:rPr>
      </w:pPr>
    </w:p>
    <w:p>
      <w:pPr>
        <w:sectPr>
          <w:pgSz w:w="12240" w:h="15840" w:orient="portrait"/>
          <w:cols w:equalWidth="0" w:num="3">
            <w:col w:w="5960" w:space="720"/>
            <w:col w:w="1180" w:space="200"/>
            <w:col w:w="1440"/>
          </w:cols>
          <w:pgMar w:left="1300" w:top="1118" w:right="1440" w:bottom="382" w:gutter="0" w:footer="0" w:header="0"/>
          <w:type w:val="continuous"/>
        </w:sectPr>
      </w:pPr>
    </w:p>
    <w:p>
      <w:pPr>
        <w:spacing w:after="0" w:line="18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500"/>
          </w:cols>
          <w:pgMar w:left="1300" w:top="1118" w:right="1440" w:bottom="382" w:gutter="0" w:footer="0" w:header="0"/>
          <w:type w:val="continuous"/>
        </w:sectPr>
      </w:pPr>
    </w:p>
    <w:bookmarkStart w:id="146" w:name="page147"/>
    <w:bookmarkEnd w:id="146"/>
    <w:p>
      <w:pPr>
        <w:ind w:right="720"/>
        <w:spacing w:after="0" w:line="255" w:lineRule="auto"/>
        <w:rPr>
          <w:sz w:val="20"/>
          <w:szCs w:val="20"/>
          <w:color w:val="auto"/>
        </w:rPr>
      </w:pPr>
      <w:r>
        <w:rPr>
          <w:rFonts w:ascii="Times New Roman" w:cs="Times New Roman" w:eastAsia="Times New Roman" w:hAnsi="Times New Roman"/>
          <w:sz w:val="28"/>
          <w:szCs w:val="28"/>
          <w:b w:val="1"/>
          <w:bCs w:val="1"/>
          <w:color w:val="auto"/>
        </w:rPr>
        <w:t>NORTHERN TECHNOLOGIES INTERNATIONAL CORPORATION AND SUBSIDIARIES</w:t>
      </w:r>
    </w:p>
    <w:p>
      <w:pPr>
        <w:spacing w:after="0" w:line="1" w:lineRule="exact"/>
        <w:rPr>
          <w:sz w:val="20"/>
          <w:szCs w:val="20"/>
          <w:color w:val="auto"/>
        </w:rPr>
      </w:pPr>
    </w:p>
    <w:p>
      <w:pPr>
        <w:ind w:right="4060"/>
        <w:spacing w:after="0" w:line="253"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YEARS ENDED AUGUST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-3810</wp:posOffset>
                </wp:positionV>
                <wp:extent cx="598170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0.2999pt" to="469.5pt,-0.2999pt" o:allowincell="f" strokecolor="#000000" strokeweight="0.7199pt"/>
            </w:pict>
          </mc:Fallback>
        </mc:AlternateContent>
      </w:r>
    </w:p>
    <w:p>
      <w:pPr>
        <w:spacing w:after="0" w:line="212" w:lineRule="exact"/>
        <w:rPr>
          <w:sz w:val="20"/>
          <w:szCs w:val="20"/>
          <w:color w:val="auto"/>
        </w:rPr>
      </w:pPr>
    </w:p>
    <w:p>
      <w:pPr>
        <w:ind w:left="1000" w:hanging="1000"/>
        <w:spacing w:after="0"/>
        <w:tabs>
          <w:tab w:leader="none" w:pos="100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BUSINESS AND SIGNIFICANT ACCOUNTING POLICIES</w:t>
      </w:r>
    </w:p>
    <w:p>
      <w:pPr>
        <w:spacing w:after="0" w:line="243"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0"/>
          <w:szCs w:val="20"/>
          <w:i w:val="1"/>
          <w:iCs w:val="1"/>
          <w:color w:val="auto"/>
        </w:rPr>
        <w:t xml:space="preserve">Nature of Business </w:t>
      </w:r>
      <w:r>
        <w:rPr>
          <w:rFonts w:ascii="Times New Roman" w:cs="Times New Roman" w:eastAsia="Times New Roman" w:hAnsi="Times New Roman"/>
          <w:sz w:val="20"/>
          <w:szCs w:val="20"/>
          <w:color w:val="auto"/>
        </w:rPr>
        <w:t>– Northern Technologies International Corporation and its Subsidiaries (collectively,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develop and market proprietary environmentally beneficial products and services in over 65 countries either directly or via a network of subsidiaries, joint ventures, independent distributors, and agents. The Company’s primary business is corrosion prevention marketed mainly under the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The Company has been selling its proprietary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 to the automotive, general industrial, mechanical, mining, agricultural, and retail consumer markets for over 50 years and, more recently, has also expanded into the oil and gas industry. Additionally, the Company markets and sells a portfolio of proprietary bio-based and certified compostable (fully biodegradable) polymer resin compounds and finished products under the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 These sustainable packaging products are intended to reduce the Company’s customers’ carbon footprint and provide environmentally sound waste disposal options. The Company’s two operating and reportable segments are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9"/>
          <w:szCs w:val="19"/>
          <w:color w:val="auto"/>
        </w:rPr>
        <w:t>The Company participates, either directly or indirectly, in 15 active joint venture arrangements in North America, Europe, and Asia. Each of these joint ventures generally manufactures and markets products in the geographic territory to which it is assigned. While most of the Company’s joint ventures exclusively sell rust and corrosion inhibiting products, some of the joint ventures also sell the Company’s Natur-Tec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spacing w:after="0" w:line="19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Principles of Consolidation </w:t>
      </w:r>
      <w:r>
        <w:rPr>
          <w:rFonts w:ascii="Times New Roman" w:cs="Times New Roman" w:eastAsia="Times New Roman" w:hAnsi="Times New Roman"/>
          <w:sz w:val="20"/>
          <w:szCs w:val="20"/>
          <w:color w:val="auto"/>
        </w:rPr>
        <w:t>– NTIC evaluates its voting and variable interests in entities on a qualitative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The consolidated financial statements include the accounts of Northern Technologies International Corporation, its wholly owned subsidiaries, Northern Technologies Holding Company, LLC, NTIC (Shanghai) Co., Ltd. (NTIC China), ZERUST-EXCOR MEXICO, S. de R.L. de C.V (Zerust Mexico), NTIC Europe GmbH (NTI Europe), and HNTI Limited (Zerust India), NTIC’s majority-owned subsidiary in India, Natur-Tec India Private Limited (Natur-Tec India), NTIC’s majority-owned subsidiary in Brazil, Zerust Prevenção de Corrosão S.A. (Zerust Brazil), NTIC’s majority-owned subsidiary in Sri Lanka, Natur Tec Lanka (Pvt) Ltd (Natur Tec Lanka), and NTIC’s majority-owned holding company, NTI Asean LLC (NTI Asean), and its wholly owned subsidiary in UAE, Zerust Integrity Solutions Trading LLC (ZIS UAE), and its wholly owned subsidiaries Zerust Singapore Pte Ltd (Zerust Singapore), Zerust Vietnam Co. Ltd (Zerust Vietnam) and Zerust Taiwan Co. Ltd (Zerust Taiwan). NTIC’s consolidated financial statements do not include the accounts of any of its joint ventures.</w:t>
      </w:r>
    </w:p>
    <w:p>
      <w:pPr>
        <w:spacing w:after="0" w:line="203"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w:t>
      </w:r>
      <w:r>
        <w:rPr>
          <w:rFonts w:ascii="Times New Roman" w:cs="Times New Roman" w:eastAsia="Times New Roman" w:hAnsi="Times New Roman"/>
          <w:sz w:val="19"/>
          <w:szCs w:val="19"/>
          <w:color w:val="auto"/>
        </w:rPr>
        <w:t>– The Company owns 75% of Natur-Tec India, 75% of Natur Tec Lanka, 85% of Zerust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Brazil, 60% of NTI Asean, Zerust Singapore Pte Ltd, Zerust Vietnam Co Ltd and Zerust Taiwan Co Ltd. The remaining ownership of the consolidated entities are accounted for as non- controlling interests and reported as part of equity in the consolidated financial statements. The Company allocates gains and losses to the non-controlling interest even when such allocation results in a deficit balance, reducing the losses attributed to the controlling interest. Changes in ownership interests are treated as equity transactions if the Company maintains control.</w:t>
      </w:r>
    </w:p>
    <w:p>
      <w:pPr>
        <w:spacing w:after="0" w:line="18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Use of Estimates </w:t>
      </w:r>
      <w:r>
        <w:rPr>
          <w:rFonts w:ascii="Times New Roman" w:cs="Times New Roman" w:eastAsia="Times New Roman" w:hAnsi="Times New Roman"/>
          <w:sz w:val="20"/>
          <w:szCs w:val="20"/>
          <w:color w:val="auto"/>
        </w:rPr>
        <w:t>– The preparation of the consolidated financial statements in conformity with accounting principles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1406" w:right="1440" w:bottom="382" w:gutter="0" w:footer="0" w:header="0"/>
        </w:sectPr>
      </w:pPr>
    </w:p>
    <w:bookmarkStart w:id="147" w:name="page148"/>
    <w:bookmarkEnd w:id="147"/>
    <w:p>
      <w:pPr>
        <w:ind w:right="16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Reclassifications </w:t>
      </w:r>
      <w:r>
        <w:rPr>
          <w:rFonts w:ascii="Times New Roman" w:cs="Times New Roman" w:eastAsia="Times New Roman" w:hAnsi="Times New Roman"/>
          <w:sz w:val="20"/>
          <w:szCs w:val="20"/>
          <w:color w:val="auto"/>
        </w:rPr>
        <w:t>- Certain prior year amounts have been reclassified for consistency with the current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presentation. These reclassifications had no effect on the reported results of operations. An adjustment has been made to the Consolidated Balance Sheet as of August 31, 2024 and the Consolidated Statements of Cash Flows for the year ended August 31, 2024 to reclassify joint venture trade receivables within trade receivables.</w:t>
      </w:r>
    </w:p>
    <w:p>
      <w:pPr>
        <w:spacing w:after="0" w:line="19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 xml:space="preserve">In addition, the Company identified an immaterial prior period classification error related to the presentation of borrowings and repayments under its revolving line of credit in its consolidated statements of cash flows. For the fiscal year ended August 31, 2024, the Company had previously presented net proceeds of $691,608 as a single line item in the consolidated statements of cash flows. In accordance with Accounting Standards Codification 230, </w:t>
      </w:r>
      <w:r>
        <w:rPr>
          <w:rFonts w:ascii="Times New Roman" w:cs="Times New Roman" w:eastAsia="Times New Roman" w:hAnsi="Times New Roman"/>
          <w:sz w:val="20"/>
          <w:szCs w:val="20"/>
          <w:i w:val="1"/>
          <w:iCs w:val="1"/>
          <w:color w:val="auto"/>
        </w:rPr>
        <w:t>Statement of Cash Flows</w:t>
      </w:r>
      <w:r>
        <w:rPr>
          <w:rFonts w:ascii="Times New Roman" w:cs="Times New Roman" w:eastAsia="Times New Roman" w:hAnsi="Times New Roman"/>
          <w:sz w:val="20"/>
          <w:szCs w:val="20"/>
          <w:color w:val="auto"/>
        </w:rPr>
        <w:t>, the Company has updated the prior period presentation to separately report gross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borrowings of $37,672,308 and gross repayments of $36,980,700 under its line of credit. This change had no impact on the Company’s total cash flows, financial position, or results of operations for the fiscal year ended August 31, 2024.</w:t>
      </w:r>
    </w:p>
    <w:p>
      <w:pPr>
        <w:spacing w:after="0" w:line="20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Net Sales </w:t>
      </w:r>
      <w:r>
        <w:rPr>
          <w:rFonts w:ascii="Times New Roman" w:cs="Times New Roman" w:eastAsia="Times New Roman" w:hAnsi="Times New Roman"/>
          <w:sz w:val="20"/>
          <w:szCs w:val="20"/>
          <w:color w:val="auto"/>
        </w:rPr>
        <w:t>– The Company includes net sales to its joint ventures and net sales to unaffiliated customers on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statements of operations. There are no sales originating from the Company’s joint ventures to unaffiliated customers included in the amount, as the Company’s investments in its joint ventures are accounted for using the equity method.</w:t>
      </w:r>
    </w:p>
    <w:p>
      <w:pPr>
        <w:spacing w:after="0" w:line="19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When determining recognition of revenue arrangements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 only applies the five-step model to contracts when it is probable that the entity will collect the consideration it is entitled to in exchange for the goods it transfers to, or services it performs for, the customer.</w:t>
      </w:r>
    </w:p>
    <w:p>
      <w:pPr>
        <w:spacing w:after="0" w:line="20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Generally, the Company’s performance obligations are satisfied when the customers take possession of the products, which normally occurs at the shipping point or destination depending on the terms of the contracts. The Company’s services are generally sold based upon quotes or contracts with customers that include a fixed or determinable price, and sales arrangements do not contain any significant financing component for its customers. The Company does not recognize revenue related to product warranties, nor does the Company incur significant contract costs. Customer arrangements do not generate contract assets or liabilities.</w:t>
      </w:r>
    </w:p>
    <w:p>
      <w:pPr>
        <w:spacing w:after="0" w:line="20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Revenue is measured based on consideration specified in the contract with a customer,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adjusted for any applicable estimates of variable consideration and other factors affecting the transaction price, including noncash consideration, consideration paid or payable to customers, and significant financing components. Revenue from all customers is recognized when a performance obligation is satisfied by transferring control of a distinct good or service to a customer.</w:t>
      </w:r>
    </w:p>
    <w:p>
      <w:pPr>
        <w:spacing w:after="0" w:line="19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Individually promised goods and services in a contract are considered a distinct performance obligation and accounted for separately if the customer can benefit from the individual good or service on its own or with other resources that are readily available to the customer and the good or service is separately identifiable from other promises in the arrangement. When an arrangement includes multiple performance obligations, the consideration is allocated between the performance obligations in proportion to their estimated standalone selling price. Costs related to products delivered are recognized in the period incurred, unless criteria for capitalization of costs are met. Costs of revenues consist primarily of direct labor, manufacturing overhead, materials, and components. The Company does not incur significant upfront costs to obtain a contract. If costs to obtain a contract were to become material, the costs would be recorded as an asset and amortized to expense in a manner consistent with the related recognition of revenue.</w:t>
      </w:r>
    </w:p>
    <w:p>
      <w:pPr>
        <w:spacing w:after="0" w:line="20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auto"/>
        </w:rPr>
        <w:t>The Company excludes government assessed and imposed taxes on revenue generating transactions that are invoiced to customers from revenue. The Company includes freight billed to customers in revenue. Shipping and handling costs associated with outbound freight after control over a product has transferred to a customer are accounted for as a fulfillment cost and are included in cost of goods sold.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1420" w:right="1440" w:bottom="382" w:gutter="0" w:footer="0" w:header="0"/>
        </w:sectPr>
      </w:pPr>
    </w:p>
    <w:bookmarkStart w:id="148" w:name="page149"/>
    <w:bookmarkEnd w:id="148"/>
    <w:p>
      <w:pPr>
        <w:ind w:right="280"/>
        <w:spacing w:after="0" w:line="278" w:lineRule="auto"/>
        <w:rPr>
          <w:sz w:val="20"/>
          <w:szCs w:val="20"/>
          <w:color w:val="auto"/>
        </w:rPr>
      </w:pPr>
      <w:r>
        <w:rPr>
          <w:rFonts w:ascii="Times New Roman" w:cs="Times New Roman" w:eastAsia="Times New Roman" w:hAnsi="Times New Roman"/>
          <w:sz w:val="20"/>
          <w:szCs w:val="20"/>
          <w:color w:val="auto"/>
        </w:rPr>
        <w:t>The timing of revenue recognition, billing, and cash collections results in accounts receivable on the consolidated balance sheet.</w:t>
      </w:r>
    </w:p>
    <w:p>
      <w:pPr>
        <w:spacing w:after="0" w:line="167"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0"/>
          <w:szCs w:val="20"/>
          <w:i w:val="1"/>
          <w:iCs w:val="1"/>
          <w:color w:val="auto"/>
        </w:rPr>
        <w:t xml:space="preserve">Performance Obligations </w:t>
      </w:r>
      <w:r>
        <w:rPr>
          <w:rFonts w:ascii="Times New Roman" w:cs="Times New Roman" w:eastAsia="Times New Roman" w:hAnsi="Times New Roman"/>
          <w:sz w:val="20"/>
          <w:szCs w:val="20"/>
          <w:color w:val="auto"/>
        </w:rPr>
        <w:t>– A performance obligation is a promise in a contract to transfer a distinct good or service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customer. A contract’s transaction price is allocated to each distinct performance obligation in proportion to its standalone selling price and recognized as revenue when, or as, the performance obligation is satisfied. The Company’s various performance obligations and the timing or method of revenue recognition are discussed below. The Company’s technical service consultants work directly with the end users of 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to analyze their specific needs and develop systems to meet their performance requirements.</w:t>
      </w:r>
    </w:p>
    <w:p>
      <w:pPr>
        <w:spacing w:after="0" w:line="19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The Company sells its products to both distributors and end-users. Each unit of product delivered under a customer order represents a distinct and separate performance obligation, as the customer can benefit from each unit on its own or with other resources that are readily available to the customer, and each unit of product is separately identifiable from other products in the arrangement.</w:t>
      </w:r>
    </w:p>
    <w:p>
      <w:pPr>
        <w:spacing w:after="0" w:line="19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transaction price for the Company’s products is the invoiced amount. The Company does not have variable consideration in the form of refunds, credits, rebates, price concessions, pricing incentives, or other items impacting transaction price. The purchase order pricing in arrangements with customers is deemed to approximate standalone selling price; therefore, the Company does not need to allocate proceeds on a relative standalone selling price allocation between performance obligations. The Company applies the practical expedient in paragraph 606-10-50-14 and does not disclose information about remaining performance obligations that have original expected durations of one year or less. There are no material obligations that extend beyond one year.</w:t>
      </w:r>
    </w:p>
    <w:p>
      <w:pPr>
        <w:spacing w:after="0" w:line="199"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Revenue is recognized when transfer of control occurs, as defined by the terms in the customer agreement. The Company immediately recognizes incidental items that are immaterial in the context of the contract. The Company has applied the practical expedient in paragraph 606 -10-25-16A and does not assess if immaterial items are promised goods or services. The Company has also applied the practical expedient in paragraph 606-10-32-18 regarding the adjustment of the promised amount of consideration for the effects of a significant financing component when the customer pays for that good or service within one year or less, as the Company does not have any significant financing components in its customer arrangements since payment is received at or shortly after the point of sale, generally 30 to 90 days.</w:t>
      </w:r>
    </w:p>
    <w:p>
      <w:pPr>
        <w:spacing w:after="0" w:line="2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Company estimates returns based on an analysis of historical experience if the right to return products is granted to its customers. The Company does not record a return asset, as non-conforming products are generally not returned. The Company’s return policy does not vary by geography. The customer has no rotation or price protection rights, and the Company is not under a warranty obligation.</w:t>
      </w:r>
    </w:p>
    <w:p>
      <w:pPr>
        <w:spacing w:after="0" w:line="193"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Sales Commissions </w:t>
      </w:r>
      <w:r>
        <w:rPr>
          <w:rFonts w:ascii="Times New Roman" w:cs="Times New Roman" w:eastAsia="Times New Roman" w:hAnsi="Times New Roman"/>
          <w:sz w:val="20"/>
          <w:szCs w:val="20"/>
          <w:color w:val="auto"/>
        </w:rPr>
        <w:t>– Sales commissions paid to sales representatives are eligible for capitalization, as they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incremental costs that would not have been incurred without entering into a specific sales arrangement and are recoverable through the expected margin on the transaction. The Company has elected to apply the practical expedient provided by ASC 340-40-25-4 and recognize the incremental costs of obtaining contracts as an expense when incurred, as the amortization period of the assets that would have otherwise been recognized is one year or less. The Company records these costs as a selling expense.</w:t>
      </w:r>
    </w:p>
    <w:p>
      <w:pPr>
        <w:spacing w:after="0" w:line="20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Product Warranty </w:t>
      </w:r>
      <w:r>
        <w:rPr>
          <w:rFonts w:ascii="Times New Roman" w:cs="Times New Roman" w:eastAsia="Times New Roman" w:hAnsi="Times New Roman"/>
          <w:sz w:val="20"/>
          <w:szCs w:val="20"/>
          <w:color w:val="auto"/>
        </w:rPr>
        <w:t>– The Company offers warranties on various products and services. These warranties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assurance type warranties that are not sold on a standalone basis; therefore, they are not considered distinct performance obligations. The Company estimates the costs that may be incurred under its warranties and records a liability in the amount of such costs at the time the revenue is recognized for the product sale.</w:t>
      </w:r>
    </w:p>
    <w:p>
      <w:pPr>
        <w:spacing w:after="0" w:line="19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International Revenue </w:t>
      </w:r>
      <w:r>
        <w:rPr>
          <w:rFonts w:ascii="Times New Roman" w:cs="Times New Roman" w:eastAsia="Times New Roman" w:hAnsi="Times New Roman"/>
          <w:sz w:val="20"/>
          <w:szCs w:val="20"/>
          <w:color w:val="auto"/>
        </w:rPr>
        <w:t>– The Company markets its products to numerous countries in North America, Europe, Latin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America, Asia, and other parts of the world. See Note 12, Segment and Geographic Information, for information regarding revenue disaggregation by geography.</w:t>
      </w:r>
    </w:p>
    <w:p>
      <w:pPr>
        <w:spacing w:after="0" w:line="188" w:lineRule="exact"/>
        <w:rPr>
          <w:sz w:val="20"/>
          <w:szCs w:val="20"/>
          <w:color w:val="auto"/>
        </w:rPr>
      </w:pPr>
    </w:p>
    <w:p>
      <w:pPr>
        <w:ind w:right="260"/>
        <w:spacing w:after="0" w:line="304" w:lineRule="auto"/>
        <w:rPr>
          <w:sz w:val="20"/>
          <w:szCs w:val="20"/>
          <w:color w:val="auto"/>
        </w:rPr>
      </w:pPr>
      <w:r>
        <w:rPr>
          <w:rFonts w:ascii="Times New Roman" w:cs="Times New Roman" w:eastAsia="Times New Roman" w:hAnsi="Times New Roman"/>
          <w:sz w:val="19"/>
          <w:szCs w:val="19"/>
          <w:i w:val="1"/>
          <w:iCs w:val="1"/>
          <w:color w:val="auto"/>
        </w:rPr>
        <w:t xml:space="preserve">Trade Receivables </w:t>
      </w:r>
      <w:r>
        <w:rPr>
          <w:rFonts w:ascii="Times New Roman" w:cs="Times New Roman" w:eastAsia="Times New Roman" w:hAnsi="Times New Roman"/>
          <w:sz w:val="19"/>
          <w:szCs w:val="19"/>
          <w:color w:val="auto"/>
        </w:rPr>
        <w:t>– Payment terms for the Company’s unaffiliated customers are determined based on credit risk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vary by customer. The Company typically offers standard payment terms to unaffiliated customers of net 30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1420" w:right="1440" w:bottom="382" w:gutter="0" w:footer="0" w:header="0"/>
        </w:sectPr>
      </w:pPr>
    </w:p>
    <w:bookmarkStart w:id="149" w:name="page150"/>
    <w:bookmarkEnd w:id="149"/>
    <w:p>
      <w:pPr>
        <w:spacing w:after="0" w:line="245" w:lineRule="auto"/>
        <w:rPr>
          <w:sz w:val="20"/>
          <w:szCs w:val="20"/>
          <w:color w:val="auto"/>
        </w:rPr>
      </w:pPr>
      <w:r>
        <w:rPr>
          <w:rFonts w:ascii="Times New Roman" w:cs="Times New Roman" w:eastAsia="Times New Roman" w:hAnsi="Times New Roman"/>
          <w:sz w:val="20"/>
          <w:szCs w:val="20"/>
          <w:color w:val="auto"/>
        </w:rPr>
        <w:t>days. The Company does not accrue interest on past due accounts receivable. The Company reviews the credit histories of its customers before extending unsecured credit. The Company presents accounts receivable, net of an allowance for credit losses. The allowance for credit losses reflects management’s estimate of amounts that will ultimately not be collected. The Company determines the allowance for credit losses based on historical information, changes in current economic conditions and reasonable and supportable forecasts of future economic conditions. The allowance for credit losses is measured on a collective (pool) basis when trade receivables share similar risk characteristics. Trade receivables that do share similar risk characteristics are evaluated on an individual basis and are also not included in the collective (pool) evaluation.</w:t>
      </w:r>
    </w:p>
    <w:p>
      <w:pPr>
        <w:spacing w:after="0" w:line="20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Employee Retention Credit (ERC) and Payroll Tax Deferral - </w:t>
      </w:r>
      <w:r>
        <w:rPr>
          <w:rFonts w:ascii="Times New Roman" w:cs="Times New Roman" w:eastAsia="Times New Roman" w:hAnsi="Times New Roman"/>
          <w:sz w:val="20"/>
          <w:szCs w:val="20"/>
          <w:color w:val="auto"/>
        </w:rPr>
        <w:t>On March 27, 2020, the Coronavirus Aid, Relief,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Economic Security Act (CARES Act) was signed into law providing numerous tax provisions and other stimulus measures, including an employee retention credit (ERC), which is a refundable tax credit against certain employment taxes. The Taxpayer Certainty and Disaster Tax Relief Act of 2020 and the American Rescue Plan Act of 2021 extended and expanded the availability of the ERC.</w:t>
      </w:r>
    </w:p>
    <w:p>
      <w:pPr>
        <w:spacing w:after="0" w:line="18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The Company engaged tax advisors of a Big 4 accounting firm which determined the Company qualified for ERCs. The Company then applied for the ERC in fiscal 2023 for the second and third quarters of that year of $573,751 and $566,006, respectively. The Company elected to account for the credit as a government grant. U.S. GAAP does not include grant accounting guidance for for-profit entities; therefore, the Company has elected to follow the grant accounting model in International Accounting Standard (IAS) 20, Accounting for Government Grants and Disclosure of Government Assistance. In accordance with IAS 20, the Company cannot recognize any income from the grant until there is reasonable assurance (similar to the “probable” threshold in U.S. GAAP) that any conditions attached to the grant will be met and that the grant will be received. Once it is reasonably assured that the grant conditions will be met and that the grant will be received, grant income is recorded on a systematic basis over the periods in which the Company recognizes the payroll expenses for which the grant is intended to compensate. Income from the grant can be presented as either other income or as a reduction in the expenses for which the grant was intended to compensate.</w:t>
      </w:r>
    </w:p>
    <w:p>
      <w:pPr>
        <w:spacing w:after="0" w:line="245"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During the fiscal year ended August 31, 2025, the Company received $1,139,756 in cash as a result of the ERC and this cash was claimed under the suspension test criteria based on the Company’s determination that it met the eligibility requirements. In accordance with the Company’s accounting policy, the ERC payments have been recognized as Other Income in the period in which the cash was received, as the Company determined that all relevant criteria for recognition had been met. The ERC represents a one-time benefit and does not constitute recurring operational revenue.</w:t>
      </w:r>
    </w:p>
    <w:p>
      <w:pPr>
        <w:spacing w:after="0" w:line="23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Additionally, the Company earned $181,529 in interest income related to the ERC payments, which was recorded as Interest Income for the period. The ERC payments of $1,139,756 are recorded as Other Income in the consolidated statements of operations, while the interest income of $181,529 is recorded separately under Interest Income in the consolidated statements of operations.</w:t>
      </w:r>
    </w:p>
    <w:p>
      <w:pPr>
        <w:spacing w:after="0" w:line="18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Fees for Services Provided to Joint Ventures – </w:t>
      </w:r>
      <w:r>
        <w:rPr>
          <w:rFonts w:ascii="Times New Roman" w:cs="Times New Roman" w:eastAsia="Times New Roman" w:hAnsi="Times New Roman"/>
          <w:sz w:val="20"/>
          <w:szCs w:val="20"/>
          <w:color w:val="auto"/>
        </w:rPr>
        <w:t>The Company provides services to its joint ventures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consulting, legal, travel, insurance, technical, and marketing services based on licensing or other agreements with its joint ventures.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Under the Company’s agreements with its joint ventures, amounts are earned when product is shipped from joint venture facilities, at which point a sale is deemed to have occurred and results in obligation for the joint venture to pay the royalty and recognition of the fee by the Company. The Company reviews the financial situation of each of its joint ventures to assist in the likelihood of collections on amounts earned. The Company accounts for these fees on a cash basis if uncertainty exists surrounding the collection of such fees.</w:t>
      </w:r>
    </w:p>
    <w:p>
      <w:pPr>
        <w:spacing w:after="0" w:line="19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w:t>
      </w:r>
      <w:r>
        <w:rPr>
          <w:rFonts w:ascii="Times New Roman" w:cs="Times New Roman" w:eastAsia="Times New Roman" w:hAnsi="Times New Roman"/>
          <w:sz w:val="20"/>
          <w:szCs w:val="20"/>
          <w:color w:val="auto"/>
        </w:rPr>
        <w:t>– The Company includes as cash and cash equivalents highly liquid, short-term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investments with maturity of three months or less when purchased, which are readily convertible into known amounts of cash. The Company maintains its cash in high quality financial institutions. The balances, at times, may exceed federally insured limits.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1420" w:right="1440" w:bottom="382" w:gutter="0" w:footer="0" w:header="0"/>
        </w:sectPr>
      </w:pPr>
    </w:p>
    <w:bookmarkStart w:id="150" w:name="page151"/>
    <w:bookmarkEnd w:id="150"/>
    <w:p>
      <w:pPr>
        <w:ind w:right="2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Inventories </w:t>
      </w:r>
      <w:r>
        <w:rPr>
          <w:rFonts w:ascii="Times New Roman" w:cs="Times New Roman" w:eastAsia="Times New Roman" w:hAnsi="Times New Roman"/>
          <w:sz w:val="20"/>
          <w:szCs w:val="20"/>
          <w:color w:val="auto"/>
        </w:rPr>
        <w:t>– Inventories are recorded at the lower of cost (first-in, first-out basis) or net realizable value and include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reduction in value based on slow-moving and obsolete inventory, which amounted to $422,344 and $365,341 in the fiscal years ending August 31, 2025 and 2024, respectively.</w:t>
      </w:r>
    </w:p>
    <w:p>
      <w:pPr>
        <w:spacing w:after="0" w:line="188"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Property and Equipment and Depreciation </w:t>
      </w:r>
      <w:r>
        <w:rPr>
          <w:rFonts w:ascii="Times New Roman" w:cs="Times New Roman" w:eastAsia="Times New Roman" w:hAnsi="Times New Roman"/>
          <w:sz w:val="20"/>
          <w:szCs w:val="20"/>
          <w:color w:val="auto"/>
        </w:rPr>
        <w:t>– Property and equipment are stated at cost. Depreciation is computed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using the straight-line method based on the estimated service lives of the various assets as follows:</w:t>
      </w:r>
    </w:p>
    <w:p>
      <w:pPr>
        <w:sectPr>
          <w:pgSz w:w="12240" w:h="15840" w:orient="portrait"/>
          <w:cols w:equalWidth="0" w:num="1">
            <w:col w:w="9360"/>
          </w:cols>
          <w:pgMar w:left="1440" w:top="1420" w:right="1440" w:bottom="382" w:gutter="0" w:footer="0" w:header="0"/>
        </w:sectPr>
      </w:pPr>
    </w:p>
    <w:p>
      <w:pPr>
        <w:spacing w:after="0" w:line="16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Buildings and improvements</w:t>
      </w:r>
    </w:p>
    <w:p>
      <w:pPr>
        <w:spacing w:after="0" w:line="2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Machinery and equipment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5-30 years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3-10 years</w:t>
      </w:r>
    </w:p>
    <w:p>
      <w:pPr>
        <w:spacing w:after="0" w:line="200" w:lineRule="exact"/>
        <w:rPr>
          <w:sz w:val="20"/>
          <w:szCs w:val="20"/>
          <w:color w:val="auto"/>
        </w:rPr>
      </w:pPr>
    </w:p>
    <w:p>
      <w:pPr>
        <w:sectPr>
          <w:pgSz w:w="12240" w:h="15840" w:orient="portrait"/>
          <w:cols w:equalWidth="0" w:num="2">
            <w:col w:w="5320" w:space="720"/>
            <w:col w:w="3320"/>
          </w:cols>
          <w:pgMar w:left="1440" w:top="1420" w:right="1440" w:bottom="382" w:gutter="0" w:footer="0" w:header="0"/>
          <w:type w:val="continuous"/>
        </w:sectPr>
      </w:pPr>
    </w:p>
    <w:p>
      <w:pPr>
        <w:spacing w:after="0" w:line="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Investments in Joint Ventures </w:t>
      </w:r>
      <w:r>
        <w:rPr>
          <w:rFonts w:ascii="Times New Roman" w:cs="Times New Roman" w:eastAsia="Times New Roman" w:hAnsi="Times New Roman"/>
          <w:sz w:val="20"/>
          <w:szCs w:val="20"/>
          <w:color w:val="auto"/>
        </w:rPr>
        <w:t>– Investments in the Company’s joint ventures are accounted for using the equity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method. Under the equity method, investments are initially recorded at cost and are adjusted for dividends, distributed and undistributed earnings and losses, changes in foreign currency exchange rates, and additional investments. In the event the Company’s share of a joint venture’s cumulative losses exceeds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The Company’s evaluation of its investments in joint ventures requires the Company to make assumptions about future cash flows of its joint ventures. These assumptions require significant judgment, and actual results may differ from assumed or estimated amounts. All investments in joint ventures had positive equity as of August 31, 2025 and 2024. The Company considers any of its joint ventures to be significant and discloses entity specific financial information if the joint venture’s income or assets make up more than 20% of the Company’s total assets or income.</w:t>
      </w:r>
    </w:p>
    <w:p>
      <w:pPr>
        <w:spacing w:after="0" w:line="212"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20"/>
          <w:szCs w:val="20"/>
          <w:color w:val="auto"/>
        </w:rPr>
        <w:t>The Company classifies distributions received from its joint ventures based on the nature of the distributions, generally, in operating activities on the consolidated statements of cash flows.</w:t>
      </w:r>
    </w:p>
    <w:p>
      <w:pPr>
        <w:spacing w:after="0" w:line="16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If the Company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9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Investments are considered to be impaired when a decline in fair value is judged to be other-than -temporary. Fair value is calculated based on publicly available market information or other estimates determined by management. The Company employs a systematic methodology on a quarterly basis that considers available quantitative and qualitative evidence in evaluating potential impairment of our investments. If the cost of an investment exceeds its fair value, the Company evaluates, among other factors, general market conditions, credit quality, the duration and extent to which the fair value is less than cost, and for equity securities, the Company’s intent and ability to hold, or plans to sell, the investment. The Company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 The Company determined that there was no impairment of investments in joint ventures as of August 31, 2025.</w:t>
      </w:r>
    </w:p>
    <w:p>
      <w:pPr>
        <w:spacing w:after="0" w:line="20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Recoverability of Long-Lived Assets </w:t>
      </w:r>
      <w:r>
        <w:rPr>
          <w:rFonts w:ascii="Times New Roman" w:cs="Times New Roman" w:eastAsia="Times New Roman" w:hAnsi="Times New Roman"/>
          <w:sz w:val="20"/>
          <w:szCs w:val="20"/>
          <w:color w:val="auto"/>
        </w:rPr>
        <w:t>– The Company reviews its long-lived assets whenever events or changes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circumstances indicate the carrying amount 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whether an impairment loss should be recognized. An impairment loss is measured by comparing the amount by which the carrying value exceeds the fair value of the asset. When evaluating assets for impairment, the Company groups long-lived assets with other assets and liabilities at the lowest level for which identifiable cash flows are largely independent of the cash flows of other assets and liabilities. The Company determined that there were no indications that the carrying value of long-lived assets was not recoverable as of August 31, 2025.</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1420" w:right="1440" w:bottom="382" w:gutter="0" w:footer="0" w:header="0"/>
          <w:type w:val="continuous"/>
        </w:sectPr>
      </w:pPr>
    </w:p>
    <w:bookmarkStart w:id="151" w:name="page152"/>
    <w:bookmarkEnd w:id="151"/>
    <w:p>
      <w:pPr>
        <w:ind w:right="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Patents and Trademarks </w:t>
      </w:r>
      <w:r>
        <w:rPr>
          <w:rFonts w:ascii="Times New Roman" w:cs="Times New Roman" w:eastAsia="Times New Roman" w:hAnsi="Times New Roman"/>
          <w:sz w:val="20"/>
          <w:szCs w:val="20"/>
          <w:color w:val="auto"/>
        </w:rPr>
        <w:t>– Patents and trademarks, including acquisition costs, are stated at cost, less accumulated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amortization. Amortization is computed using the straight-line method over the estimated useful lives of the respective assets. Upon retirement, the cost of assets disposed and the related accumulated amortization are removed from the accounts, and any resulting gain or loss is credited or charged to operations.</w:t>
      </w:r>
    </w:p>
    <w:p>
      <w:pPr>
        <w:spacing w:after="0" w:line="193"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color w:val="auto"/>
        </w:rPr>
        <w:t>The Company estimates the useful life of patents to be 17 years and customer relationships to be 15 years. This estimate is based on a combination of factors, including the expected duration of patent protection, technological obsolescence, and market conditions. Amortization of intangible assets is recorded using the straight-line method over their estimated useful lives.</w:t>
      </w:r>
    </w:p>
    <w:p>
      <w:pPr>
        <w:spacing w:after="0" w:line="19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Capitalization of Software Costs </w:t>
      </w:r>
      <w:r>
        <w:rPr>
          <w:rFonts w:ascii="Times New Roman" w:cs="Times New Roman" w:eastAsia="Times New Roman" w:hAnsi="Times New Roman"/>
          <w:sz w:val="20"/>
          <w:szCs w:val="20"/>
          <w:color w:val="auto"/>
        </w:rPr>
        <w:t>– Software developed or obtained for internal use, including direct development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costs, is stated at cost, less accumulated amortization. Costs incurred during the preliminary project stage, as well as maintenance and training costs, are expensed as incurred. Capitalized software costs include external direct costs of materials and services and payroll costs for employees directly associated with software development. Amortization is computed using the straight-line method over the estimated useful life of the software, which is estimated to be ten years. Upon retirement, the cost of assets disposed and the related accumulated amortization are removed from the accounts, and any resulting gain or loss is credited or charged to operations</w:t>
      </w:r>
      <w:r>
        <w:rPr>
          <w:rFonts w:ascii="Times New Roman" w:cs="Times New Roman" w:eastAsia="Times New Roman" w:hAnsi="Times New Roman"/>
          <w:sz w:val="20"/>
          <w:szCs w:val="20"/>
          <w:i w:val="1"/>
          <w:iCs w:val="1"/>
          <w:color w:val="auto"/>
        </w:rPr>
        <w:t>.</w:t>
      </w:r>
    </w:p>
    <w:p>
      <w:pPr>
        <w:spacing w:after="0" w:line="199"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Goodwill </w:t>
      </w:r>
      <w:r>
        <w:rPr>
          <w:rFonts w:ascii="Times New Roman" w:cs="Times New Roman" w:eastAsia="Times New Roman" w:hAnsi="Times New Roman"/>
          <w:sz w:val="20"/>
          <w:szCs w:val="20"/>
          <w:color w:val="auto"/>
        </w:rPr>
        <w:t>- Goodwill represents the excess purchase price over the fair value of tangible net assets acquired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acquisitions after amounts have been allocated to intangible assets. Goodwill is tested for impairment annually (at August 31),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spacing w:after="0" w:line="19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The Company assesses qualitative factors to determine whether the existence of events or circumstances would indicate that it is more likely than not that the fair value of the reporting unit is less than its carrying amount. If after assessing the totality of events or circumstances, the Company were to determine that it is more likely than not that the fair value of the reporting unit is less than its carrying amount, then the Company would perform a quantitative test that compares the fair value to its carrying value to determine the amount of any impairment. The Company has determined there was no goodwill impairment during the years ended August 31, 2025 and 2024.</w:t>
      </w:r>
    </w:p>
    <w:p>
      <w:pPr>
        <w:spacing w:after="0" w:line="20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Income Taxes </w:t>
      </w:r>
      <w:r>
        <w:rPr>
          <w:rFonts w:ascii="Times New Roman" w:cs="Times New Roman" w:eastAsia="Times New Roman" w:hAnsi="Times New Roman"/>
          <w:sz w:val="20"/>
          <w:szCs w:val="20"/>
          <w:color w:val="auto"/>
        </w:rPr>
        <w:t>– The Company utilizes the asset and liability method of accounting for income taxes, which requires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recognition of deferred tax assets 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spacing w:after="0" w:line="199"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 - planning strategies, and results of recent operations. In the event the Company determines that it would be able to realize its deferred assets in the future in excess of their net recorded amount, the Company makes an adjustment to the deferred tax asset valuation allowance, which would reduce the provision for income taxes.</w:t>
      </w:r>
    </w:p>
    <w:p>
      <w:pPr>
        <w:spacing w:after="0" w:line="20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Company records uncertain tax positions on the basis of a two-step process whereby the Company determines whether it is more likely than not that the tax positions will be sustained based on the technical merits of the position and those tax positions that meet the more-likely-than-not recognition threshold. The Company recognizes the largest amount of tax benefit that is greater than 50 percent likely to be realized upon ultimate settlement with the related tax authority.</w:t>
      </w:r>
    </w:p>
    <w:p>
      <w:pPr>
        <w:spacing w:after="0" w:line="19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Foreign Currency Translation (Accumulated Other Comprehensive Income (Loss)) </w:t>
      </w:r>
      <w:r>
        <w:rPr>
          <w:rFonts w:ascii="Times New Roman" w:cs="Times New Roman" w:eastAsia="Times New Roman" w:hAnsi="Times New Roman"/>
          <w:sz w:val="20"/>
          <w:szCs w:val="20"/>
          <w:color w:val="auto"/>
        </w:rPr>
        <w:t>– The functional currency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NTIC China, Zerust Brazil, Natur-Tec India, Natur Tec Lanka, Zerust Mexico, Zerust India, Zerust Singapore, Zerust Vietnam, Zerust Taiwan, NTI Europe, and each unconsolidated international joint venture is the applicable local currency. The translation of the applicable foreign currencies into U.S. dollars is performed for balance sheet accounts using exchange rates in effect at the balance sheet date and for revenue and expense accounts using an</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1420" w:right="1440" w:bottom="382" w:gutter="0" w:footer="0" w:header="0"/>
        </w:sectPr>
      </w:pPr>
    </w:p>
    <w:bookmarkStart w:id="152" w:name="page153"/>
    <w:bookmarkEnd w:id="152"/>
    <w:p>
      <w:pPr>
        <w:ind w:right="500"/>
        <w:spacing w:after="0" w:line="278" w:lineRule="auto"/>
        <w:rPr>
          <w:sz w:val="20"/>
          <w:szCs w:val="20"/>
          <w:color w:val="auto"/>
        </w:rPr>
      </w:pPr>
      <w:r>
        <w:rPr>
          <w:rFonts w:ascii="Times New Roman" w:cs="Times New Roman" w:eastAsia="Times New Roman" w:hAnsi="Times New Roman"/>
          <w:sz w:val="20"/>
          <w:szCs w:val="20"/>
          <w:color w:val="auto"/>
        </w:rPr>
        <w:t>average monthly exchange rate. Translation gains or losses are reported as an element of other comprehensive income (loss).</w:t>
      </w:r>
    </w:p>
    <w:p>
      <w:pPr>
        <w:spacing w:after="0" w:line="167" w:lineRule="exact"/>
        <w:rPr>
          <w:sz w:val="20"/>
          <w:szCs w:val="20"/>
          <w:color w:val="auto"/>
        </w:rPr>
      </w:pPr>
    </w:p>
    <w:p>
      <w:pPr>
        <w:ind w:right="360" w:firstLine="1"/>
        <w:spacing w:after="0" w:line="247" w:lineRule="auto"/>
        <w:rPr>
          <w:sz w:val="20"/>
          <w:szCs w:val="20"/>
          <w:color w:val="auto"/>
        </w:rPr>
      </w:pPr>
      <w:r>
        <w:rPr>
          <w:rFonts w:ascii="Times New Roman" w:cs="Times New Roman" w:eastAsia="Times New Roman" w:hAnsi="Times New Roman"/>
          <w:sz w:val="20"/>
          <w:szCs w:val="20"/>
          <w:color w:val="auto"/>
        </w:rPr>
        <w:t>The Company (excluding NTIC China, Zerust Brazil, Natur-Tec India, Natur Tec Lanka, Zerust India, Zerust Singapore, Zerust Vietnam, Zerust Taiwan, NTI Asean, Zerust Mexico, NTI Europe, and NTIC’s joint ventures) conducts all foreign transactions based on the U.S. dollar. Since investments in joint ventures are accounted for using the equity method, any changes in foreign currency exchange rates are reflected as a foreign currency translation adjustment and do not change the equity in income from joint ventures reflected in the Company’s consolidated statements of operations.</w:t>
      </w:r>
    </w:p>
    <w:p>
      <w:pPr>
        <w:spacing w:after="0" w:line="200"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Fair Value of Financial Instruments </w:t>
      </w:r>
      <w:r>
        <w:rPr>
          <w:rFonts w:ascii="Times New Roman" w:cs="Times New Roman" w:eastAsia="Times New Roman" w:hAnsi="Times New Roman"/>
          <w:sz w:val="20"/>
          <w:szCs w:val="20"/>
          <w:color w:val="auto"/>
        </w:rPr>
        <w:t>– The carrying value of cash and cash equivalents, short-term accounts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receivable, notes payable, trade accounts payables, and other accrued expenses approximate fair value because of the short maturity of those instruments.</w:t>
      </w:r>
    </w:p>
    <w:p>
      <w:pPr>
        <w:spacing w:after="0" w:line="185"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Shipping and Handling </w:t>
      </w:r>
      <w:r>
        <w:rPr>
          <w:rFonts w:ascii="Times New Roman" w:cs="Times New Roman" w:eastAsia="Times New Roman" w:hAnsi="Times New Roman"/>
          <w:sz w:val="20"/>
          <w:szCs w:val="20"/>
          <w:color w:val="auto"/>
        </w:rPr>
        <w:t>– The Company records all amounts billed to customers in a sales transaction related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shipping and handling as sales. The Company records costs related to shipping and handling in cost of goods sold.</w:t>
      </w:r>
    </w:p>
    <w:p>
      <w:pPr>
        <w:spacing w:after="0" w:line="167"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Research and Development </w:t>
      </w:r>
      <w:r>
        <w:rPr>
          <w:rFonts w:ascii="Times New Roman" w:cs="Times New Roman" w:eastAsia="Times New Roman" w:hAnsi="Times New Roman"/>
          <w:sz w:val="20"/>
          <w:szCs w:val="20"/>
          <w:color w:val="auto"/>
        </w:rPr>
        <w:t>– The Company expenses all costs related to product research and development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incurred.</w:t>
      </w:r>
    </w:p>
    <w:p>
      <w:pPr>
        <w:spacing w:after="0" w:line="167"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Common Stock </w:t>
      </w:r>
      <w:r>
        <w:rPr>
          <w:rFonts w:ascii="Times New Roman" w:cs="Times New Roman" w:eastAsia="Times New Roman" w:hAnsi="Times New Roman"/>
          <w:sz w:val="20"/>
          <w:szCs w:val="20"/>
          <w:color w:val="auto"/>
        </w:rPr>
        <w:t>– The Company issues authorized but unissued shares of common stock upon the exercise of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options.</w:t>
      </w:r>
    </w:p>
    <w:p>
      <w:pPr>
        <w:spacing w:after="0" w:line="16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Stock-Based Compensation </w:t>
      </w:r>
      <w:r>
        <w:rPr>
          <w:rFonts w:ascii="Times New Roman" w:cs="Times New Roman" w:eastAsia="Times New Roman" w:hAnsi="Times New Roman"/>
          <w:sz w:val="20"/>
          <w:szCs w:val="20"/>
          <w:color w:val="auto"/>
        </w:rPr>
        <w:t>– The Company recognizes compensation cost relating to share-based payment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transactions, including grants of employee stock 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 (generally the vesting term).</w:t>
      </w:r>
    </w:p>
    <w:p>
      <w:pPr>
        <w:spacing w:after="0" w:line="200" w:lineRule="exact"/>
        <w:rPr>
          <w:sz w:val="20"/>
          <w:szCs w:val="20"/>
          <w:color w:val="auto"/>
        </w:rPr>
      </w:pPr>
    </w:p>
    <w:p>
      <w:pPr>
        <w:ind w:right="460"/>
        <w:spacing w:after="0" w:line="305" w:lineRule="auto"/>
        <w:rPr>
          <w:sz w:val="20"/>
          <w:szCs w:val="20"/>
          <w:color w:val="auto"/>
        </w:rPr>
      </w:pPr>
      <w:r>
        <w:rPr>
          <w:rFonts w:ascii="Times New Roman" w:cs="Times New Roman" w:eastAsia="Times New Roman" w:hAnsi="Times New Roman"/>
          <w:sz w:val="19"/>
          <w:szCs w:val="19"/>
          <w:i w:val="1"/>
          <w:iCs w:val="1"/>
          <w:color w:val="auto"/>
        </w:rPr>
        <w:t xml:space="preserve">Subsequent Events </w:t>
      </w:r>
      <w:r>
        <w:rPr>
          <w:rFonts w:ascii="Times New Roman" w:cs="Times New Roman" w:eastAsia="Times New Roman" w:hAnsi="Times New Roman"/>
          <w:sz w:val="19"/>
          <w:szCs w:val="19"/>
          <w:color w:val="auto"/>
        </w:rPr>
        <w:t>– The Company has evaluated events occurring after the date of the consolidated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statements through November 20, 2025 for events requiring disclosure in the consolidated financial statements.</w:t>
      </w:r>
    </w:p>
    <w:p>
      <w:pPr>
        <w:spacing w:after="0" w:line="140" w:lineRule="exact"/>
        <w:rPr>
          <w:sz w:val="20"/>
          <w:szCs w:val="20"/>
          <w:color w:val="auto"/>
        </w:rPr>
      </w:pPr>
    </w:p>
    <w:p>
      <w:pPr>
        <w:ind w:left="1000" w:hanging="1000"/>
        <w:spacing w:after="0"/>
        <w:tabs>
          <w:tab w:leader="none" w:pos="100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NEW SIGNIFICANT ACCOUNTING POLICIES</w:t>
      </w:r>
    </w:p>
    <w:p>
      <w:pPr>
        <w:spacing w:after="0" w:line="24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 xml:space="preserve">In fiscal 2025, the Company adopted Accounting Standards Update (ASU) No. 2023-07, </w:t>
      </w:r>
      <w:r>
        <w:rPr>
          <w:rFonts w:ascii="Times New Roman" w:cs="Times New Roman" w:eastAsia="Times New Roman" w:hAnsi="Times New Roman"/>
          <w:sz w:val="20"/>
          <w:szCs w:val="20"/>
          <w:i w:val="1"/>
          <w:iCs w:val="1"/>
          <w:color w:val="auto"/>
        </w:rPr>
        <w:t>Segment Reporting (Topic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280): Improvements to Reportable Segment Disclosures</w:t>
      </w:r>
      <w:r>
        <w:rPr>
          <w:rFonts w:ascii="Times New Roman" w:cs="Times New Roman" w:eastAsia="Times New Roman" w:hAnsi="Times New Roman"/>
          <w:sz w:val="20"/>
          <w:szCs w:val="20"/>
          <w:color w:val="auto"/>
        </w:rPr>
        <w:t>. ASU 2023-07 requires enhanced disclosures about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significant segment expenses and other segment items on both an annual and interim basis. The Company has applied the standard retrospectively to all periods presented in the consolidated financial statements. The adoption of ASU 2023-07 did not impact the Company’s determination of reportable segments but resulted in enhanced disclosures related to segment expense information. The adoption resulted in additional disclosures but did not have an impact on the Company's consolidated financial position, results of operations, or cash flows.</w:t>
      </w:r>
    </w:p>
    <w:p>
      <w:pPr>
        <w:spacing w:after="0" w:line="186" w:lineRule="exact"/>
        <w:rPr>
          <w:sz w:val="20"/>
          <w:szCs w:val="20"/>
          <w:color w:val="auto"/>
        </w:rPr>
      </w:pPr>
    </w:p>
    <w:p>
      <w:pPr>
        <w:ind w:left="1000" w:hanging="1000"/>
        <w:spacing w:after="0"/>
        <w:tabs>
          <w:tab w:leader="none" w:pos="100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ACCOUNTING PRONOUNCEMENTS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w:t>
      </w:r>
    </w:p>
    <w:p>
      <w:pPr>
        <w:spacing w:after="0" w:line="22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 xml:space="preserve">In December 2023, the FASB issued ASU No. 2023-09, Income Taxes (Topic 740): </w:t>
      </w:r>
      <w:r>
        <w:rPr>
          <w:rFonts w:ascii="Times New Roman" w:cs="Times New Roman" w:eastAsia="Times New Roman" w:hAnsi="Times New Roman"/>
          <w:sz w:val="20"/>
          <w:szCs w:val="20"/>
          <w:i w:val="1"/>
          <w:iCs w:val="1"/>
          <w:color w:val="auto"/>
        </w:rPr>
        <w:t>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w:t>
      </w:r>
      <w:r>
        <w:rPr>
          <w:rFonts w:ascii="Times New Roman" w:cs="Times New Roman" w:eastAsia="Times New Roman" w:hAnsi="Times New Roman"/>
          <w:sz w:val="20"/>
          <w:szCs w:val="20"/>
          <w:color w:val="auto"/>
        </w:rPr>
        <w:t>. The new guidance is expected to improve income tax disclosures primarily related to the 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reconciliation and income taxes paid information by requiring 1) consistent categories and greater disaggregation of information in the rate reconciliation and 2) income taxes paid disaggregated by jurisdiction. The guidance is effective on a prospective basis, although retrospective application and early adoption is permitted. The Company is evaluating its disclosure approach for ASU 2023-09 and anticipates adopting the standard for the annual period starting September 1,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1420" w:right="1440" w:bottom="382" w:gutter="0" w:footer="0" w:header="0"/>
        </w:sectPr>
      </w:pPr>
    </w:p>
    <w:bookmarkStart w:id="153" w:name="page154"/>
    <w:bookmarkEnd w:id="153"/>
    <w:p>
      <w:pPr>
        <w:ind w:right="280"/>
        <w:spacing w:after="0" w:line="245" w:lineRule="auto"/>
        <w:rPr>
          <w:sz w:val="20"/>
          <w:szCs w:val="20"/>
          <w:color w:val="auto"/>
        </w:rPr>
      </w:pPr>
      <w:r>
        <w:rPr>
          <w:rFonts w:ascii="Times New Roman" w:cs="Times New Roman" w:eastAsia="Times New Roman" w:hAnsi="Times New Roman"/>
          <w:sz w:val="20"/>
          <w:szCs w:val="20"/>
          <w:color w:val="auto"/>
        </w:rPr>
        <w:t xml:space="preserve">In November 2024, the FASB issued ASU No. 2024-03, </w:t>
      </w:r>
      <w:r>
        <w:rPr>
          <w:rFonts w:ascii="Times New Roman" w:cs="Times New Roman" w:eastAsia="Times New Roman" w:hAnsi="Times New Roman"/>
          <w:sz w:val="20"/>
          <w:szCs w:val="20"/>
          <w:i w:val="1"/>
          <w:iCs w:val="1"/>
          <w:color w:val="auto"/>
        </w:rPr>
        <w:t>Income Statement - Reporting Comprehensive Income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Expense Disaggregation Disclosures (Subtopic 220-40): Disaggregation of Income Statement Expenses</w:t>
      </w:r>
      <w:r>
        <w:rPr>
          <w:rFonts w:ascii="Times New Roman" w:cs="Times New Roman" w:eastAsia="Times New Roman" w:hAnsi="Times New Roman"/>
          <w:sz w:val="20"/>
          <w:szCs w:val="20"/>
          <w:color w:val="auto"/>
        </w:rPr>
        <w:t>,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requires disaggregation of certain costs in a separate note to the financial statements, such as the amounts of employee compensation, depreciation and intangible asset amortization, included in each relevant expense caption in annual and interim consolidated financial statements. ASU 2024-03 is effective for annual periods beginning after December 15, 2026 and for interim periods beginning after December 15, 2027 on a retrospective or prospective basis, with early adoption permitted. The Company is evaluating the effect that ASU 2024-03 will have on its consolidated financial statement disclosures.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4.</w:t>
            </w:r>
          </w:p>
        </w:tc>
        <w:tc>
          <w:tcPr>
            <w:tcW w:w="5320" w:type="dxa"/>
            <w:vAlign w:val="bottom"/>
            <w:gridSpan w:val="2"/>
          </w:tcPr>
          <w:p>
            <w:pPr>
              <w:ind w:left="540"/>
              <w:spacing w:after="0"/>
              <w:rPr>
                <w:sz w:val="20"/>
                <w:szCs w:val="20"/>
                <w:color w:val="auto"/>
              </w:rPr>
            </w:pPr>
            <w:r>
              <w:rPr>
                <w:rFonts w:ascii="Times New Roman" w:cs="Times New Roman" w:eastAsia="Times New Roman" w:hAnsi="Times New Roman"/>
                <w:sz w:val="20"/>
                <w:szCs w:val="20"/>
                <w:b w:val="1"/>
                <w:bCs w:val="1"/>
                <w:color w:val="auto"/>
              </w:rPr>
              <w:t>INVENTORIES</w:t>
            </w:r>
          </w:p>
        </w:tc>
        <w:tc>
          <w:tcPr>
            <w:tcW w:w="1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5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Inventories consisted of the following:</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60" w:type="dxa"/>
            <w:vAlign w:val="bottom"/>
          </w:tcPr>
          <w:p>
            <w:pPr>
              <w:spacing w:after="0"/>
              <w:rPr>
                <w:sz w:val="24"/>
                <w:szCs w:val="24"/>
                <w:color w:val="auto"/>
              </w:rPr>
            </w:pPr>
          </w:p>
        </w:tc>
        <w:tc>
          <w:tcPr>
            <w:tcW w:w="5320" w:type="dxa"/>
            <w:vAlign w:val="bottom"/>
            <w:gridSpan w:val="2"/>
            <w:vMerge w:val="restart"/>
          </w:tcPr>
          <w:p>
            <w:pPr>
              <w:ind w:left="300"/>
              <w:spacing w:after="0"/>
              <w:rPr>
                <w:sz w:val="20"/>
                <w:szCs w:val="20"/>
                <w:color w:val="auto"/>
              </w:rPr>
            </w:pPr>
            <w:r>
              <w:rPr>
                <w:rFonts w:ascii="Times New Roman" w:cs="Times New Roman" w:eastAsia="Times New Roman" w:hAnsi="Times New Roman"/>
                <w:sz w:val="20"/>
                <w:szCs w:val="20"/>
                <w:color w:val="auto"/>
              </w:rPr>
              <w:t>Production materials</w:t>
            </w:r>
          </w:p>
        </w:tc>
        <w:tc>
          <w:tcPr>
            <w:tcW w:w="16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August 31, 2025</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320" w:type="dxa"/>
            <w:vAlign w:val="bottom"/>
            <w:gridSpan w:val="2"/>
            <w:vMerge w:val="continue"/>
          </w:tcPr>
          <w:p>
            <w:pPr>
              <w:spacing w:after="0"/>
              <w:rPr>
                <w:sz w:val="18"/>
                <w:szCs w:val="18"/>
                <w:color w:val="auto"/>
              </w:rPr>
            </w:pPr>
          </w:p>
        </w:tc>
        <w:tc>
          <w:tcPr>
            <w:tcW w:w="1680" w:type="dxa"/>
            <w:vAlign w:val="bottom"/>
          </w:tcPr>
          <w:p>
            <w:pPr>
              <w:jc w:val="right"/>
              <w:ind w:right="2"/>
              <w:spacing w:after="0" w:line="210" w:lineRule="exact"/>
              <w:rPr>
                <w:sz w:val="20"/>
                <w:szCs w:val="20"/>
                <w:color w:val="auto"/>
              </w:rPr>
            </w:pPr>
            <w:r>
              <w:rPr>
                <w:rFonts w:ascii="Times New Roman" w:cs="Times New Roman" w:eastAsia="Times New Roman" w:hAnsi="Times New Roman"/>
                <w:sz w:val="20"/>
                <w:szCs w:val="20"/>
                <w:color w:val="auto"/>
              </w:rPr>
              <w:t>$55,059,298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ind w:right="282"/>
              <w:spacing w:after="0" w:line="210" w:lineRule="exact"/>
              <w:rPr>
                <w:sz w:val="20"/>
                <w:szCs w:val="20"/>
                <w:color w:val="auto"/>
              </w:rPr>
            </w:pPr>
            <w:r>
              <w:rPr>
                <w:rFonts w:ascii="Times New Roman" w:cs="Times New Roman" w:eastAsia="Times New Roman" w:hAnsi="Times New Roman"/>
                <w:sz w:val="20"/>
                <w:szCs w:val="20"/>
                <w:color w:val="auto"/>
              </w:rPr>
              <w:t>5,513,409</w:t>
            </w:r>
          </w:p>
        </w:tc>
        <w:tc>
          <w:tcPr>
            <w:tcW w:w="0" w:type="dxa"/>
            <w:vAlign w:val="bottom"/>
          </w:tcPr>
          <w:p>
            <w:pPr>
              <w:spacing w:after="0"/>
              <w:rPr>
                <w:sz w:val="1"/>
                <w:szCs w:val="1"/>
                <w:color w:val="auto"/>
              </w:rPr>
            </w:pPr>
          </w:p>
        </w:tc>
      </w:tr>
      <w:tr>
        <w:trPr>
          <w:trHeight w:val="259"/>
        </w:trPr>
        <w:tc>
          <w:tcPr>
            <w:tcW w:w="460" w:type="dxa"/>
            <w:vAlign w:val="bottom"/>
          </w:tcPr>
          <w:p>
            <w:pPr>
              <w:spacing w:after="0"/>
              <w:rPr>
                <w:sz w:val="22"/>
                <w:szCs w:val="22"/>
                <w:color w:val="auto"/>
              </w:rPr>
            </w:pPr>
          </w:p>
        </w:tc>
        <w:tc>
          <w:tcPr>
            <w:tcW w:w="53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Finished goods</w:t>
            </w:r>
          </w:p>
        </w:tc>
        <w:tc>
          <w:tcPr>
            <w:tcW w:w="1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10,465,932932</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20"/>
                <w:szCs w:val="20"/>
                <w:color w:val="auto"/>
              </w:rPr>
              <w:t>8,877,435</w:t>
            </w:r>
          </w:p>
        </w:tc>
        <w:tc>
          <w:tcPr>
            <w:tcW w:w="0" w:type="dxa"/>
            <w:vAlign w:val="bottom"/>
          </w:tcPr>
          <w:p>
            <w:pPr>
              <w:spacing w:after="0"/>
              <w:rPr>
                <w:sz w:val="1"/>
                <w:szCs w:val="1"/>
                <w:color w:val="auto"/>
              </w:rPr>
            </w:pPr>
          </w:p>
        </w:tc>
      </w:tr>
      <w:tr>
        <w:trPr>
          <w:trHeight w:val="248"/>
        </w:trPr>
        <w:tc>
          <w:tcPr>
            <w:tcW w:w="46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$15,525,230</w:t>
            </w:r>
          </w:p>
        </w:tc>
        <w:tc>
          <w:tcPr>
            <w:tcW w:w="3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20"/>
                <w:szCs w:val="20"/>
                <w:color w:val="auto"/>
              </w:rPr>
              <w:t>14,390,844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w:t>
            </w:r>
          </w:p>
        </w:tc>
        <w:tc>
          <w:tcPr>
            <w:tcW w:w="5300" w:type="dxa"/>
            <w:vAlign w:val="bottom"/>
            <w:gridSpan w:val="2"/>
          </w:tcPr>
          <w:p>
            <w:pPr>
              <w:ind w:left="540"/>
              <w:spacing w:after="0"/>
              <w:rPr>
                <w:sz w:val="20"/>
                <w:szCs w:val="20"/>
                <w:color w:val="auto"/>
              </w:rPr>
            </w:pPr>
            <w:r>
              <w:rPr>
                <w:rFonts w:ascii="Times New Roman" w:cs="Times New Roman" w:eastAsia="Times New Roman" w:hAnsi="Times New Roman"/>
                <w:sz w:val="20"/>
                <w:szCs w:val="20"/>
                <w:b w:val="1"/>
                <w:bCs w:val="1"/>
                <w:color w:val="auto"/>
              </w:rPr>
              <w:t>PROPERTY AND EQUIPMENT, NET</w:t>
            </w:r>
          </w:p>
        </w:tc>
        <w:tc>
          <w:tcPr>
            <w:tcW w:w="1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466"/>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Property and equipment, net consisted of the following:</w:t>
            </w: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87"/>
        </w:trPr>
        <w:tc>
          <w:tcPr>
            <w:tcW w:w="4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August 31, 2025</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August 31, 2024</w:t>
            </w:r>
          </w:p>
        </w:tc>
      </w:tr>
      <w:tr>
        <w:trPr>
          <w:trHeight w:val="229"/>
        </w:trPr>
        <w:tc>
          <w:tcPr>
            <w:tcW w:w="460" w:type="dxa"/>
            <w:vAlign w:val="bottom"/>
          </w:tcPr>
          <w:p>
            <w:pPr>
              <w:spacing w:after="0"/>
              <w:rPr>
                <w:sz w:val="19"/>
                <w:szCs w:val="19"/>
                <w:color w:val="auto"/>
              </w:rPr>
            </w:pP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Land</w:t>
            </w:r>
          </w:p>
        </w:tc>
        <w:tc>
          <w:tcPr>
            <w:tcW w:w="17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$ 1,260,312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1,238,180</w:t>
            </w:r>
          </w:p>
        </w:tc>
      </w:tr>
      <w:tr>
        <w:trPr>
          <w:trHeight w:val="258"/>
        </w:trPr>
        <w:tc>
          <w:tcPr>
            <w:tcW w:w="460" w:type="dxa"/>
            <w:vAlign w:val="bottom"/>
          </w:tcPr>
          <w:p>
            <w:pPr>
              <w:spacing w:after="0"/>
              <w:rPr>
                <w:sz w:val="22"/>
                <w:szCs w:val="22"/>
                <w:color w:val="auto"/>
              </w:rPr>
            </w:pP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17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14,650,361</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14,760,250</w:t>
            </w:r>
          </w:p>
        </w:tc>
      </w:tr>
      <w:tr>
        <w:trPr>
          <w:trHeight w:val="259"/>
        </w:trPr>
        <w:tc>
          <w:tcPr>
            <w:tcW w:w="460" w:type="dxa"/>
            <w:vAlign w:val="bottom"/>
          </w:tcPr>
          <w:p>
            <w:pPr>
              <w:spacing w:after="0"/>
              <w:rPr>
                <w:sz w:val="22"/>
                <w:szCs w:val="22"/>
                <w:color w:val="auto"/>
              </w:rPr>
            </w:pP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Construction in process</w:t>
            </w:r>
          </w:p>
        </w:tc>
        <w:tc>
          <w:tcPr>
            <w:tcW w:w="17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817,946</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3,086,479</w:t>
            </w:r>
          </w:p>
        </w:tc>
      </w:tr>
      <w:tr>
        <w:trPr>
          <w:trHeight w:val="279"/>
        </w:trPr>
        <w:tc>
          <w:tcPr>
            <w:tcW w:w="460" w:type="dxa"/>
            <w:vAlign w:val="bottom"/>
          </w:tcPr>
          <w:p>
            <w:pPr>
              <w:spacing w:after="0"/>
              <w:rPr>
                <w:sz w:val="24"/>
                <w:szCs w:val="24"/>
                <w:color w:val="auto"/>
              </w:rPr>
            </w:pP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Machinery and equipment</w:t>
            </w:r>
          </w:p>
        </w:tc>
        <w:tc>
          <w:tcPr>
            <w:tcW w:w="1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9,154,728</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7,276,151</w:t>
            </w:r>
          </w:p>
        </w:tc>
      </w:tr>
      <w:tr>
        <w:trPr>
          <w:trHeight w:val="229"/>
        </w:trPr>
        <w:tc>
          <w:tcPr>
            <w:tcW w:w="46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25,883,347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26,361,060</w:t>
            </w:r>
          </w:p>
        </w:tc>
      </w:tr>
      <w:tr>
        <w:trPr>
          <w:trHeight w:val="279"/>
        </w:trPr>
        <w:tc>
          <w:tcPr>
            <w:tcW w:w="460" w:type="dxa"/>
            <w:vAlign w:val="bottom"/>
          </w:tcPr>
          <w:p>
            <w:pPr>
              <w:spacing w:after="0"/>
              <w:rPr>
                <w:sz w:val="24"/>
                <w:szCs w:val="24"/>
                <w:color w:val="auto"/>
              </w:rPr>
            </w:pPr>
          </w:p>
        </w:tc>
        <w:tc>
          <w:tcPr>
            <w:tcW w:w="53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(10,699,429)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(10,095,407)</w:t>
            </w:r>
          </w:p>
        </w:tc>
      </w:tr>
      <w:tr>
        <w:trPr>
          <w:trHeight w:val="261"/>
        </w:trPr>
        <w:tc>
          <w:tcPr>
            <w:tcW w:w="46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$ 15,183,918</w:t>
            </w:r>
          </w:p>
        </w:tc>
        <w:tc>
          <w:tcPr>
            <w:tcW w:w="3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16,265,653</w:t>
            </w:r>
          </w:p>
        </w:tc>
      </w:tr>
      <w:tr>
        <w:trPr>
          <w:trHeight w:val="20"/>
        </w:trPr>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880"/>
        <w:spacing w:after="0" w:line="258" w:lineRule="auto"/>
        <w:rPr>
          <w:sz w:val="20"/>
          <w:szCs w:val="20"/>
          <w:color w:val="auto"/>
        </w:rPr>
      </w:pPr>
      <w:r>
        <w:rPr>
          <w:rFonts w:ascii="Times New Roman" w:cs="Times New Roman" w:eastAsia="Times New Roman" w:hAnsi="Times New Roman"/>
          <w:sz w:val="20"/>
          <w:szCs w:val="20"/>
          <w:color w:val="auto"/>
        </w:rPr>
        <w:t>Depreciation expense was $979,981 for fiscal 2025 compared to $1,156,364 in fiscal 2024. Assets in process includes capitalized software costs incurred until the capitalized software is placed in service. Once placed in service, these costs are reclassed to intangible assets, net in the consolidated balance sheet.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w:t>
            </w:r>
          </w:p>
        </w:tc>
        <w:tc>
          <w:tcPr>
            <w:tcW w:w="3800" w:type="dxa"/>
            <w:vAlign w:val="bottom"/>
            <w:gridSpan w:val="2"/>
          </w:tcPr>
          <w:p>
            <w:pPr>
              <w:ind w:left="780"/>
              <w:spacing w:after="0"/>
              <w:rPr>
                <w:sz w:val="20"/>
                <w:szCs w:val="20"/>
                <w:color w:val="auto"/>
              </w:rPr>
            </w:pPr>
            <w:r>
              <w:rPr>
                <w:rFonts w:ascii="Times New Roman" w:cs="Times New Roman" w:eastAsia="Times New Roman" w:hAnsi="Times New Roman"/>
                <w:sz w:val="20"/>
                <w:szCs w:val="20"/>
                <w:b w:val="1"/>
                <w:bCs w:val="1"/>
                <w:color w:val="auto"/>
              </w:rPr>
              <w:t>INTANGIBLE ASSETS, NET</w:t>
            </w:r>
          </w:p>
        </w:tc>
        <w:tc>
          <w:tcPr>
            <w:tcW w:w="1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Intangible assets, net consisted of the following:</w:t>
            </w: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As of August 31, 2025</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Gross Carrying</w:t>
            </w:r>
          </w:p>
        </w:tc>
        <w:tc>
          <w:tcPr>
            <w:tcW w:w="160" w:type="dxa"/>
            <w:vAlign w:val="bottom"/>
          </w:tcPr>
          <w:p>
            <w:pPr>
              <w:spacing w:after="0"/>
              <w:rPr>
                <w:sz w:val="20"/>
                <w:szCs w:val="20"/>
                <w:color w:val="auto"/>
              </w:rPr>
            </w:pPr>
          </w:p>
        </w:tc>
        <w:tc>
          <w:tcPr>
            <w:tcW w:w="184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160" w:type="dxa"/>
            <w:vAlign w:val="bottom"/>
          </w:tcPr>
          <w:p>
            <w:pPr>
              <w:spacing w:after="0"/>
              <w:rPr>
                <w:sz w:val="20"/>
                <w:szCs w:val="20"/>
                <w:color w:val="auto"/>
              </w:rPr>
            </w:pPr>
          </w:p>
        </w:tc>
        <w:tc>
          <w:tcPr>
            <w:tcW w:w="154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Net Carrying</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402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Patents and trademarks</w:t>
            </w:r>
          </w:p>
        </w:tc>
        <w:tc>
          <w:tcPr>
            <w:tcW w:w="18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60" w:type="dxa"/>
            <w:vAlign w:val="bottom"/>
          </w:tcPr>
          <w:p>
            <w:pPr>
              <w:spacing w:after="0"/>
              <w:rPr>
                <w:sz w:val="23"/>
                <w:szCs w:val="23"/>
                <w:color w:val="auto"/>
              </w:rPr>
            </w:pPr>
          </w:p>
        </w:tc>
        <w:tc>
          <w:tcPr>
            <w:tcW w:w="1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160" w:type="dxa"/>
            <w:vAlign w:val="bottom"/>
          </w:tcPr>
          <w:p>
            <w:pPr>
              <w:spacing w:after="0"/>
              <w:rPr>
                <w:sz w:val="23"/>
                <w:szCs w:val="23"/>
                <w:color w:val="auto"/>
              </w:rPr>
            </w:pPr>
          </w:p>
        </w:tc>
        <w:tc>
          <w:tcPr>
            <w:tcW w:w="15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4020" w:type="dxa"/>
            <w:vAlign w:val="bottom"/>
            <w:gridSpan w:val="3"/>
            <w:vMerge w:val="continue"/>
          </w:tcPr>
          <w:p>
            <w:pPr>
              <w:spacing w:after="0"/>
              <w:rPr>
                <w:sz w:val="17"/>
                <w:szCs w:val="17"/>
                <w:color w:val="auto"/>
              </w:rPr>
            </w:pPr>
          </w:p>
        </w:tc>
        <w:tc>
          <w:tcPr>
            <w:tcW w:w="1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$3,546,542</w:t>
            </w:r>
          </w:p>
        </w:tc>
        <w:tc>
          <w:tcPr>
            <w:tcW w:w="160" w:type="dxa"/>
            <w:vAlign w:val="bottom"/>
          </w:tcPr>
          <w:p>
            <w:pPr>
              <w:spacing w:after="0"/>
              <w:rPr>
                <w:sz w:val="17"/>
                <w:szCs w:val="17"/>
                <w:color w:val="auto"/>
              </w:rPr>
            </w:pPr>
          </w:p>
        </w:tc>
        <w:tc>
          <w:tcPr>
            <w:tcW w:w="1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$(2,969,571)</w:t>
            </w:r>
          </w:p>
        </w:tc>
        <w:tc>
          <w:tcPr>
            <w:tcW w:w="160" w:type="dxa"/>
            <w:vAlign w:val="bottom"/>
          </w:tcPr>
          <w:p>
            <w:pPr>
              <w:spacing w:after="0"/>
              <w:rPr>
                <w:sz w:val="17"/>
                <w:szCs w:val="17"/>
                <w:color w:val="auto"/>
              </w:rPr>
            </w:pPr>
          </w:p>
        </w:tc>
        <w:tc>
          <w:tcPr>
            <w:tcW w:w="15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$576,971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Capitalized software</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4,089,695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(493,365)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3,596,330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Customer relationships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6,347,000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(1,692,533)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4,654,467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372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Total intangible assets, net</w:t>
            </w:r>
          </w:p>
        </w:tc>
        <w:tc>
          <w:tcPr>
            <w:tcW w:w="8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$13,983,237</w:t>
            </w:r>
          </w:p>
        </w:tc>
        <w:tc>
          <w:tcPr>
            <w:tcW w:w="200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$(5,155,469)</w:t>
            </w:r>
          </w:p>
        </w:tc>
        <w:tc>
          <w:tcPr>
            <w:tcW w:w="170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$8,827,768</w:t>
            </w:r>
          </w:p>
        </w:tc>
        <w:tc>
          <w:tcPr>
            <w:tcW w:w="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640"/>
          </w:cols>
          <w:pgMar w:left="1440" w:top="1420" w:right="1160" w:bottom="382" w:gutter="0" w:footer="0" w:header="0"/>
        </w:sectPr>
      </w:pPr>
    </w:p>
    <w:bookmarkStart w:id="154" w:name="page155"/>
    <w:bookmarkEnd w:id="154"/>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254"/>
        </w:trPr>
        <w:tc>
          <w:tcPr>
            <w:tcW w:w="38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As of August 31, 2024</w:t>
            </w: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Gross Carrying</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Net Carrying</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Patents and trademarks</w:t>
            </w: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3920" w:type="dxa"/>
            <w:vAlign w:val="bottom"/>
            <w:gridSpan w:val="2"/>
            <w:vMerge w:val="continue"/>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3,459,877</w:t>
            </w:r>
          </w:p>
        </w:tc>
        <w:tc>
          <w:tcPr>
            <w:tcW w:w="160" w:type="dxa"/>
            <w:vAlign w:val="bottom"/>
          </w:tcPr>
          <w:p>
            <w:pPr>
              <w:spacing w:after="0"/>
              <w:rPr>
                <w:sz w:val="17"/>
                <w:szCs w:val="17"/>
                <w:color w:val="auto"/>
              </w:rPr>
            </w:pPr>
          </w:p>
        </w:tc>
        <w:tc>
          <w:tcPr>
            <w:tcW w:w="240" w:type="dxa"/>
            <w:vAlign w:val="bottom"/>
          </w:tcPr>
          <w:p>
            <w:pPr>
              <w:jc w:val="right"/>
              <w:ind w:right="20"/>
              <w:spacing w:after="0" w:line="201" w:lineRule="exact"/>
              <w:rPr>
                <w:sz w:val="20"/>
                <w:szCs w:val="20"/>
                <w:color w:val="auto"/>
              </w:rPr>
            </w:pPr>
            <w:r>
              <w:rPr>
                <w:rFonts w:ascii="Times New Roman" w:cs="Times New Roman" w:eastAsia="Times New Roman" w:hAnsi="Times New Roman"/>
                <w:sz w:val="20"/>
                <w:szCs w:val="20"/>
                <w:color w:val="auto"/>
                <w:w w:val="99"/>
              </w:rPr>
              <w:t>$</w:t>
            </w:r>
          </w:p>
        </w:tc>
        <w:tc>
          <w:tcPr>
            <w:tcW w:w="16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(2,854,532)</w:t>
            </w:r>
          </w:p>
        </w:tc>
        <w:tc>
          <w:tcPr>
            <w:tcW w:w="16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605,345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6,347,000</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(1,269,400)</w:t>
            </w: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5,077,600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3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Total intangible assets,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9,806,877</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(4,123,932)</w:t>
            </w:r>
          </w:p>
        </w:tc>
        <w:tc>
          <w:tcPr>
            <w:tcW w:w="1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5,682,945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20"/>
          <w:szCs w:val="20"/>
          <w:color w:val="auto"/>
        </w:rPr>
        <w:t>Amortization expense related to intangible assets was $777,289 for fiscal 2025 compared to $596,700 for fiscal 2024.</w:t>
      </w:r>
    </w:p>
    <w:p>
      <w:pPr>
        <w:spacing w:after="0" w:line="167"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color w:val="auto"/>
        </w:rPr>
        <w:t>As of August 31, 2025, future amortization expense related to intangible assets for each of the next five fiscal years and thereafter is estimated as follows:</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3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2026</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869,359</w:t>
            </w:r>
          </w:p>
        </w:tc>
      </w:tr>
      <w:tr>
        <w:trPr>
          <w:trHeight w:val="254"/>
        </w:trPr>
        <w:tc>
          <w:tcPr>
            <w:tcW w:w="3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2027</w:t>
            </w:r>
          </w:p>
        </w:tc>
        <w:tc>
          <w:tcPr>
            <w:tcW w:w="10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834,284</w:t>
            </w:r>
          </w:p>
        </w:tc>
      </w:tr>
      <w:tr>
        <w:trPr>
          <w:trHeight w:val="256"/>
        </w:trPr>
        <w:tc>
          <w:tcPr>
            <w:tcW w:w="3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2028</w:t>
            </w:r>
          </w:p>
        </w:tc>
        <w:tc>
          <w:tcPr>
            <w:tcW w:w="10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834,284</w:t>
            </w:r>
          </w:p>
        </w:tc>
      </w:tr>
      <w:tr>
        <w:trPr>
          <w:trHeight w:val="254"/>
        </w:trPr>
        <w:tc>
          <w:tcPr>
            <w:tcW w:w="3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2029</w:t>
            </w:r>
          </w:p>
        </w:tc>
        <w:tc>
          <w:tcPr>
            <w:tcW w:w="10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834,284</w:t>
            </w:r>
          </w:p>
        </w:tc>
      </w:tr>
      <w:tr>
        <w:trPr>
          <w:trHeight w:val="256"/>
        </w:trPr>
        <w:tc>
          <w:tcPr>
            <w:tcW w:w="3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2030</w:t>
            </w:r>
          </w:p>
        </w:tc>
        <w:tc>
          <w:tcPr>
            <w:tcW w:w="10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834,284</w:t>
            </w:r>
          </w:p>
        </w:tc>
      </w:tr>
      <w:tr>
        <w:trPr>
          <w:trHeight w:val="275"/>
        </w:trPr>
        <w:tc>
          <w:tcPr>
            <w:tcW w:w="3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Thereafter</w:t>
            </w:r>
          </w:p>
        </w:tc>
        <w:tc>
          <w:tcPr>
            <w:tcW w:w="10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4,621,274</w:t>
            </w:r>
          </w:p>
        </w:tc>
      </w:tr>
      <w:tr>
        <w:trPr>
          <w:trHeight w:val="258"/>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8,827,768</w:t>
            </w:r>
          </w:p>
        </w:tc>
      </w:tr>
      <w:tr>
        <w:trPr>
          <w:trHeight w:val="20"/>
        </w:trPr>
        <w:tc>
          <w:tcPr>
            <w:tcW w:w="3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000" w:hanging="1000"/>
        <w:spacing w:after="0"/>
        <w:tabs>
          <w:tab w:leader="none" w:pos="100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INVESTMENTS IN JOINT VENTURES</w:t>
      </w:r>
    </w:p>
    <w:p>
      <w:pPr>
        <w:spacing w:after="0" w:line="243" w:lineRule="exact"/>
        <w:rPr>
          <w:sz w:val="20"/>
          <w:szCs w:val="20"/>
          <w:color w:val="auto"/>
        </w:rPr>
      </w:pPr>
    </w:p>
    <w:p>
      <w:pPr>
        <w:ind w:right="540"/>
        <w:spacing w:after="0" w:line="247" w:lineRule="auto"/>
        <w:rPr>
          <w:sz w:val="20"/>
          <w:szCs w:val="20"/>
          <w:color w:val="auto"/>
        </w:rPr>
      </w:pPr>
      <w:r>
        <w:rPr>
          <w:rFonts w:ascii="Times New Roman" w:cs="Times New Roman" w:eastAsia="Times New Roman" w:hAnsi="Times New Roman"/>
          <w:sz w:val="20"/>
          <w:szCs w:val="20"/>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200" w:lineRule="exact"/>
        <w:rPr>
          <w:sz w:val="20"/>
          <w:szCs w:val="20"/>
          <w:color w:val="auto"/>
        </w:rPr>
      </w:pPr>
    </w:p>
    <w:p>
      <w:pPr>
        <w:ind w:right="880"/>
        <w:spacing w:after="0" w:line="258" w:lineRule="auto"/>
        <w:rPr>
          <w:sz w:val="20"/>
          <w:szCs w:val="20"/>
          <w:color w:val="auto"/>
        </w:rPr>
      </w:pPr>
      <w:r>
        <w:rPr>
          <w:rFonts w:ascii="Times New Roman" w:cs="Times New Roman" w:eastAsia="Times New Roman" w:hAnsi="Times New Roman"/>
          <w:sz w:val="20"/>
          <w:szCs w:val="20"/>
          <w:color w:val="auto"/>
        </w:rPr>
        <w:t>Financial information from the audited and unaudited financial statements of the Company’s joint ventures in Germany, Excor Korrosionsschutz – Technologien und Produkte GmbH (EXCOR), France, ACOBAL SAS (Acobal), Finland, Zerust OY and all the Company’s other joint ventures are summarized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1971675</wp:posOffset>
                </wp:positionH>
                <wp:positionV relativeFrom="paragraph">
                  <wp:posOffset>137795</wp:posOffset>
                </wp:positionV>
                <wp:extent cx="412496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2496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25pt,10.85pt" to="480.05pt,10.85pt" o:allowincell="f" strokecolor="#000000" strokeweight="0.959pt"/>
            </w:pict>
          </mc:Fallback>
        </mc:AlternateConten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10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gridSpan w:val="3"/>
          </w:tcPr>
          <w:p>
            <w:pPr>
              <w:jc w:val="right"/>
              <w:ind w:right="989"/>
              <w:spacing w:after="0"/>
              <w:rPr>
                <w:sz w:val="20"/>
                <w:szCs w:val="20"/>
                <w:color w:val="auto"/>
              </w:rPr>
            </w:pPr>
            <w:r>
              <w:rPr>
                <w:rFonts w:ascii="Times New Roman" w:cs="Times New Roman" w:eastAsia="Times New Roman" w:hAnsi="Times New Roman"/>
                <w:sz w:val="20"/>
                <w:szCs w:val="20"/>
                <w:b w:val="1"/>
                <w:bCs w:val="1"/>
                <w:color w:val="auto"/>
              </w:rPr>
              <w:t>As of August 31, 2025</w:t>
            </w:r>
          </w:p>
        </w:tc>
        <w:tc>
          <w:tcPr>
            <w:tcW w:w="1240" w:type="dxa"/>
            <w:vAlign w:val="bottom"/>
            <w:tcBorders>
              <w:bottom w:val="single" w:sz="8" w:color="auto"/>
            </w:tcBorders>
          </w:tcPr>
          <w:p>
            <w:pPr>
              <w:spacing w:after="0"/>
              <w:rPr>
                <w:sz w:val="22"/>
                <w:szCs w:val="22"/>
                <w:color w:val="auto"/>
              </w:rPr>
            </w:pPr>
          </w:p>
        </w:tc>
      </w:tr>
      <w:tr>
        <w:trPr>
          <w:trHeight w:val="256"/>
        </w:trPr>
        <w:tc>
          <w:tcPr>
            <w:tcW w:w="3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4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20"/>
                <w:szCs w:val="20"/>
                <w:b w:val="1"/>
                <w:bCs w:val="1"/>
                <w:color w:val="auto"/>
              </w:rPr>
              <w:t>EXCOR</w:t>
            </w:r>
          </w:p>
        </w:tc>
        <w:tc>
          <w:tcPr>
            <w:tcW w:w="12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20"/>
                <w:szCs w:val="20"/>
                <w:b w:val="1"/>
                <w:bCs w:val="1"/>
                <w:color w:val="auto"/>
              </w:rPr>
              <w:t>Acobal</w:t>
            </w: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20"/>
                <w:szCs w:val="20"/>
                <w:b w:val="1"/>
                <w:bCs w:val="1"/>
                <w:color w:val="auto"/>
              </w:rPr>
              <w:t>Zerust OY</w:t>
            </w:r>
          </w:p>
        </w:tc>
        <w:tc>
          <w:tcPr>
            <w:tcW w:w="12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20"/>
                <w:szCs w:val="20"/>
                <w:b w:val="1"/>
                <w:bCs w:val="1"/>
                <w:color w:val="auto"/>
              </w:rPr>
              <w:t>Other</w:t>
            </w:r>
          </w:p>
        </w:tc>
      </w:tr>
      <w:tr>
        <w:trPr>
          <w:trHeight w:val="255"/>
        </w:trPr>
        <w:tc>
          <w:tcPr>
            <w:tcW w:w="3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Current assets</w:t>
            </w: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   60,062,085</w:t>
            </w: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rPr>
              <w:t>$ 29,870,525</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  6,971,262</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  3,029,614</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$ 20,190,684</w:t>
            </w:r>
          </w:p>
        </w:tc>
      </w:tr>
      <w:tr>
        <w:trPr>
          <w:trHeight w:val="265"/>
        </w:trPr>
        <w:tc>
          <w:tcPr>
            <w:tcW w:w="3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 assets</w:t>
            </w: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69,815,251</w:t>
            </w: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rPr>
              <w:t>36,941,008</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7,900,298</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3,313,909</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21,660,036</w:t>
            </w:r>
          </w:p>
        </w:tc>
      </w:tr>
      <w:tr>
        <w:trPr>
          <w:trHeight w:val="266"/>
        </w:trPr>
        <w:tc>
          <w:tcPr>
            <w:tcW w:w="3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Current liabilities</w:t>
            </w: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11,743,525</w:t>
            </w: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rPr>
              <w:t>2,391,029</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2,660,430</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719,172</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5,972,894</w:t>
            </w:r>
          </w:p>
        </w:tc>
      </w:tr>
      <w:tr>
        <w:trPr>
          <w:trHeight w:val="266"/>
        </w:trPr>
        <w:tc>
          <w:tcPr>
            <w:tcW w:w="3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Noncurrent liabilities</w:t>
            </w: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336,557</w:t>
            </w:r>
          </w:p>
        </w:tc>
        <w:tc>
          <w:tcPr>
            <w:tcW w:w="1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336,557</w:t>
            </w:r>
          </w:p>
        </w:tc>
      </w:tr>
      <w:tr>
        <w:trPr>
          <w:trHeight w:val="247"/>
        </w:trPr>
        <w:tc>
          <w:tcPr>
            <w:tcW w:w="3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Joint ventures’ equity</w:t>
            </w: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57,735,169</w:t>
            </w: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rPr>
              <w:t>34,549,979</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5,239,868</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2,594,737</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15,350,585</w:t>
            </w:r>
          </w:p>
        </w:tc>
      </w:tr>
      <w:tr>
        <w:trPr>
          <w:trHeight w:val="230"/>
        </w:trPr>
        <w:tc>
          <w:tcPr>
            <w:tcW w:w="3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NTIC’s share of joint ventures’</w:t>
            </w:r>
          </w:p>
        </w:tc>
        <w:tc>
          <w:tcPr>
            <w:tcW w:w="1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9"/>
        </w:trPr>
        <w:tc>
          <w:tcPr>
            <w:tcW w:w="3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equity</w:t>
            </w: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28,611,777</w:t>
            </w: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rPr>
              <w:t>17,274,991</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2,619,932</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1,297,358</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7,419,496</w:t>
            </w:r>
          </w:p>
        </w:tc>
      </w:tr>
      <w:tr>
        <w:trPr>
          <w:trHeight w:val="230"/>
        </w:trPr>
        <w:tc>
          <w:tcPr>
            <w:tcW w:w="3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NTIC’s share of joint ventures’</w:t>
            </w:r>
          </w:p>
        </w:tc>
        <w:tc>
          <w:tcPr>
            <w:tcW w:w="1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7"/>
        </w:trPr>
        <w:tc>
          <w:tcPr>
            <w:tcW w:w="3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undistributed earnings</w:t>
            </w: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27,667,432</w:t>
            </w: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rPr>
              <w:t>17,244,086</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2,619,932</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1,277,358</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6,526,056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640"/>
          </w:cols>
          <w:pgMar w:left="1440" w:top="1440" w:right="1160" w:bottom="382" w:gutter="0" w:footer="0" w:header="0"/>
        </w:sectPr>
      </w:pPr>
    </w:p>
    <w:bookmarkStart w:id="155" w:name="page156"/>
    <w:bookmarkEnd w:id="155"/>
    <w:p>
      <w:pPr>
        <w:spacing w:after="0" w:line="13" w:lineRule="exact"/>
        <w:rPr>
          <w:sz w:val="20"/>
          <w:szCs w:val="20"/>
          <w:color w:val="auto"/>
        </w:rPr>
      </w:pPr>
    </w:p>
    <w:tbl>
      <w:tblPr>
        <w:tblLayout w:type="fixed"/>
        <w:tblInd w:w="100" w:type="dxa"/>
        <w:tblCellMar>
          <w:top w:w="0" w:type="dxa"/>
          <w:left w:w="0" w:type="dxa"/>
          <w:bottom w:w="0" w:type="dxa"/>
          <w:right w:w="0" w:type="dxa"/>
        </w:tblCellMar>
      </w:tblPr>
      <w:tr>
        <w:trPr>
          <w:trHeight w:val="254"/>
        </w:trPr>
        <w:tc>
          <w:tcPr>
            <w:tcW w:w="300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20"/>
                <w:szCs w:val="20"/>
                <w:b w:val="1"/>
                <w:bCs w:val="1"/>
                <w:color w:val="auto"/>
              </w:rPr>
              <w:t>Fiscal Year Ended August 31, 2025</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1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4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20"/>
                <w:szCs w:val="20"/>
                <w:b w:val="1"/>
                <w:bCs w:val="1"/>
                <w:color w:val="auto"/>
              </w:rPr>
              <w:t>EXCOR</w:t>
            </w:r>
          </w:p>
        </w:tc>
        <w:tc>
          <w:tcPr>
            <w:tcW w:w="12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20"/>
                <w:szCs w:val="20"/>
                <w:b w:val="1"/>
                <w:bCs w:val="1"/>
                <w:color w:val="auto"/>
              </w:rPr>
              <w:t>Acobal</w:t>
            </w:r>
          </w:p>
        </w:tc>
        <w:tc>
          <w:tcPr>
            <w:tcW w:w="1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20"/>
                <w:szCs w:val="20"/>
                <w:b w:val="1"/>
                <w:bCs w:val="1"/>
                <w:color w:val="auto"/>
              </w:rPr>
              <w:t>Zerust OY</w:t>
            </w:r>
          </w:p>
        </w:tc>
        <w:tc>
          <w:tcPr>
            <w:tcW w:w="12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20"/>
                <w:szCs w:val="20"/>
                <w:b w:val="1"/>
                <w:bCs w:val="1"/>
                <w:color w:val="auto"/>
              </w:rPr>
              <w:t>Other</w:t>
            </w:r>
          </w:p>
        </w:tc>
        <w:tc>
          <w:tcPr>
            <w:tcW w:w="0" w:type="dxa"/>
            <w:vAlign w:val="bottom"/>
          </w:tcPr>
          <w:p>
            <w:pPr>
              <w:spacing w:after="0"/>
              <w:rPr>
                <w:sz w:val="1"/>
                <w:szCs w:val="1"/>
                <w:color w:val="auto"/>
              </w:rPr>
            </w:pPr>
          </w:p>
        </w:tc>
      </w:tr>
      <w:tr>
        <w:trPr>
          <w:trHeight w:val="253"/>
        </w:trPr>
        <w:tc>
          <w:tcPr>
            <w:tcW w:w="3000" w:type="dxa"/>
            <w:vAlign w:val="bottom"/>
            <w:vMerge w:val="continue"/>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  91,236,272</w:t>
            </w: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rPr>
              <w:t>$ 32,909,789</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$ 11,721,152</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  4,831,258</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$ 41,774,073</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39,460,739</w:t>
            </w: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rPr>
              <w:t>17,637,075</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4,500,635</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2,976,462</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14,346,567</w:t>
            </w:r>
          </w:p>
        </w:tc>
        <w:tc>
          <w:tcPr>
            <w:tcW w:w="0" w:type="dxa"/>
            <w:vAlign w:val="bottom"/>
          </w:tcPr>
          <w:p>
            <w:pPr>
              <w:spacing w:after="0"/>
              <w:rPr>
                <w:sz w:val="1"/>
                <w:szCs w:val="1"/>
                <w:color w:val="auto"/>
              </w:rPr>
            </w:pPr>
          </w:p>
        </w:tc>
      </w:tr>
      <w:tr>
        <w:trPr>
          <w:trHeight w:val="248"/>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7,081,482</w:t>
            </w: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rPr>
              <w:t>3,325,785</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1,418,240</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964,653</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1,372,804</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NTIC’s share of equity in income</w:t>
            </w:r>
          </w:p>
        </w:tc>
        <w:tc>
          <w:tcPr>
            <w:tcW w:w="1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of joint ventures</w:t>
            </w: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3,539,057</w:t>
            </w: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rPr>
              <w:t>1,664,532</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708,333</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483,754</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682,436</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NTIC’s dividends received from</w:t>
            </w:r>
          </w:p>
        </w:tc>
        <w:tc>
          <w:tcPr>
            <w:tcW w:w="1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0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joint ventures</w:t>
            </w: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1,566,946</w:t>
            </w:r>
          </w:p>
        </w:tc>
        <w:tc>
          <w:tcPr>
            <w:tcW w:w="124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635,528</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382,613</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548,805</w:t>
            </w: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100" w:type="dxa"/>
        <w:tblCellMar>
          <w:top w:w="0" w:type="dxa"/>
          <w:left w:w="0" w:type="dxa"/>
          <w:bottom w:w="0" w:type="dxa"/>
          <w:right w:w="0" w:type="dxa"/>
        </w:tblCellMar>
      </w:tblPr>
      <w:tr>
        <w:trPr>
          <w:trHeight w:val="273"/>
        </w:trPr>
        <w:tc>
          <w:tcPr>
            <w:tcW w:w="3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As of August 31, 2024</w:t>
            </w: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1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EXCOR</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OTHER</w:t>
            </w:r>
          </w:p>
        </w:tc>
        <w:tc>
          <w:tcPr>
            <w:tcW w:w="0" w:type="dxa"/>
            <w:vAlign w:val="bottom"/>
          </w:tcPr>
          <w:p>
            <w:pPr>
              <w:spacing w:after="0"/>
              <w:rPr>
                <w:sz w:val="1"/>
                <w:szCs w:val="1"/>
                <w:color w:val="auto"/>
              </w:rPr>
            </w:pPr>
          </w:p>
        </w:tc>
      </w:tr>
      <w:tr>
        <w:trPr>
          <w:trHeight w:val="201"/>
        </w:trPr>
        <w:tc>
          <w:tcPr>
            <w:tcW w:w="3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8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56,420,503</w:t>
            </w:r>
          </w:p>
        </w:tc>
        <w:tc>
          <w:tcPr>
            <w:tcW w:w="80" w:type="dxa"/>
            <w:vAlign w:val="bottom"/>
          </w:tcPr>
          <w:p>
            <w:pPr>
              <w:spacing w:after="0"/>
              <w:rPr>
                <w:sz w:val="17"/>
                <w:szCs w:val="17"/>
                <w:color w:val="auto"/>
              </w:rPr>
            </w:pPr>
          </w:p>
        </w:tc>
        <w:tc>
          <w:tcPr>
            <w:tcW w:w="220" w:type="dxa"/>
            <w:vAlign w:val="bottom"/>
          </w:tcPr>
          <w:p>
            <w:pPr>
              <w:jc w:val="right"/>
              <w:ind w:right="2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26,234,664</w:t>
            </w:r>
          </w:p>
        </w:tc>
        <w:tc>
          <w:tcPr>
            <w:tcW w:w="80" w:type="dxa"/>
            <w:vAlign w:val="bottom"/>
          </w:tcPr>
          <w:p>
            <w:pPr>
              <w:spacing w:after="0"/>
              <w:rPr>
                <w:sz w:val="17"/>
                <w:szCs w:val="17"/>
                <w:color w:val="auto"/>
              </w:rPr>
            </w:pPr>
          </w:p>
        </w:tc>
        <w:tc>
          <w:tcPr>
            <w:tcW w:w="2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30,185,839</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64,183,071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31,513,288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32,669,783</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12,553,716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2,221,726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10,331,990</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323,199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323,199</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Joint ventures’ equity</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51,306,156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29,291,562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22,014,594</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NTIC’s share of joint ventures’ equity</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25,397,287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14,645,783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10,751,504</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NTIC’s share of joint ventures’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undistributed earnings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23,645,685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14,614,878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9,030,807</w:t>
            </w: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20"/>
                <w:szCs w:val="20"/>
                <w:b w:val="1"/>
                <w:bCs w:val="1"/>
                <w:color w:val="auto"/>
              </w:rPr>
              <w:t>Fiscal Year Ended August 31, 2024</w:t>
            </w:r>
          </w:p>
        </w:tc>
        <w:tc>
          <w:tcPr>
            <w:tcW w:w="0" w:type="dxa"/>
            <w:vAlign w:val="bottom"/>
          </w:tcPr>
          <w:p>
            <w:pPr>
              <w:spacing w:after="0"/>
              <w:rPr>
                <w:sz w:val="1"/>
                <w:szCs w:val="1"/>
                <w:color w:val="auto"/>
              </w:rPr>
            </w:pPr>
          </w:p>
        </w:tc>
      </w:tr>
      <w:tr>
        <w:trPr>
          <w:trHeight w:val="240"/>
        </w:trPr>
        <w:tc>
          <w:tcPr>
            <w:tcW w:w="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00" w:type="dxa"/>
            <w:vAlign w:val="bottom"/>
          </w:tcPr>
          <w:p>
            <w:pPr>
              <w:spacing w:after="0"/>
              <w:rPr>
                <w:sz w:val="20"/>
                <w:szCs w:val="20"/>
                <w:color w:val="auto"/>
              </w:rPr>
            </w:pP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EXCOR</w:t>
            </w:r>
          </w:p>
        </w:tc>
        <w:tc>
          <w:tcPr>
            <w:tcW w:w="80" w:type="dxa"/>
            <w:vAlign w:val="bottom"/>
          </w:tcPr>
          <w:p>
            <w:pPr>
              <w:spacing w:after="0"/>
              <w:rPr>
                <w:sz w:val="20"/>
                <w:szCs w:val="20"/>
                <w:color w:val="auto"/>
              </w:rPr>
            </w:pP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20"/>
                <w:szCs w:val="20"/>
                <w:b w:val="1"/>
                <w:bCs w:val="1"/>
                <w:color w:val="auto"/>
              </w:rPr>
              <w:t>OTHER</w:t>
            </w:r>
          </w:p>
        </w:tc>
        <w:tc>
          <w:tcPr>
            <w:tcW w:w="0" w:type="dxa"/>
            <w:vAlign w:val="bottom"/>
          </w:tcPr>
          <w:p>
            <w:pPr>
              <w:spacing w:after="0"/>
              <w:rPr>
                <w:sz w:val="1"/>
                <w:szCs w:val="1"/>
                <w:color w:val="auto"/>
              </w:rPr>
            </w:pPr>
          </w:p>
        </w:tc>
      </w:tr>
      <w:tr>
        <w:trPr>
          <w:trHeight w:val="201"/>
        </w:trPr>
        <w:tc>
          <w:tcPr>
            <w:tcW w:w="98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95,940,014</w:t>
            </w:r>
          </w:p>
        </w:tc>
        <w:tc>
          <w:tcPr>
            <w:tcW w:w="100" w:type="dxa"/>
            <w:vAlign w:val="bottom"/>
          </w:tcPr>
          <w:p>
            <w:pPr>
              <w:spacing w:after="0"/>
              <w:rPr>
                <w:sz w:val="17"/>
                <w:szCs w:val="17"/>
                <w:color w:val="auto"/>
              </w:rPr>
            </w:pPr>
          </w:p>
        </w:tc>
        <w:tc>
          <w:tcPr>
            <w:tcW w:w="13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   35,720,889</w:t>
            </w:r>
          </w:p>
        </w:tc>
        <w:tc>
          <w:tcPr>
            <w:tcW w:w="80" w:type="dxa"/>
            <w:vAlign w:val="bottom"/>
          </w:tcPr>
          <w:p>
            <w:pPr>
              <w:spacing w:after="0"/>
              <w:rPr>
                <w:sz w:val="17"/>
                <w:szCs w:val="17"/>
                <w:color w:val="auto"/>
              </w:rPr>
            </w:pPr>
          </w:p>
        </w:tc>
        <w:tc>
          <w:tcPr>
            <w:tcW w:w="13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   60,219,125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w w:val="99"/>
              </w:rPr>
              <w:t>Gross profit</w:t>
            </w: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41,247,036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18,288,258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22,958,778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8,450,411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4,599,088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3,851,323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NTIC’s share of equity in</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income of joint ventures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4,223,296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2,299,274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1,924,022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NTIC’s dividends received from</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3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joint ventures</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2,997,164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1,624,950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1,372,214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8.</w:t>
            </w:r>
          </w:p>
        </w:tc>
        <w:tc>
          <w:tcPr>
            <w:tcW w:w="21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CORPORATE DEBT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The Company is party to a Credit Agreement (as amended, the Credit Agreement) with JPMorgan Chase Bank, N.A. (JPM), which provides NTIC with a senior secured revolving line of credit (the Credit Facility) of up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million. The Credit Facility includes a $5.0 million sublimit for standby letters of credit. Borrowings of</w:t>
      </w:r>
    </w:p>
    <w:p>
      <w:pPr>
        <w:ind w:right="280"/>
        <w:spacing w:after="0" w:line="243" w:lineRule="auto"/>
        <w:rPr>
          <w:sz w:val="20"/>
          <w:szCs w:val="20"/>
          <w:color w:val="auto"/>
        </w:rPr>
      </w:pPr>
      <w:r>
        <w:rPr>
          <w:rFonts w:ascii="Times New Roman" w:cs="Times New Roman" w:eastAsia="Times New Roman" w:hAnsi="Times New Roman"/>
          <w:sz w:val="20"/>
          <w:szCs w:val="20"/>
          <w:color w:val="auto"/>
        </w:rPr>
        <w:t>$9,329,021 were outstanding under the Credit Facility as of August 31, 2025. Since NTIC was out of compliance with the fixed charge coverage ratio under the Credit Agreement, NTIC obtained a waiver of the non-compliance from JPM. Based on its current business plan and projections for fiscal 2026, NTIC expects to remain in compliance with the covenant during fiscal 2026, although no assurance can be provided that it will do so.</w:t>
      </w:r>
    </w:p>
    <w:p>
      <w:pPr>
        <w:spacing w:after="0" w:line="200"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color w:val="auto"/>
        </w:rPr>
        <w:t>The principal amount under the Credit Facility, together with all accrued unpaid interest and other amounts owing thereunder, if any, will be payable in full on the January 5, 2026 maturity date, unless the Credit Facility is extended or renewed or terminated earlier. The Company is currently in negotiations with the bank to renew the Credit Facility.</w:t>
      </w:r>
    </w:p>
    <w:p>
      <w:pPr>
        <w:spacing w:after="0" w:line="191" w:lineRule="exact"/>
        <w:rPr>
          <w:sz w:val="20"/>
          <w:szCs w:val="20"/>
          <w:color w:val="auto"/>
        </w:rPr>
      </w:pPr>
    </w:p>
    <w:p>
      <w:pPr>
        <w:jc w:val="both"/>
        <w:ind w:right="280"/>
        <w:spacing w:after="0" w:line="247" w:lineRule="auto"/>
        <w:rPr>
          <w:sz w:val="20"/>
          <w:szCs w:val="20"/>
          <w:color w:val="auto"/>
        </w:rPr>
      </w:pPr>
      <w:r>
        <w:rPr>
          <w:rFonts w:ascii="Times New Roman" w:cs="Times New Roman" w:eastAsia="Times New Roman" w:hAnsi="Times New Roman"/>
          <w:sz w:val="20"/>
          <w:szCs w:val="20"/>
          <w:color w:val="auto"/>
        </w:rPr>
        <w:t>Borrowings under the Credit Agreement bear interest at a floating rate, at the option of the Company,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the Company) plus 0.10% per annum.</w:t>
      </w:r>
    </w:p>
    <w:p>
      <w:pPr>
        <w:spacing w:after="0" w:line="2" w:lineRule="exact"/>
        <w:rPr>
          <w:sz w:val="20"/>
          <w:szCs w:val="20"/>
          <w:color w:val="auto"/>
        </w:rPr>
      </w:pPr>
    </w:p>
    <w:p>
      <w:pPr>
        <w:jc w:val="both"/>
        <w:ind w:right="400"/>
        <w:spacing w:after="0" w:line="244" w:lineRule="auto"/>
        <w:rPr>
          <w:sz w:val="20"/>
          <w:szCs w:val="20"/>
          <w:color w:val="auto"/>
        </w:rPr>
      </w:pPr>
      <w:r>
        <w:rPr>
          <w:rFonts w:ascii="Times New Roman" w:cs="Times New Roman" w:eastAsia="Times New Roman" w:hAnsi="Times New Roman"/>
          <w:sz w:val="20"/>
          <w:szCs w:val="20"/>
          <w:color w:val="auto"/>
        </w:rPr>
        <w:t>With respect to any borrowings using an Adjusted SOFR Rate, there is an applicable margin of 2.35% applied per annum. There is no applicable margin with respect to borrowings using a CB Floating Rate. The weighted average interest rate was 6.61% and 7.44% for fiscal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600"/>
          </w:cols>
          <w:pgMar w:left="1440" w:top="1440" w:right="1200" w:bottom="382" w:gutter="0" w:footer="0" w:header="0"/>
        </w:sectPr>
      </w:pPr>
    </w:p>
    <w:bookmarkStart w:id="156" w:name="page157"/>
    <w:bookmarkEnd w:id="156"/>
    <w:p>
      <w:pPr>
        <w:ind w:right="20"/>
        <w:spacing w:after="0" w:line="242" w:lineRule="auto"/>
        <w:rPr>
          <w:sz w:val="20"/>
          <w:szCs w:val="20"/>
          <w:color w:val="auto"/>
        </w:rPr>
      </w:pPr>
      <w:r>
        <w:rPr>
          <w:rFonts w:ascii="Times New Roman" w:cs="Times New Roman" w:eastAsia="Times New Roman" w:hAnsi="Times New Roman"/>
          <w:sz w:val="20"/>
          <w:szCs w:val="20"/>
          <w:color w:val="auto"/>
        </w:rPr>
        <w:t>To secure the Credit Agreement, the Company assigned JPM a continuing security interest in all of its right, title and interest in collateral made up of the assets of the Company. The Credit Agreement contains customary affirmative and negative covenants, including, among other matters, limitations on the Company’s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the Company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Company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214"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9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On each of April 22, 2025 and May 29, 2025, the Company’s wholly owned subsidiary in China, NTIC China, renewed its loan agreements with China Construction Bank Corporation. Each term loan provided NTIC China with a RMB 10,000,000 (USD $1.39 million). The term loans mature in April 2026 and May 2026, respectively, unless extended. The term loan that matures in April 2026 has an annual interest rate of 2.75% with interest due monthly, and the term loan that matures in May 2026 has an annual interest rate of 2.96% with interest due monthly. Both term loans are secured by an office building owned by NTIC China and the loan agreements contain certain financial and other covenants. The Company was in compliance with the covenants as of August 31, 2025. The outstanding balance as of August 31, 2025 for both term loans is a total of USD $2,804,695. The outstanding balance as of August 31, 2024 for both term loans was a total of USD $2,820,835.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August 30, 2025, the Company’s majority owned subsidiary in India, Natur-Tec India, entered into a Foreign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Currency Term Loan Agreement with IDFC FIRST Bank Limited (the Bank). The term loan provides Natur-Tec</w:t>
      </w:r>
    </w:p>
    <w:p>
      <w:pPr>
        <w:spacing w:after="0"/>
        <w:rPr>
          <w:sz w:val="20"/>
          <w:szCs w:val="20"/>
          <w:color w:val="auto"/>
        </w:rPr>
      </w:pPr>
      <w:r>
        <w:rPr>
          <w:rFonts w:ascii="Times New Roman" w:cs="Times New Roman" w:eastAsia="Times New Roman" w:hAnsi="Times New Roman"/>
          <w:sz w:val="20"/>
          <w:szCs w:val="20"/>
          <w:color w:val="auto"/>
        </w:rPr>
        <w:t>India with a facility of INR 500 lakhs (USD $600,000) to finance the purchase of land in Chennai, India. The loan</w:t>
      </w:r>
    </w:p>
    <w:p>
      <w:pPr>
        <w:spacing w:after="0"/>
        <w:rPr>
          <w:sz w:val="20"/>
          <w:szCs w:val="20"/>
          <w:color w:val="auto"/>
        </w:rPr>
      </w:pPr>
      <w:r>
        <w:rPr>
          <w:rFonts w:ascii="Times New Roman" w:cs="Times New Roman" w:eastAsia="Times New Roman" w:hAnsi="Times New Roman"/>
          <w:sz w:val="20"/>
          <w:szCs w:val="20"/>
          <w:color w:val="auto"/>
        </w:rPr>
        <w:t>was disbursed on August 30, 2025 for INR 461 lakhs (USD $522,545) and is repayable in 85 monthly installments</w:t>
      </w:r>
    </w:p>
    <w:p>
      <w:pPr>
        <w:spacing w:after="0"/>
        <w:rPr>
          <w:sz w:val="20"/>
          <w:szCs w:val="20"/>
          <w:color w:val="auto"/>
        </w:rPr>
      </w:pPr>
      <w:r>
        <w:rPr>
          <w:rFonts w:ascii="Times New Roman" w:cs="Times New Roman" w:eastAsia="Times New Roman" w:hAnsi="Times New Roman"/>
          <w:sz w:val="20"/>
          <w:szCs w:val="20"/>
          <w:color w:val="auto"/>
        </w:rPr>
        <w:t>to a US dollar account of USD $7,899 each beginning October 5, 2025 and continuing through September 5, 2032.</w:t>
      </w:r>
    </w:p>
    <w:p>
      <w:pPr>
        <w:spacing w:after="0"/>
        <w:rPr>
          <w:sz w:val="20"/>
          <w:szCs w:val="20"/>
          <w:color w:val="auto"/>
        </w:rPr>
      </w:pPr>
      <w:r>
        <w:rPr>
          <w:rFonts w:ascii="Times New Roman" w:cs="Times New Roman" w:eastAsia="Times New Roman" w:hAnsi="Times New Roman"/>
          <w:sz w:val="20"/>
          <w:szCs w:val="20"/>
          <w:color w:val="auto"/>
        </w:rPr>
        <w:t>Borrowings bear interest at a fixed rate of 6.45% per annum. The loan is secured by a lien over Natur-Tec India’s</w:t>
      </w:r>
    </w:p>
    <w:p>
      <w:pPr>
        <w:spacing w:after="0"/>
        <w:rPr>
          <w:sz w:val="20"/>
          <w:szCs w:val="20"/>
          <w:color w:val="auto"/>
        </w:rPr>
      </w:pPr>
      <w:r>
        <w:rPr>
          <w:rFonts w:ascii="Times New Roman" w:cs="Times New Roman" w:eastAsia="Times New Roman" w:hAnsi="Times New Roman"/>
          <w:sz w:val="20"/>
          <w:szCs w:val="20"/>
          <w:color w:val="auto"/>
        </w:rPr>
        <w:t>cash deposits with the Bank totaling INR 476 lakhs (USD $539,731), and the related land purchase is expected to be</w:t>
      </w:r>
    </w:p>
    <w:p>
      <w:pPr>
        <w:spacing w:after="0"/>
        <w:rPr>
          <w:sz w:val="20"/>
          <w:szCs w:val="20"/>
          <w:color w:val="auto"/>
        </w:rPr>
      </w:pPr>
      <w:r>
        <w:rPr>
          <w:rFonts w:ascii="Times New Roman" w:cs="Times New Roman" w:eastAsia="Times New Roman" w:hAnsi="Times New Roman"/>
          <w:sz w:val="20"/>
          <w:szCs w:val="20"/>
          <w:color w:val="auto"/>
        </w:rPr>
        <w:t>registered in late November 2025. The outstanding balance as of August 31, 2025 was INR 461 lakhs (USD</w:t>
      </w:r>
    </w:p>
    <w:p>
      <w:pPr>
        <w:spacing w:after="0"/>
        <w:rPr>
          <w:sz w:val="20"/>
          <w:szCs w:val="20"/>
          <w:color w:val="auto"/>
        </w:rPr>
      </w:pPr>
      <w:r>
        <w:rPr>
          <w:rFonts w:ascii="Times New Roman" w:cs="Times New Roman" w:eastAsia="Times New Roman" w:hAnsi="Times New Roman"/>
          <w:sz w:val="20"/>
          <w:szCs w:val="20"/>
          <w:color w:val="auto"/>
        </w:rPr>
        <w:t>$522,544$522,545), of which INR 61.7 lakhs (USD $55,561) was classified as current and INR 399.3 lakhs (USD</w:t>
      </w:r>
    </w:p>
    <w:p>
      <w:pPr>
        <w:spacing w:after="0"/>
        <w:rPr>
          <w:sz w:val="20"/>
          <w:szCs w:val="20"/>
          <w:color w:val="auto"/>
        </w:rPr>
      </w:pPr>
      <w:r>
        <w:rPr>
          <w:rFonts w:ascii="Times New Roman" w:cs="Times New Roman" w:eastAsia="Times New Roman" w:hAnsi="Times New Roman"/>
          <w:sz w:val="20"/>
          <w:szCs w:val="20"/>
          <w:color w:val="auto"/>
        </w:rPr>
        <w:t>$466,984) as long-term. The term loan contains customary affirmative and negative covenants applicable to Natur-</w:t>
      </w:r>
    </w:p>
    <w:p>
      <w:pPr>
        <w:spacing w:after="0"/>
        <w:rPr>
          <w:sz w:val="20"/>
          <w:szCs w:val="20"/>
          <w:color w:val="auto"/>
        </w:rPr>
      </w:pPr>
      <w:r>
        <w:rPr>
          <w:rFonts w:ascii="Times New Roman" w:cs="Times New Roman" w:eastAsia="Times New Roman" w:hAnsi="Times New Roman"/>
          <w:sz w:val="20"/>
          <w:szCs w:val="20"/>
          <w:color w:val="auto"/>
        </w:rPr>
        <w:t>Tec India, including, among other matters, restrictions on incurring additional indebtedness, creating liens, or</w:t>
      </w:r>
    </w:p>
    <w:p>
      <w:pPr>
        <w:spacing w:after="0"/>
        <w:rPr>
          <w:sz w:val="20"/>
          <w:szCs w:val="20"/>
          <w:color w:val="auto"/>
        </w:rPr>
      </w:pPr>
      <w:r>
        <w:rPr>
          <w:rFonts w:ascii="Times New Roman" w:cs="Times New Roman" w:eastAsia="Times New Roman" w:hAnsi="Times New Roman"/>
          <w:sz w:val="20"/>
          <w:szCs w:val="20"/>
          <w:color w:val="auto"/>
        </w:rPr>
        <w:t>changing the nature of its business. Natur-Tec India was in compliance with all covenants as of August 31, 2025.</w:t>
      </w:r>
    </w:p>
    <w:p>
      <w:pPr>
        <w:spacing w:after="0" w:line="208" w:lineRule="exact"/>
        <w:rPr>
          <w:sz w:val="20"/>
          <w:szCs w:val="20"/>
          <w:color w:val="auto"/>
        </w:rPr>
      </w:pPr>
    </w:p>
    <w:p>
      <w:pPr>
        <w:ind w:left="1020" w:hanging="1018"/>
        <w:spacing w:after="0"/>
        <w:tabs>
          <w:tab w:leader="none" w:pos="102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w:t>
      </w:r>
    </w:p>
    <w:p>
      <w:pPr>
        <w:spacing w:after="0" w:line="243" w:lineRule="exact"/>
        <w:rPr>
          <w:sz w:val="20"/>
          <w:szCs w:val="20"/>
          <w:color w:val="auto"/>
        </w:rPr>
      </w:pPr>
    </w:p>
    <w:p>
      <w:pPr>
        <w:ind w:right="700"/>
        <w:spacing w:after="0" w:line="305" w:lineRule="auto"/>
        <w:rPr>
          <w:sz w:val="20"/>
          <w:szCs w:val="20"/>
          <w:color w:val="auto"/>
        </w:rPr>
      </w:pPr>
      <w:r>
        <w:rPr>
          <w:rFonts w:ascii="Times New Roman" w:cs="Times New Roman" w:eastAsia="Times New Roman" w:hAnsi="Times New Roman"/>
          <w:sz w:val="19"/>
          <w:szCs w:val="19"/>
          <w:color w:val="auto"/>
        </w:rPr>
        <w:t>During fiscal 2025, the Company’s Board of Directors declared cash dividends on the following dates in the following amounts to holders of record of the Company’s common stock as of the following record dates: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73"/>
        </w:trPr>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Declaration Date</w:t>
            </w:r>
          </w:p>
        </w:tc>
        <w:tc>
          <w:tcPr>
            <w:tcW w:w="160" w:type="dxa"/>
            <w:vAlign w:val="bottom"/>
          </w:tcPr>
          <w:p>
            <w:pPr>
              <w:spacing w:after="0"/>
              <w:rPr>
                <w:sz w:val="23"/>
                <w:szCs w:val="23"/>
                <w:color w:val="auto"/>
              </w:rPr>
            </w:pPr>
          </w:p>
        </w:tc>
        <w:tc>
          <w:tcPr>
            <w:tcW w:w="178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38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Record Date</w:t>
            </w:r>
          </w:p>
        </w:tc>
        <w:tc>
          <w:tcPr>
            <w:tcW w:w="160" w:type="dxa"/>
            <w:vAlign w:val="bottom"/>
          </w:tcPr>
          <w:p>
            <w:pPr>
              <w:spacing w:after="0"/>
              <w:rPr>
                <w:sz w:val="23"/>
                <w:szCs w:val="23"/>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Payable Date</w:t>
            </w:r>
          </w:p>
        </w:tc>
      </w:tr>
      <w:tr>
        <w:trPr>
          <w:trHeight w:val="201"/>
        </w:trPr>
        <w:tc>
          <w:tcPr>
            <w:tcW w:w="220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rPr>
              <w:t>October 16, 2024</w:t>
            </w:r>
          </w:p>
        </w:tc>
        <w:tc>
          <w:tcPr>
            <w:tcW w:w="160" w:type="dxa"/>
            <w:vAlign w:val="bottom"/>
          </w:tcPr>
          <w:p>
            <w:pPr>
              <w:spacing w:after="0"/>
              <w:rPr>
                <w:sz w:val="17"/>
                <w:szCs w:val="17"/>
                <w:color w:val="auto"/>
              </w:rPr>
            </w:pPr>
          </w:p>
        </w:tc>
        <w:tc>
          <w:tcPr>
            <w:tcW w:w="1780" w:type="dxa"/>
            <w:vAlign w:val="bottom"/>
          </w:tcPr>
          <w:p>
            <w:pPr>
              <w:jc w:val="center"/>
              <w:ind w:left="280"/>
              <w:spacing w:after="0" w:line="201" w:lineRule="exact"/>
              <w:rPr>
                <w:sz w:val="20"/>
                <w:szCs w:val="20"/>
                <w:color w:val="auto"/>
              </w:rPr>
            </w:pPr>
            <w:r>
              <w:rPr>
                <w:rFonts w:ascii="Times New Roman" w:cs="Times New Roman" w:eastAsia="Times New Roman" w:hAnsi="Times New Roman"/>
                <w:sz w:val="20"/>
                <w:szCs w:val="20"/>
                <w:color w:val="auto"/>
                <w:w w:val="97"/>
              </w:rPr>
              <w:t>$0.07</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8"/>
              </w:rPr>
              <w:t>October 30, 2024</w:t>
            </w:r>
          </w:p>
        </w:tc>
        <w:tc>
          <w:tcPr>
            <w:tcW w:w="160" w:type="dxa"/>
            <w:vAlign w:val="bottom"/>
          </w:tcPr>
          <w:p>
            <w:pPr>
              <w:spacing w:after="0"/>
              <w:rPr>
                <w:sz w:val="17"/>
                <w:szCs w:val="17"/>
                <w:color w:val="auto"/>
              </w:rPr>
            </w:pPr>
          </w:p>
        </w:tc>
        <w:tc>
          <w:tcPr>
            <w:tcW w:w="218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November 13, 2024</w:t>
            </w:r>
          </w:p>
        </w:tc>
      </w:tr>
      <w:tr>
        <w:trPr>
          <w:trHeight w:val="230"/>
        </w:trPr>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15, 2025</w:t>
            </w:r>
          </w:p>
        </w:tc>
        <w:tc>
          <w:tcPr>
            <w:tcW w:w="1940" w:type="dxa"/>
            <w:vAlign w:val="bottom"/>
            <w:gridSpan w:val="2"/>
          </w:tcPr>
          <w:p>
            <w:pPr>
              <w:jc w:val="center"/>
              <w:ind w:left="440"/>
              <w:spacing w:after="0"/>
              <w:rPr>
                <w:sz w:val="20"/>
                <w:szCs w:val="20"/>
                <w:color w:val="auto"/>
              </w:rPr>
            </w:pPr>
            <w:r>
              <w:rPr>
                <w:rFonts w:ascii="Times New Roman" w:cs="Times New Roman" w:eastAsia="Times New Roman" w:hAnsi="Times New Roman"/>
                <w:sz w:val="20"/>
                <w:szCs w:val="20"/>
                <w:color w:val="auto"/>
                <w:w w:val="97"/>
              </w:rPr>
              <w:t>$0.07</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29, 2025</w:t>
            </w:r>
          </w:p>
        </w:tc>
        <w:tc>
          <w:tcPr>
            <w:tcW w:w="16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12, 2025</w:t>
            </w:r>
          </w:p>
        </w:tc>
      </w:tr>
      <w:tr>
        <w:trPr>
          <w:trHeight w:val="229"/>
        </w:trPr>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16, 2025</w:t>
            </w:r>
          </w:p>
        </w:tc>
        <w:tc>
          <w:tcPr>
            <w:tcW w:w="1940" w:type="dxa"/>
            <w:vAlign w:val="bottom"/>
            <w:gridSpan w:val="2"/>
          </w:tcPr>
          <w:p>
            <w:pPr>
              <w:jc w:val="center"/>
              <w:ind w:left="460"/>
              <w:spacing w:after="0"/>
              <w:rPr>
                <w:sz w:val="20"/>
                <w:szCs w:val="20"/>
                <w:color w:val="auto"/>
              </w:rPr>
            </w:pPr>
            <w:r>
              <w:rPr>
                <w:rFonts w:ascii="Times New Roman" w:cs="Times New Roman" w:eastAsia="Times New Roman" w:hAnsi="Times New Roman"/>
                <w:sz w:val="20"/>
                <w:szCs w:val="20"/>
                <w:color w:val="auto"/>
              </w:rPr>
              <w:t>$0.01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30, 2025</w:t>
            </w:r>
          </w:p>
        </w:tc>
        <w:tc>
          <w:tcPr>
            <w:tcW w:w="16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May 14, 2025</w:t>
            </w:r>
          </w:p>
        </w:tc>
      </w:tr>
      <w:tr>
        <w:trPr>
          <w:trHeight w:val="267"/>
        </w:trPr>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16, 2025</w:t>
            </w:r>
          </w:p>
        </w:tc>
        <w:tc>
          <w:tcPr>
            <w:tcW w:w="1940" w:type="dxa"/>
            <w:vAlign w:val="bottom"/>
            <w:gridSpan w:val="2"/>
          </w:tcPr>
          <w:p>
            <w:pPr>
              <w:jc w:val="center"/>
              <w:ind w:left="460"/>
              <w:spacing w:after="0"/>
              <w:rPr>
                <w:sz w:val="20"/>
                <w:szCs w:val="20"/>
                <w:color w:val="auto"/>
              </w:rPr>
            </w:pPr>
            <w:r>
              <w:rPr>
                <w:rFonts w:ascii="Times New Roman" w:cs="Times New Roman" w:eastAsia="Times New Roman" w:hAnsi="Times New Roman"/>
                <w:sz w:val="20"/>
                <w:szCs w:val="20"/>
                <w:color w:val="auto"/>
              </w:rPr>
              <w:t>$0.01</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30, 2025</w:t>
            </w:r>
          </w:p>
        </w:tc>
        <w:tc>
          <w:tcPr>
            <w:tcW w:w="160" w:type="dxa"/>
            <w:vAlign w:val="bottom"/>
          </w:tcPr>
          <w:p>
            <w:pPr>
              <w:spacing w:after="0"/>
              <w:rPr>
                <w:sz w:val="23"/>
                <w:szCs w:val="2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August 13, 2025</w:t>
            </w:r>
          </w:p>
        </w:tc>
      </w:tr>
      <w:tr>
        <w:trPr>
          <w:trHeight w:val="965"/>
        </w:trPr>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20" w:type="dxa"/>
            <w:vAlign w:val="bottom"/>
            <w:gridSpan w:val="3"/>
          </w:tcPr>
          <w:p>
            <w:pPr>
              <w:jc w:val="right"/>
              <w:ind w:right="2060"/>
              <w:spacing w:after="0"/>
              <w:rPr>
                <w:sz w:val="20"/>
                <w:szCs w:val="20"/>
                <w:color w:val="auto"/>
              </w:rPr>
            </w:pPr>
            <w:r>
              <w:rPr>
                <w:rFonts w:ascii="Times New Roman" w:cs="Times New Roman" w:eastAsia="Times New Roman" w:hAnsi="Times New Roman"/>
                <w:sz w:val="20"/>
                <w:szCs w:val="20"/>
                <w:color w:val="auto"/>
              </w:rPr>
              <w:t>71</w:t>
            </w: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2240" w:h="15840" w:orient="portrait"/>
          <w:cols w:equalWidth="0" w:num="1">
            <w:col w:w="9360"/>
          </w:cols>
          <w:pgMar w:left="1440" w:top="1420" w:right="1440" w:bottom="345"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1440" w:right="1440" w:bottom="382" w:gutter="0" w:footer="0" w:header="0"/>
        </w:sectPr>
      </w:pPr>
    </w:p>
    <w:bookmarkStart w:id="158" w:name="page159"/>
    <w:bookmarkEnd w:id="158"/>
    <w:p>
      <w:pPr>
        <w:ind w:right="720"/>
        <w:spacing w:after="0" w:line="305" w:lineRule="auto"/>
        <w:rPr>
          <w:sz w:val="20"/>
          <w:szCs w:val="20"/>
          <w:color w:val="auto"/>
        </w:rPr>
      </w:pPr>
      <w:r>
        <w:rPr>
          <w:rFonts w:ascii="Times New Roman" w:cs="Times New Roman" w:eastAsia="Times New Roman" w:hAnsi="Times New Roman"/>
          <w:sz w:val="19"/>
          <w:szCs w:val="19"/>
          <w:color w:val="auto"/>
        </w:rPr>
        <w:t>During fiscal 2024, the Company’s Board of Directors declared cash dividends on the following dates in the following amounts to holders of record of the Company’s common stock as of the following record dates: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73"/>
        </w:trPr>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Declaration Date</w:t>
            </w:r>
          </w:p>
        </w:tc>
        <w:tc>
          <w:tcPr>
            <w:tcW w:w="160" w:type="dxa"/>
            <w:vAlign w:val="bottom"/>
          </w:tcPr>
          <w:p>
            <w:pPr>
              <w:spacing w:after="0"/>
              <w:rPr>
                <w:sz w:val="23"/>
                <w:szCs w:val="23"/>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160" w:type="dxa"/>
            <w:vAlign w:val="bottom"/>
          </w:tcPr>
          <w:p>
            <w:pPr>
              <w:spacing w:after="0"/>
              <w:rPr>
                <w:sz w:val="23"/>
                <w:szCs w:val="23"/>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Record Date</w:t>
            </w:r>
          </w:p>
        </w:tc>
        <w:tc>
          <w:tcPr>
            <w:tcW w:w="160" w:type="dxa"/>
            <w:vAlign w:val="bottom"/>
          </w:tcPr>
          <w:p>
            <w:pPr>
              <w:spacing w:after="0"/>
              <w:rPr>
                <w:sz w:val="23"/>
                <w:szCs w:val="23"/>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Payable Date</w:t>
            </w:r>
          </w:p>
        </w:tc>
      </w:tr>
      <w:tr>
        <w:trPr>
          <w:trHeight w:val="201"/>
        </w:trPr>
        <w:tc>
          <w:tcPr>
            <w:tcW w:w="220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rPr>
              <w:t>October 18, 2023</w:t>
            </w:r>
          </w:p>
        </w:tc>
        <w:tc>
          <w:tcPr>
            <w:tcW w:w="160" w:type="dxa"/>
            <w:vAlign w:val="bottom"/>
          </w:tcPr>
          <w:p>
            <w:pPr>
              <w:spacing w:after="0"/>
              <w:rPr>
                <w:sz w:val="17"/>
                <w:szCs w:val="17"/>
                <w:color w:val="auto"/>
              </w:rPr>
            </w:pPr>
          </w:p>
        </w:tc>
        <w:tc>
          <w:tcPr>
            <w:tcW w:w="216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$0.07</w:t>
            </w:r>
          </w:p>
        </w:tc>
        <w:tc>
          <w:tcPr>
            <w:tcW w:w="160" w:type="dxa"/>
            <w:vAlign w:val="bottom"/>
          </w:tcPr>
          <w:p>
            <w:pPr>
              <w:spacing w:after="0"/>
              <w:rPr>
                <w:sz w:val="17"/>
                <w:szCs w:val="17"/>
                <w:color w:val="auto"/>
              </w:rPr>
            </w:pPr>
          </w:p>
        </w:tc>
        <w:tc>
          <w:tcPr>
            <w:tcW w:w="218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rPr>
              <w:t>November 1, 2023</w:t>
            </w:r>
          </w:p>
        </w:tc>
        <w:tc>
          <w:tcPr>
            <w:tcW w:w="160" w:type="dxa"/>
            <w:vAlign w:val="bottom"/>
          </w:tcPr>
          <w:p>
            <w:pPr>
              <w:spacing w:after="0"/>
              <w:rPr>
                <w:sz w:val="17"/>
                <w:szCs w:val="17"/>
                <w:color w:val="auto"/>
              </w:rPr>
            </w:pPr>
          </w:p>
        </w:tc>
        <w:tc>
          <w:tcPr>
            <w:tcW w:w="218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November 15, 2023</w:t>
            </w:r>
          </w:p>
        </w:tc>
      </w:tr>
      <w:tr>
        <w:trPr>
          <w:trHeight w:val="230"/>
        </w:trPr>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17, 2024</w:t>
            </w:r>
          </w:p>
        </w:tc>
        <w:tc>
          <w:tcPr>
            <w:tcW w:w="23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$0.07</w:t>
            </w:r>
          </w:p>
        </w:tc>
        <w:tc>
          <w:tcPr>
            <w:tcW w:w="16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31, 2024</w:t>
            </w:r>
          </w:p>
        </w:tc>
        <w:tc>
          <w:tcPr>
            <w:tcW w:w="16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14, 2024</w:t>
            </w:r>
          </w:p>
        </w:tc>
      </w:tr>
      <w:tr>
        <w:trPr>
          <w:trHeight w:val="230"/>
        </w:trPr>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April 17, 2024</w:t>
            </w:r>
          </w:p>
        </w:tc>
        <w:tc>
          <w:tcPr>
            <w:tcW w:w="23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$0.07</w:t>
            </w:r>
          </w:p>
        </w:tc>
        <w:tc>
          <w:tcPr>
            <w:tcW w:w="16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1, 2024</w:t>
            </w:r>
          </w:p>
        </w:tc>
        <w:tc>
          <w:tcPr>
            <w:tcW w:w="16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May 15, 2024</w:t>
            </w:r>
          </w:p>
        </w:tc>
      </w:tr>
      <w:tr>
        <w:trPr>
          <w:trHeight w:val="267"/>
        </w:trPr>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17, 2024</w:t>
            </w:r>
          </w:p>
        </w:tc>
        <w:tc>
          <w:tcPr>
            <w:tcW w:w="23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7"/>
              </w:rPr>
              <w:t>$0.07</w:t>
            </w:r>
          </w:p>
        </w:tc>
        <w:tc>
          <w:tcPr>
            <w:tcW w:w="160" w:type="dxa"/>
            <w:vAlign w:val="bottom"/>
          </w:tcPr>
          <w:p>
            <w:pPr>
              <w:spacing w:after="0"/>
              <w:rPr>
                <w:sz w:val="23"/>
                <w:szCs w:val="2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July 31, 2024</w:t>
            </w:r>
          </w:p>
        </w:tc>
        <w:tc>
          <w:tcPr>
            <w:tcW w:w="160" w:type="dxa"/>
            <w:vAlign w:val="bottom"/>
          </w:tcPr>
          <w:p>
            <w:pPr>
              <w:spacing w:after="0"/>
              <w:rPr>
                <w:sz w:val="23"/>
                <w:szCs w:val="2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August 14, 2024</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fiscal 2025 and fiscal 2024, the Company repurchased no shares of its common stock.</w:t>
      </w:r>
    </w:p>
    <w:p>
      <w:pPr>
        <w:spacing w:after="0" w:line="24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During fiscal 2025, the Company granted stock options under the Northern Technologies International Corporation 2024 Stock Incentive Plan (the 2024 Plan) to purchase an aggregate of 245,190 shares of its common stock to various employees and directors. The weighted average per share exercise price of the stock options is $13.26. The exercise price of the stock options is equal to the fair market value of the Company’s common stock on the date of grant. During fiscal 2025, stock options to purchase an aggregate of 12,000 shares of common stock were exercised at a weighted average exercise price of $7.43 per share on a net cashless exercise basis, resulting in no net issuance of common stock.</w:t>
      </w:r>
    </w:p>
    <w:p>
      <w:pPr>
        <w:spacing w:after="0" w:line="19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During fiscal 2025, the Company granted an aggregate of 11,313 restricted stock units under the 2024 Plan to various directors. The grant date fair value of the restricted stock units was $13.26 per share, which was equal to the fair market value of the Company’s common stock on the date of grant, September 1, 2024. The restricted stock units generally vest after one year, subject to continued service with the Company on the vesting date.</w:t>
      </w:r>
    </w:p>
    <w:p>
      <w:pPr>
        <w:spacing w:after="0" w:line="195"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During fiscal 2024, the Company granted stock options under the Northern Technologies International Corporation 2019 Stock Incentive Plan (as amended, the 2019 Plan) and the 2024 Plan to purchase an aggregate of 269,844 shares of its common stock to various employees and directors. The weighted average per share exercise price of the stock options is $13.25. The exercise price of the stock options is equal to the fair market value of the Company’s common stock on the date of grant. During fiscal 2024, stock options to purchase an aggregate of 74,309 shares of common stock were exercised at a weighted average exercise price of $9.76 per share, resulting in the net issuance of 36,094 shares of common stock since some of the options were exercised on a net cashless exercise basis.</w:t>
      </w:r>
    </w:p>
    <w:p>
      <w:pPr>
        <w:spacing w:after="0" w:line="20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The Company issued 3,527 and 3,496 shares of common stock on September 1, 2024 and 2023, respectively, under the Northern Technologies International Corporation Employee Stock Purchase Plan (ESPP). The Company issued 3,856 and 3,284 shares of common stock on March 1, 2025 and 2024, respectively, under the ESPP. The ESPP is compensatory for financial reporting purposes. As of August 31, 2025, 47,871 shares of common stock remained available for sale under the ESPP.</w:t>
      </w:r>
    </w:p>
    <w:p>
      <w:pPr>
        <w:spacing w:after="0" w:line="193" w:lineRule="exact"/>
        <w:rPr>
          <w:sz w:val="20"/>
          <w:szCs w:val="20"/>
          <w:color w:val="auto"/>
        </w:rPr>
      </w:pPr>
    </w:p>
    <w:p>
      <w:pPr>
        <w:ind w:left="1020" w:hanging="1017"/>
        <w:spacing w:after="0"/>
        <w:tabs>
          <w:tab w:leader="none" w:pos="102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INCOME PER COMMON SHARE</w:t>
      </w:r>
    </w:p>
    <w:p>
      <w:pPr>
        <w:spacing w:after="0" w:line="24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1420" w:right="1440" w:bottom="382"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color w:val="auto"/>
        </w:rPr>
        <w:t>The following is a reconciliation of the net income per share computation for fiscal 2025 and fiscal 2024:</w:t>
      </w:r>
    </w:p>
    <w:p>
      <w:pPr>
        <w:spacing w:after="0" w:line="239" w:lineRule="exact"/>
        <w:rPr>
          <w:sz w:val="20"/>
          <w:szCs w:val="20"/>
          <w:color w:val="auto"/>
        </w:rPr>
      </w:pPr>
    </w:p>
    <w:tbl>
      <w:tblPr>
        <w:tblLayout w:type="fixed"/>
        <w:tblInd w:w="100" w:type="dxa"/>
        <w:tblCellMar>
          <w:top w:w="0" w:type="dxa"/>
          <w:left w:w="0" w:type="dxa"/>
          <w:bottom w:w="0" w:type="dxa"/>
          <w:right w:w="0" w:type="dxa"/>
        </w:tblCellMar>
      </w:tblPr>
      <w:tr>
        <w:trPr>
          <w:trHeight w:val="246"/>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August 31, 2025</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August 31, 2024</w:t>
            </w: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NTIC</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17,619</w:t>
            </w:r>
          </w:p>
        </w:tc>
        <w:tc>
          <w:tcPr>
            <w:tcW w:w="160" w:type="dxa"/>
            <w:vAlign w:val="bottom"/>
          </w:tcPr>
          <w:p>
            <w:pPr>
              <w:spacing w:after="0"/>
              <w:rPr>
                <w:sz w:val="22"/>
                <w:szCs w:val="22"/>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74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5,409,082</w:t>
            </w:r>
          </w:p>
        </w:tc>
      </w:tr>
      <w:tr>
        <w:trPr>
          <w:trHeight w:val="41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Basic-weighted shares outstanding</w:t>
            </w:r>
          </w:p>
        </w:tc>
        <w:tc>
          <w:tcPr>
            <w:tcW w:w="280" w:type="dxa"/>
            <w:vAlign w:val="bottom"/>
          </w:tcPr>
          <w:p>
            <w:pPr>
              <w:spacing w:after="0"/>
              <w:rPr>
                <w:sz w:val="19"/>
                <w:szCs w:val="19"/>
                <w:color w:val="auto"/>
              </w:rPr>
            </w:pPr>
          </w:p>
        </w:tc>
        <w:tc>
          <w:tcPr>
            <w:tcW w:w="182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9,476,085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9,434,020</w:t>
            </w: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Weighted shares assumed upon exercise of</w:t>
            </w: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67"/>
        </w:trPr>
        <w:tc>
          <w:tcPr>
            <w:tcW w:w="3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stock options</w:t>
            </w:r>
          </w:p>
        </w:tc>
        <w:tc>
          <w:tcPr>
            <w:tcW w:w="2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163,592</w:t>
            </w: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399,430</w:t>
            </w:r>
          </w:p>
        </w:tc>
      </w:tr>
      <w:tr>
        <w:trPr>
          <w:trHeight w:val="252"/>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Diluted – weighted shares outstanding</w:t>
            </w: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9,639,676</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9,833,450</w:t>
            </w:r>
          </w:p>
        </w:tc>
      </w:tr>
      <w:tr>
        <w:trPr>
          <w:trHeight w:val="441"/>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Basic net income per share: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0.00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0.57</w:t>
            </w:r>
          </w:p>
        </w:tc>
      </w:tr>
      <w:tr>
        <w:trPr>
          <w:trHeight w:val="26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Diluted net income per share: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0.00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0.55</w:t>
            </w:r>
          </w:p>
        </w:tc>
      </w:tr>
    </w:tbl>
    <w:p>
      <w:pPr>
        <w:spacing w:after="0" w:line="19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the basic net income per share. When dilutive, stock options are included as equivalents using the treasury stock market method when computing the diluted net income per share. Excluded from the computation of diluted net income per share as of August 31, 2025 were options outstanding to purchase 1,833,783 shares of common stock. Excluded from the computation of diluted net income per share as of August 31, 2024 were options outstanding to purchase 305,514 shares of common stock.</w:t>
      </w:r>
    </w:p>
    <w:p>
      <w:pPr>
        <w:spacing w:after="0" w:line="199" w:lineRule="exact"/>
        <w:rPr>
          <w:sz w:val="20"/>
          <w:szCs w:val="20"/>
          <w:color w:val="auto"/>
        </w:rPr>
      </w:pPr>
    </w:p>
    <w:p>
      <w:pPr>
        <w:ind w:left="1000" w:hanging="1000"/>
        <w:spacing w:after="0"/>
        <w:tabs>
          <w:tab w:leader="none" w:pos="100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Options</w:t>
      </w:r>
    </w:p>
    <w:p>
      <w:pPr>
        <w:spacing w:after="0" w:line="23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Company has four stock-based compensation plans under which stock options or other stock-based awards have been granted: the Northern Technologies International Corporation 2024 Stock Incentive Plan, the Northern Technologies International Corporation Amended and Restated 2019 Stock Incentive Plan, the Northern Technologies International Corporation Amended and Restated 2007 Stock Incentive Plan (the 2007 Plan) and the Northern Technologies International Corporation Employee Stock Purchase Plan. The 2024 Plan replaced the 2019 Plan with respect to future award grants, which had replaced the 2007 Plan with respect to future grants; and, therefore, no further awards may be made under the 2019 Plan or 2007 Plan. The Compensation Committee of the Board of Directors and the Board of Directors administer these plans.</w:t>
      </w:r>
    </w:p>
    <w:p>
      <w:pPr>
        <w:spacing w:after="0" w:line="20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 2024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2024 Plan, the maximum number of shares of the Company’s common stock available for issuance under the 2024 Plan is (i) 800,000 shares of the Company’s common stock; plus (ii) the number of shares of the Company’s common stock remaining available for issuance under the 2019 Plan but not subject to outstanding awards under the 2019 Plan as of January 19, 2024; plus (iii) the number of additional shares of the Company’s common stock subject to awards outstanding under the 2019 Plan as of January 19, 2024 but only to the extent that such outstanding awards are forfeited, cancelled, expire, or otherwise terminate without the issuance of such shares of the Company’s common stock after January 19, 2024. Options granted generally have a term of ten years and become exercisable over a one- or three-year period beginning on the one-year anniversary of the date of grant. Options are granted at per share exercise prices equal to the market value of the Company’s common stock on the date of grant. The Company issues new shares upon the exercise of options. As of August 31, 2025, options to purchase an aggregate of 245,190 shares of the Company’s common stock were outstanding under the 2024 Plan and 700,556 shares of the Company’s common stock remained available for grant under the 2024 Plan. As of August 31, 2025, options to purchase an aggregate of 1,387,415 shares of the Company’s common stock were outstanding under the 2019 Plan, and 290,533 shares of the Company’s common stock were outstanding under the 2007 Plan.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1420" w:right="1440" w:bottom="382" w:gutter="0" w:footer="0" w:header="0"/>
        </w:sectPr>
      </w:pPr>
    </w:p>
    <w:bookmarkStart w:id="160" w:name="page161"/>
    <w:bookmarkEnd w:id="160"/>
    <w:p>
      <w:pPr>
        <w:ind w:right="540"/>
        <w:spacing w:after="0" w:line="244" w:lineRule="auto"/>
        <w:rPr>
          <w:sz w:val="20"/>
          <w:szCs w:val="20"/>
          <w:color w:val="auto"/>
        </w:rPr>
      </w:pPr>
      <w:r>
        <w:rPr>
          <w:rFonts w:ascii="Times New Roman" w:cs="Times New Roman" w:eastAsia="Times New Roman" w:hAnsi="Times New Roman"/>
          <w:sz w:val="20"/>
          <w:szCs w:val="20"/>
          <w:color w:val="auto"/>
        </w:rPr>
        <w:t>The Company granted options to purchase an aggregate of 245,190 and 269,844 shares of its common stock during fiscal 2025 and 2024, respectively. The fair value of option grants is determined at the date of grant using the Black-Scholes option pricing model with the assumptions listed below. The Company recognized compensation expense of $1,211,434 during fiscal 2025 and compensation expense of $1,381,169 during fiscal 2024 related to the options that vested during such time period. As of August 31, 2025, the total compensation cost for non-vested options not yet recognized in the Company’s consolidated statements of operations was $1,010,384. Stock-based compensation expense of $672,054 is expected during fiscal 2026 and $338,330 is expected to be recognized during fiscal 2027, based on outstanding options as of August 31, 2025. Future option grants will impact the compensation expense recognized. Stock-based compensation expense is included in general and administrative expense on the consolidated statements of operations.</w:t>
      </w:r>
    </w:p>
    <w:p>
      <w:pPr>
        <w:spacing w:after="0" w:line="202"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20"/>
          <w:szCs w:val="20"/>
          <w:color w:val="auto"/>
        </w:rPr>
        <w:t>The fair value of each option grant is estimated on the grant date using the Black-Scholes option pricing model with the following assumptions and results for the grants: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tcBorders>
              <w:bottom w:val="single" w:sz="8" w:color="auto"/>
            </w:tcBorders>
            <w:gridSpan w:val="6"/>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Fiscal Year 2025</w:t>
            </w:r>
          </w:p>
        </w:tc>
        <w:tc>
          <w:tcPr>
            <w:tcW w:w="140" w:type="dxa"/>
            <w:vAlign w:val="bottom"/>
          </w:tcPr>
          <w:p>
            <w:pPr>
              <w:spacing w:after="0"/>
              <w:rPr>
                <w:sz w:val="19"/>
                <w:szCs w:val="19"/>
                <w:color w:val="auto"/>
              </w:rPr>
            </w:pPr>
          </w:p>
        </w:tc>
        <w:tc>
          <w:tcPr>
            <w:tcW w:w="14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Fiscal Year 2024</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1"/>
        </w:trPr>
        <w:tc>
          <w:tcPr>
            <w:tcW w:w="4280" w:type="dxa"/>
            <w:vAlign w:val="bottom"/>
          </w:tcPr>
          <w:p>
            <w:pPr>
              <w:ind w:left="1740"/>
              <w:spacing w:after="0" w:line="221" w:lineRule="exact"/>
              <w:rPr>
                <w:sz w:val="20"/>
                <w:szCs w:val="20"/>
                <w:color w:val="auto"/>
              </w:rPr>
            </w:pPr>
            <w:r>
              <w:rPr>
                <w:rFonts w:ascii="Times New Roman" w:cs="Times New Roman" w:eastAsia="Times New Roman" w:hAnsi="Times New Roman"/>
                <w:sz w:val="20"/>
                <w:szCs w:val="20"/>
                <w:color w:val="auto"/>
              </w:rPr>
              <w:t>Dividend yield</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5"/>
          </w:tcPr>
          <w:p>
            <w:pPr>
              <w:jc w:val="right"/>
              <w:ind w:right="305"/>
              <w:spacing w:after="0" w:line="221" w:lineRule="exact"/>
              <w:rPr>
                <w:sz w:val="20"/>
                <w:szCs w:val="20"/>
                <w:color w:val="auto"/>
              </w:rPr>
            </w:pPr>
            <w:r>
              <w:rPr>
                <w:rFonts w:ascii="Times New Roman" w:cs="Times New Roman" w:eastAsia="Times New Roman" w:hAnsi="Times New Roman"/>
                <w:sz w:val="20"/>
                <w:szCs w:val="20"/>
                <w:color w:val="auto"/>
              </w:rPr>
              <w:t>2.15%</w:t>
            </w:r>
          </w:p>
        </w:tc>
        <w:tc>
          <w:tcPr>
            <w:tcW w:w="140" w:type="dxa"/>
            <w:vAlign w:val="bottom"/>
          </w:tcPr>
          <w:p>
            <w:pPr>
              <w:spacing w:after="0"/>
              <w:rPr>
                <w:sz w:val="19"/>
                <w:szCs w:val="19"/>
                <w:color w:val="auto"/>
              </w:rPr>
            </w:pPr>
          </w:p>
        </w:tc>
        <w:tc>
          <w:tcPr>
            <w:tcW w:w="1380" w:type="dxa"/>
            <w:vAlign w:val="bottom"/>
            <w:gridSpan w:val="3"/>
          </w:tcPr>
          <w:p>
            <w:pPr>
              <w:jc w:val="right"/>
              <w:ind w:right="300"/>
              <w:spacing w:after="0" w:line="221" w:lineRule="exact"/>
              <w:rPr>
                <w:sz w:val="20"/>
                <w:szCs w:val="20"/>
                <w:color w:val="auto"/>
              </w:rPr>
            </w:pPr>
            <w:r>
              <w:rPr>
                <w:rFonts w:ascii="Times New Roman" w:cs="Times New Roman" w:eastAsia="Times New Roman" w:hAnsi="Times New Roman"/>
                <w:sz w:val="20"/>
                <w:szCs w:val="20"/>
                <w:color w:val="auto"/>
              </w:rPr>
              <w:t>2.18%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28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Expected volatility</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5"/>
          </w:tcPr>
          <w:p>
            <w:pPr>
              <w:jc w:val="right"/>
              <w:ind w:right="305"/>
              <w:spacing w:after="0"/>
              <w:rPr>
                <w:sz w:val="20"/>
                <w:szCs w:val="20"/>
                <w:color w:val="auto"/>
              </w:rPr>
            </w:pPr>
            <w:r>
              <w:rPr>
                <w:rFonts w:ascii="Times New Roman" w:cs="Times New Roman" w:eastAsia="Times New Roman" w:hAnsi="Times New Roman"/>
                <w:sz w:val="20"/>
                <w:szCs w:val="20"/>
                <w:color w:val="auto"/>
              </w:rPr>
              <w:t>47.4%</w:t>
            </w:r>
          </w:p>
        </w:tc>
        <w:tc>
          <w:tcPr>
            <w:tcW w:w="152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46.1%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0"/>
        </w:trPr>
        <w:tc>
          <w:tcPr>
            <w:tcW w:w="428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Expected life of option</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5"/>
          </w:tcPr>
          <w:p>
            <w:pPr>
              <w:jc w:val="right"/>
              <w:ind w:right="305"/>
              <w:spacing w:after="0"/>
              <w:rPr>
                <w:sz w:val="20"/>
                <w:szCs w:val="20"/>
                <w:color w:val="auto"/>
              </w:rPr>
            </w:pPr>
            <w:r>
              <w:rPr>
                <w:rFonts w:ascii="Times New Roman" w:cs="Times New Roman" w:eastAsia="Times New Roman" w:hAnsi="Times New Roman"/>
                <w:sz w:val="20"/>
                <w:szCs w:val="20"/>
                <w:color w:val="auto"/>
              </w:rPr>
              <w:t>5 years</w:t>
            </w:r>
          </w:p>
        </w:tc>
        <w:tc>
          <w:tcPr>
            <w:tcW w:w="140" w:type="dxa"/>
            <w:vAlign w:val="bottom"/>
          </w:tcPr>
          <w:p>
            <w:pPr>
              <w:spacing w:after="0"/>
              <w:rPr>
                <w:sz w:val="20"/>
                <w:szCs w:val="20"/>
                <w:color w:val="auto"/>
              </w:rPr>
            </w:pPr>
          </w:p>
        </w:tc>
        <w:tc>
          <w:tcPr>
            <w:tcW w:w="140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5 years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7"/>
        </w:trPr>
        <w:tc>
          <w:tcPr>
            <w:tcW w:w="5640" w:type="dxa"/>
            <w:vAlign w:val="bottom"/>
            <w:gridSpan w:val="4"/>
          </w:tcPr>
          <w:p>
            <w:pPr>
              <w:ind w:left="1740"/>
              <w:spacing w:after="0"/>
              <w:rPr>
                <w:sz w:val="20"/>
                <w:szCs w:val="20"/>
                <w:color w:val="auto"/>
              </w:rPr>
            </w:pPr>
            <w:r>
              <w:rPr>
                <w:rFonts w:ascii="Times New Roman" w:cs="Times New Roman" w:eastAsia="Times New Roman" w:hAnsi="Times New Roman"/>
                <w:sz w:val="20"/>
                <w:szCs w:val="20"/>
                <w:color w:val="auto"/>
              </w:rPr>
              <w:t>Weighted average risk-free interest rate</w:t>
            </w:r>
          </w:p>
        </w:tc>
        <w:tc>
          <w:tcPr>
            <w:tcW w:w="1060" w:type="dxa"/>
            <w:vAlign w:val="bottom"/>
            <w:gridSpan w:val="5"/>
          </w:tcPr>
          <w:p>
            <w:pPr>
              <w:jc w:val="right"/>
              <w:ind w:right="305"/>
              <w:spacing w:after="0"/>
              <w:rPr>
                <w:sz w:val="20"/>
                <w:szCs w:val="20"/>
                <w:color w:val="auto"/>
              </w:rPr>
            </w:pPr>
            <w:r>
              <w:rPr>
                <w:rFonts w:ascii="Times New Roman" w:cs="Times New Roman" w:eastAsia="Times New Roman" w:hAnsi="Times New Roman"/>
                <w:sz w:val="20"/>
                <w:szCs w:val="20"/>
                <w:color w:val="auto"/>
              </w:rPr>
              <w:t>3.66%</w:t>
            </w:r>
          </w:p>
        </w:tc>
        <w:tc>
          <w:tcPr>
            <w:tcW w:w="152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4.23%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461"/>
        </w:trPr>
        <w:tc>
          <w:tcPr>
            <w:tcW w:w="56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Stock option activity during the periods indicated was as follows: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9"/>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ind w:right="325"/>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48"/>
        </w:trPr>
        <w:tc>
          <w:tcPr>
            <w:tcW w:w="4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Shares (#)</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right"/>
              <w:ind w:right="145"/>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10"/>
        </w:trPr>
        <w:tc>
          <w:tcPr>
            <w:tcW w:w="4280" w:type="dxa"/>
            <w:vAlign w:val="bottom"/>
          </w:tcPr>
          <w:p>
            <w:pPr>
              <w:ind w:left="100"/>
              <w:spacing w:after="0" w:line="209" w:lineRule="exact"/>
              <w:rPr>
                <w:sz w:val="20"/>
                <w:szCs w:val="20"/>
                <w:color w:val="auto"/>
              </w:rPr>
            </w:pPr>
            <w:r>
              <w:rPr>
                <w:rFonts w:ascii="Times New Roman" w:cs="Times New Roman" w:eastAsia="Times New Roman" w:hAnsi="Times New Roman"/>
                <w:sz w:val="20"/>
                <w:szCs w:val="20"/>
                <w:color w:val="auto"/>
              </w:rPr>
              <w:t>Outstanding as of August 31, 2023</w:t>
            </w:r>
          </w:p>
        </w:tc>
        <w:tc>
          <w:tcPr>
            <w:tcW w:w="1360" w:type="dxa"/>
            <w:vAlign w:val="bottom"/>
            <w:tcBorders>
              <w:top w:val="single" w:sz="8" w:color="auto"/>
            </w:tcBorders>
            <w:gridSpan w:val="3"/>
          </w:tcPr>
          <w:p>
            <w:pPr>
              <w:jc w:val="right"/>
              <w:ind w:right="78"/>
              <w:spacing w:after="0" w:line="209" w:lineRule="exact"/>
              <w:rPr>
                <w:sz w:val="20"/>
                <w:szCs w:val="20"/>
                <w:color w:val="auto"/>
              </w:rPr>
            </w:pPr>
            <w:r>
              <w:rPr>
                <w:rFonts w:ascii="Times New Roman" w:cs="Times New Roman" w:eastAsia="Times New Roman" w:hAnsi="Times New Roman"/>
                <w:sz w:val="20"/>
                <w:szCs w:val="20"/>
                <w:color w:val="auto"/>
              </w:rPr>
              <w:t>1,557,132</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gridSpan w:val="2"/>
          </w:tcPr>
          <w:p>
            <w:pPr>
              <w:jc w:val="right"/>
              <w:ind w:right="205"/>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rPr>
              <w:t>11.08</w:t>
            </w:r>
          </w:p>
        </w:tc>
        <w:tc>
          <w:tcPr>
            <w:tcW w:w="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30"/>
        </w:trPr>
        <w:tc>
          <w:tcPr>
            <w:tcW w:w="42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Options granted</w:t>
            </w:r>
          </w:p>
        </w:tc>
        <w:tc>
          <w:tcPr>
            <w:tcW w:w="1360" w:type="dxa"/>
            <w:vAlign w:val="bottom"/>
            <w:gridSpan w:val="3"/>
          </w:tcPr>
          <w:p>
            <w:pPr>
              <w:jc w:val="right"/>
              <w:ind w:right="78"/>
              <w:spacing w:after="0"/>
              <w:rPr>
                <w:sz w:val="20"/>
                <w:szCs w:val="20"/>
                <w:color w:val="auto"/>
              </w:rPr>
            </w:pPr>
            <w:r>
              <w:rPr>
                <w:rFonts w:ascii="Times New Roman" w:cs="Times New Roman" w:eastAsia="Times New Roman" w:hAnsi="Times New Roman"/>
                <w:sz w:val="20"/>
                <w:szCs w:val="20"/>
                <w:color w:val="auto"/>
              </w:rPr>
              <w:t>269,844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42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Options exercised</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(74,309)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1"/>
        </w:trPr>
        <w:tc>
          <w:tcPr>
            <w:tcW w:w="4280" w:type="dxa"/>
            <w:vAlign w:val="bottom"/>
          </w:tcPr>
          <w:p>
            <w:pPr>
              <w:ind w:left="320"/>
              <w:spacing w:after="0" w:line="211" w:lineRule="exact"/>
              <w:rPr>
                <w:sz w:val="20"/>
                <w:szCs w:val="20"/>
                <w:color w:val="auto"/>
              </w:rPr>
            </w:pPr>
            <w:r>
              <w:rPr>
                <w:rFonts w:ascii="Times New Roman" w:cs="Times New Roman" w:eastAsia="Times New Roman" w:hAnsi="Times New Roman"/>
                <w:sz w:val="20"/>
                <w:szCs w:val="20"/>
                <w:color w:val="auto"/>
              </w:rPr>
              <w:t>Options terminated</w:t>
            </w: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59"/>
        </w:trPr>
        <w:tc>
          <w:tcPr>
            <w:tcW w:w="4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Outstanding as of August 31, 2024</w:t>
            </w:r>
          </w:p>
        </w:tc>
        <w:tc>
          <w:tcPr>
            <w:tcW w:w="1360" w:type="dxa"/>
            <w:vAlign w:val="bottom"/>
            <w:gridSpan w:val="3"/>
          </w:tcPr>
          <w:p>
            <w:pPr>
              <w:jc w:val="right"/>
              <w:ind w:right="78"/>
              <w:spacing w:after="0"/>
              <w:rPr>
                <w:sz w:val="20"/>
                <w:szCs w:val="20"/>
                <w:color w:val="auto"/>
              </w:rPr>
            </w:pPr>
            <w:r>
              <w:rPr>
                <w:rFonts w:ascii="Times New Roman" w:cs="Times New Roman" w:eastAsia="Times New Roman" w:hAnsi="Times New Roman"/>
                <w:sz w:val="20"/>
                <w:szCs w:val="20"/>
                <w:color w:val="auto"/>
              </w:rPr>
              <w:t>1,752,665</w:t>
            </w:r>
          </w:p>
        </w:tc>
        <w:tc>
          <w:tcPr>
            <w:tcW w:w="1060" w:type="dxa"/>
            <w:vAlign w:val="bottom"/>
            <w:gridSpan w:val="5"/>
          </w:tcPr>
          <w:p>
            <w:pPr>
              <w:jc w:val="right"/>
              <w:ind w:right="205"/>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9"/>
        </w:trPr>
        <w:tc>
          <w:tcPr>
            <w:tcW w:w="42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Options granted</w:t>
            </w:r>
          </w:p>
        </w:tc>
        <w:tc>
          <w:tcPr>
            <w:tcW w:w="1360" w:type="dxa"/>
            <w:vAlign w:val="bottom"/>
            <w:gridSpan w:val="3"/>
          </w:tcPr>
          <w:p>
            <w:pPr>
              <w:jc w:val="right"/>
              <w:ind w:right="78"/>
              <w:spacing w:after="0"/>
              <w:rPr>
                <w:sz w:val="20"/>
                <w:szCs w:val="20"/>
                <w:color w:val="auto"/>
              </w:rPr>
            </w:pPr>
            <w:r>
              <w:rPr>
                <w:rFonts w:ascii="Times New Roman" w:cs="Times New Roman" w:eastAsia="Times New Roman" w:hAnsi="Times New Roman"/>
                <w:sz w:val="20"/>
                <w:szCs w:val="20"/>
                <w:color w:val="auto"/>
              </w:rPr>
              <w:t>245,190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2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Options exercised</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(12,000)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7"/>
        </w:trPr>
        <w:tc>
          <w:tcPr>
            <w:tcW w:w="42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Options terminated</w:t>
            </w:r>
          </w:p>
        </w:tc>
        <w:tc>
          <w:tcPr>
            <w:tcW w:w="80" w:type="dxa"/>
            <w:vAlign w:val="bottom"/>
          </w:tcPr>
          <w:p>
            <w:pPr>
              <w:spacing w:after="0"/>
              <w:rPr>
                <w:sz w:val="23"/>
                <w:szCs w:val="2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(62,717)</w:t>
            </w:r>
          </w:p>
        </w:tc>
        <w:tc>
          <w:tcPr>
            <w:tcW w:w="1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7.43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482"/>
        </w:trPr>
        <w:tc>
          <w:tcPr>
            <w:tcW w:w="4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Outstanding as of August 31, 2025</w:t>
            </w:r>
          </w:p>
        </w:tc>
        <w:tc>
          <w:tcPr>
            <w:tcW w:w="80" w:type="dxa"/>
            <w:vAlign w:val="bottom"/>
          </w:tcPr>
          <w:p>
            <w:pPr>
              <w:spacing w:after="0"/>
              <w:rPr>
                <w:sz w:val="24"/>
                <w:szCs w:val="24"/>
                <w:color w:val="auto"/>
              </w:rPr>
            </w:pPr>
          </w:p>
        </w:tc>
        <w:tc>
          <w:tcPr>
            <w:tcW w:w="1280" w:type="dxa"/>
            <w:vAlign w:val="bottom"/>
            <w:tcBorders>
              <w:bottom w:val="single" w:sz="8" w:color="auto"/>
            </w:tcBorders>
            <w:gridSpan w:val="2"/>
          </w:tcPr>
          <w:p>
            <w:pPr>
              <w:jc w:val="right"/>
              <w:ind w:right="78"/>
              <w:spacing w:after="0"/>
              <w:rPr>
                <w:sz w:val="20"/>
                <w:szCs w:val="20"/>
                <w:color w:val="auto"/>
              </w:rPr>
            </w:pPr>
            <w:r>
              <w:rPr>
                <w:rFonts w:ascii="Times New Roman" w:cs="Times New Roman" w:eastAsia="Times New Roman" w:hAnsi="Times New Roman"/>
                <w:sz w:val="20"/>
                <w:szCs w:val="20"/>
                <w:color w:val="auto"/>
              </w:rPr>
              <w:t>1,923,138</w:t>
            </w:r>
          </w:p>
        </w:tc>
        <w:tc>
          <w:tcPr>
            <w:tcW w:w="100" w:type="dxa"/>
            <w:vAlign w:val="bottom"/>
            <w:tcBorders>
              <w:bottom w:val="single" w:sz="8" w:color="auto"/>
            </w:tcBorders>
          </w:tcPr>
          <w:p>
            <w:pPr>
              <w:spacing w:after="0"/>
              <w:rPr>
                <w:sz w:val="24"/>
                <w:szCs w:val="24"/>
                <w:color w:val="auto"/>
              </w:rPr>
            </w:pPr>
          </w:p>
        </w:tc>
        <w:tc>
          <w:tcPr>
            <w:tcW w:w="380" w:type="dxa"/>
            <w:vAlign w:val="bottom"/>
            <w:gridSpan w:val="3"/>
          </w:tcPr>
          <w:p>
            <w:pPr>
              <w:spacing w:after="0"/>
              <w:rPr>
                <w:sz w:val="24"/>
                <w:szCs w:val="24"/>
                <w:color w:val="auto"/>
              </w:rPr>
            </w:pPr>
          </w:p>
        </w:tc>
        <w:tc>
          <w:tcPr>
            <w:tcW w:w="5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11.86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auto"/>
              </w:rPr>
              <w:t>62,547</w:t>
            </w:r>
          </w:p>
        </w:tc>
      </w:tr>
      <w:tr>
        <w:trPr>
          <w:trHeight w:val="490"/>
        </w:trPr>
        <w:tc>
          <w:tcPr>
            <w:tcW w:w="4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Exercisable as of August 31, 2025</w:t>
            </w:r>
          </w:p>
        </w:tc>
        <w:tc>
          <w:tcPr>
            <w:tcW w:w="80" w:type="dxa"/>
            <w:vAlign w:val="bottom"/>
          </w:tcPr>
          <w:p>
            <w:pPr>
              <w:spacing w:after="0"/>
              <w:rPr>
                <w:sz w:val="24"/>
                <w:szCs w:val="24"/>
                <w:color w:val="auto"/>
              </w:rPr>
            </w:pPr>
          </w:p>
        </w:tc>
        <w:tc>
          <w:tcPr>
            <w:tcW w:w="1280" w:type="dxa"/>
            <w:vAlign w:val="bottom"/>
            <w:tcBorders>
              <w:bottom w:val="single" w:sz="8" w:color="auto"/>
            </w:tcBorders>
            <w:gridSpan w:val="2"/>
          </w:tcPr>
          <w:p>
            <w:pPr>
              <w:jc w:val="right"/>
              <w:ind w:right="78"/>
              <w:spacing w:after="0"/>
              <w:rPr>
                <w:sz w:val="20"/>
                <w:szCs w:val="20"/>
                <w:color w:val="auto"/>
              </w:rPr>
            </w:pPr>
            <w:r>
              <w:rPr>
                <w:rFonts w:ascii="Times New Roman" w:cs="Times New Roman" w:eastAsia="Times New Roman" w:hAnsi="Times New Roman"/>
                <w:sz w:val="20"/>
                <w:szCs w:val="20"/>
                <w:color w:val="auto"/>
              </w:rPr>
              <w:t>1,476,274</w:t>
            </w:r>
          </w:p>
        </w:tc>
        <w:tc>
          <w:tcPr>
            <w:tcW w:w="100" w:type="dxa"/>
            <w:vAlign w:val="bottom"/>
            <w:tcBorders>
              <w:bottom w:val="single" w:sz="8" w:color="auto"/>
            </w:tcBorders>
          </w:tcPr>
          <w:p>
            <w:pPr>
              <w:spacing w:after="0"/>
              <w:rPr>
                <w:sz w:val="24"/>
                <w:szCs w:val="24"/>
                <w:color w:val="auto"/>
              </w:rPr>
            </w:pPr>
          </w:p>
        </w:tc>
        <w:tc>
          <w:tcPr>
            <w:tcW w:w="380" w:type="dxa"/>
            <w:vAlign w:val="bottom"/>
            <w:gridSpan w:val="3"/>
          </w:tcPr>
          <w:p>
            <w:pPr>
              <w:spacing w:after="0"/>
              <w:rPr>
                <w:sz w:val="24"/>
                <w:szCs w:val="24"/>
                <w:color w:val="auto"/>
              </w:rPr>
            </w:pPr>
          </w:p>
        </w:tc>
        <w:tc>
          <w:tcPr>
            <w:tcW w:w="5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11.52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auto"/>
              </w:rPr>
              <w:t>62,547</w:t>
            </w:r>
          </w:p>
        </w:tc>
      </w:tr>
    </w:tbl>
    <w:p>
      <w:pPr>
        <w:spacing w:after="0" w:line="221" w:lineRule="exact"/>
        <w:rPr>
          <w:sz w:val="20"/>
          <w:szCs w:val="20"/>
          <w:color w:val="auto"/>
        </w:rPr>
      </w:pPr>
    </w:p>
    <w:p>
      <w:pPr>
        <w:jc w:val="both"/>
        <w:ind w:right="480"/>
        <w:spacing w:after="0" w:line="259" w:lineRule="auto"/>
        <w:rPr>
          <w:sz w:val="20"/>
          <w:szCs w:val="20"/>
          <w:color w:val="auto"/>
        </w:rPr>
      </w:pPr>
      <w:r>
        <w:rPr>
          <w:rFonts w:ascii="Times New Roman" w:cs="Times New Roman" w:eastAsia="Times New Roman" w:hAnsi="Times New Roman"/>
          <w:sz w:val="20"/>
          <w:szCs w:val="20"/>
          <w:color w:val="auto"/>
        </w:rPr>
        <w:t>The weighted average per share fair value of options granted during fiscal 2025 and fiscal 2024 was $5.07 and $5.04, respectively. The weighted average remaining contractual life of the options outstanding as of August 31, 2025 and 2024 was 5.74 years and 6.03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840"/>
          </w:cols>
          <w:pgMar w:left="1440" w:top="1420" w:right="960" w:bottom="382"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0"/>
          <w:szCs w:val="20"/>
          <w:i w:val="1"/>
          <w:iCs w:val="1"/>
          <w:color w:val="auto"/>
        </w:rPr>
        <w:t>Restricted Stock Units</w:t>
      </w:r>
    </w:p>
    <w:p>
      <w:pPr>
        <w:spacing w:after="0" w:line="22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Restricted stock units were granted under the 2024 Plan on September 1, 2024 to certain non-employee directors during the year ended August 31, 2025 and vest in full on the one-year anniversary of the date of grant. There were no restricted stock units granted or outstanding during the fiscal year ended August 31, 2024. A summary of restricted stock unit activity for the year ended August 31, 2025 is as follows:</w:t>
      </w:r>
    </w:p>
    <w:p>
      <w:pPr>
        <w:spacing w:after="0" w:line="18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08"/>
        </w:trPr>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7"/>
        </w:trPr>
        <w:tc>
          <w:tcPr>
            <w:tcW w:w="4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Outstanding as of August 31, 2024</w:t>
            </w: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01"/>
        </w:trPr>
        <w:tc>
          <w:tcPr>
            <w:tcW w:w="4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247"/>
              <w:spacing w:after="0" w:line="201"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Granted</w:t>
            </w:r>
          </w:p>
        </w:tc>
        <w:tc>
          <w:tcPr>
            <w:tcW w:w="1440" w:type="dxa"/>
            <w:vAlign w:val="bottom"/>
            <w:gridSpan w:val="2"/>
          </w:tcPr>
          <w:p>
            <w:pPr>
              <w:jc w:val="right"/>
              <w:ind w:right="153"/>
              <w:spacing w:after="0"/>
              <w:rPr>
                <w:sz w:val="20"/>
                <w:szCs w:val="20"/>
                <w:color w:val="auto"/>
              </w:rPr>
            </w:pPr>
            <w:r>
              <w:rPr>
                <w:rFonts w:ascii="Times New Roman" w:cs="Times New Roman" w:eastAsia="Times New Roman" w:hAnsi="Times New Roman"/>
                <w:sz w:val="20"/>
                <w:szCs w:val="20"/>
                <w:color w:val="auto"/>
              </w:rPr>
              <w:t>11,313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220"/>
              <w:spacing w:after="0" w:line="211" w:lineRule="exact"/>
              <w:rPr>
                <w:sz w:val="20"/>
                <w:szCs w:val="20"/>
                <w:color w:val="auto"/>
              </w:rPr>
            </w:pPr>
            <w:r>
              <w:rPr>
                <w:rFonts w:ascii="Times New Roman" w:cs="Times New Roman" w:eastAsia="Times New Roman" w:hAnsi="Times New Roman"/>
                <w:sz w:val="20"/>
                <w:szCs w:val="20"/>
                <w:color w:val="auto"/>
              </w:rPr>
              <w:t>Vested/Settled</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7"/>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August 31, 2025</w:t>
            </w:r>
          </w:p>
        </w:tc>
        <w:tc>
          <w:tcPr>
            <w:tcW w:w="80" w:type="dxa"/>
            <w:vAlign w:val="bottom"/>
          </w:tcPr>
          <w:p>
            <w:pPr>
              <w:spacing w:after="0"/>
              <w:rPr>
                <w:sz w:val="24"/>
                <w:szCs w:val="24"/>
                <w:color w:val="auto"/>
              </w:rPr>
            </w:pPr>
          </w:p>
        </w:tc>
        <w:tc>
          <w:tcPr>
            <w:tcW w:w="1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20"/>
                <w:szCs w:val="20"/>
                <w:color w:val="auto"/>
              </w:rPr>
              <w:t>11,313</w:t>
            </w:r>
          </w:p>
        </w:tc>
        <w:tc>
          <w:tcPr>
            <w:tcW w:w="8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86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Restricted stock units are valued using the closing stock price on the grant date. The Company recognizes the grant date fair value of the restricted stock units over the vesting term, or one year. For the year ended August 31, 2025, the Company recognized $148,652 in stock-based compensation expense. As of August 31, 2025, there was no unrecognized stock-based compensation expense relating to outstanding restricted stock units.</w:t>
      </w:r>
    </w:p>
    <w:p>
      <w:pPr>
        <w:spacing w:after="0" w:line="180" w:lineRule="exact"/>
        <w:rPr>
          <w:sz w:val="20"/>
          <w:szCs w:val="20"/>
          <w:color w:val="auto"/>
        </w:rPr>
      </w:pPr>
    </w:p>
    <w:p>
      <w:pPr>
        <w:ind w:left="1000" w:hanging="999"/>
        <w:spacing w:after="0"/>
        <w:tabs>
          <w:tab w:leader="none" w:pos="100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AND GEOGRAPHIC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Information</w:t>
      </w:r>
    </w:p>
    <w:p>
      <w:pPr>
        <w:spacing w:after="0" w:line="237" w:lineRule="exact"/>
        <w:rPr>
          <w:sz w:val="20"/>
          <w:szCs w:val="20"/>
          <w:color w:val="auto"/>
        </w:rPr>
      </w:pPr>
    </w:p>
    <w:p>
      <w:pPr>
        <w:ind w:right="40" w:firstLine="1"/>
        <w:spacing w:after="0" w:line="231" w:lineRule="auto"/>
        <w:rPr>
          <w:sz w:val="20"/>
          <w:szCs w:val="20"/>
          <w:color w:val="auto"/>
        </w:rPr>
      </w:pPr>
      <w:r>
        <w:rPr>
          <w:rFonts w:ascii="Times New Roman" w:cs="Times New Roman" w:eastAsia="Times New Roman" w:hAnsi="Times New Roman"/>
          <w:sz w:val="20"/>
          <w:szCs w:val="20"/>
          <w:color w:val="auto"/>
        </w:rPr>
        <w:t>The Company’s chief operating decision maker (CODM) is its Chief Executive Officer. The Company’s business is organized into two reportable segments: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The Company has been selling its proprietary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rust and corrosion inhibiting products and services to the automotive, general industrial, mechanical, mining, agricultural, and retail consumer markets for over 50 years and, more recently, has also expanded into the oil and gas industry. The Company also sells a portfolio of proprietary bio -based and compostable (fully biodegradable) polymer resins and finished products under the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brand.</w:t>
      </w:r>
    </w:p>
    <w:p>
      <w:pPr>
        <w:spacing w:after="0" w:line="126"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color w:val="auto"/>
        </w:rPr>
        <w:t>The accounting policies of the segments are the same as those described in the summary of significant accounting policies. There are no intersegment sales and no operating segments have been aggregated.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the Company’s net sales by segment:</w:t>
      </w:r>
    </w:p>
    <w:p>
      <w:pPr>
        <w:spacing w:after="0" w:line="238" w:lineRule="exact"/>
        <w:rPr>
          <w:sz w:val="20"/>
          <w:szCs w:val="20"/>
          <w:color w:val="auto"/>
        </w:rPr>
      </w:pPr>
    </w:p>
    <w:tbl>
      <w:tblPr>
        <w:tblLayout w:type="fixed"/>
        <w:tblInd w:w="1340" w:type="dxa"/>
        <w:tblCellMar>
          <w:top w:w="0" w:type="dxa"/>
          <w:left w:w="0" w:type="dxa"/>
          <w:bottom w:w="0" w:type="dxa"/>
          <w:right w:w="0" w:type="dxa"/>
        </w:tblCellMar>
      </w:tblPr>
      <w:tr>
        <w:trPr>
          <w:trHeight w:val="246"/>
        </w:trPr>
        <w:tc>
          <w:tcPr>
            <w:tcW w:w="2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net sales</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0" w:type="dxa"/>
            <w:vAlign w:val="bottom"/>
          </w:tcPr>
          <w:p>
            <w:pPr>
              <w:spacing w:after="0"/>
              <w:rPr>
                <w:sz w:val="1"/>
                <w:szCs w:val="1"/>
                <w:color w:val="auto"/>
              </w:rPr>
            </w:pPr>
          </w:p>
        </w:tc>
      </w:tr>
      <w:tr>
        <w:trPr>
          <w:trHeight w:val="228"/>
        </w:trPr>
        <w:tc>
          <w:tcPr>
            <w:tcW w:w="2660" w:type="dxa"/>
            <w:vAlign w:val="bottom"/>
            <w:vMerge w:val="continue"/>
          </w:tcPr>
          <w:p>
            <w:pPr>
              <w:spacing w:after="0"/>
              <w:rPr>
                <w:sz w:val="19"/>
                <w:szCs w:val="19"/>
                <w:color w:val="auto"/>
              </w:rPr>
            </w:pPr>
          </w:p>
        </w:tc>
        <w:tc>
          <w:tcPr>
            <w:tcW w:w="2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ind w:left="80"/>
              <w:spacing w:after="0" w:line="228" w:lineRule="exact"/>
              <w:rPr>
                <w:sz w:val="20"/>
                <w:szCs w:val="20"/>
                <w:color w:val="auto"/>
              </w:rPr>
            </w:pPr>
            <w:r>
              <w:rPr>
                <w:rFonts w:ascii="Times New Roman" w:cs="Times New Roman" w:eastAsia="Times New Roman" w:hAnsi="Times New Roman"/>
                <w:sz w:val="20"/>
                <w:szCs w:val="20"/>
                <w:color w:val="auto"/>
              </w:rPr>
              <w:t>62,488,397</w:t>
            </w:r>
          </w:p>
        </w:tc>
        <w:tc>
          <w:tcPr>
            <w:tcW w:w="160" w:type="dxa"/>
            <w:vAlign w:val="bottom"/>
          </w:tcPr>
          <w:p>
            <w:pPr>
              <w:spacing w:after="0"/>
              <w:rPr>
                <w:sz w:val="19"/>
                <w:szCs w:val="19"/>
                <w:color w:val="auto"/>
              </w:rPr>
            </w:pPr>
          </w:p>
        </w:tc>
        <w:tc>
          <w:tcPr>
            <w:tcW w:w="2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2"/>
              <w:spacing w:after="0" w:line="228" w:lineRule="exact"/>
              <w:rPr>
                <w:sz w:val="20"/>
                <w:szCs w:val="20"/>
                <w:color w:val="auto"/>
              </w:rPr>
            </w:pPr>
            <w:r>
              <w:rPr>
                <w:rFonts w:ascii="Times New Roman" w:cs="Times New Roman" w:eastAsia="Times New Roman" w:hAnsi="Times New Roman"/>
                <w:sz w:val="20"/>
                <w:szCs w:val="20"/>
                <w:color w:val="auto"/>
              </w:rPr>
              <w:t>63,092,575</w:t>
            </w:r>
          </w:p>
        </w:tc>
        <w:tc>
          <w:tcPr>
            <w:tcW w:w="0" w:type="dxa"/>
            <w:vAlign w:val="bottom"/>
          </w:tcPr>
          <w:p>
            <w:pPr>
              <w:spacing w:after="0"/>
              <w:rPr>
                <w:sz w:val="1"/>
                <w:szCs w:val="1"/>
                <w:color w:val="auto"/>
              </w:rPr>
            </w:pPr>
          </w:p>
        </w:tc>
      </w:tr>
      <w:tr>
        <w:trPr>
          <w:trHeight w:val="269"/>
        </w:trPr>
        <w:tc>
          <w:tcPr>
            <w:tcW w:w="2660" w:type="dxa"/>
            <w:vAlign w:val="bottom"/>
          </w:tcPr>
          <w:p>
            <w:pPr>
              <w:spacing w:after="0" w:line="269" w:lineRule="exact"/>
              <w:rPr>
                <w:sz w:val="20"/>
                <w:szCs w:val="20"/>
                <w:color w:val="auto"/>
              </w:rPr>
            </w:pPr>
            <w:r>
              <w:rPr>
                <w:rFonts w:ascii="Times New Roman" w:cs="Times New Roman" w:eastAsia="Times New Roman" w:hAnsi="Times New Roman"/>
                <w:sz w:val="20"/>
                <w:szCs w:val="20"/>
                <w:color w:val="auto"/>
              </w:rPr>
              <w:t>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net sales</w:t>
            </w: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21,746,077</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rPr>
              <w:t>21,966,942</w:t>
            </w:r>
          </w:p>
        </w:tc>
        <w:tc>
          <w:tcPr>
            <w:tcW w:w="0" w:type="dxa"/>
            <w:vAlign w:val="bottom"/>
          </w:tcPr>
          <w:p>
            <w:pPr>
              <w:spacing w:after="0"/>
              <w:rPr>
                <w:sz w:val="1"/>
                <w:szCs w:val="1"/>
                <w:color w:val="auto"/>
              </w:rPr>
            </w:pPr>
          </w:p>
        </w:tc>
      </w:tr>
      <w:tr>
        <w:trPr>
          <w:trHeight w:val="288"/>
        </w:trPr>
        <w:tc>
          <w:tcPr>
            <w:tcW w:w="26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Total net sales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84,234,474</w:t>
            </w:r>
          </w:p>
        </w:tc>
        <w:tc>
          <w:tcPr>
            <w:tcW w:w="1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rPr>
              <w:t>85,059,517</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Company’s cost of goods sold by segment:</w:t>
      </w:r>
    </w:p>
    <w:p>
      <w:pPr>
        <w:spacing w:after="0" w:line="230" w:lineRule="exact"/>
        <w:rPr>
          <w:sz w:val="20"/>
          <w:szCs w:val="20"/>
          <w:color w:val="auto"/>
        </w:rPr>
      </w:pPr>
    </w:p>
    <w:tbl>
      <w:tblPr>
        <w:tblLayout w:type="fixed"/>
        <w:tblInd w:w="1340" w:type="dxa"/>
        <w:tblCellMar>
          <w:top w:w="0" w:type="dxa"/>
          <w:left w:w="0" w:type="dxa"/>
          <w:bottom w:w="0" w:type="dxa"/>
          <w:right w:w="0" w:type="dxa"/>
        </w:tblCellMar>
      </w:tblPr>
      <w:tr>
        <w:trPr>
          <w:trHeight w:val="246"/>
        </w:trPr>
        <w:tc>
          <w:tcPr>
            <w:tcW w:w="2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Direct cost of goods sold</w:t>
            </w:r>
          </w:p>
        </w:tc>
        <w:tc>
          <w:tcPr>
            <w:tcW w:w="15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0" w:type="dxa"/>
            <w:vAlign w:val="bottom"/>
          </w:tcPr>
          <w:p>
            <w:pPr>
              <w:spacing w:after="0"/>
              <w:rPr>
                <w:sz w:val="1"/>
                <w:szCs w:val="1"/>
                <w:color w:val="auto"/>
              </w:rPr>
            </w:pPr>
          </w:p>
        </w:tc>
      </w:tr>
      <w:tr>
        <w:trPr>
          <w:trHeight w:val="213"/>
        </w:trPr>
        <w:tc>
          <w:tcPr>
            <w:tcW w:w="2640" w:type="dxa"/>
            <w:vAlign w:val="bottom"/>
            <w:vMerge w:val="continue"/>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$ 35,535,306</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vMerge w:val="restart"/>
          </w:tcPr>
          <w:p>
            <w:pPr>
              <w:jc w:val="right"/>
              <w:ind w:right="102"/>
              <w:spacing w:after="0"/>
              <w:rPr>
                <w:sz w:val="20"/>
                <w:szCs w:val="20"/>
                <w:color w:val="auto"/>
              </w:rPr>
            </w:pPr>
            <w:r>
              <w:rPr>
                <w:rFonts w:ascii="Times New Roman" w:cs="Times New Roman" w:eastAsia="Times New Roman" w:hAnsi="Times New Roman"/>
                <w:sz w:val="20"/>
                <w:szCs w:val="20"/>
                <w:color w:val="auto"/>
              </w:rPr>
              <w:t>33,623,834</w:t>
            </w:r>
          </w:p>
        </w:tc>
        <w:tc>
          <w:tcPr>
            <w:tcW w:w="0" w:type="dxa"/>
            <w:vAlign w:val="bottom"/>
          </w:tcPr>
          <w:p>
            <w:pPr>
              <w:spacing w:after="0"/>
              <w:rPr>
                <w:sz w:val="1"/>
                <w:szCs w:val="1"/>
                <w:color w:val="auto"/>
              </w:rPr>
            </w:pPr>
          </w:p>
        </w:tc>
      </w:tr>
      <w:tr>
        <w:trPr>
          <w:trHeight w:val="241"/>
        </w:trPr>
        <w:tc>
          <w:tcPr>
            <w:tcW w:w="2640" w:type="dxa"/>
            <w:vAlign w:val="bottom"/>
          </w:tcPr>
          <w:p>
            <w:pPr>
              <w:ind w:left="100"/>
              <w:spacing w:after="0" w:line="241" w:lineRule="exact"/>
              <w:rPr>
                <w:sz w:val="20"/>
                <w:szCs w:val="20"/>
                <w:color w:val="auto"/>
              </w:rPr>
            </w:pPr>
            <w:r>
              <w:rPr>
                <w:rFonts w:ascii="Times New Roman" w:cs="Times New Roman" w:eastAsia="Times New Roman" w:hAnsi="Times New Roman"/>
                <w:sz w:val="20"/>
                <w:szCs w:val="20"/>
                <w:color w:val="auto"/>
              </w:rPr>
              <w:t>ZERUST</w:t>
            </w:r>
            <w:r>
              <w:rPr>
                <w:rFonts w:ascii="Times New Roman" w:cs="Times New Roman" w:eastAsia="Times New Roman" w:hAnsi="Times New Roman"/>
                <w:sz w:val="25"/>
                <w:szCs w:val="25"/>
                <w:color w:val="auto"/>
                <w:vertAlign w:val="superscript"/>
              </w:rPr>
              <w:t>®</w:t>
            </w:r>
          </w:p>
        </w:tc>
        <w:tc>
          <w:tcPr>
            <w:tcW w:w="154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40" w:type="dxa"/>
            <w:vAlign w:val="bottom"/>
          </w:tcPr>
          <w:p>
            <w:pPr>
              <w:ind w:left="100"/>
              <w:spacing w:after="0" w:line="240" w:lineRule="exact"/>
              <w:rPr>
                <w:sz w:val="20"/>
                <w:szCs w:val="20"/>
                <w:color w:val="auto"/>
              </w:rPr>
            </w:pPr>
            <w:r>
              <w:rPr>
                <w:rFonts w:ascii="Times New Roman" w:cs="Times New Roman" w:eastAsia="Times New Roman" w:hAnsi="Times New Roman"/>
                <w:sz w:val="20"/>
                <w:szCs w:val="20"/>
                <w:color w:val="auto"/>
              </w:rPr>
              <w:t>Natur-Tec</w:t>
            </w:r>
            <w:r>
              <w:rPr>
                <w:rFonts w:ascii="Times New Roman" w:cs="Times New Roman" w:eastAsia="Times New Roman" w:hAnsi="Times New Roman"/>
                <w:sz w:val="25"/>
                <w:szCs w:val="25"/>
                <w:color w:val="auto"/>
                <w:vertAlign w:val="superscript"/>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13,994,302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14,148,145</w:t>
            </w:r>
          </w:p>
        </w:tc>
        <w:tc>
          <w:tcPr>
            <w:tcW w:w="0" w:type="dxa"/>
            <w:vAlign w:val="bottom"/>
          </w:tcPr>
          <w:p>
            <w:pPr>
              <w:spacing w:after="0"/>
              <w:rPr>
                <w:sz w:val="1"/>
                <w:szCs w:val="1"/>
                <w:color w:val="auto"/>
              </w:rPr>
            </w:pPr>
          </w:p>
        </w:tc>
      </w:tr>
      <w:tr>
        <w:trPr>
          <w:trHeight w:val="268"/>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Indirect cost of goods sold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3,028,311</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3,501,176</w:t>
            </w:r>
          </w:p>
        </w:tc>
        <w:tc>
          <w:tcPr>
            <w:tcW w:w="0" w:type="dxa"/>
            <w:vAlign w:val="bottom"/>
          </w:tcPr>
          <w:p>
            <w:pPr>
              <w:spacing w:after="0"/>
              <w:rPr>
                <w:sz w:val="1"/>
                <w:szCs w:val="1"/>
                <w:color w:val="auto"/>
              </w:rPr>
            </w:pPr>
          </w:p>
        </w:tc>
      </w:tr>
      <w:tr>
        <w:trPr>
          <w:trHeight w:val="252"/>
        </w:trPr>
        <w:tc>
          <w:tcPr>
            <w:tcW w:w="2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net cost of goods sold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$52,557,919</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51,273,155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1422" w:right="1440" w:bottom="382"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color w:val="auto"/>
        </w:rPr>
        <w:t>The following table sets forth the Company’s gross profit by segment:</w:t>
      </w:r>
    </w:p>
    <w:p>
      <w:pPr>
        <w:spacing w:after="0" w:line="229" w:lineRule="exact"/>
        <w:rPr>
          <w:sz w:val="20"/>
          <w:szCs w:val="20"/>
          <w:color w:val="auto"/>
        </w:rPr>
      </w:pPr>
    </w:p>
    <w:tbl>
      <w:tblPr>
        <w:tblLayout w:type="fixed"/>
        <w:tblInd w:w="1560" w:type="dxa"/>
        <w:tblCellMar>
          <w:top w:w="0" w:type="dxa"/>
          <w:left w:w="0" w:type="dxa"/>
          <w:bottom w:w="0" w:type="dxa"/>
          <w:right w:w="0" w:type="dxa"/>
        </w:tblCellMar>
      </w:tblPr>
      <w:tr>
        <w:trPr>
          <w:trHeight w:val="240"/>
        </w:trPr>
        <w:tc>
          <w:tcPr>
            <w:tcW w:w="2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gross profit</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Fiscal 2025</w:t>
            </w: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b w:val="1"/>
                <w:bCs w:val="1"/>
                <w:color w:val="auto"/>
              </w:rPr>
              <w:t>Fiscal 2024</w:t>
            </w:r>
          </w:p>
        </w:tc>
        <w:tc>
          <w:tcPr>
            <w:tcW w:w="0" w:type="dxa"/>
            <w:vAlign w:val="bottom"/>
          </w:tcPr>
          <w:p>
            <w:pPr>
              <w:spacing w:after="0"/>
              <w:rPr>
                <w:sz w:val="1"/>
                <w:szCs w:val="1"/>
                <w:color w:val="auto"/>
              </w:rPr>
            </w:pPr>
          </w:p>
        </w:tc>
      </w:tr>
      <w:tr>
        <w:trPr>
          <w:trHeight w:val="201"/>
        </w:trPr>
        <w:tc>
          <w:tcPr>
            <w:tcW w:w="2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right"/>
              <w:ind w:right="20"/>
              <w:spacing w:after="0" w:line="201" w:lineRule="exact"/>
              <w:rPr>
                <w:sz w:val="20"/>
                <w:szCs w:val="20"/>
                <w:color w:val="auto"/>
              </w:rPr>
            </w:pPr>
            <w:r>
              <w:rPr>
                <w:rFonts w:ascii="Times New Roman" w:cs="Times New Roman" w:eastAsia="Times New Roman" w:hAnsi="Times New Roman"/>
                <w:sz w:val="20"/>
                <w:szCs w:val="20"/>
                <w:color w:val="auto"/>
              </w:rPr>
              <w:t>$26,953,091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ind w:right="24"/>
              <w:spacing w:after="0" w:line="201" w:lineRule="exact"/>
              <w:rPr>
                <w:sz w:val="20"/>
                <w:szCs w:val="20"/>
                <w:color w:val="auto"/>
              </w:rPr>
            </w:pPr>
            <w:r>
              <w:rPr>
                <w:rFonts w:ascii="Times New Roman" w:cs="Times New Roman" w:eastAsia="Times New Roman" w:hAnsi="Times New Roman"/>
                <w:sz w:val="20"/>
                <w:szCs w:val="20"/>
                <w:color w:val="auto"/>
              </w:rPr>
              <w:t>$29,468,741</w:t>
            </w:r>
          </w:p>
        </w:tc>
        <w:tc>
          <w:tcPr>
            <w:tcW w:w="0" w:type="dxa"/>
            <w:vAlign w:val="bottom"/>
          </w:tcPr>
          <w:p>
            <w:pPr>
              <w:spacing w:after="0"/>
              <w:rPr>
                <w:sz w:val="1"/>
                <w:szCs w:val="1"/>
                <w:color w:val="auto"/>
              </w:rPr>
            </w:pPr>
          </w:p>
        </w:tc>
      </w:tr>
      <w:tr>
        <w:trPr>
          <w:trHeight w:val="250"/>
        </w:trPr>
        <w:tc>
          <w:tcPr>
            <w:tcW w:w="3100" w:type="dxa"/>
            <w:vAlign w:val="bottom"/>
            <w:gridSpan w:val="3"/>
          </w:tcPr>
          <w:p>
            <w:pPr>
              <w:spacing w:after="0" w:line="250" w:lineRule="exact"/>
              <w:rPr>
                <w:sz w:val="20"/>
                <w:szCs w:val="20"/>
                <w:color w:val="auto"/>
              </w:rPr>
            </w:pPr>
            <w:r>
              <w:rPr>
                <w:rFonts w:ascii="Times New Roman" w:cs="Times New Roman" w:eastAsia="Times New Roman" w:hAnsi="Times New Roman"/>
                <w:sz w:val="20"/>
                <w:szCs w:val="20"/>
                <w:color w:val="auto"/>
              </w:rPr>
              <w:t>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gross profit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7,751,775</w:t>
            </w:r>
          </w:p>
        </w:tc>
        <w:tc>
          <w:tcPr>
            <w:tcW w:w="1780" w:type="dxa"/>
            <w:vAlign w:val="bottom"/>
            <w:gridSpan w:val="3"/>
          </w:tcPr>
          <w:p>
            <w:pPr>
              <w:jc w:val="right"/>
              <w:ind w:right="24"/>
              <w:spacing w:after="0"/>
              <w:rPr>
                <w:sz w:val="20"/>
                <w:szCs w:val="20"/>
                <w:color w:val="auto"/>
              </w:rPr>
            </w:pPr>
            <w:r>
              <w:rPr>
                <w:rFonts w:ascii="Times New Roman" w:cs="Times New Roman" w:eastAsia="Times New Roman" w:hAnsi="Times New Roman"/>
                <w:sz w:val="20"/>
                <w:szCs w:val="20"/>
                <w:color w:val="auto"/>
              </w:rPr>
              <w:t>7,818,797</w:t>
            </w:r>
          </w:p>
        </w:tc>
        <w:tc>
          <w:tcPr>
            <w:tcW w:w="0" w:type="dxa"/>
            <w:vAlign w:val="bottom"/>
          </w:tcPr>
          <w:p>
            <w:pPr>
              <w:spacing w:after="0"/>
              <w:rPr>
                <w:sz w:val="1"/>
                <w:szCs w:val="1"/>
                <w:color w:val="auto"/>
              </w:rPr>
            </w:pPr>
          </w:p>
        </w:tc>
      </w:tr>
      <w:tr>
        <w:trPr>
          <w:trHeight w:val="201"/>
        </w:trPr>
        <w:tc>
          <w:tcPr>
            <w:tcW w:w="3100" w:type="dxa"/>
            <w:vAlign w:val="bottom"/>
            <w:gridSpan w:val="3"/>
          </w:tcPr>
          <w:p>
            <w:pPr>
              <w:spacing w:after="0" w:line="201" w:lineRule="exact"/>
              <w:rPr>
                <w:sz w:val="20"/>
                <w:szCs w:val="20"/>
                <w:color w:val="auto"/>
              </w:rPr>
            </w:pPr>
            <w:r>
              <w:rPr>
                <w:rFonts w:ascii="Times New Roman" w:cs="Times New Roman" w:eastAsia="Times New Roman" w:hAnsi="Times New Roman"/>
                <w:sz w:val="20"/>
                <w:szCs w:val="20"/>
                <w:color w:val="auto"/>
              </w:rPr>
              <w:t>Total segment gross profit</w:t>
            </w:r>
          </w:p>
        </w:tc>
        <w:tc>
          <w:tcPr>
            <w:tcW w:w="14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34,704,866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top w:val="single" w:sz="8" w:color="auto"/>
            </w:tcBorders>
          </w:tcPr>
          <w:p>
            <w:pPr>
              <w:jc w:val="right"/>
              <w:ind w:right="24"/>
              <w:spacing w:after="0" w:line="201" w:lineRule="exact"/>
              <w:rPr>
                <w:sz w:val="20"/>
                <w:szCs w:val="20"/>
                <w:color w:val="auto"/>
              </w:rPr>
            </w:pPr>
            <w:r>
              <w:rPr>
                <w:rFonts w:ascii="Times New Roman" w:cs="Times New Roman" w:eastAsia="Times New Roman" w:hAnsi="Times New Roman"/>
                <w:sz w:val="20"/>
                <w:szCs w:val="20"/>
                <w:color w:val="auto"/>
              </w:rPr>
              <w:t>37,287,538</w:t>
            </w:r>
          </w:p>
        </w:tc>
        <w:tc>
          <w:tcPr>
            <w:tcW w:w="0" w:type="dxa"/>
            <w:vAlign w:val="bottom"/>
          </w:tcPr>
          <w:p>
            <w:pPr>
              <w:spacing w:after="0"/>
              <w:rPr>
                <w:sz w:val="1"/>
                <w:szCs w:val="1"/>
                <w:color w:val="auto"/>
              </w:rPr>
            </w:pPr>
          </w:p>
        </w:tc>
      </w:tr>
      <w:tr>
        <w:trPr>
          <w:trHeight w:val="250"/>
        </w:trPr>
        <w:tc>
          <w:tcPr>
            <w:tcW w:w="3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Indirect cost of goods sold</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(3,028,311)</w:t>
            </w:r>
          </w:p>
        </w:tc>
        <w:tc>
          <w:tcPr>
            <w:tcW w:w="1780" w:type="dxa"/>
            <w:vAlign w:val="bottom"/>
            <w:gridSpan w:val="3"/>
          </w:tcPr>
          <w:p>
            <w:pPr>
              <w:jc w:val="right"/>
              <w:ind w:right="24"/>
              <w:spacing w:after="0"/>
              <w:rPr>
                <w:sz w:val="20"/>
                <w:szCs w:val="20"/>
                <w:color w:val="auto"/>
              </w:rPr>
            </w:pPr>
            <w:r>
              <w:rPr>
                <w:rFonts w:ascii="Times New Roman" w:cs="Times New Roman" w:eastAsia="Times New Roman" w:hAnsi="Times New Roman"/>
                <w:sz w:val="20"/>
                <w:szCs w:val="20"/>
                <w:color w:val="auto"/>
              </w:rPr>
              <w:t>(3,501,176)</w:t>
            </w:r>
          </w:p>
        </w:tc>
        <w:tc>
          <w:tcPr>
            <w:tcW w:w="0" w:type="dxa"/>
            <w:vAlign w:val="bottom"/>
          </w:tcPr>
          <w:p>
            <w:pPr>
              <w:spacing w:after="0"/>
              <w:rPr>
                <w:sz w:val="1"/>
                <w:szCs w:val="1"/>
                <w:color w:val="auto"/>
              </w:rPr>
            </w:pPr>
          </w:p>
        </w:tc>
      </w:tr>
      <w:tr>
        <w:trPr>
          <w:trHeight w:val="220"/>
        </w:trPr>
        <w:tc>
          <w:tcPr>
            <w:tcW w:w="3100" w:type="dxa"/>
            <w:vAlign w:val="bottom"/>
            <w:gridSpan w:val="3"/>
          </w:tcPr>
          <w:p>
            <w:pPr>
              <w:ind w:left="320"/>
              <w:spacing w:after="0" w:line="220" w:lineRule="exact"/>
              <w:rPr>
                <w:sz w:val="20"/>
                <w:szCs w:val="20"/>
                <w:color w:val="auto"/>
              </w:rPr>
            </w:pPr>
            <w:r>
              <w:rPr>
                <w:rFonts w:ascii="Times New Roman" w:cs="Times New Roman" w:eastAsia="Times New Roman" w:hAnsi="Times New Roman"/>
                <w:sz w:val="20"/>
                <w:szCs w:val="20"/>
                <w:color w:val="auto"/>
              </w:rPr>
              <w:t>Total gross profit</w:t>
            </w:r>
          </w:p>
        </w:tc>
        <w:tc>
          <w:tcPr>
            <w:tcW w:w="148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$31,676,555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24"/>
              <w:spacing w:after="0" w:line="220" w:lineRule="exact"/>
              <w:rPr>
                <w:sz w:val="20"/>
                <w:szCs w:val="20"/>
                <w:color w:val="auto"/>
              </w:rPr>
            </w:pPr>
            <w:r>
              <w:rPr>
                <w:rFonts w:ascii="Times New Roman" w:cs="Times New Roman" w:eastAsia="Times New Roman" w:hAnsi="Times New Roman"/>
                <w:sz w:val="20"/>
                <w:szCs w:val="20"/>
                <w:color w:val="auto"/>
              </w:rPr>
              <w:t>$33,786,362</w:t>
            </w:r>
          </w:p>
        </w:tc>
        <w:tc>
          <w:tcPr>
            <w:tcW w:w="0" w:type="dxa"/>
            <w:vAlign w:val="bottom"/>
          </w:tcPr>
          <w:p>
            <w:pPr>
              <w:spacing w:after="0"/>
              <w:rPr>
                <w:sz w:val="1"/>
                <w:szCs w:val="1"/>
                <w:color w:val="auto"/>
              </w:rPr>
            </w:pPr>
          </w:p>
        </w:tc>
      </w:tr>
      <w:tr>
        <w:trPr>
          <w:trHeight w:val="199"/>
        </w:trPr>
        <w:tc>
          <w:tcPr>
            <w:tcW w:w="3100" w:type="dxa"/>
            <w:vAlign w:val="bottom"/>
            <w:gridSpan w:val="3"/>
          </w:tcPr>
          <w:p>
            <w:pPr>
              <w:ind w:left="320"/>
              <w:spacing w:after="0" w:line="200" w:lineRule="exact"/>
              <w:rPr>
                <w:sz w:val="20"/>
                <w:szCs w:val="20"/>
                <w:color w:val="auto"/>
              </w:rPr>
            </w:pPr>
            <w:r>
              <w:rPr>
                <w:rFonts w:ascii="Times New Roman" w:cs="Times New Roman" w:eastAsia="Times New Roman" w:hAnsi="Times New Roman"/>
                <w:sz w:val="20"/>
                <w:szCs w:val="20"/>
                <w:color w:val="auto"/>
              </w:rPr>
              <w:t>Total joint venture operations</w:t>
            </w:r>
          </w:p>
        </w:tc>
        <w:tc>
          <w:tcPr>
            <w:tcW w:w="1480" w:type="dxa"/>
            <w:vAlign w:val="bottom"/>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rPr>
              <w:t>8,545,207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ind w:right="24"/>
              <w:spacing w:after="0" w:line="200" w:lineRule="exact"/>
              <w:rPr>
                <w:sz w:val="20"/>
                <w:szCs w:val="20"/>
                <w:color w:val="auto"/>
              </w:rPr>
            </w:pPr>
            <w:r>
              <w:rPr>
                <w:rFonts w:ascii="Times New Roman" w:cs="Times New Roman" w:eastAsia="Times New Roman" w:hAnsi="Times New Roman"/>
                <w:sz w:val="20"/>
                <w:szCs w:val="20"/>
                <w:color w:val="auto"/>
              </w:rPr>
              <w:t>9,475,078</w:t>
            </w:r>
          </w:p>
        </w:tc>
        <w:tc>
          <w:tcPr>
            <w:tcW w:w="0" w:type="dxa"/>
            <w:vAlign w:val="bottom"/>
          </w:tcPr>
          <w:p>
            <w:pPr>
              <w:spacing w:after="0"/>
              <w:rPr>
                <w:sz w:val="1"/>
                <w:szCs w:val="1"/>
                <w:color w:val="auto"/>
              </w:rPr>
            </w:pPr>
          </w:p>
        </w:tc>
      </w:tr>
      <w:tr>
        <w:trPr>
          <w:trHeight w:val="230"/>
        </w:trPr>
        <w:tc>
          <w:tcPr>
            <w:tcW w:w="31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Selling expenses</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(17,820,196)</w:t>
            </w:r>
          </w:p>
        </w:tc>
        <w:tc>
          <w:tcPr>
            <w:tcW w:w="1780" w:type="dxa"/>
            <w:vAlign w:val="bottom"/>
            <w:gridSpan w:val="3"/>
          </w:tcPr>
          <w:p>
            <w:pPr>
              <w:jc w:val="right"/>
              <w:ind w:right="24"/>
              <w:spacing w:after="0"/>
              <w:rPr>
                <w:sz w:val="20"/>
                <w:szCs w:val="20"/>
                <w:color w:val="auto"/>
              </w:rPr>
            </w:pPr>
            <w:r>
              <w:rPr>
                <w:rFonts w:ascii="Times New Roman" w:cs="Times New Roman" w:eastAsia="Times New Roman" w:hAnsi="Times New Roman"/>
                <w:sz w:val="20"/>
                <w:szCs w:val="20"/>
                <w:color w:val="auto"/>
              </w:rPr>
              <w:t>(16,413,672)</w:t>
            </w:r>
          </w:p>
        </w:tc>
        <w:tc>
          <w:tcPr>
            <w:tcW w:w="0" w:type="dxa"/>
            <w:vAlign w:val="bottom"/>
          </w:tcPr>
          <w:p>
            <w:pPr>
              <w:spacing w:after="0"/>
              <w:rPr>
                <w:sz w:val="1"/>
                <w:szCs w:val="1"/>
                <w:color w:val="auto"/>
              </w:rPr>
            </w:pPr>
          </w:p>
        </w:tc>
      </w:tr>
      <w:tr>
        <w:trPr>
          <w:trHeight w:val="229"/>
        </w:trPr>
        <w:tc>
          <w:tcPr>
            <w:tcW w:w="31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(14,792,988)</w:t>
            </w:r>
          </w:p>
        </w:tc>
        <w:tc>
          <w:tcPr>
            <w:tcW w:w="1780" w:type="dxa"/>
            <w:vAlign w:val="bottom"/>
            <w:gridSpan w:val="3"/>
          </w:tcPr>
          <w:p>
            <w:pPr>
              <w:jc w:val="right"/>
              <w:ind w:right="24"/>
              <w:spacing w:after="0"/>
              <w:rPr>
                <w:sz w:val="20"/>
                <w:szCs w:val="20"/>
                <w:color w:val="auto"/>
              </w:rPr>
            </w:pPr>
            <w:r>
              <w:rPr>
                <w:rFonts w:ascii="Times New Roman" w:cs="Times New Roman" w:eastAsia="Times New Roman" w:hAnsi="Times New Roman"/>
                <w:sz w:val="20"/>
                <w:szCs w:val="20"/>
                <w:color w:val="auto"/>
              </w:rPr>
              <w:t>(14,176,494)</w:t>
            </w:r>
          </w:p>
        </w:tc>
        <w:tc>
          <w:tcPr>
            <w:tcW w:w="0" w:type="dxa"/>
            <w:vAlign w:val="bottom"/>
          </w:tcPr>
          <w:p>
            <w:pPr>
              <w:spacing w:after="0"/>
              <w:rPr>
                <w:sz w:val="1"/>
                <w:szCs w:val="1"/>
                <w:color w:val="auto"/>
              </w:rPr>
            </w:pPr>
          </w:p>
        </w:tc>
      </w:tr>
      <w:tr>
        <w:trPr>
          <w:trHeight w:val="230"/>
        </w:trPr>
        <w:tc>
          <w:tcPr>
            <w:tcW w:w="31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expenses</w:t>
            </w: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(5,038,281)</w:t>
            </w:r>
          </w:p>
        </w:tc>
        <w:tc>
          <w:tcPr>
            <w:tcW w:w="1780" w:type="dxa"/>
            <w:vAlign w:val="bottom"/>
            <w:gridSpan w:val="3"/>
          </w:tcPr>
          <w:p>
            <w:pPr>
              <w:jc w:val="right"/>
              <w:ind w:right="24"/>
              <w:spacing w:after="0"/>
              <w:rPr>
                <w:sz w:val="20"/>
                <w:szCs w:val="20"/>
                <w:color w:val="auto"/>
              </w:rPr>
            </w:pPr>
            <w:r>
              <w:rPr>
                <w:rFonts w:ascii="Times New Roman" w:cs="Times New Roman" w:eastAsia="Times New Roman" w:hAnsi="Times New Roman"/>
                <w:sz w:val="20"/>
                <w:szCs w:val="20"/>
                <w:color w:val="auto"/>
              </w:rPr>
              <w:t>(4,802,791)</w:t>
            </w:r>
          </w:p>
        </w:tc>
        <w:tc>
          <w:tcPr>
            <w:tcW w:w="0" w:type="dxa"/>
            <w:vAlign w:val="bottom"/>
          </w:tcPr>
          <w:p>
            <w:pPr>
              <w:spacing w:after="0"/>
              <w:rPr>
                <w:sz w:val="1"/>
                <w:szCs w:val="1"/>
                <w:color w:val="auto"/>
              </w:rPr>
            </w:pPr>
          </w:p>
        </w:tc>
      </w:tr>
      <w:tr>
        <w:trPr>
          <w:trHeight w:val="229"/>
        </w:trPr>
        <w:tc>
          <w:tcPr>
            <w:tcW w:w="31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expenses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Interest income</w:t>
            </w: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308,054</w:t>
            </w:r>
          </w:p>
        </w:tc>
        <w:tc>
          <w:tcPr>
            <w:tcW w:w="1780" w:type="dxa"/>
            <w:vAlign w:val="bottom"/>
            <w:gridSpan w:val="3"/>
          </w:tcPr>
          <w:p>
            <w:pPr>
              <w:jc w:val="right"/>
              <w:ind w:right="24"/>
              <w:spacing w:after="0"/>
              <w:rPr>
                <w:sz w:val="20"/>
                <w:szCs w:val="20"/>
                <w:color w:val="auto"/>
              </w:rPr>
            </w:pPr>
            <w:r>
              <w:rPr>
                <w:rFonts w:ascii="Times New Roman" w:cs="Times New Roman" w:eastAsia="Times New Roman" w:hAnsi="Times New Roman"/>
                <w:sz w:val="20"/>
                <w:szCs w:val="20"/>
                <w:color w:val="auto"/>
              </w:rPr>
              <w:t>118,827</w:t>
            </w:r>
          </w:p>
        </w:tc>
        <w:tc>
          <w:tcPr>
            <w:tcW w:w="0" w:type="dxa"/>
            <w:vAlign w:val="bottom"/>
          </w:tcPr>
          <w:p>
            <w:pPr>
              <w:spacing w:after="0"/>
              <w:rPr>
                <w:sz w:val="1"/>
                <w:szCs w:val="1"/>
                <w:color w:val="auto"/>
              </w:rPr>
            </w:pPr>
          </w:p>
        </w:tc>
      </w:tr>
      <w:tr>
        <w:trPr>
          <w:trHeight w:val="230"/>
        </w:trPr>
        <w:tc>
          <w:tcPr>
            <w:tcW w:w="31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Interest expense</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(599,927)</w:t>
            </w:r>
          </w:p>
        </w:tc>
        <w:tc>
          <w:tcPr>
            <w:tcW w:w="1780" w:type="dxa"/>
            <w:vAlign w:val="bottom"/>
            <w:gridSpan w:val="3"/>
          </w:tcPr>
          <w:p>
            <w:pPr>
              <w:jc w:val="right"/>
              <w:ind w:right="24"/>
              <w:spacing w:after="0"/>
              <w:rPr>
                <w:sz w:val="20"/>
                <w:szCs w:val="20"/>
                <w:color w:val="auto"/>
              </w:rPr>
            </w:pPr>
            <w:r>
              <w:rPr>
                <w:rFonts w:ascii="Times New Roman" w:cs="Times New Roman" w:eastAsia="Times New Roman" w:hAnsi="Times New Roman"/>
                <w:sz w:val="20"/>
                <w:szCs w:val="20"/>
                <w:color w:val="auto"/>
              </w:rPr>
              <w:t>(340,129)</w:t>
            </w:r>
          </w:p>
        </w:tc>
        <w:tc>
          <w:tcPr>
            <w:tcW w:w="0" w:type="dxa"/>
            <w:vAlign w:val="bottom"/>
          </w:tcPr>
          <w:p>
            <w:pPr>
              <w:spacing w:after="0"/>
              <w:rPr>
                <w:sz w:val="1"/>
                <w:szCs w:val="1"/>
                <w:color w:val="auto"/>
              </w:rPr>
            </w:pPr>
          </w:p>
        </w:tc>
      </w:tr>
      <w:tr>
        <w:trPr>
          <w:trHeight w:val="250"/>
        </w:trPr>
        <w:tc>
          <w:tcPr>
            <w:tcW w:w="31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Other income</w:t>
            </w:r>
          </w:p>
        </w:tc>
        <w:tc>
          <w:tcPr>
            <w:tcW w:w="14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752,971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100" w:type="dxa"/>
            <w:vAlign w:val="bottom"/>
            <w:gridSpan w:val="3"/>
          </w:tcPr>
          <w:p>
            <w:pPr>
              <w:ind w:left="320"/>
              <w:spacing w:after="0" w:line="200" w:lineRule="exact"/>
              <w:rPr>
                <w:sz w:val="20"/>
                <w:szCs w:val="20"/>
                <w:color w:val="auto"/>
              </w:rPr>
            </w:pPr>
            <w:r>
              <w:rPr>
                <w:rFonts w:ascii="Times New Roman" w:cs="Times New Roman" w:eastAsia="Times New Roman" w:hAnsi="Times New Roman"/>
                <w:sz w:val="20"/>
                <w:szCs w:val="20"/>
                <w:color w:val="auto"/>
              </w:rPr>
              <w:t>Income before income tax</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0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expense</w:t>
            </w:r>
          </w:p>
        </w:tc>
        <w:tc>
          <w:tcPr>
            <w:tcW w:w="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3,031,395</w:t>
            </w:r>
          </w:p>
        </w:tc>
        <w:tc>
          <w:tcPr>
            <w:tcW w:w="260" w:type="dxa"/>
            <w:vAlign w:val="bottom"/>
          </w:tcPr>
          <w:p>
            <w:pPr>
              <w:spacing w:after="0"/>
              <w:rPr>
                <w:sz w:val="22"/>
                <w:szCs w:val="22"/>
                <w:color w:val="auto"/>
              </w:rPr>
            </w:pPr>
          </w:p>
        </w:tc>
        <w:tc>
          <w:tcPr>
            <w:tcW w:w="152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20"/>
                <w:szCs w:val="20"/>
                <w:color w:val="auto"/>
              </w:rPr>
              <w:t>$ 7,647,181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The Company utilizes product net sales, direct and indirect cost of goods sold, and gross profit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 The CODM uses gross profit and considers budget-to-actual variances on a quarterly basis when making decisions about the allocation of operating and capital resources to each segment. The CODM also uses segment gross profit for evaluating pricing strategy to assess the performance of each segment by comparing the results of each segment with one another and in determining the compensation of certain employees. The CODM has ultimate responsibility for enterprise decisions and making resource allocation decisions for the company and the segments. Asset information, including capital expenditures are reviewed by the CODM at the consolidated entity level and not by segment. Refer to total assets on the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Geographic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sales by geographic location for fiscal 2025 and fiscal 2024 were as follows:</w:t>
      </w:r>
    </w:p>
    <w:p>
      <w:pPr>
        <w:spacing w:after="0" w:line="301" w:lineRule="exact"/>
        <w:rPr>
          <w:sz w:val="20"/>
          <w:szCs w:val="20"/>
          <w:color w:val="auto"/>
        </w:rPr>
      </w:pPr>
    </w:p>
    <w:tbl>
      <w:tblPr>
        <w:tblLayout w:type="fixed"/>
        <w:tblInd w:w="660" w:type="dxa"/>
        <w:tblCellMar>
          <w:top w:w="0" w:type="dxa"/>
          <w:left w:w="0" w:type="dxa"/>
          <w:bottom w:w="0" w:type="dxa"/>
          <w:right w:w="0" w:type="dxa"/>
        </w:tblCellMar>
      </w:tblPr>
      <w:tr>
        <w:trPr>
          <w:trHeight w:val="246"/>
        </w:trPr>
        <w:tc>
          <w:tcPr>
            <w:tcW w:w="44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c>
          <w:tcPr>
            <w:tcW w:w="0" w:type="dxa"/>
            <w:vAlign w:val="bottom"/>
          </w:tcPr>
          <w:p>
            <w:pPr>
              <w:spacing w:after="0"/>
              <w:rPr>
                <w:sz w:val="1"/>
                <w:szCs w:val="1"/>
                <w:color w:val="auto"/>
              </w:rPr>
            </w:pPr>
          </w:p>
        </w:tc>
      </w:tr>
      <w:tr>
        <w:trPr>
          <w:trHeight w:val="218"/>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Inside the U.S. to unaffiliated customers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1"/>
        </w:trPr>
        <w:tc>
          <w:tcPr>
            <w:tcW w:w="4460" w:type="dxa"/>
            <w:vAlign w:val="bottom"/>
            <w:vMerge w:val="continue"/>
          </w:tcPr>
          <w:p>
            <w:pPr>
              <w:spacing w:after="0"/>
              <w:rPr>
                <w:sz w:val="17"/>
                <w:szCs w:val="17"/>
                <w:color w:val="auto"/>
              </w:rPr>
            </w:pPr>
          </w:p>
        </w:tc>
        <w:tc>
          <w:tcPr>
            <w:tcW w:w="260" w:type="dxa"/>
            <w:vAlign w:val="bottom"/>
          </w:tcPr>
          <w:p>
            <w:pPr>
              <w:jc w:val="right"/>
              <w:ind w:right="40"/>
              <w:spacing w:after="0" w:line="201" w:lineRule="exact"/>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ind w:right="203"/>
              <w:spacing w:after="0" w:line="201" w:lineRule="exact"/>
              <w:rPr>
                <w:sz w:val="20"/>
                <w:szCs w:val="20"/>
                <w:color w:val="auto"/>
              </w:rPr>
            </w:pPr>
            <w:r>
              <w:rPr>
                <w:rFonts w:ascii="Times New Roman" w:cs="Times New Roman" w:eastAsia="Times New Roman" w:hAnsi="Times New Roman"/>
                <w:sz w:val="20"/>
                <w:szCs w:val="20"/>
                <w:color w:val="auto"/>
              </w:rPr>
              <w:t>29,547,889</w:t>
            </w:r>
          </w:p>
        </w:tc>
        <w:tc>
          <w:tcPr>
            <w:tcW w:w="140" w:type="dxa"/>
            <w:vAlign w:val="bottom"/>
          </w:tcPr>
          <w:p>
            <w:pPr>
              <w:spacing w:after="0"/>
              <w:rPr>
                <w:sz w:val="17"/>
                <w:szCs w:val="17"/>
                <w:color w:val="auto"/>
              </w:rPr>
            </w:pPr>
          </w:p>
        </w:tc>
        <w:tc>
          <w:tcPr>
            <w:tcW w:w="260" w:type="dxa"/>
            <w:vAlign w:val="bottom"/>
          </w:tcPr>
          <w:p>
            <w:pPr>
              <w:jc w:val="right"/>
              <w:ind w:right="20"/>
              <w:spacing w:after="0" w:line="201"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82"/>
              <w:spacing w:after="0" w:line="201" w:lineRule="exact"/>
              <w:rPr>
                <w:sz w:val="20"/>
                <w:szCs w:val="20"/>
                <w:color w:val="auto"/>
              </w:rPr>
            </w:pPr>
            <w:r>
              <w:rPr>
                <w:rFonts w:ascii="Times New Roman" w:cs="Times New Roman" w:eastAsia="Times New Roman" w:hAnsi="Times New Roman"/>
                <w:sz w:val="20"/>
                <w:szCs w:val="20"/>
                <w:color w:val="auto"/>
              </w:rPr>
              <w:t>30,492,665</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Outside the U.S. to:</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Joint ventures in which the Company is a</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shareholder directly and indirectly</w:t>
            </w:r>
          </w:p>
        </w:tc>
        <w:tc>
          <w:tcPr>
            <w:tcW w:w="260" w:type="dxa"/>
            <w:vAlign w:val="bottom"/>
          </w:tcPr>
          <w:p>
            <w:pPr>
              <w:spacing w:after="0"/>
              <w:rPr>
                <w:sz w:val="20"/>
                <w:szCs w:val="20"/>
                <w:color w:val="auto"/>
              </w:rPr>
            </w:pPr>
          </w:p>
        </w:tc>
        <w:tc>
          <w:tcPr>
            <w:tcW w:w="1320" w:type="dxa"/>
            <w:vAlign w:val="bottom"/>
          </w:tcPr>
          <w:p>
            <w:pPr>
              <w:jc w:val="right"/>
              <w:ind w:right="203"/>
              <w:spacing w:after="0"/>
              <w:rPr>
                <w:sz w:val="20"/>
                <w:szCs w:val="20"/>
                <w:color w:val="auto"/>
              </w:rPr>
            </w:pPr>
            <w:r>
              <w:rPr>
                <w:rFonts w:ascii="Times New Roman" w:cs="Times New Roman" w:eastAsia="Times New Roman" w:hAnsi="Times New Roman"/>
                <w:sz w:val="20"/>
                <w:szCs w:val="20"/>
                <w:color w:val="auto"/>
              </w:rPr>
              <w:t>2,368,099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2,228,894</w:t>
            </w:r>
          </w:p>
        </w:tc>
        <w:tc>
          <w:tcPr>
            <w:tcW w:w="0" w:type="dxa"/>
            <w:vAlign w:val="bottom"/>
          </w:tcPr>
          <w:p>
            <w:pPr>
              <w:spacing w:after="0"/>
              <w:rPr>
                <w:sz w:val="1"/>
                <w:szCs w:val="1"/>
                <w:color w:val="auto"/>
              </w:rPr>
            </w:pPr>
          </w:p>
        </w:tc>
      </w:tr>
      <w:tr>
        <w:trPr>
          <w:trHeight w:val="268"/>
        </w:trPr>
        <w:tc>
          <w:tcPr>
            <w:tcW w:w="4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Unaffiliated customers</w:t>
            </w: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20"/>
                <w:szCs w:val="20"/>
                <w:color w:val="auto"/>
              </w:rPr>
              <w:t>52,318,486</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52,337,958</w:t>
            </w:r>
          </w:p>
        </w:tc>
        <w:tc>
          <w:tcPr>
            <w:tcW w:w="0" w:type="dxa"/>
            <w:vAlign w:val="bottom"/>
          </w:tcPr>
          <w:p>
            <w:pPr>
              <w:spacing w:after="0"/>
              <w:rPr>
                <w:sz w:val="1"/>
                <w:szCs w:val="1"/>
                <w:color w:val="auto"/>
              </w:rPr>
            </w:pPr>
          </w:p>
        </w:tc>
      </w:tr>
      <w:tr>
        <w:trPr>
          <w:trHeight w:val="240"/>
        </w:trPr>
        <w:tc>
          <w:tcPr>
            <w:tcW w:w="4460" w:type="dxa"/>
            <w:vAlign w:val="bottom"/>
          </w:tcPr>
          <w:p>
            <w:pPr>
              <w:spacing w:after="0"/>
              <w:rPr>
                <w:sz w:val="20"/>
                <w:szCs w:val="20"/>
                <w:color w:val="auto"/>
              </w:rPr>
            </w:pPr>
          </w:p>
        </w:tc>
        <w:tc>
          <w:tcPr>
            <w:tcW w:w="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20"/>
                <w:szCs w:val="20"/>
                <w:color w:val="auto"/>
              </w:rPr>
              <w:t>84,234,474</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85,059,517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color w:val="auto"/>
        </w:rPr>
        <w:t>Net sales by geographic location are based on the location of the customer. No single customer accounted for more than 10% of consolidated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1420" w:right="1440" w:bottom="382" w:gutter="0" w:footer="0" w:header="0"/>
        </w:sectPr>
      </w:pPr>
    </w:p>
    <w:bookmarkStart w:id="163" w:name="page164"/>
    <w:bookmarkEnd w:id="163"/>
    <w:p>
      <w:pPr>
        <w:ind w:right="20"/>
        <w:spacing w:after="0" w:line="278" w:lineRule="auto"/>
        <w:rPr>
          <w:sz w:val="20"/>
          <w:szCs w:val="20"/>
          <w:color w:val="auto"/>
        </w:rPr>
      </w:pPr>
      <w:r>
        <w:rPr>
          <w:rFonts w:ascii="Times New Roman" w:cs="Times New Roman" w:eastAsia="Times New Roman" w:hAnsi="Times New Roman"/>
          <w:sz w:val="20"/>
          <w:szCs w:val="20"/>
          <w:color w:val="auto"/>
        </w:rPr>
        <w:t>Fees for services provided to joint ventures by geographic location as a percentage of total fees for services provided to joint ventures during fiscal 2025 and fiscal 2024, respectively, were as follows: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08"/>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0" w:type="dxa"/>
            <w:vAlign w:val="bottom"/>
          </w:tcPr>
          <w:p>
            <w:pPr>
              <w:spacing w:after="0"/>
              <w:rPr>
                <w:sz w:val="1"/>
                <w:szCs w:val="1"/>
                <w:color w:val="auto"/>
              </w:rPr>
            </w:pPr>
          </w:p>
        </w:tc>
      </w:tr>
      <w:tr>
        <w:trPr>
          <w:trHeight w:val="208"/>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Provided to</w:t>
            </w:r>
          </w:p>
        </w:tc>
        <w:tc>
          <w:tcPr>
            <w:tcW w:w="0" w:type="dxa"/>
            <w:vAlign w:val="bottom"/>
          </w:tcPr>
          <w:p>
            <w:pPr>
              <w:spacing w:after="0"/>
              <w:rPr>
                <w:sz w:val="1"/>
                <w:szCs w:val="1"/>
                <w:color w:val="auto"/>
              </w:rPr>
            </w:pPr>
          </w:p>
        </w:tc>
      </w:tr>
      <w:tr>
        <w:trPr>
          <w:trHeight w:val="208"/>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Joint</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Joint</w:t>
            </w:r>
          </w:p>
        </w:tc>
        <w:tc>
          <w:tcPr>
            <w:tcW w:w="0" w:type="dxa"/>
            <w:vAlign w:val="bottom"/>
          </w:tcPr>
          <w:p>
            <w:pPr>
              <w:spacing w:after="0"/>
              <w:rPr>
                <w:sz w:val="1"/>
                <w:szCs w:val="1"/>
                <w:color w:val="auto"/>
              </w:rPr>
            </w:pPr>
          </w:p>
        </w:tc>
      </w:tr>
      <w:tr>
        <w:trPr>
          <w:trHeight w:val="246"/>
        </w:trPr>
        <w:tc>
          <w:tcPr>
            <w:tcW w:w="1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Germany</w:t>
            </w:r>
          </w:p>
        </w:tc>
        <w:tc>
          <w:tcPr>
            <w:tcW w:w="14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16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Ventures</w:t>
            </w:r>
          </w:p>
        </w:tc>
        <w:tc>
          <w:tcPr>
            <w:tcW w:w="160" w:type="dxa"/>
            <w:vAlign w:val="bottom"/>
          </w:tcPr>
          <w:p>
            <w:pPr>
              <w:spacing w:after="0"/>
              <w:rPr>
                <w:sz w:val="21"/>
                <w:szCs w:val="21"/>
                <w:color w:val="auto"/>
              </w:rPr>
            </w:pPr>
          </w:p>
        </w:tc>
        <w:tc>
          <w:tcPr>
            <w:tcW w:w="14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6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Ventures</w:t>
            </w:r>
          </w:p>
        </w:tc>
        <w:tc>
          <w:tcPr>
            <w:tcW w:w="0" w:type="dxa"/>
            <w:vAlign w:val="bottom"/>
          </w:tcPr>
          <w:p>
            <w:pPr>
              <w:spacing w:after="0"/>
              <w:rPr>
                <w:sz w:val="1"/>
                <w:szCs w:val="1"/>
                <w:color w:val="auto"/>
              </w:rPr>
            </w:pPr>
          </w:p>
        </w:tc>
      </w:tr>
      <w:tr>
        <w:trPr>
          <w:trHeight w:val="202"/>
        </w:trPr>
        <w:tc>
          <w:tcPr>
            <w:tcW w:w="1520" w:type="dxa"/>
            <w:vAlign w:val="bottom"/>
            <w:vMerge w:val="continue"/>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$846,281</w:t>
            </w: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16.9%</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$828,932</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Times New Roman" w:cs="Times New Roman" w:eastAsia="Times New Roman" w:hAnsi="Times New Roman"/>
                <w:sz w:val="20"/>
                <w:szCs w:val="20"/>
                <w:color w:val="auto"/>
              </w:rPr>
              <w:t>15.8%</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Poland</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840,467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849,736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Japan</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647,573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582,674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Finland</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411,268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395,515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404,342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375,150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Thailand</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371,175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332,148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Sweden</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330,205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445,560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France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320,546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485,627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Czech Republic</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303,869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338,195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South Korea</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186,669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258,314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Indonesia</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166,053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67"/>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206,631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193,877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$5,006,151</w:t>
            </w:r>
          </w:p>
        </w:tc>
        <w:tc>
          <w:tcPr>
            <w:tcW w:w="16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60" w:type="dxa"/>
            <w:vAlign w:val="bottom"/>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$5,251,782</w:t>
            </w:r>
          </w:p>
        </w:tc>
        <w:tc>
          <w:tcPr>
            <w:tcW w:w="16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7 for additional details on geographical information regarding equity in income from joint ventures.</w:t>
      </w:r>
    </w:p>
    <w:p>
      <w:pPr>
        <w:spacing w:after="0" w:line="231"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color w:val="auto"/>
        </w:rPr>
        <w:t>The geographical distribution of total property and equipment and net sales, which are based on the geographical location of the customer, is as follows:</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246"/>
        </w:trPr>
        <w:tc>
          <w:tcPr>
            <w:tcW w:w="2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China</w:t>
            </w:r>
          </w:p>
        </w:tc>
        <w:tc>
          <w:tcPr>
            <w:tcW w:w="18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At August 31, 2025</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rPr>
              <w:t>At August 31, 2024</w:t>
            </w:r>
          </w:p>
        </w:tc>
        <w:tc>
          <w:tcPr>
            <w:tcW w:w="0" w:type="dxa"/>
            <w:vAlign w:val="bottom"/>
          </w:tcPr>
          <w:p>
            <w:pPr>
              <w:spacing w:after="0"/>
              <w:rPr>
                <w:sz w:val="1"/>
                <w:szCs w:val="1"/>
                <w:color w:val="auto"/>
              </w:rPr>
            </w:pPr>
          </w:p>
        </w:tc>
      </w:tr>
      <w:tr>
        <w:trPr>
          <w:trHeight w:val="219"/>
        </w:trPr>
        <w:tc>
          <w:tcPr>
            <w:tcW w:w="2780" w:type="dxa"/>
            <w:vAlign w:val="bottom"/>
            <w:vMerge w:val="continue"/>
          </w:tcPr>
          <w:p>
            <w:pPr>
              <w:spacing w:after="0"/>
              <w:rPr>
                <w:sz w:val="19"/>
                <w:szCs w:val="19"/>
                <w:color w:val="auto"/>
              </w:rPr>
            </w:pPr>
          </w:p>
        </w:tc>
        <w:tc>
          <w:tcPr>
            <w:tcW w:w="18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$5,355,918</w:t>
            </w:r>
          </w:p>
        </w:tc>
        <w:tc>
          <w:tcPr>
            <w:tcW w:w="140" w:type="dxa"/>
            <w:vAlign w:val="bottom"/>
          </w:tcPr>
          <w:p>
            <w:pPr>
              <w:spacing w:after="0"/>
              <w:rPr>
                <w:sz w:val="19"/>
                <w:szCs w:val="19"/>
                <w:color w:val="auto"/>
              </w:rPr>
            </w:pPr>
          </w:p>
        </w:tc>
        <w:tc>
          <w:tcPr>
            <w:tcW w:w="2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ind w:right="242"/>
              <w:spacing w:after="0" w:line="219" w:lineRule="exact"/>
              <w:rPr>
                <w:sz w:val="20"/>
                <w:szCs w:val="20"/>
                <w:color w:val="auto"/>
              </w:rPr>
            </w:pPr>
            <w:r>
              <w:rPr>
                <w:rFonts w:ascii="Times New Roman" w:cs="Times New Roman" w:eastAsia="Times New Roman" w:hAnsi="Times New Roman"/>
                <w:sz w:val="20"/>
                <w:szCs w:val="20"/>
                <w:color w:val="auto"/>
              </w:rPr>
              <w:t>5,627,202</w:t>
            </w:r>
          </w:p>
        </w:tc>
        <w:tc>
          <w:tcPr>
            <w:tcW w:w="0" w:type="dxa"/>
            <w:vAlign w:val="bottom"/>
          </w:tcPr>
          <w:p>
            <w:pPr>
              <w:spacing w:after="0"/>
              <w:rPr>
                <w:sz w:val="1"/>
                <w:szCs w:val="1"/>
                <w:color w:val="auto"/>
              </w:rPr>
            </w:pPr>
          </w:p>
        </w:tc>
      </w:tr>
      <w:tr>
        <w:trPr>
          <w:trHeight w:val="248"/>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1,296,988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rPr>
              <w:t>1,217,400</w:t>
            </w:r>
          </w:p>
        </w:tc>
        <w:tc>
          <w:tcPr>
            <w:tcW w:w="0" w:type="dxa"/>
            <w:vAlign w:val="bottom"/>
          </w:tcPr>
          <w:p>
            <w:pPr>
              <w:spacing w:after="0"/>
              <w:rPr>
                <w:sz w:val="1"/>
                <w:szCs w:val="1"/>
                <w:color w:val="auto"/>
              </w:rPr>
            </w:pPr>
          </w:p>
        </w:tc>
      </w:tr>
      <w:tr>
        <w:trPr>
          <w:trHeight w:val="268"/>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8,531,012</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rPr>
              <w:t>9,421,051</w:t>
            </w:r>
          </w:p>
        </w:tc>
        <w:tc>
          <w:tcPr>
            <w:tcW w:w="0" w:type="dxa"/>
            <w:vAlign w:val="bottom"/>
          </w:tcPr>
          <w:p>
            <w:pPr>
              <w:spacing w:after="0"/>
              <w:rPr>
                <w:sz w:val="1"/>
                <w:szCs w:val="1"/>
                <w:color w:val="auto"/>
              </w:rPr>
            </w:pPr>
          </w:p>
        </w:tc>
      </w:tr>
      <w:tr>
        <w:trPr>
          <w:trHeight w:val="250"/>
        </w:trPr>
        <w:tc>
          <w:tcPr>
            <w:tcW w:w="2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property and equipment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$15,183,918</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rPr>
              <w:t>16,265,653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382" w:gutter="0" w:footer="0" w:header="0"/>
        </w:sectPr>
      </w:pPr>
    </w:p>
    <w:p>
      <w:pPr>
        <w:spacing w:after="0" w:line="195"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7"/>
          <w:szCs w:val="17"/>
          <w:b w:val="1"/>
          <w:bCs w:val="1"/>
          <w:color w:val="auto"/>
        </w:rPr>
        <w:t>Fiscal Year Ended</w:t>
      </w:r>
    </w:p>
    <w:p>
      <w:pPr>
        <w:spacing w:after="0" w:line="40"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8"/>
          <w:szCs w:val="18"/>
          <w:b w:val="1"/>
          <w:bCs w:val="1"/>
          <w:color w:val="auto"/>
        </w:rPr>
        <w:t>August 31, 2025</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7"/>
          <w:szCs w:val="17"/>
          <w:b w:val="1"/>
          <w:bCs w:val="1"/>
          <w:color w:val="auto"/>
        </w:rPr>
        <w:t>Fiscal Year Ended</w:t>
      </w:r>
    </w:p>
    <w:p>
      <w:pPr>
        <w:spacing w:after="0" w:line="40"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August 31, 2024</w:t>
      </w:r>
    </w:p>
    <w:p>
      <w:pPr>
        <w:spacing w:after="0" w:line="11" w:lineRule="exact"/>
        <w:rPr>
          <w:sz w:val="20"/>
          <w:szCs w:val="20"/>
          <w:color w:val="auto"/>
        </w:rPr>
      </w:pPr>
    </w:p>
    <w:p>
      <w:pPr>
        <w:sectPr>
          <w:pgSz w:w="12240" w:h="15840" w:orient="portrait"/>
          <w:cols w:equalWidth="0" w:num="2">
            <w:col w:w="5820" w:space="620"/>
            <w:col w:w="2920"/>
          </w:cols>
          <w:pgMar w:left="1440" w:top="1420" w:right="1440" w:bottom="382" w:gutter="0" w:footer="0" w:header="0"/>
          <w:type w:val="continuous"/>
        </w:sectPr>
      </w:pPr>
    </w:p>
    <w:tbl>
      <w:tblPr>
        <w:tblLayout w:type="fixed"/>
        <w:tblInd w:w="1440" w:type="dxa"/>
        <w:tblCellMar>
          <w:top w:w="0" w:type="dxa"/>
          <w:left w:w="0" w:type="dxa"/>
          <w:bottom w:w="0" w:type="dxa"/>
          <w:right w:w="0" w:type="dxa"/>
        </w:tblCellMar>
      </w:tblPr>
      <w:tr>
        <w:trPr>
          <w:trHeight w:val="213"/>
        </w:trPr>
        <w:tc>
          <w:tcPr>
            <w:tcW w:w="27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China</w:t>
            </w:r>
          </w:p>
        </w:tc>
        <w:tc>
          <w:tcPr>
            <w:tcW w:w="1820" w:type="dxa"/>
            <w:vAlign w:val="bottom"/>
            <w:tcBorders>
              <w:top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$16,239,889</w:t>
            </w:r>
          </w:p>
        </w:tc>
        <w:tc>
          <w:tcPr>
            <w:tcW w:w="160" w:type="dxa"/>
            <w:vAlign w:val="bottom"/>
          </w:tcPr>
          <w:p>
            <w:pPr>
              <w:spacing w:after="0"/>
              <w:rPr>
                <w:sz w:val="18"/>
                <w:szCs w:val="18"/>
                <w:color w:val="auto"/>
              </w:rPr>
            </w:pPr>
          </w:p>
        </w:tc>
        <w:tc>
          <w:tcPr>
            <w:tcW w:w="400" w:type="dxa"/>
            <w:vAlign w:val="bottom"/>
            <w:tcBorders>
              <w:top w:val="single" w:sz="8" w:color="auto"/>
            </w:tcBorders>
          </w:tcPr>
          <w:p>
            <w:pPr>
              <w:jc w:val="right"/>
              <w:ind w:right="180"/>
              <w:spacing w:after="0" w:line="212" w:lineRule="exact"/>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tcBorders>
              <w:top w:val="single" w:sz="8" w:color="auto"/>
            </w:tcBorders>
          </w:tcPr>
          <w:p>
            <w:pPr>
              <w:jc w:val="right"/>
              <w:ind w:right="260"/>
              <w:spacing w:after="0" w:line="212" w:lineRule="exact"/>
              <w:rPr>
                <w:sz w:val="20"/>
                <w:szCs w:val="20"/>
                <w:color w:val="auto"/>
              </w:rPr>
            </w:pPr>
            <w:r>
              <w:rPr>
                <w:rFonts w:ascii="Times New Roman" w:cs="Times New Roman" w:eastAsia="Times New Roman" w:hAnsi="Times New Roman"/>
                <w:sz w:val="20"/>
                <w:szCs w:val="20"/>
                <w:color w:val="auto"/>
              </w:rPr>
              <w:t>14,245,238</w:t>
            </w:r>
          </w:p>
        </w:tc>
      </w:tr>
      <w:tr>
        <w:trPr>
          <w:trHeight w:val="241"/>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Brazil</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6,570,850</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5,994,372</w:t>
            </w:r>
          </w:p>
        </w:tc>
      </w:tr>
      <w:tr>
        <w:trPr>
          <w:trHeight w:val="241"/>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India</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22,620,639</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22,189,317</w:t>
            </w:r>
          </w:p>
        </w:tc>
      </w:tr>
      <w:tr>
        <w:trPr>
          <w:trHeight w:val="240"/>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9,255,207</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12,137,925</w:t>
            </w:r>
          </w:p>
        </w:tc>
      </w:tr>
      <w:tr>
        <w:trPr>
          <w:trHeight w:val="268"/>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29,547,889</w:t>
            </w:r>
          </w:p>
        </w:tc>
        <w:tc>
          <w:tcPr>
            <w:tcW w:w="1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30,492,665</w:t>
            </w:r>
          </w:p>
        </w:tc>
      </w:tr>
      <w:tr>
        <w:trPr>
          <w:trHeight w:val="252"/>
        </w:trPr>
        <w:tc>
          <w:tcPr>
            <w:tcW w:w="27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net sales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$84,234,474</w:t>
            </w:r>
          </w:p>
        </w:tc>
        <w:tc>
          <w:tcPr>
            <w:tcW w:w="160" w:type="dxa"/>
            <w:vAlign w:val="bottom"/>
          </w:tcPr>
          <w:p>
            <w:pPr>
              <w:spacing w:after="0"/>
              <w:rPr>
                <w:sz w:val="21"/>
                <w:szCs w:val="21"/>
                <w:color w:val="auto"/>
              </w:rPr>
            </w:pP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85,059,517</w:t>
            </w:r>
          </w:p>
        </w:tc>
      </w:tr>
    </w:tbl>
    <w:p>
      <w:pPr>
        <w:spacing w:after="0" w:line="188"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20"/>
          <w:szCs w:val="20"/>
          <w:color w:val="auto"/>
        </w:rPr>
        <w:t>Long-lived assets consist of property and equipment. These assets are periodically reviewed to assure the net realizable value from the estimated future production based on forecasted sales exceeds the carrying value of the assets.</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1420" w:right="1440" w:bottom="382" w:gutter="0" w:footer="0" w:header="0"/>
          <w:type w:val="continuous"/>
        </w:sectPr>
      </w:pPr>
    </w:p>
    <w:bookmarkStart w:id="164" w:name="page165"/>
    <w:bookmarkEnd w:id="164"/>
    <w:p>
      <w:pPr>
        <w:ind w:right="360"/>
        <w:spacing w:after="0" w:line="291" w:lineRule="auto"/>
        <w:rPr>
          <w:sz w:val="20"/>
          <w:szCs w:val="20"/>
          <w:color w:val="auto"/>
        </w:rPr>
      </w:pPr>
      <w:r>
        <w:rPr>
          <w:rFonts w:ascii="Times New Roman" w:cs="Times New Roman" w:eastAsia="Times New Roman" w:hAnsi="Times New Roman"/>
          <w:sz w:val="20"/>
          <w:szCs w:val="20"/>
          <w:color w:val="auto"/>
        </w:rPr>
        <w:t>All joint venture operations, including equity in income, fees for services and related dividends, are primarily related to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services.</w:t>
      </w:r>
    </w:p>
    <w:p>
      <w:pPr>
        <w:spacing w:after="0" w:line="68" w:lineRule="exact"/>
        <w:rPr>
          <w:sz w:val="20"/>
          <w:szCs w:val="20"/>
          <w:color w:val="auto"/>
        </w:rPr>
      </w:pPr>
    </w:p>
    <w:p>
      <w:pPr>
        <w:ind w:left="1000" w:hanging="1000"/>
        <w:spacing w:after="0"/>
        <w:tabs>
          <w:tab w:leader="none" w:pos="100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RETIREMENT PLAN</w:t>
      </w:r>
    </w:p>
    <w:p>
      <w:pPr>
        <w:spacing w:after="0" w:line="244"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20"/>
          <w:szCs w:val="20"/>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$339,319 and $332,726 for fiscal 2025 and fiscal 2024, respectively.</w:t>
      </w:r>
    </w:p>
    <w:p>
      <w:pPr>
        <w:spacing w:after="0" w:line="191" w:lineRule="exact"/>
        <w:rPr>
          <w:sz w:val="20"/>
          <w:szCs w:val="20"/>
          <w:color w:val="auto"/>
        </w:rPr>
      </w:pPr>
    </w:p>
    <w:p>
      <w:pPr>
        <w:ind w:left="1000" w:hanging="999"/>
        <w:spacing w:after="0"/>
        <w:tabs>
          <w:tab w:leader="none" w:pos="100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243" w:lineRule="exact"/>
        <w:rPr>
          <w:sz w:val="20"/>
          <w:szCs w:val="20"/>
          <w:color w:val="auto"/>
        </w:rPr>
      </w:pPr>
    </w:p>
    <w:p>
      <w:pPr>
        <w:ind w:right="880"/>
        <w:spacing w:after="0" w:line="268" w:lineRule="auto"/>
        <w:rPr>
          <w:sz w:val="20"/>
          <w:szCs w:val="20"/>
          <w:color w:val="auto"/>
        </w:rPr>
      </w:pPr>
      <w:r>
        <w:rPr>
          <w:rFonts w:ascii="Times New Roman" w:cs="Times New Roman" w:eastAsia="Times New Roman" w:hAnsi="Times New Roman"/>
          <w:sz w:val="20"/>
          <w:szCs w:val="20"/>
          <w:color w:val="auto"/>
        </w:rPr>
        <w:t>During both fiscal 2025 and fiscal 2024, the Company made consulting payments of $144,000 to Bioplastic Polymers LLC, an entity owned by Ramani Narayan, Ph.D., a director of the Company. Dr. Narayan provides certain consulting services to the Company relating to the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business and bioplastics program.</w:t>
      </w:r>
    </w:p>
    <w:p>
      <w:pPr>
        <w:spacing w:after="0" w:line="91" w:lineRule="exact"/>
        <w:rPr>
          <w:sz w:val="20"/>
          <w:szCs w:val="20"/>
          <w:color w:val="auto"/>
        </w:rPr>
      </w:pPr>
    </w:p>
    <w:p>
      <w:pPr>
        <w:ind w:left="1000" w:hanging="1000"/>
        <w:spacing w:after="0"/>
        <w:tabs>
          <w:tab w:leader="none" w:pos="100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provision for income taxes for the fiscal years ended August 31, 2025 and 2024 was approximately as follows:</w:t>
      </w:r>
    </w:p>
    <w:p>
      <w:pPr>
        <w:spacing w:after="0" w:line="239" w:lineRule="exact"/>
        <w:rPr>
          <w:sz w:val="20"/>
          <w:szCs w:val="20"/>
          <w:color w:val="auto"/>
        </w:rPr>
      </w:pPr>
    </w:p>
    <w:tbl>
      <w:tblPr>
        <w:tblLayout w:type="fixed"/>
        <w:tblInd w:w="2640" w:type="dxa"/>
        <w:tblCellMar>
          <w:top w:w="0" w:type="dxa"/>
          <w:left w:w="0" w:type="dxa"/>
          <w:bottom w:w="0" w:type="dxa"/>
          <w:right w:w="0" w:type="dxa"/>
        </w:tblCellMar>
      </w:tblPr>
      <w:tr>
        <w:trPr>
          <w:trHeight w:val="228"/>
        </w:trPr>
        <w:tc>
          <w:tcPr>
            <w:tcW w:w="1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Current:</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4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Federal</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State</w:t>
            </w:r>
          </w:p>
        </w:tc>
        <w:tc>
          <w:tcPr>
            <w:tcW w:w="280" w:type="dxa"/>
            <w:vAlign w:val="bottom"/>
          </w:tcPr>
          <w:p>
            <w:pPr>
              <w:spacing w:after="0"/>
              <w:rPr>
                <w:sz w:val="20"/>
                <w:szCs w:val="20"/>
                <w:color w:val="auto"/>
              </w:rPr>
            </w:pPr>
          </w:p>
        </w:tc>
        <w:tc>
          <w:tcPr>
            <w:tcW w:w="14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69,000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color w:val="auto"/>
              </w:rPr>
              <w:t>1,823,000</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1,601,000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Deferred:</w:t>
            </w:r>
          </w:p>
        </w:tc>
        <w:tc>
          <w:tcPr>
            <w:tcW w:w="280" w:type="dxa"/>
            <w:vAlign w:val="bottom"/>
          </w:tcPr>
          <w:p>
            <w:pPr>
              <w:spacing w:after="0"/>
              <w:rPr>
                <w:sz w:val="23"/>
                <w:szCs w:val="23"/>
                <w:color w:val="auto"/>
              </w:rPr>
            </w:pPr>
          </w:p>
        </w:tc>
        <w:tc>
          <w:tcPr>
            <w:tcW w:w="14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1,892,000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Federal</w:t>
            </w:r>
          </w:p>
        </w:tc>
        <w:tc>
          <w:tcPr>
            <w:tcW w:w="280" w:type="dxa"/>
            <w:vAlign w:val="bottom"/>
          </w:tcPr>
          <w:p>
            <w:pPr>
              <w:spacing w:after="0"/>
              <w:rPr>
                <w:sz w:val="19"/>
                <w:szCs w:val="19"/>
                <w:color w:val="auto"/>
              </w:rPr>
            </w:pPr>
          </w:p>
        </w:tc>
        <w:tc>
          <w:tcPr>
            <w:tcW w:w="14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State</w:t>
            </w:r>
          </w:p>
        </w:tc>
        <w:tc>
          <w:tcPr>
            <w:tcW w:w="280" w:type="dxa"/>
            <w:vAlign w:val="bottom"/>
          </w:tcPr>
          <w:p>
            <w:pPr>
              <w:spacing w:after="0"/>
              <w:rPr>
                <w:sz w:val="20"/>
                <w:szCs w:val="20"/>
                <w:color w:val="auto"/>
              </w:rPr>
            </w:pPr>
          </w:p>
        </w:tc>
        <w:tc>
          <w:tcPr>
            <w:tcW w:w="14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Pr>
          <w:p>
            <w:pPr>
              <w:spacing w:after="0"/>
              <w:rPr>
                <w:sz w:val="21"/>
                <w:szCs w:val="21"/>
                <w:color w:val="auto"/>
              </w:rPr>
            </w:pPr>
          </w:p>
        </w:tc>
        <w:tc>
          <w:tcPr>
            <w:tcW w:w="146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153,002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(323,203)</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color w:val="auto"/>
              </w:rPr>
              <w:t>153,002</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(323,203)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color w:val="auto"/>
              </w:rPr>
              <w:t>2,045,002</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1,325,797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780"/>
        <w:spacing w:after="0" w:line="278" w:lineRule="auto"/>
        <w:rPr>
          <w:sz w:val="20"/>
          <w:szCs w:val="20"/>
          <w:color w:val="auto"/>
        </w:rPr>
      </w:pPr>
      <w:r>
        <w:rPr>
          <w:rFonts w:ascii="Times New Roman" w:cs="Times New Roman" w:eastAsia="Times New Roman" w:hAnsi="Times New Roman"/>
          <w:sz w:val="20"/>
          <w:szCs w:val="20"/>
          <w:color w:val="auto"/>
        </w:rPr>
        <w:t>Reconciliations of the expected federal income tax at the statutory rate of 21.0% with the provisions for income taxes for the fiscal years ended August 31, 2025 and 2024 were approximately as follows:</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5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4"/>
          </w:tcPr>
          <w:p>
            <w:pPr>
              <w:jc w:val="right"/>
              <w:ind w:right="961"/>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r>
      <w:tr>
        <w:trPr>
          <w:trHeight w:val="226"/>
        </w:trPr>
        <w:tc>
          <w:tcPr>
            <w:tcW w:w="5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1"/>
        </w:trPr>
        <w:tc>
          <w:tcPr>
            <w:tcW w:w="5280" w:type="dxa"/>
            <w:vAlign w:val="bottom"/>
            <w:gridSpan w:val="2"/>
          </w:tcPr>
          <w:p>
            <w:pPr>
              <w:spacing w:after="0" w:line="211" w:lineRule="exact"/>
              <w:rPr>
                <w:sz w:val="20"/>
                <w:szCs w:val="20"/>
                <w:color w:val="auto"/>
              </w:rPr>
            </w:pPr>
            <w:r>
              <w:rPr>
                <w:rFonts w:ascii="Times New Roman" w:cs="Times New Roman" w:eastAsia="Times New Roman" w:hAnsi="Times New Roman"/>
                <w:sz w:val="20"/>
                <w:szCs w:val="20"/>
                <w:color w:val="auto"/>
              </w:rPr>
              <w:t>Tax computed at statutory rates</w:t>
            </w:r>
          </w:p>
        </w:tc>
        <w:tc>
          <w:tcPr>
            <w:tcW w:w="500" w:type="dxa"/>
            <w:vAlign w:val="bottom"/>
          </w:tcPr>
          <w:p>
            <w:pPr>
              <w:jc w:val="right"/>
              <w:ind w:right="260"/>
              <w:spacing w:after="0" w:line="211"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ind w:right="321"/>
              <w:spacing w:after="0" w:line="211" w:lineRule="exact"/>
              <w:rPr>
                <w:sz w:val="20"/>
                <w:szCs w:val="20"/>
                <w:color w:val="auto"/>
              </w:rPr>
            </w:pPr>
            <w:r>
              <w:rPr>
                <w:rFonts w:ascii="Times New Roman" w:cs="Times New Roman" w:eastAsia="Times New Roman" w:hAnsi="Times New Roman"/>
                <w:sz w:val="20"/>
                <w:szCs w:val="20"/>
                <w:color w:val="auto"/>
              </w:rPr>
              <w:t>647,000</w:t>
            </w:r>
          </w:p>
        </w:tc>
        <w:tc>
          <w:tcPr>
            <w:tcW w:w="80" w:type="dxa"/>
            <w:vAlign w:val="bottom"/>
          </w:tcPr>
          <w:p>
            <w:pPr>
              <w:spacing w:after="0"/>
              <w:rPr>
                <w:sz w:val="18"/>
                <w:szCs w:val="18"/>
                <w:color w:val="auto"/>
              </w:rPr>
            </w:pPr>
          </w:p>
        </w:tc>
        <w:tc>
          <w:tcPr>
            <w:tcW w:w="480" w:type="dxa"/>
            <w:vAlign w:val="bottom"/>
          </w:tcPr>
          <w:p>
            <w:pPr>
              <w:jc w:val="right"/>
              <w:ind w:right="28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Pr>
          <w:p>
            <w:pPr>
              <w:jc w:val="right"/>
              <w:ind w:right="441"/>
              <w:spacing w:after="0" w:line="211" w:lineRule="exact"/>
              <w:rPr>
                <w:sz w:val="20"/>
                <w:szCs w:val="20"/>
                <w:color w:val="auto"/>
              </w:rPr>
            </w:pPr>
            <w:r>
              <w:rPr>
                <w:rFonts w:ascii="Times New Roman" w:cs="Times New Roman" w:eastAsia="Times New Roman" w:hAnsi="Times New Roman"/>
                <w:sz w:val="20"/>
                <w:szCs w:val="20"/>
                <w:color w:val="auto"/>
              </w:rPr>
              <w:t>1,627,000</w:t>
            </w:r>
          </w:p>
        </w:tc>
      </w:tr>
      <w:tr>
        <w:trPr>
          <w:trHeight w:val="229"/>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income tax, net of federal benefit</w:t>
            </w:r>
          </w:p>
        </w:tc>
        <w:tc>
          <w:tcPr>
            <w:tcW w:w="500" w:type="dxa"/>
            <w:vAlign w:val="bottom"/>
          </w:tcPr>
          <w:p>
            <w:pPr>
              <w:spacing w:after="0"/>
              <w:rPr>
                <w:sz w:val="19"/>
                <w:szCs w:val="19"/>
                <w:color w:val="auto"/>
              </w:rPr>
            </w:pPr>
          </w:p>
        </w:tc>
        <w:tc>
          <w:tcPr>
            <w:tcW w:w="156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120,000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21,000</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effect on equity in income of international joint ventures</w:t>
            </w:r>
          </w:p>
        </w:tc>
        <w:tc>
          <w:tcPr>
            <w:tcW w:w="500" w:type="dxa"/>
            <w:vAlign w:val="bottom"/>
          </w:tcPr>
          <w:p>
            <w:pPr>
              <w:spacing w:after="0"/>
              <w:rPr>
                <w:sz w:val="20"/>
                <w:szCs w:val="20"/>
                <w:color w:val="auto"/>
              </w:rPr>
            </w:pPr>
          </w:p>
        </w:tc>
        <w:tc>
          <w:tcPr>
            <w:tcW w:w="15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(742,000)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(887,000)</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effect of foreign operations</w:t>
            </w:r>
          </w:p>
        </w:tc>
        <w:tc>
          <w:tcPr>
            <w:tcW w:w="500" w:type="dxa"/>
            <w:vAlign w:val="bottom"/>
          </w:tcPr>
          <w:p>
            <w:pPr>
              <w:spacing w:after="0"/>
              <w:rPr>
                <w:sz w:val="20"/>
                <w:szCs w:val="20"/>
                <w:color w:val="auto"/>
              </w:rPr>
            </w:pPr>
          </w:p>
        </w:tc>
        <w:tc>
          <w:tcPr>
            <w:tcW w:w="156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875,000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371,000</w:t>
            </w:r>
          </w:p>
        </w:tc>
      </w:tr>
      <w:tr>
        <w:trPr>
          <w:trHeight w:val="229"/>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Deemed repatriation</w:t>
            </w:r>
          </w:p>
        </w:tc>
        <w:tc>
          <w:tcPr>
            <w:tcW w:w="500" w:type="dxa"/>
            <w:vAlign w:val="bottom"/>
          </w:tcPr>
          <w:p>
            <w:pPr>
              <w:spacing w:after="0"/>
              <w:rPr>
                <w:sz w:val="19"/>
                <w:szCs w:val="19"/>
                <w:color w:val="auto"/>
              </w:rPr>
            </w:pPr>
          </w:p>
        </w:tc>
        <w:tc>
          <w:tcPr>
            <w:tcW w:w="156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26,000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4,000</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tax credit</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(321,000)</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Research and development credit</w:t>
            </w:r>
          </w:p>
        </w:tc>
        <w:tc>
          <w:tcPr>
            <w:tcW w:w="500" w:type="dxa"/>
            <w:vAlign w:val="bottom"/>
          </w:tcPr>
          <w:p>
            <w:pPr>
              <w:spacing w:after="0"/>
              <w:rPr>
                <w:sz w:val="20"/>
                <w:szCs w:val="20"/>
                <w:color w:val="auto"/>
              </w:rPr>
            </w:pPr>
          </w:p>
        </w:tc>
        <w:tc>
          <w:tcPr>
            <w:tcW w:w="15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(138,000)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(512,000)</w:t>
            </w:r>
          </w:p>
        </w:tc>
      </w:tr>
      <w:tr>
        <w:trPr>
          <w:trHeight w:val="229"/>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500" w:type="dxa"/>
            <w:vAlign w:val="bottom"/>
          </w:tcPr>
          <w:p>
            <w:pPr>
              <w:spacing w:after="0"/>
              <w:rPr>
                <w:sz w:val="19"/>
                <w:szCs w:val="19"/>
                <w:color w:val="auto"/>
              </w:rPr>
            </w:pPr>
          </w:p>
        </w:tc>
        <w:tc>
          <w:tcPr>
            <w:tcW w:w="156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1,363,000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1,066,000</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 based compensation</w:t>
            </w:r>
          </w:p>
        </w:tc>
        <w:tc>
          <w:tcPr>
            <w:tcW w:w="500" w:type="dxa"/>
            <w:vAlign w:val="bottom"/>
          </w:tcPr>
          <w:p>
            <w:pPr>
              <w:spacing w:after="0"/>
              <w:rPr>
                <w:sz w:val="20"/>
                <w:szCs w:val="20"/>
                <w:color w:val="auto"/>
              </w:rPr>
            </w:pPr>
          </w:p>
        </w:tc>
        <w:tc>
          <w:tcPr>
            <w:tcW w:w="156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77,002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175,000</w:t>
            </w:r>
          </w:p>
        </w:tc>
      </w:tr>
      <w:tr>
        <w:trPr>
          <w:trHeight w:val="229"/>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500" w:type="dxa"/>
            <w:vAlign w:val="bottom"/>
          </w:tcPr>
          <w:p>
            <w:pPr>
              <w:spacing w:after="0"/>
              <w:rPr>
                <w:sz w:val="19"/>
                <w:szCs w:val="19"/>
                <w:color w:val="auto"/>
              </w:rPr>
            </w:pPr>
          </w:p>
        </w:tc>
        <w:tc>
          <w:tcPr>
            <w:tcW w:w="15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(62,000)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2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(71,000)</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Prior year true-up</w:t>
            </w:r>
          </w:p>
        </w:tc>
        <w:tc>
          <w:tcPr>
            <w:tcW w:w="500" w:type="dxa"/>
            <w:vAlign w:val="bottom"/>
          </w:tcPr>
          <w:p>
            <w:pPr>
              <w:spacing w:after="0"/>
              <w:rPr>
                <w:sz w:val="20"/>
                <w:szCs w:val="20"/>
                <w:color w:val="auto"/>
              </w:rPr>
            </w:pPr>
          </w:p>
        </w:tc>
        <w:tc>
          <w:tcPr>
            <w:tcW w:w="15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(112,000)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(146,000)</w:t>
            </w:r>
          </w:p>
        </w:tc>
      </w:tr>
      <w:tr>
        <w:trPr>
          <w:trHeight w:val="269"/>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5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(9,000)</w:t>
            </w:r>
          </w:p>
        </w:tc>
        <w:tc>
          <w:tcPr>
            <w:tcW w:w="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(1,203)</w:t>
            </w:r>
          </w:p>
        </w:tc>
      </w:tr>
      <w:tr>
        <w:trPr>
          <w:trHeight w:val="250"/>
        </w:trPr>
        <w:tc>
          <w:tcPr>
            <w:tcW w:w="5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2,045,002</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1,325,797</w:t>
            </w:r>
          </w:p>
        </w:tc>
      </w:tr>
      <w:tr>
        <w:trPr>
          <w:trHeight w:val="20"/>
        </w:trPr>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720"/>
          </w:cols>
          <w:pgMar w:left="1440" w:top="1420" w:right="1080" w:bottom="382"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color w:val="auto"/>
        </w:rPr>
        <w:t>The Company has not provided U.S. income taxes or foreign withholding taxes with respect to its portion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cumulative undistributed earnings of certain foreign subsidiaries and joint ventures that are essentially permanent in</w:t>
      </w:r>
    </w:p>
    <w:p>
      <w:pPr>
        <w:spacing w:after="0"/>
        <w:rPr>
          <w:sz w:val="20"/>
          <w:szCs w:val="20"/>
          <w:color w:val="auto"/>
        </w:rPr>
      </w:pPr>
      <w:r>
        <w:rPr>
          <w:rFonts w:ascii="Times New Roman" w:cs="Times New Roman" w:eastAsia="Times New Roman" w:hAnsi="Times New Roman"/>
          <w:sz w:val="20"/>
          <w:szCs w:val="20"/>
          <w:color w:val="auto"/>
        </w:rPr>
        <w:t>duration. As a result of the 2017 tax law changes, U.S. federal income taxes on dividends received from the</w:t>
      </w:r>
    </w:p>
    <w:p>
      <w:pPr>
        <w:spacing w:after="0"/>
        <w:rPr>
          <w:sz w:val="20"/>
          <w:szCs w:val="20"/>
          <w:color w:val="auto"/>
        </w:rPr>
      </w:pPr>
      <w:r>
        <w:rPr>
          <w:rFonts w:ascii="Times New Roman" w:cs="Times New Roman" w:eastAsia="Times New Roman" w:hAnsi="Times New Roman"/>
          <w:sz w:val="20"/>
          <w:szCs w:val="20"/>
          <w:color w:val="auto"/>
        </w:rPr>
        <w:t>Company’s foreign subsidiaries and joint ventures after December 31, 2017 have been generally eliminated.</w:t>
      </w:r>
    </w:p>
    <w:p>
      <w:pPr>
        <w:spacing w:after="0"/>
        <w:rPr>
          <w:sz w:val="20"/>
          <w:szCs w:val="20"/>
          <w:color w:val="auto"/>
        </w:rPr>
      </w:pPr>
      <w:r>
        <w:rPr>
          <w:rFonts w:ascii="Times New Roman" w:cs="Times New Roman" w:eastAsia="Times New Roman" w:hAnsi="Times New Roman"/>
          <w:sz w:val="20"/>
          <w:szCs w:val="20"/>
          <w:color w:val="auto"/>
        </w:rPr>
        <w:t>However, the Company continues to be subject to foreign withholding taxes upon repatriation of any undistributed</w:t>
      </w:r>
    </w:p>
    <w:p>
      <w:pPr>
        <w:spacing w:after="0"/>
        <w:rPr>
          <w:sz w:val="20"/>
          <w:szCs w:val="20"/>
          <w:color w:val="auto"/>
        </w:rPr>
      </w:pPr>
      <w:r>
        <w:rPr>
          <w:rFonts w:ascii="Times New Roman" w:cs="Times New Roman" w:eastAsia="Times New Roman" w:hAnsi="Times New Roman"/>
          <w:sz w:val="20"/>
          <w:szCs w:val="20"/>
          <w:color w:val="auto"/>
        </w:rPr>
        <w:t>earnings that are not essentially permanent in duration. The Company recorded tax expense of approximately</w:t>
      </w:r>
    </w:p>
    <w:p>
      <w:pPr>
        <w:spacing w:after="0"/>
        <w:rPr>
          <w:sz w:val="20"/>
          <w:szCs w:val="20"/>
          <w:color w:val="auto"/>
        </w:rPr>
      </w:pPr>
      <w:r>
        <w:rPr>
          <w:rFonts w:ascii="Times New Roman" w:cs="Times New Roman" w:eastAsia="Times New Roman" w:hAnsi="Times New Roman"/>
          <w:sz w:val="20"/>
          <w:szCs w:val="20"/>
          <w:color w:val="auto"/>
        </w:rPr>
        <w:t>$200,000 in fiscal 2025 and a tax benefit of approximately $180,000 during fiscal 2024, representing changes in the</w:t>
      </w:r>
    </w:p>
    <w:p>
      <w:pPr>
        <w:spacing w:after="0"/>
        <w:rPr>
          <w:sz w:val="20"/>
          <w:szCs w:val="20"/>
          <w:color w:val="auto"/>
        </w:rPr>
      </w:pPr>
      <w:r>
        <w:rPr>
          <w:rFonts w:ascii="Times New Roman" w:cs="Times New Roman" w:eastAsia="Times New Roman" w:hAnsi="Times New Roman"/>
          <w:sz w:val="20"/>
          <w:szCs w:val="20"/>
          <w:color w:val="auto"/>
        </w:rPr>
        <w:t>deferred tax liability for foreign withholding taxes to be paid with respect to the portion of the cumulative</w:t>
      </w:r>
    </w:p>
    <w:p>
      <w:pPr>
        <w:spacing w:after="0"/>
        <w:rPr>
          <w:sz w:val="20"/>
          <w:szCs w:val="20"/>
          <w:color w:val="auto"/>
        </w:rPr>
      </w:pPr>
      <w:r>
        <w:rPr>
          <w:rFonts w:ascii="Times New Roman" w:cs="Times New Roman" w:eastAsia="Times New Roman" w:hAnsi="Times New Roman"/>
          <w:sz w:val="20"/>
          <w:szCs w:val="20"/>
          <w:color w:val="auto"/>
        </w:rPr>
        <w:t>undistributed earnings of foreign subsidiaries and joint ventures that the Company determined were not essentially</w:t>
      </w:r>
    </w:p>
    <w:p>
      <w:pPr>
        <w:spacing w:after="0"/>
        <w:rPr>
          <w:sz w:val="20"/>
          <w:szCs w:val="20"/>
          <w:color w:val="auto"/>
        </w:rPr>
      </w:pPr>
      <w:r>
        <w:rPr>
          <w:rFonts w:ascii="Times New Roman" w:cs="Times New Roman" w:eastAsia="Times New Roman" w:hAnsi="Times New Roman"/>
          <w:sz w:val="20"/>
          <w:szCs w:val="20"/>
          <w:color w:val="auto"/>
        </w:rPr>
        <w:t>permanent in duration.</w:t>
      </w:r>
    </w:p>
    <w:p>
      <w:pPr>
        <w:spacing w:after="0" w:line="21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The Company measures deferred tax assets and liabilities using enacted tax rates that will apply in the years in which the temporary differences are expected to be recovered or paid. The tax effect of the temporary differences and tax carryforwards comprising the net deferred taxes shown on the consolidated balance sheets as of August 31, 2025 and 2024 was approximately as follows:</w:t>
      </w:r>
    </w:p>
    <w:p>
      <w:pPr>
        <w:spacing w:after="0" w:line="19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August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3429000</wp:posOffset>
                </wp:positionH>
                <wp:positionV relativeFrom="paragraph">
                  <wp:posOffset>19050</wp:posOffset>
                </wp:positionV>
                <wp:extent cx="242760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27605"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pt,1.5pt" to="461.15pt,1.5pt" o:allowincell="f" strokecolor="#000000" strokeweight="0.959pt"/>
            </w:pict>
          </mc:Fallback>
        </mc:AlternateContent>
      </w:r>
    </w:p>
    <w:p>
      <w:pPr>
        <w:spacing w:after="0" w:line="19" w:lineRule="exact"/>
        <w:rPr>
          <w:sz w:val="20"/>
          <w:szCs w:val="20"/>
          <w:color w:val="auto"/>
        </w:rPr>
      </w:pPr>
    </w:p>
    <w:p>
      <w:pPr>
        <w:ind w:left="6340"/>
        <w:spacing w:after="0"/>
        <w:tabs>
          <w:tab w:leader="none" w:pos="82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3478530</wp:posOffset>
                </wp:positionH>
                <wp:positionV relativeFrom="paragraph">
                  <wp:posOffset>19050</wp:posOffset>
                </wp:positionV>
                <wp:extent cx="132969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96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9pt,1.5pt" to="378.6pt,1.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4857750</wp:posOffset>
                </wp:positionH>
                <wp:positionV relativeFrom="paragraph">
                  <wp:posOffset>19050</wp:posOffset>
                </wp:positionV>
                <wp:extent cx="99885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5pt,1.5pt" to="461.15pt,1.5pt" o:allowincell="f" strokecolor="#000000" strokeweight="0.96pt"/>
            </w:pict>
          </mc:Fallback>
        </mc:AlternateContent>
      </w:r>
    </w:p>
    <w:p>
      <w:pPr>
        <w:sectPr>
          <w:pgSz w:w="12240" w:h="15840" w:orient="portrait"/>
          <w:cols w:equalWidth="0" w:num="1">
            <w:col w:w="9360"/>
          </w:cols>
          <w:pgMar w:left="1440" w:top="1420" w:right="1440" w:bottom="382" w:gutter="0" w:footer="0" w:header="0"/>
        </w:sectPr>
      </w:pP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Stock-based compensation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Foreign tax credit carryforward</w:t>
      </w:r>
    </w:p>
    <w:p>
      <w:pPr>
        <w:ind w:left="200"/>
        <w:spacing w:after="0"/>
        <w:rPr>
          <w:sz w:val="20"/>
          <w:szCs w:val="20"/>
          <w:color w:val="auto"/>
        </w:rPr>
      </w:pPr>
      <w:r>
        <w:rPr>
          <w:rFonts w:ascii="Times New Roman" w:cs="Times New Roman" w:eastAsia="Times New Roman" w:hAnsi="Times New Roman"/>
          <w:sz w:val="20"/>
          <w:szCs w:val="20"/>
          <w:color w:val="auto"/>
        </w:rPr>
        <w:t>Capitalized research and experimentation</w:t>
      </w:r>
    </w:p>
    <w:p>
      <w:pPr>
        <w:ind w:left="200"/>
        <w:spacing w:after="0"/>
        <w:rPr>
          <w:sz w:val="20"/>
          <w:szCs w:val="20"/>
          <w:color w:val="auto"/>
        </w:rPr>
      </w:pPr>
      <w:r>
        <w:rPr>
          <w:rFonts w:ascii="Times New Roman" w:cs="Times New Roman" w:eastAsia="Times New Roman" w:hAnsi="Times New Roman"/>
          <w:sz w:val="20"/>
          <w:szCs w:val="20"/>
          <w:color w:val="auto"/>
        </w:rPr>
        <w:t>Other credit and loss carryforward</w:t>
      </w:r>
    </w:p>
    <w:p>
      <w:pPr>
        <w:ind w:left="200"/>
        <w:spacing w:after="0"/>
        <w:rPr>
          <w:sz w:val="20"/>
          <w:szCs w:val="20"/>
          <w:color w:val="auto"/>
        </w:rPr>
      </w:pPr>
      <w:r>
        <w:rPr>
          <w:rFonts w:ascii="Times New Roman" w:cs="Times New Roman" w:eastAsia="Times New Roman" w:hAnsi="Times New Roman"/>
          <w:sz w:val="20"/>
          <w:szCs w:val="20"/>
          <w:color w:val="auto"/>
        </w:rPr>
        <w:t>Capital loss carryforward</w:t>
      </w:r>
    </w:p>
    <w:p>
      <w:pPr>
        <w:ind w:left="200"/>
        <w:spacing w:after="0"/>
        <w:rPr>
          <w:sz w:val="20"/>
          <w:szCs w:val="20"/>
          <w:color w:val="auto"/>
        </w:rPr>
      </w:pPr>
      <w:r>
        <w:rPr>
          <w:rFonts w:ascii="Times New Roman" w:cs="Times New Roman" w:eastAsia="Times New Roman" w:hAnsi="Times New Roman"/>
          <w:sz w:val="20"/>
          <w:szCs w:val="20"/>
          <w:color w:val="auto"/>
        </w:rPr>
        <w:t>Interest expense limitation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Other</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Total deferred tax assets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Valuation allowance</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Total deferred tax assets after valuation allowance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Right-of-use asset</w:t>
      </w:r>
    </w:p>
    <w:p>
      <w:pPr>
        <w:ind w:left="200"/>
        <w:spacing w:after="0"/>
        <w:rPr>
          <w:sz w:val="20"/>
          <w:szCs w:val="20"/>
          <w:color w:val="auto"/>
        </w:rPr>
      </w:pPr>
      <w:r>
        <w:rPr>
          <w:rFonts w:ascii="Times New Roman" w:cs="Times New Roman" w:eastAsia="Times New Roman" w:hAnsi="Times New Roman"/>
          <w:sz w:val="20"/>
          <w:szCs w:val="20"/>
          <w:color w:val="auto"/>
        </w:rPr>
        <w:t>Intangible assets</w:t>
      </w:r>
    </w:p>
    <w:p>
      <w:pPr>
        <w:ind w:left="200"/>
        <w:spacing w:after="0"/>
        <w:rPr>
          <w:sz w:val="20"/>
          <w:szCs w:val="20"/>
          <w:color w:val="auto"/>
        </w:rPr>
      </w:pPr>
      <w:r>
        <w:rPr>
          <w:rFonts w:ascii="Times New Roman" w:cs="Times New Roman" w:eastAsia="Times New Roman" w:hAnsi="Times New Roman"/>
          <w:sz w:val="20"/>
          <w:szCs w:val="20"/>
          <w:color w:val="auto"/>
        </w:rPr>
        <w:t>Unremitted foreign earnings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Other</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Total deferred tax liabilities</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Net deferred tax liabilities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spacing w:after="0"/>
        <w:tabs>
          <w:tab w:leader="none" w:pos="8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797,000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2,814,400</w:t>
      </w:r>
    </w:p>
    <w:p>
      <w:pPr>
        <w:jc w:val="right"/>
        <w:ind w:right="60"/>
        <w:spacing w:after="0"/>
        <w:rPr>
          <w:sz w:val="20"/>
          <w:szCs w:val="20"/>
          <w:color w:val="auto"/>
        </w:rPr>
      </w:pPr>
      <w:r>
        <w:rPr>
          <w:rFonts w:ascii="Times New Roman" w:cs="Times New Roman" w:eastAsia="Times New Roman" w:hAnsi="Times New Roman"/>
          <w:sz w:val="20"/>
          <w:szCs w:val="20"/>
          <w:color w:val="auto"/>
        </w:rPr>
        <w:t>2,472,400</w:t>
      </w:r>
    </w:p>
    <w:p>
      <w:pPr>
        <w:jc w:val="right"/>
        <w:ind w:right="60"/>
        <w:spacing w:after="0"/>
        <w:rPr>
          <w:sz w:val="20"/>
          <w:szCs w:val="20"/>
          <w:color w:val="auto"/>
        </w:rPr>
      </w:pPr>
      <w:r>
        <w:rPr>
          <w:rFonts w:ascii="Times New Roman" w:cs="Times New Roman" w:eastAsia="Times New Roman" w:hAnsi="Times New Roman"/>
          <w:sz w:val="20"/>
          <w:szCs w:val="20"/>
          <w:color w:val="auto"/>
        </w:rPr>
        <w:t>6,757,900</w:t>
      </w:r>
    </w:p>
    <w:p>
      <w:pPr>
        <w:jc w:val="right"/>
        <w:ind w:right="60"/>
        <w:spacing w:after="0"/>
        <w:rPr>
          <w:sz w:val="20"/>
          <w:szCs w:val="20"/>
          <w:color w:val="auto"/>
        </w:rPr>
      </w:pPr>
      <w:r>
        <w:rPr>
          <w:rFonts w:ascii="Times New Roman" w:cs="Times New Roman" w:eastAsia="Times New Roman" w:hAnsi="Times New Roman"/>
          <w:sz w:val="20"/>
          <w:szCs w:val="20"/>
          <w:color w:val="auto"/>
        </w:rPr>
        <w:t>129,900</w:t>
      </w:r>
    </w:p>
    <w:p>
      <w:pPr>
        <w:jc w:val="right"/>
        <w:ind w:right="60"/>
        <w:spacing w:after="0"/>
        <w:rPr>
          <w:sz w:val="20"/>
          <w:szCs w:val="20"/>
          <w:color w:val="auto"/>
        </w:rPr>
      </w:pPr>
      <w:r>
        <w:rPr>
          <w:rFonts w:ascii="Times New Roman" w:cs="Times New Roman" w:eastAsia="Times New Roman" w:hAnsi="Times New Roman"/>
          <w:sz w:val="20"/>
          <w:szCs w:val="20"/>
          <w:color w:val="auto"/>
        </w:rPr>
        <w:t>71,300</w:t>
      </w:r>
    </w:p>
    <w:p>
      <w:pPr>
        <w:jc w:val="right"/>
        <w:ind w:right="60"/>
        <w:spacing w:after="0"/>
        <w:rPr>
          <w:sz w:val="20"/>
          <w:szCs w:val="20"/>
          <w:color w:val="auto"/>
        </w:rPr>
      </w:pPr>
      <w:r>
        <w:rPr>
          <w:rFonts w:ascii="Times New Roman" w:cs="Times New Roman" w:eastAsia="Times New Roman" w:hAnsi="Times New Roman"/>
          <w:sz w:val="20"/>
          <w:szCs w:val="20"/>
          <w:color w:val="auto"/>
        </w:rPr>
        <w:t>922,400</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13,965,300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-140970</wp:posOffset>
                </wp:positionV>
                <wp:extent cx="132905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90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11.0999pt" to="103.6pt,-11.0999pt" o:allowincell="f" strokecolor="#000000" strokeweight="0.48pt"/>
            </w:pict>
          </mc:Fallback>
        </mc:AlternateConten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(13,153,200)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812,100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-140970</wp:posOffset>
                </wp:positionV>
                <wp:extent cx="132905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90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11.0999pt" to="103.6pt,-11.0999pt" o:allowincell="f" strokecolor="#000000" strokeweight="0.4799pt"/>
            </w:pict>
          </mc:Fallback>
        </mc:AlternateConten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(51,900)</w:t>
      </w:r>
    </w:p>
    <w:p>
      <w:pPr>
        <w:jc w:val="right"/>
        <w:spacing w:after="0"/>
        <w:rPr>
          <w:sz w:val="20"/>
          <w:szCs w:val="20"/>
          <w:color w:val="auto"/>
        </w:rPr>
      </w:pPr>
      <w:r>
        <w:rPr>
          <w:rFonts w:ascii="Times New Roman" w:cs="Times New Roman" w:eastAsia="Times New Roman" w:hAnsi="Times New Roman"/>
          <w:sz w:val="20"/>
          <w:szCs w:val="20"/>
          <w:color w:val="auto"/>
        </w:rPr>
        <w:t>(1,457,700)</w:t>
      </w:r>
    </w:p>
    <w:p>
      <w:pPr>
        <w:jc w:val="right"/>
        <w:spacing w:after="0"/>
        <w:rPr>
          <w:sz w:val="20"/>
          <w:szCs w:val="20"/>
          <w:color w:val="auto"/>
        </w:rPr>
      </w:pPr>
      <w:r>
        <w:rPr>
          <w:rFonts w:ascii="Times New Roman" w:cs="Times New Roman" w:eastAsia="Times New Roman" w:hAnsi="Times New Roman"/>
          <w:sz w:val="20"/>
          <w:szCs w:val="20"/>
          <w:color w:val="auto"/>
        </w:rPr>
        <w:t>(234,600)</w:t>
      </w:r>
    </w:p>
    <w:p>
      <w:pPr>
        <w:jc w:val="right"/>
        <w:spacing w:after="0"/>
        <w:rPr>
          <w:sz w:val="20"/>
          <w:szCs w:val="20"/>
          <w:color w:val="auto"/>
        </w:rPr>
      </w:pPr>
      <w:r>
        <w:rPr>
          <w:rFonts w:ascii="Times New Roman" w:cs="Times New Roman" w:eastAsia="Times New Roman" w:hAnsi="Times New Roman"/>
          <w:sz w:val="20"/>
          <w:szCs w:val="20"/>
          <w:color w:val="auto"/>
        </w:rPr>
        <w:t>(77,491)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(1,821,691)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-141605</wp:posOffset>
                </wp:positionV>
                <wp:extent cx="132905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9055" cy="4763"/>
                        </a:xfrm>
                        <a:prstGeom prst="line">
                          <a:avLst/>
                        </a:prstGeom>
                        <a:solidFill>
                          <a:srgbClr val="FFFFFF"/>
                        </a:solidFill>
                        <a:ln w="6109">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11.1499pt" to="103.6pt,-11.1499pt" o:allowincell="f" strokecolor="#000000" strokeweight="0.481pt"/>
            </w:pict>
          </mc:Fallback>
        </mc:AlternateConten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(1,009,591)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-140970</wp:posOffset>
                </wp:positionV>
                <wp:extent cx="132905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90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11.0999pt" to="103.6pt,-11.0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-13335</wp:posOffset>
                </wp:positionH>
                <wp:positionV relativeFrom="paragraph">
                  <wp:posOffset>43180</wp:posOffset>
                </wp:positionV>
                <wp:extent cx="132905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905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3.4pt" to="103.6pt,3.4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-13335</wp:posOffset>
                </wp:positionH>
                <wp:positionV relativeFrom="paragraph">
                  <wp:posOffset>25400</wp:posOffset>
                </wp:positionV>
                <wp:extent cx="132905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905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2pt" to="103.6pt,2pt" o:allowincell="f" strokecolor="#000000" strokeweight="0.72pt"/>
            </w:pict>
          </mc:Fallback>
        </mc:AlternateConten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left="700" w:right="200" w:hanging="702"/>
        <w:spacing w:after="0" w:line="252" w:lineRule="auto"/>
        <w:tabs>
          <w:tab w:leader="none" w:pos="6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637,100 3,844,800 2,037,800 5,974,200</w:t>
      </w:r>
    </w:p>
    <w:p>
      <w:pPr>
        <w:spacing w:after="0" w:line="200" w:lineRule="exact"/>
        <w:rPr>
          <w:sz w:val="20"/>
          <w:szCs w:val="20"/>
          <w:color w:val="auto"/>
        </w:rPr>
      </w:pPr>
    </w:p>
    <w:p>
      <w:pPr>
        <w:spacing w:after="0" w:line="2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965,368</w:t>
      </w:r>
    </w:p>
    <w:p>
      <w:pPr>
        <w:spacing w:after="0" w:line="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13,459,268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-140970</wp:posOffset>
                </wp:positionV>
                <wp:extent cx="99822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1.0999pt" to="78.15pt,-11.0999pt" o:allowincell="f" strokecolor="#000000" strokeweight="0.48pt"/>
            </w:pict>
          </mc:Fallback>
        </mc:AlternateConten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(12,694,800)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764,468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-140970</wp:posOffset>
                </wp:positionV>
                <wp:extent cx="99822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1.0999pt" to="78.15pt,-11.0999pt" o:allowincell="f" strokecolor="#000000" strokeweight="0.4799pt"/>
            </w:pict>
          </mc:Fallback>
        </mc:AlternateContent>
      </w:r>
    </w:p>
    <w:p>
      <w:pPr>
        <w:spacing w:after="0" w:line="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20"/>
          <w:szCs w:val="20"/>
          <w:color w:val="auto"/>
        </w:rPr>
        <w:t>(64,700)</w:t>
      </w:r>
    </w:p>
    <w:p>
      <w:pPr>
        <w:jc w:val="right"/>
        <w:ind w:right="140"/>
        <w:spacing w:after="0"/>
        <w:rPr>
          <w:sz w:val="20"/>
          <w:szCs w:val="20"/>
          <w:color w:val="auto"/>
        </w:rPr>
      </w:pPr>
      <w:r>
        <w:rPr>
          <w:rFonts w:ascii="Times New Roman" w:cs="Times New Roman" w:eastAsia="Times New Roman" w:hAnsi="Times New Roman"/>
          <w:sz w:val="20"/>
          <w:szCs w:val="20"/>
          <w:color w:val="auto"/>
        </w:rPr>
        <w:t>(1,564,200)</w:t>
      </w:r>
    </w:p>
    <w:p>
      <w:pPr>
        <w:jc w:val="right"/>
        <w:ind w:right="140"/>
        <w:spacing w:after="0"/>
        <w:rPr>
          <w:sz w:val="20"/>
          <w:szCs w:val="20"/>
          <w:color w:val="auto"/>
        </w:rPr>
      </w:pPr>
      <w:r>
        <w:rPr>
          <w:rFonts w:ascii="Times New Roman" w:cs="Times New Roman" w:eastAsia="Times New Roman" w:hAnsi="Times New Roman"/>
          <w:sz w:val="20"/>
          <w:szCs w:val="20"/>
          <w:color w:val="auto"/>
        </w:rPr>
        <w:t>(34,800)</w:t>
      </w:r>
    </w:p>
    <w:p>
      <w:pPr>
        <w:jc w:val="right"/>
        <w:ind w:right="140"/>
        <w:spacing w:after="0"/>
        <w:rPr>
          <w:sz w:val="20"/>
          <w:szCs w:val="20"/>
          <w:color w:val="auto"/>
        </w:rPr>
      </w:pPr>
      <w:r>
        <w:rPr>
          <w:rFonts w:ascii="Times New Roman" w:cs="Times New Roman" w:eastAsia="Times New Roman" w:hAnsi="Times New Roman"/>
          <w:sz w:val="20"/>
          <w:szCs w:val="20"/>
          <w:color w:val="auto"/>
        </w:rPr>
        <w:t>(61,100)</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(1,724,800)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-141605</wp:posOffset>
                </wp:positionV>
                <wp:extent cx="99822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6109">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1.1499pt" to="78.15pt,-11.1499pt" o:allowincell="f" strokecolor="#000000" strokeweight="0.481pt"/>
            </w:pict>
          </mc:Fallback>
        </mc:AlternateConten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(960,332)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-133985</wp:posOffset>
                </wp:positionV>
                <wp:extent cx="99822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0.5499pt" to="78.15pt,-10.5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50800</wp:posOffset>
                </wp:positionV>
                <wp:extent cx="99822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4pt" to="78.15pt,4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32385</wp:posOffset>
                </wp:positionV>
                <wp:extent cx="99822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55pt" to="78.15pt,2.55pt" o:allowincell="f" strokecolor="#000000" strokeweight="0.72pt"/>
            </w:pict>
          </mc:Fallback>
        </mc:AlternateContent>
      </w:r>
    </w:p>
    <w:p>
      <w:pPr>
        <w:spacing w:after="0" w:line="270" w:lineRule="exact"/>
        <w:rPr>
          <w:sz w:val="20"/>
          <w:szCs w:val="20"/>
          <w:color w:val="auto"/>
        </w:rPr>
      </w:pPr>
    </w:p>
    <w:p>
      <w:pPr>
        <w:sectPr>
          <w:pgSz w:w="12240" w:h="15840" w:orient="portrait"/>
          <w:cols w:equalWidth="0" w:num="3">
            <w:col w:w="4780" w:space="720"/>
            <w:col w:w="1580" w:space="580"/>
            <w:col w:w="1700"/>
          </w:cols>
          <w:pgMar w:left="1440" w:top="1420" w:right="1440" w:bottom="382" w:gutter="0" w:footer="0" w:header="0"/>
          <w:type w:val="continuous"/>
        </w:sectPr>
      </w:pPr>
    </w:p>
    <w:p>
      <w:pPr>
        <w:spacing w:after="0" w:line="3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As of August 31, 2025, the Company has foreign tax credit carryforwards of $2,814,400. This amount begins to expire to the extent not utilized by August 31, 2026. In addition, the Company had federal and state tax credit carryforwards of $5,575,300 as of August 31, 2025, which begin to expire in fiscal 2026. These federal and state tax credit carryforwards consist primarily of federal and Minnesota research and development credit carryforwards. The Company also has a deferred tax asset of $832,700 for federal net operating loss carryforwards and $330,100 for state net operating loss carryforwards as of August 31, 2025. The federal net operating loss carryforward has an indefinite carryforward period. The state net operating loss carryforward will begin to expire to the extent not utilized by August 31, 2026. The Company has a deferred tax asset of $441,600 for foreign net operating loss carryforwards, which will begin to expire to the extent not utilized by August 31, 2033.</w:t>
      </w:r>
    </w:p>
    <w:p>
      <w:pPr>
        <w:spacing w:after="0" w:line="206"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color w:val="auto"/>
        </w:rPr>
        <w:t>The Company records a tax valuation allowance to reduce deferred tax assets to the amount expected to be realized when it is more likely than not that some portion or all of its deferred tax assets will not be realized.</w:t>
      </w:r>
    </w:p>
    <w:p>
      <w:pPr>
        <w:spacing w:after="0" w:line="16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Company determined based on all available evidence, including historical data and projections of future results, that it is more likely than not that its domestic deferred tax assets will not be realized due to the absence of objectively verifiable sources of taxable income. On the basis of this evaluation, the Company has recorded a valuation allowance of $13,153,200 and $12,694,800 as of August 31, 2025 and 2024, respectively, to recognize only the portion of the deferred tax assets that is more likely than not to be realized. The net deferred tax asset as of August 31, 2025 and 2024 relates entirely to non-US deferred tax assets which are expected to be realized offset by deferred tax liability for withholding tax on cumulative undistributed earnings in foreign subsidiaries and joint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1420" w:right="1440" w:bottom="382" w:gutter="0" w:footer="0" w:header="0"/>
          <w:type w:val="continuous"/>
        </w:sectPr>
      </w:pPr>
    </w:p>
    <w:bookmarkStart w:id="166" w:name="page167"/>
    <w:bookmarkEnd w:id="166"/>
    <w:p>
      <w:pPr>
        <w:ind w:right="500"/>
        <w:spacing w:after="0" w:line="278" w:lineRule="auto"/>
        <w:rPr>
          <w:sz w:val="20"/>
          <w:szCs w:val="20"/>
          <w:color w:val="auto"/>
        </w:rPr>
      </w:pPr>
      <w:r>
        <w:rPr>
          <w:rFonts w:ascii="Times New Roman" w:cs="Times New Roman" w:eastAsia="Times New Roman" w:hAnsi="Times New Roman"/>
          <w:sz w:val="20"/>
          <w:szCs w:val="20"/>
          <w:color w:val="auto"/>
        </w:rPr>
        <w:t>ventures that the Company determined were not essentially permanent. The change in the valuation allowance totaled an increase of $458,400 and $761,100 for the years ended August 31, 2025 and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tabular reconciliation of the total amounts of approximated unrecognized tax benefits:</w:t>
      </w:r>
    </w:p>
    <w:p>
      <w:pPr>
        <w:spacing w:after="0" w:line="239"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5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Gross unrecognized tax benefits – beginning balance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240" w:type="dxa"/>
            <w:vAlign w:val="bottom"/>
            <w:vMerge w:val="continue"/>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ind w:right="123"/>
              <w:spacing w:after="0" w:line="201" w:lineRule="exact"/>
              <w:rPr>
                <w:sz w:val="20"/>
                <w:szCs w:val="20"/>
                <w:color w:val="auto"/>
              </w:rPr>
            </w:pPr>
            <w:r>
              <w:rPr>
                <w:rFonts w:ascii="Times New Roman" w:cs="Times New Roman" w:eastAsia="Times New Roman" w:hAnsi="Times New Roman"/>
                <w:sz w:val="20"/>
                <w:szCs w:val="20"/>
                <w:color w:val="auto"/>
              </w:rPr>
              <w:t>399,300</w:t>
            </w:r>
          </w:p>
        </w:tc>
        <w:tc>
          <w:tcPr>
            <w:tcW w:w="80" w:type="dxa"/>
            <w:vAlign w:val="bottom"/>
          </w:tcPr>
          <w:p>
            <w:pPr>
              <w:spacing w:after="0"/>
              <w:rPr>
                <w:sz w:val="17"/>
                <w:szCs w:val="17"/>
                <w:color w:val="auto"/>
              </w:rPr>
            </w:pPr>
          </w:p>
        </w:tc>
        <w:tc>
          <w:tcPr>
            <w:tcW w:w="300" w:type="dxa"/>
            <w:vAlign w:val="bottom"/>
          </w:tcPr>
          <w:p>
            <w:pPr>
              <w:jc w:val="right"/>
              <w:ind w:right="10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ind w:right="142"/>
              <w:spacing w:after="0" w:line="201" w:lineRule="exact"/>
              <w:rPr>
                <w:sz w:val="20"/>
                <w:szCs w:val="20"/>
                <w:color w:val="auto"/>
              </w:rPr>
            </w:pPr>
            <w:r>
              <w:rPr>
                <w:rFonts w:ascii="Times New Roman" w:cs="Times New Roman" w:eastAsia="Times New Roman" w:hAnsi="Times New Roman"/>
                <w:sz w:val="20"/>
                <w:szCs w:val="20"/>
                <w:color w:val="auto"/>
              </w:rPr>
              <w:t>361,200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Gross (decreases) increases – prior period tax positions</w:t>
            </w:r>
          </w:p>
        </w:tc>
        <w:tc>
          <w:tcPr>
            <w:tcW w:w="200" w:type="dxa"/>
            <w:vAlign w:val="bottom"/>
          </w:tcPr>
          <w:p>
            <w:pPr>
              <w:spacing w:after="0"/>
              <w:rPr>
                <w:sz w:val="20"/>
                <w:szCs w:val="20"/>
                <w:color w:val="auto"/>
              </w:rPr>
            </w:pPr>
          </w:p>
        </w:tc>
        <w:tc>
          <w:tcPr>
            <w:tcW w:w="118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(17,400)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(5,400)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Gross increases – current period tax positions</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20"/>
                <w:szCs w:val="20"/>
                <w:color w:val="auto"/>
              </w:rPr>
              <w:t>40,000</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43,500</w:t>
            </w:r>
          </w:p>
        </w:tc>
        <w:tc>
          <w:tcPr>
            <w:tcW w:w="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Gross unrecognized tax benefits – ending balance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20"/>
                <w:szCs w:val="20"/>
                <w:color w:val="auto"/>
              </w:rPr>
              <w:t>421,900</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399,300</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color w:val="auto"/>
        </w:rPr>
        <w:t>The entire amount of unrecognized tax benefits would affect the effective tax rate if recognized. It is not expected that the amount of unrecognized tax benefits will change significantly in the next 12 months.</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The Company recognizes interest related to unrecognized tax benefits and penalties as income tax expense. Accrued interest and penalties are included within the related tax liability line in the consolidated balance sheet. There was no liability for the payment of interest and penalties as of both August 31, 2025 and August 31, 2024.</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Company is subject to taxation in the United States and various states and foreign jurisdictions. With few exceptions, as of August 31, 2025, the Company is no longer subject to federal, state, local, or foreign examinations by tax authorities for years prior to August 31, 2022.</w:t>
      </w:r>
    </w:p>
    <w:p>
      <w:pPr>
        <w:spacing w:after="0" w:line="17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On July 4, 2025, the One Big Beautiful Bill Act (“OBBBA”) was signed into law, which included various provisions, including the reinstatement of full expensing for qualified business property acquired and placed in service after January 19, 2025. Further, the OBBBA includes other provisions which are not effective for the Company until years ending August 31, 2026 and beyond, including immediate expensing of domestic research and experimental expenditures, modification of the limitation on the business interest deduction, and on the taxation of foreign operations. We do not expect the OBBBA to have a material impact on our consolidated financial statements.</w:t>
      </w:r>
    </w:p>
    <w:p>
      <w:pPr>
        <w:spacing w:after="0" w:line="186" w:lineRule="exact"/>
        <w:rPr>
          <w:sz w:val="20"/>
          <w:szCs w:val="20"/>
          <w:color w:val="auto"/>
        </w:rPr>
      </w:pPr>
    </w:p>
    <w:p>
      <w:pPr>
        <w:ind w:left="1000" w:hanging="999"/>
        <w:spacing w:after="0"/>
        <w:tabs>
          <w:tab w:leader="none" w:pos="100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Expense</w:t>
      </w:r>
    </w:p>
    <w:p>
      <w:pPr>
        <w:spacing w:after="0" w:line="237"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20"/>
          <w:szCs w:val="20"/>
          <w:color w:val="auto"/>
        </w:rPr>
        <w:t>In June 2025, NTIC China received a notice from Ningbo Customs, the customs authority at the Ningbo Port in China, regarding the historical export classification of Natur-Tec masterbatch resin products. Ningbo Customs determined that NTIC China misclassified certain products under a code that qualified for a 13% value-added tax rebate, and reclassified them under a code that does not qualify for a value- added tax rebate. As a result, NTIC China has been assessed repayment obligations of approximately $236,785 and penalties of approximately $150,000.</w:t>
      </w:r>
    </w:p>
    <w:p>
      <w:pPr>
        <w:spacing w:after="0" w:line="19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Management has accrued the full estimated liability of $386,785 in fiscal year 2025 within Other Expense. NTIC is evaluating potential avenues to negotiate a reduction in penalties; however, no such reductions have been agreed upon as of the issuance date of these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Leases</w:t>
      </w:r>
    </w:p>
    <w:p>
      <w:pPr>
        <w:spacing w:after="0" w:line="23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The Company currently has operating leases for various buildings, equipment and vehicles. These leases are under non-cancelable operating lease agreements with expiration dates between November 30, 2025 and May 31, 2028. The Company has the option to extend certain leases to five or ten-year term(s) and has the right of first refusal on any sale.</w:t>
      </w:r>
    </w:p>
    <w:p>
      <w:pPr>
        <w:spacing w:after="0" w:line="195" w:lineRule="exact"/>
        <w:rPr>
          <w:sz w:val="20"/>
          <w:szCs w:val="20"/>
          <w:color w:val="auto"/>
        </w:rPr>
      </w:pPr>
    </w:p>
    <w:p>
      <w:pPr>
        <w:ind w:right="100"/>
        <w:spacing w:after="0" w:line="304" w:lineRule="auto"/>
        <w:rPr>
          <w:sz w:val="20"/>
          <w:szCs w:val="20"/>
          <w:color w:val="auto"/>
        </w:rPr>
      </w:pPr>
      <w:r>
        <w:rPr>
          <w:rFonts w:ascii="Times New Roman" w:cs="Times New Roman" w:eastAsia="Times New Roman" w:hAnsi="Times New Roman"/>
          <w:sz w:val="19"/>
          <w:szCs w:val="19"/>
          <w:color w:val="auto"/>
        </w:rPr>
        <w:t>The Company records lease liabilities within current liabilities or long-term liabilities based upon the length of time associated with the lease payments. The Company records its long-term operating leases as right-of-use assets.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1420" w:right="1440" w:bottom="382" w:gutter="0" w:footer="0" w:header="0"/>
        </w:sectPr>
      </w:pPr>
    </w:p>
    <w:bookmarkStart w:id="167" w:name="page168"/>
    <w:bookmarkEnd w:id="167"/>
    <w:p>
      <w:pPr>
        <w:ind w:right="20"/>
        <w:spacing w:after="0" w:line="252" w:lineRule="auto"/>
        <w:rPr>
          <w:sz w:val="20"/>
          <w:szCs w:val="20"/>
          <w:color w:val="auto"/>
        </w:rPr>
      </w:pPr>
      <w:r>
        <w:rPr>
          <w:rFonts w:ascii="Times New Roman" w:cs="Times New Roman" w:eastAsia="Times New Roman" w:hAnsi="Times New Roman"/>
          <w:sz w:val="20"/>
          <w:szCs w:val="20"/>
          <w:color w:val="auto"/>
        </w:rPr>
        <w:t>Upon initial adoption, using the modified retrospective transition approach, no leases with terms less than 12 months have been capitalized to the consolidated balance sheet consistent with ASC 842. Instead, these leases are recognized in the consolidated statement of operations on a straight-line expense throughout the lives of the leases. None of the Company’s leases contain common area maintenance or security agreements.</w:t>
      </w:r>
    </w:p>
    <w:p>
      <w:pPr>
        <w:spacing w:after="0" w:line="19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The Company has made certain assumptions and judgments when applying ASC 842, the most significant of which is that the Company elected the package of practical expedients available for transition that allow the Company to not reassess whether expired or existing contracts contain leases under the new definition of a lease, lease classification for expired or existing leases and whether previously capitalized initial direct costs would qualify for capitalization under ASC 842. Additionally, the Company did not elect to use hindsight when considering judgments and estimates such as assessments of lessee options to extend or terminate a lease or purchase the underlying asset. The Company has no contingent rent agreements.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7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Present Value of Leases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w w:val="98"/>
              </w:rPr>
              <w:t>August 31,</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August 31,</w:t>
            </w:r>
          </w:p>
        </w:tc>
        <w:tc>
          <w:tcPr>
            <w:tcW w:w="0" w:type="dxa"/>
            <w:vAlign w:val="bottom"/>
          </w:tcPr>
          <w:p>
            <w:pPr>
              <w:spacing w:after="0"/>
              <w:rPr>
                <w:sz w:val="1"/>
                <w:szCs w:val="1"/>
                <w:color w:val="auto"/>
              </w:rPr>
            </w:pPr>
          </w:p>
        </w:tc>
      </w:tr>
      <w:tr>
        <w:trPr>
          <w:trHeight w:val="254"/>
        </w:trPr>
        <w:tc>
          <w:tcPr>
            <w:tcW w:w="4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Right-of-use assets, net</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56"/>
        </w:trPr>
        <w:tc>
          <w:tcPr>
            <w:tcW w:w="4780" w:type="dxa"/>
            <w:vAlign w:val="bottom"/>
            <w:vMerge w:val="continue"/>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493,050</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424,558</w:t>
            </w:r>
          </w:p>
        </w:tc>
        <w:tc>
          <w:tcPr>
            <w:tcW w:w="0" w:type="dxa"/>
            <w:vAlign w:val="bottom"/>
          </w:tcPr>
          <w:p>
            <w:pPr>
              <w:spacing w:after="0"/>
              <w:rPr>
                <w:sz w:val="1"/>
                <w:szCs w:val="1"/>
                <w:color w:val="auto"/>
              </w:rPr>
            </w:pPr>
          </w:p>
        </w:tc>
      </w:tr>
      <w:tr>
        <w:trPr>
          <w:trHeight w:val="404"/>
        </w:trPr>
        <w:tc>
          <w:tcPr>
            <w:tcW w:w="4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Current portion of lease liability</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344,739</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325,116</w:t>
            </w:r>
          </w:p>
        </w:tc>
        <w:tc>
          <w:tcPr>
            <w:tcW w:w="0" w:type="dxa"/>
            <w:vAlign w:val="bottom"/>
          </w:tcPr>
          <w:p>
            <w:pPr>
              <w:spacing w:after="0"/>
              <w:rPr>
                <w:sz w:val="1"/>
                <w:szCs w:val="1"/>
                <w:color w:val="auto"/>
              </w:rPr>
            </w:pPr>
          </w:p>
        </w:tc>
      </w:tr>
      <w:tr>
        <w:trPr>
          <w:trHeight w:val="250"/>
        </w:trPr>
        <w:tc>
          <w:tcPr>
            <w:tcW w:w="4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 liability, less current portion</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148,311</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99,442</w:t>
            </w:r>
          </w:p>
        </w:tc>
        <w:tc>
          <w:tcPr>
            <w:tcW w:w="0" w:type="dxa"/>
            <w:vAlign w:val="bottom"/>
          </w:tcPr>
          <w:p>
            <w:pPr>
              <w:spacing w:after="0"/>
              <w:rPr>
                <w:sz w:val="1"/>
                <w:szCs w:val="1"/>
                <w:color w:val="auto"/>
              </w:rPr>
            </w:pPr>
          </w:p>
        </w:tc>
      </w:tr>
      <w:tr>
        <w:trPr>
          <w:trHeight w:val="230"/>
        </w:trPr>
        <w:tc>
          <w:tcPr>
            <w:tcW w:w="4780" w:type="dxa"/>
            <w:vAlign w:val="bottom"/>
          </w:tcPr>
          <w:p>
            <w:pPr>
              <w:ind w:left="1160"/>
              <w:spacing w:after="0" w:line="221" w:lineRule="exact"/>
              <w:rPr>
                <w:sz w:val="20"/>
                <w:szCs w:val="20"/>
                <w:color w:val="auto"/>
              </w:rPr>
            </w:pPr>
            <w:r>
              <w:rPr>
                <w:rFonts w:ascii="Times New Roman" w:cs="Times New Roman" w:eastAsia="Times New Roman" w:hAnsi="Times New Roman"/>
                <w:sz w:val="20"/>
                <w:szCs w:val="20"/>
                <w:color w:val="auto"/>
              </w:rPr>
              <w:t>Total lease liability</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rPr>
              <w:t>493,050</w:t>
            </w:r>
          </w:p>
        </w:tc>
        <w:tc>
          <w:tcPr>
            <w:tcW w:w="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424,558</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The weighted-average remaining lease term was 0.80 years and 1.25 years as of August 31, 2025 and 2024, respectively. The Company’s lease agreements do not provide a readily determinable implicit rate nor is it available to the Company from its lessors. Instead, as of each of August 31, 2025 and 2024, the Company estimates the weighted-average discount rate for its operating leases to be 7.61%, based on the incremental borrowing rate.</w:t>
      </w:r>
    </w:p>
    <w:p>
      <w:pPr>
        <w:spacing w:after="0" w:line="193" w:lineRule="exact"/>
        <w:rPr>
          <w:sz w:val="20"/>
          <w:szCs w:val="20"/>
          <w:color w:val="auto"/>
        </w:rPr>
      </w:pPr>
    </w:p>
    <w:p>
      <w:pPr>
        <w:ind w:right="800"/>
        <w:spacing w:after="0" w:line="278" w:lineRule="auto"/>
        <w:rPr>
          <w:sz w:val="20"/>
          <w:szCs w:val="20"/>
          <w:color w:val="auto"/>
        </w:rPr>
      </w:pPr>
      <w:r>
        <w:rPr>
          <w:rFonts w:ascii="Times New Roman" w:cs="Times New Roman" w:eastAsia="Times New Roman" w:hAnsi="Times New Roman"/>
          <w:sz w:val="20"/>
          <w:szCs w:val="20"/>
          <w:color w:val="auto"/>
        </w:rPr>
        <w:t>Future minimum payments as of August 31, 2025 under these long-term operating leases are as follows (in thousands):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344,739</w:t>
            </w:r>
          </w:p>
        </w:tc>
        <w:tc>
          <w:tcPr>
            <w:tcW w:w="20" w:type="dxa"/>
            <w:vAlign w:val="bottom"/>
          </w:tcPr>
          <w:p>
            <w:pPr>
              <w:spacing w:after="0"/>
              <w:rPr>
                <w:sz w:val="19"/>
                <w:szCs w:val="19"/>
                <w:color w:val="auto"/>
              </w:rPr>
            </w:pPr>
          </w:p>
        </w:tc>
      </w:tr>
      <w:tr>
        <w:trPr>
          <w:trHeight w:val="230"/>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2027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144,193</w:t>
            </w:r>
          </w:p>
        </w:tc>
        <w:tc>
          <w:tcPr>
            <w:tcW w:w="20" w:type="dxa"/>
            <w:vAlign w:val="bottom"/>
          </w:tcPr>
          <w:p>
            <w:pPr>
              <w:spacing w:after="0"/>
              <w:rPr>
                <w:sz w:val="20"/>
                <w:szCs w:val="20"/>
                <w:color w:val="auto"/>
              </w:rPr>
            </w:pPr>
          </w:p>
        </w:tc>
      </w:tr>
      <w:tr>
        <w:trPr>
          <w:trHeight w:val="230"/>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2028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38,018</w:t>
            </w:r>
          </w:p>
        </w:tc>
        <w:tc>
          <w:tcPr>
            <w:tcW w:w="20" w:type="dxa"/>
            <w:vAlign w:val="bottom"/>
          </w:tcPr>
          <w:p>
            <w:pPr>
              <w:spacing w:after="0"/>
              <w:rPr>
                <w:sz w:val="20"/>
                <w:szCs w:val="20"/>
                <w:color w:val="auto"/>
              </w:rPr>
            </w:pPr>
          </w:p>
        </w:tc>
      </w:tr>
      <w:tr>
        <w:trPr>
          <w:trHeight w:val="250"/>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8180" w:type="dxa"/>
            <w:vAlign w:val="bottom"/>
            <w:gridSpan w:val="2"/>
          </w:tcPr>
          <w:p>
            <w:pPr>
              <w:ind w:left="740"/>
              <w:spacing w:after="0" w:line="201" w:lineRule="exact"/>
              <w:rPr>
                <w:sz w:val="20"/>
                <w:szCs w:val="20"/>
                <w:color w:val="auto"/>
              </w:rPr>
            </w:pPr>
            <w:r>
              <w:rPr>
                <w:rFonts w:ascii="Times New Roman" w:cs="Times New Roman" w:eastAsia="Times New Roman" w:hAnsi="Times New Roman"/>
                <w:sz w:val="20"/>
                <w:szCs w:val="20"/>
                <w:color w:val="auto"/>
              </w:rPr>
              <w:t>Total future minimum lease payments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0"/>
              <w:spacing w:after="0" w:line="201" w:lineRule="exact"/>
              <w:rPr>
                <w:sz w:val="20"/>
                <w:szCs w:val="20"/>
                <w:color w:val="auto"/>
              </w:rPr>
            </w:pPr>
            <w:r>
              <w:rPr>
                <w:rFonts w:ascii="Times New Roman" w:cs="Times New Roman" w:eastAsia="Times New Roman" w:hAnsi="Times New Roman"/>
                <w:sz w:val="20"/>
                <w:szCs w:val="20"/>
                <w:color w:val="auto"/>
              </w:rPr>
              <w:t>526,950</w:t>
            </w:r>
          </w:p>
        </w:tc>
        <w:tc>
          <w:tcPr>
            <w:tcW w:w="20" w:type="dxa"/>
            <w:vAlign w:val="bottom"/>
          </w:tcPr>
          <w:p>
            <w:pPr>
              <w:spacing w:after="0"/>
              <w:rPr>
                <w:sz w:val="17"/>
                <w:szCs w:val="17"/>
                <w:color w:val="auto"/>
              </w:rPr>
            </w:pPr>
          </w:p>
        </w:tc>
      </w:tr>
      <w:tr>
        <w:trPr>
          <w:trHeight w:val="268"/>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amount representing interest</w:t>
            </w: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(33,900)</w:t>
            </w:r>
          </w:p>
        </w:tc>
        <w:tc>
          <w:tcPr>
            <w:tcW w:w="20" w:type="dxa"/>
            <w:vAlign w:val="bottom"/>
          </w:tcPr>
          <w:p>
            <w:pPr>
              <w:spacing w:after="0"/>
              <w:rPr>
                <w:sz w:val="23"/>
                <w:szCs w:val="23"/>
                <w:color w:val="auto"/>
              </w:rPr>
            </w:pPr>
          </w:p>
        </w:tc>
      </w:tr>
      <w:tr>
        <w:trPr>
          <w:trHeight w:val="202"/>
        </w:trPr>
        <w:tc>
          <w:tcPr>
            <w:tcW w:w="8180" w:type="dxa"/>
            <w:vAlign w:val="bottom"/>
            <w:gridSpan w:val="2"/>
          </w:tcPr>
          <w:p>
            <w:pPr>
              <w:ind w:left="740"/>
              <w:spacing w:after="0" w:line="202" w:lineRule="exact"/>
              <w:rPr>
                <w:sz w:val="20"/>
                <w:szCs w:val="20"/>
                <w:color w:val="auto"/>
              </w:rPr>
            </w:pPr>
            <w:r>
              <w:rPr>
                <w:rFonts w:ascii="Times New Roman" w:cs="Times New Roman" w:eastAsia="Times New Roman" w:hAnsi="Times New Roman"/>
                <w:sz w:val="20"/>
                <w:szCs w:val="20"/>
                <w:color w:val="auto"/>
              </w:rPr>
              <w:t>Present value of obligations under operating leases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0"/>
              <w:spacing w:after="0" w:line="202" w:lineRule="exact"/>
              <w:rPr>
                <w:sz w:val="20"/>
                <w:szCs w:val="20"/>
                <w:color w:val="auto"/>
              </w:rPr>
            </w:pPr>
            <w:r>
              <w:rPr>
                <w:rFonts w:ascii="Times New Roman" w:cs="Times New Roman" w:eastAsia="Times New Roman" w:hAnsi="Times New Roman"/>
                <w:sz w:val="20"/>
                <w:szCs w:val="20"/>
                <w:color w:val="auto"/>
              </w:rPr>
              <w:t>493,050</w:t>
            </w:r>
          </w:p>
        </w:tc>
        <w:tc>
          <w:tcPr>
            <w:tcW w:w="20" w:type="dxa"/>
            <w:vAlign w:val="bottom"/>
          </w:tcPr>
          <w:p>
            <w:pPr>
              <w:spacing w:after="0"/>
              <w:rPr>
                <w:sz w:val="17"/>
                <w:szCs w:val="17"/>
                <w:color w:val="auto"/>
              </w:rPr>
            </w:pPr>
          </w:p>
        </w:tc>
      </w:tr>
      <w:tr>
        <w:trPr>
          <w:trHeight w:val="268"/>
        </w:trPr>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current portion</w:t>
            </w: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(344,739)</w:t>
            </w:r>
          </w:p>
        </w:tc>
        <w:tc>
          <w:tcPr>
            <w:tcW w:w="20" w:type="dxa"/>
            <w:vAlign w:val="bottom"/>
          </w:tcPr>
          <w:p>
            <w:pPr>
              <w:spacing w:after="0"/>
              <w:rPr>
                <w:sz w:val="23"/>
                <w:szCs w:val="23"/>
                <w:color w:val="auto"/>
              </w:rPr>
            </w:pPr>
          </w:p>
        </w:tc>
      </w:tr>
      <w:tr>
        <w:trPr>
          <w:trHeight w:val="231"/>
        </w:trPr>
        <w:tc>
          <w:tcPr>
            <w:tcW w:w="8160" w:type="dxa"/>
            <w:vAlign w:val="bottom"/>
          </w:tcPr>
          <w:p>
            <w:pPr>
              <w:ind w:left="740"/>
              <w:spacing w:after="0" w:line="223" w:lineRule="exact"/>
              <w:rPr>
                <w:sz w:val="20"/>
                <w:szCs w:val="20"/>
                <w:color w:val="auto"/>
              </w:rPr>
            </w:pPr>
            <w:r>
              <w:rPr>
                <w:rFonts w:ascii="Times New Roman" w:cs="Times New Roman" w:eastAsia="Times New Roman" w:hAnsi="Times New Roman"/>
                <w:sz w:val="20"/>
                <w:szCs w:val="20"/>
                <w:color w:val="auto"/>
              </w:rPr>
              <w:t>Long-term operating lease obligations</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148,311</w:t>
            </w:r>
          </w:p>
        </w:tc>
        <w:tc>
          <w:tcPr>
            <w:tcW w:w="20" w:type="dxa"/>
            <w:vAlign w:val="bottom"/>
            <w:tcBorders>
              <w:bottom w:val="single" w:sz="8" w:color="auto"/>
            </w:tcBorders>
          </w:tcPr>
          <w:p>
            <w:pPr>
              <w:spacing w:after="0"/>
              <w:rPr>
                <w:sz w:val="20"/>
                <w:szCs w:val="20"/>
                <w:color w:val="auto"/>
              </w:rPr>
            </w:pPr>
          </w:p>
        </w:tc>
      </w:tr>
    </w:tbl>
    <w:p>
      <w:pPr>
        <w:spacing w:after="0" w:line="21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color w:val="auto"/>
        </w:rPr>
        <w:t>Operating lease cost under these leases was approximately $344,739 and $340,799 for the years ended August 31, 2025 and 2024,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Annual Bonus Plan</w:t>
      </w:r>
    </w:p>
    <w:p>
      <w:pPr>
        <w:spacing w:after="0" w:line="22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On August 28, 2025, the Compensation Committee of the Board of Directors of the Company approved the material terms of an annual bonus plan for the Company’s executive officers as well as certain officers and employees for the fiscal year ending August 31, 2026. For fiscal 2026, as in past years, the total amount available under the bonus plan for all plan participants, including executive officers, is dependent upon the Company’s earnings before interest, taxes, and other income (EBITOI),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1420" w:right="1440" w:bottom="382" w:gutter="0" w:footer="0" w:header="0"/>
        </w:sectPr>
      </w:pPr>
    </w:p>
    <w:bookmarkStart w:id="168" w:name="page169"/>
    <w:bookmarkEnd w:id="168"/>
    <w:p>
      <w:pPr>
        <w:ind w:right="80"/>
        <w:spacing w:after="0" w:line="247" w:lineRule="auto"/>
        <w:rPr>
          <w:sz w:val="20"/>
          <w:szCs w:val="20"/>
          <w:color w:val="auto"/>
        </w:rPr>
      </w:pPr>
      <w:r>
        <w:rPr>
          <w:rFonts w:ascii="Times New Roman" w:cs="Times New Roman" w:eastAsia="Times New Roman" w:hAnsi="Times New Roman"/>
          <w:sz w:val="20"/>
          <w:szCs w:val="20"/>
          <w:color w:val="auto"/>
        </w:rPr>
        <w:t>2026 compared to a pre-established target EBITOI for fiscal 2026,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the Company’s common stock, the exact amount and percentages of which are determined by the Company’s Board of Directors, upon recommendation of the Compensation Committee, after the completion of the Company’s consolidated financial statements for fiscal 2026.</w:t>
      </w:r>
    </w:p>
    <w:p>
      <w:pPr>
        <w:spacing w:after="0" w:line="18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On August 26, 2024, the Compensation Committee of the Board of Directors of the Company approved the material terms of an annual bonus plan for the Company’s executive officers as well as certain officers and employees for the fiscal year ending August 31, 2025. $1,100,000 was recognized for bonuses for the fiscal year ended August 31, 2025, $800,000 of the bonus is comprised of stock options granted to management on September 1, 2024 that will be expensed over three years and $300,000 will be paid out in cash and profit sharing subsequent to year end. This is compared to $2,200,000 recognized for bonuses for the fiscal year ended August 31, 2024, $800,000 of the bonus comprised of stock options granted to management on September 1, 2023 and $1,400,000 was paid out in cash and profit sharing subsequent to year end.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Legal Matters</w:t>
      </w:r>
    </w:p>
    <w:p>
      <w:pPr>
        <w:spacing w:after="0" w:line="2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August 31, 2025, the amount of liability, if any, with respect to these matters, individually or in the aggregate, will not materially affect the Company’s consolidated results of operations, financial position, or cash flows.</w:t>
      </w:r>
    </w:p>
    <w:p>
      <w:pPr>
        <w:spacing w:after="0" w:line="199" w:lineRule="exact"/>
        <w:rPr>
          <w:sz w:val="20"/>
          <w:szCs w:val="20"/>
          <w:color w:val="auto"/>
        </w:rPr>
      </w:pPr>
    </w:p>
    <w:p>
      <w:pPr>
        <w:ind w:left="1000" w:hanging="999"/>
        <w:spacing w:after="0"/>
        <w:tabs>
          <w:tab w:leader="none" w:pos="100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SUPPLEMENTAL CASH FLOW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disclosures of cash flow information consisted of:</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Cash paid for income tax</w:t>
            </w:r>
          </w:p>
        </w:tc>
        <w:tc>
          <w:tcPr>
            <w:tcW w:w="1140" w:type="dxa"/>
            <w:vAlign w:val="bottom"/>
          </w:tcPr>
          <w:p>
            <w:pPr>
              <w:jc w:val="right"/>
              <w:ind w:right="30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20" w:type="dxa"/>
            <w:vAlign w:val="bottom"/>
            <w:gridSpan w:val="2"/>
            <w:vMerge w:val="continue"/>
          </w:tcPr>
          <w:p>
            <w:pPr>
              <w:spacing w:after="0"/>
              <w:rPr>
                <w:sz w:val="17"/>
                <w:szCs w:val="17"/>
                <w:color w:val="auto"/>
              </w:rPr>
            </w:pPr>
          </w:p>
        </w:tc>
        <w:tc>
          <w:tcPr>
            <w:tcW w:w="1140" w:type="dxa"/>
            <w:vAlign w:val="bottom"/>
            <w:tcBorders>
              <w:top w:val="single" w:sz="8" w:color="auto"/>
            </w:tcBorders>
          </w:tcPr>
          <w:p>
            <w:pPr>
              <w:jc w:val="right"/>
              <w:ind w:right="85"/>
              <w:spacing w:after="0" w:line="202" w:lineRule="exact"/>
              <w:rPr>
                <w:sz w:val="20"/>
                <w:szCs w:val="20"/>
                <w:color w:val="auto"/>
              </w:rPr>
            </w:pPr>
            <w:r>
              <w:rPr>
                <w:rFonts w:ascii="Times New Roman" w:cs="Times New Roman" w:eastAsia="Times New Roman" w:hAnsi="Times New Roman"/>
                <w:sz w:val="20"/>
                <w:szCs w:val="20"/>
                <w:color w:val="auto"/>
                <w:w w:val="98"/>
              </w:rPr>
              <w:t>$ 1,605,283</w:t>
            </w:r>
          </w:p>
        </w:tc>
        <w:tc>
          <w:tcPr>
            <w:tcW w:w="160" w:type="dxa"/>
            <w:vAlign w:val="bottom"/>
          </w:tcPr>
          <w:p>
            <w:pPr>
              <w:spacing w:after="0"/>
              <w:rPr>
                <w:sz w:val="17"/>
                <w:szCs w:val="17"/>
                <w:color w:val="auto"/>
              </w:rPr>
            </w:pPr>
          </w:p>
        </w:tc>
        <w:tc>
          <w:tcPr>
            <w:tcW w:w="1140" w:type="dxa"/>
            <w:vAlign w:val="bottom"/>
            <w:tcBorders>
              <w:top w:val="single" w:sz="8" w:color="auto"/>
            </w:tcBorders>
          </w:tcPr>
          <w:p>
            <w:pPr>
              <w:jc w:val="right"/>
              <w:ind w:right="40"/>
              <w:spacing w:after="0" w:line="202" w:lineRule="exact"/>
              <w:rPr>
                <w:sz w:val="20"/>
                <w:szCs w:val="20"/>
                <w:color w:val="auto"/>
              </w:rPr>
            </w:pPr>
            <w:r>
              <w:rPr>
                <w:rFonts w:ascii="Times New Roman" w:cs="Times New Roman" w:eastAsia="Times New Roman" w:hAnsi="Times New Roman"/>
                <w:sz w:val="20"/>
                <w:szCs w:val="20"/>
                <w:color w:val="auto"/>
              </w:rPr>
              <w:t>$ 1,191,538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paid for interest</w:t>
            </w:r>
          </w:p>
        </w:tc>
        <w:tc>
          <w:tcPr>
            <w:tcW w:w="1140" w:type="dxa"/>
            <w:vAlign w:val="bottom"/>
          </w:tcPr>
          <w:p>
            <w:pPr>
              <w:jc w:val="right"/>
              <w:ind w:right="85"/>
              <w:spacing w:after="0"/>
              <w:rPr>
                <w:sz w:val="20"/>
                <w:szCs w:val="20"/>
                <w:color w:val="auto"/>
              </w:rPr>
            </w:pPr>
            <w:r>
              <w:rPr>
                <w:rFonts w:ascii="Times New Roman" w:cs="Times New Roman" w:eastAsia="Times New Roman" w:hAnsi="Times New Roman"/>
                <w:sz w:val="20"/>
                <w:szCs w:val="20"/>
                <w:color w:val="auto"/>
              </w:rPr>
              <w:t>599,927</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340,129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paid for operating leases</w:t>
            </w:r>
          </w:p>
        </w:tc>
        <w:tc>
          <w:tcPr>
            <w:tcW w:w="1140" w:type="dxa"/>
            <w:vAlign w:val="bottom"/>
          </w:tcPr>
          <w:p>
            <w:pPr>
              <w:jc w:val="right"/>
              <w:ind w:right="85"/>
              <w:spacing w:after="0"/>
              <w:rPr>
                <w:sz w:val="20"/>
                <w:szCs w:val="20"/>
                <w:color w:val="auto"/>
              </w:rPr>
            </w:pPr>
            <w:r>
              <w:rPr>
                <w:rFonts w:ascii="Times New Roman" w:cs="Times New Roman" w:eastAsia="Times New Roman" w:hAnsi="Times New Roman"/>
                <w:sz w:val="20"/>
                <w:szCs w:val="20"/>
                <w:color w:val="auto"/>
              </w:rPr>
              <w:t>344,739</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340,799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000" w:hanging="1000"/>
        <w:spacing w:after="0"/>
        <w:tabs>
          <w:tab w:leader="none" w:pos="100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w:t>
      </w:r>
    </w:p>
    <w:p>
      <w:pPr>
        <w:spacing w:after="0" w:line="234"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On October 15, 2025, the Company’s Board of Directors declared a cash dividend of $0.01 per share of the Company’s common stock, payable on November 12, 2025 to stockholders of record on October 29, 2025. The declaration of future dividends is not guaranteed and will be determined by the Company’s Board of Directors in light of conditions then existing, including the Company’s earnings, financial condition, cash requirements, restrictions in financing agreements, business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1420" w:right="1440" w:bottom="382" w:gutter="0" w:footer="0" w:header="0"/>
        </w:sectPr>
      </w:pPr>
    </w:p>
    <w:bookmarkStart w:id="169" w:name="page170"/>
    <w:bookmarkEnd w:id="169"/>
    <w:p>
      <w:pPr>
        <w:ind w:left="1000" w:right="380" w:hanging="1007"/>
        <w:spacing w:after="0" w:line="287"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color w:val="auto"/>
        </w:rPr>
        <w:t>CHANGES IN AND DISAGREEMENTS WITH ACCOUNTANTS ON ACCOUNTING AND FINANCIAL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9A.</w:t>
        <w:tab/>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43"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NTIC’s management is responsible for establishing and maintaining adequate internal control over financial reporting, as such term is defined in Exchange Act Rules 13a-15(f) and 15d-15(f), for Northern Technologies International Corporation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19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NTIC’s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Management, with the participation of NTIC’s President and Chief Executive Officer and Chief Financial Officer, evaluated the effectiveness of the Company’s internal control over financial reporting as of August 31, 2025. In making this evaluation, management used the criteria set forth by the Committee of Sponsoring Organizations of the Treadway Commission in Internal Control – Integrated Framework (2013). Based on this assessment, management concluded that the Company's internal control over financial reporting was effective as of August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1416" w:right="1440" w:bottom="382" w:gutter="0" w:footer="0" w:header="0"/>
        </w:sectPr>
      </w:pPr>
    </w:p>
    <w:bookmarkStart w:id="170" w:name="page171"/>
    <w:bookmarkEnd w:id="170"/>
    <w:p>
      <w:pPr>
        <w:jc w:val="both"/>
        <w:ind w:right="40"/>
        <w:spacing w:after="0" w:line="252" w:lineRule="auto"/>
        <w:rPr>
          <w:sz w:val="20"/>
          <w:szCs w:val="20"/>
          <w:color w:val="auto"/>
        </w:rPr>
      </w:pPr>
      <w:r>
        <w:rPr>
          <w:rFonts w:ascii="Times New Roman" w:cs="Times New Roman" w:eastAsia="Times New Roman" w:hAnsi="Times New Roman"/>
          <w:sz w:val="20"/>
          <w:szCs w:val="20"/>
          <w:color w:val="auto"/>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rules of the Securities and Exchange Commission that permit NTIC to provide only management’s report in this report.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3" w:lineRule="exact"/>
        <w:rPr>
          <w:sz w:val="20"/>
          <w:szCs w:val="20"/>
          <w:color w:val="auto"/>
        </w:rPr>
      </w:pPr>
    </w:p>
    <w:p>
      <w:pPr>
        <w:ind w:right="600"/>
        <w:spacing w:after="0" w:line="259"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 13a-15(f) under the Securities Exchange Act of 1934) during the quarter ended August 31, 2025, that materially affected, or are reasonably likely to materially affect, our internal control over financial reporting.</w:t>
      </w:r>
    </w:p>
    <w:p>
      <w:pPr>
        <w:spacing w:after="0" w:line="18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Rule 10b5-1 Plan and Non-Rule 10b5-1 Trading Arrangement Adoptions, Terminations, and Modifications</w:t>
      </w:r>
    </w:p>
    <w:p>
      <w:pPr>
        <w:spacing w:after="0" w:line="24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color w:val="auto"/>
        </w:rPr>
        <w:t>During the three months ended August 31, 2025, none of our directors or “officers” (as defined in Rule 16a-1(f) under the Exchange Act) adopted or terminated a “Rule 10b5-1 trading arrangement” or “non-Rule 10b5-1 trading arrangement,” as each term is defined in Item 408 of SEC Regulation S-K.</w:t>
      </w:r>
    </w:p>
    <w:p>
      <w:pPr>
        <w:spacing w:after="0" w:line="18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1420" w:right="1440" w:bottom="382"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Directors</w:t>
      </w:r>
    </w:p>
    <w:p>
      <w:pPr>
        <w:spacing w:after="0" w:line="244" w:lineRule="exact"/>
        <w:rPr>
          <w:sz w:val="20"/>
          <w:szCs w:val="20"/>
          <w:color w:val="auto"/>
        </w:rPr>
      </w:pPr>
    </w:p>
    <w:p>
      <w:pPr>
        <w:jc w:val="both"/>
        <w:ind w:right="280"/>
        <w:spacing w:after="0" w:line="278" w:lineRule="auto"/>
        <w:rPr>
          <w:sz w:val="20"/>
          <w:szCs w:val="20"/>
          <w:color w:val="auto"/>
        </w:rPr>
      </w:pPr>
      <w:r>
        <w:rPr>
          <w:rFonts w:ascii="Times New Roman" w:cs="Times New Roman" w:eastAsia="Times New Roman" w:hAnsi="Times New Roman"/>
          <w:sz w:val="19"/>
          <w:szCs w:val="19"/>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43"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color w:val="auto"/>
        </w:rPr>
        <w:t>Information concerning NTIC’s executive officers and officers is included in this annual report on Form 10-K under Part I under the heading “Information about our Executive Officers.”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Ethics</w:t>
      </w:r>
    </w:p>
    <w:p>
      <w:pPr>
        <w:spacing w:after="0" w:line="24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Stock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NTIC has adopted an insider trading policy governing the purchase, sale, and/or other dispositions of its securities by directors, officers and employees, among other insiders. NTIC believes its insider trading policy is reasonably designed to promote compliance with applicable insider trading laws, rules and regulations, and Nasdaq listing rules. NTIC’s insider trading policy is filed as Exhibit 19.1 to this annual report on Form 10-K for the fiscal year ended August 31,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to Nomination Procedures</w:t>
      </w:r>
    </w:p>
    <w:p>
      <w:pPr>
        <w:spacing w:after="0" w:line="244"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color w:val="auto"/>
        </w:rPr>
        <w:t>During the fourth quarter of fiscal 2025, there were no material changes to the procedures by which stockholders may recommend nominees to NTIC’s Board of Directors, as described in NTIC’s most recent proxy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 Matters</w:t>
      </w:r>
    </w:p>
    <w:p>
      <w:pPr>
        <w:spacing w:after="0" w:line="24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8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24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1416" w:right="1440" w:bottom="382" w:gutter="0" w:footer="0" w:header="0"/>
        </w:sectPr>
      </w:pPr>
    </w:p>
    <w:bookmarkStart w:id="172" w:name="page173"/>
    <w:bookmarkEnd w:id="172"/>
    <w:p>
      <w:pPr>
        <w:ind w:left="1000" w:right="80" w:hanging="1007"/>
        <w:spacing w:after="0" w:line="287"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12.</w:t>
        <w:tab/>
        <w:t>SECURITY OWNERSHIP OF CERTAIN BENEFICIAL OWNERS AND MANAGEMENT AND RELATED STOCKHOLDER MATTERS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Ownership</w:t>
      </w:r>
    </w:p>
    <w:p>
      <w:pPr>
        <w:spacing w:after="0" w:line="24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The information in the “Stock Ownership—Beneficial Ownership of Significant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4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The following table summarizes outstanding options and other awards under NTIC’s equity compensation plans as of August 31, 2025. NTIC’s equity compensation plans as of August 31, 2025 were the Northern Technologies International Corporation 2024 Stock Incentive Plan, the Northern Technologies International Corporation Amended and Restated 2019 Stock Incentive Plan, the Northern Technologies International Corporation Amended and Restated 2007 Stock Incentive Plan, and the Northern Technologies International Corporation Employee Stock Purchase Plan.</w:t>
      </w:r>
    </w:p>
    <w:p>
      <w:pPr>
        <w:spacing w:after="0" w:line="20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Except for automatic annual grants of $50,000 in options to purchase shares of NTIC common stock (or, at the election of each director of NTIC, restricted stock units) to NTIC’s directors in consideration for their services as directors of NTIC and an automatic annual grant of $10,000 in options to purchase shares of NTIC common stock (of, at the election of NTIC’s Chair of the Board, restricted stock units) to NTIC’s Chair of the Board in consideration for his services as Chair, in each case on the first day of each fiscal year, and automatic initial pro rata grants of $50,000 in options to purchase shares of NTIC common stock (or, at the election of each new director of NTIC, restricted stock units) to NTIC’s new directors in consideration for their services as directors of NTIC on the first date of their appointment as directors, options, restricted stock units and other awards granted in the future under the Northern Technologies International Corporation 2024 Stock Incentive Plan are within the discretion of the Board of Directors and the Compensation Committee of the Board of Directors and, therefore, cannot be ascertained at this time. No future grants of options or other stock awards will be made under the Northern Technologies International Corporation Amended and Restated 2019 Stock Incentive Plan or the Northern Technologies International Corporation Amended and Restated 2007 Stock Incentive Plan.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 Available for</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w:t>
            </w:r>
          </w:p>
        </w:tc>
        <w:tc>
          <w:tcPr>
            <w:tcW w:w="1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Future Issuance Under</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1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6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Outstanding Options,</w:t>
            </w:r>
          </w:p>
        </w:tc>
        <w:tc>
          <w:tcPr>
            <w:tcW w:w="1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(excluding securities</w:t>
            </w:r>
          </w:p>
        </w:tc>
        <w:tc>
          <w:tcPr>
            <w:tcW w:w="0" w:type="dxa"/>
            <w:vAlign w:val="bottom"/>
          </w:tcPr>
          <w:p>
            <w:pPr>
              <w:spacing w:after="0"/>
              <w:rPr>
                <w:sz w:val="1"/>
                <w:szCs w:val="1"/>
                <w:color w:val="auto"/>
              </w:rPr>
            </w:pPr>
          </w:p>
        </w:tc>
      </w:tr>
      <w:tr>
        <w:trPr>
          <w:trHeight w:val="247"/>
        </w:trPr>
        <w:tc>
          <w:tcPr>
            <w:tcW w:w="180" w:type="dxa"/>
            <w:vAlign w:val="bottom"/>
          </w:tcPr>
          <w:p>
            <w:pPr>
              <w:spacing w:after="0"/>
              <w:rPr>
                <w:sz w:val="21"/>
                <w:szCs w:val="21"/>
                <w:color w:val="auto"/>
              </w:rPr>
            </w:pPr>
          </w:p>
        </w:tc>
        <w:tc>
          <w:tcPr>
            <w:tcW w:w="26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60" w:type="dxa"/>
            <w:vAlign w:val="bottom"/>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60" w:type="dxa"/>
            <w:vAlign w:val="bottom"/>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16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 column (a))</w:t>
            </w:r>
          </w:p>
        </w:tc>
        <w:tc>
          <w:tcPr>
            <w:tcW w:w="0" w:type="dxa"/>
            <w:vAlign w:val="bottom"/>
          </w:tcPr>
          <w:p>
            <w:pPr>
              <w:spacing w:after="0"/>
              <w:rPr>
                <w:sz w:val="1"/>
                <w:szCs w:val="1"/>
                <w:color w:val="auto"/>
              </w:rPr>
            </w:pPr>
          </w:p>
        </w:tc>
      </w:tr>
      <w:tr>
        <w:trPr>
          <w:trHeight w:val="294"/>
        </w:trPr>
        <w:tc>
          <w:tcPr>
            <w:tcW w:w="180" w:type="dxa"/>
            <w:vAlign w:val="bottom"/>
          </w:tcPr>
          <w:p>
            <w:pPr>
              <w:spacing w:after="0"/>
              <w:rPr>
                <w:sz w:val="24"/>
                <w:szCs w:val="24"/>
                <w:color w:val="auto"/>
              </w:rPr>
            </w:pP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2160" w:type="dxa"/>
            <w:vAlign w:val="bottom"/>
            <w:gridSpan w:val="2"/>
            <w:vMerge w:val="restart"/>
          </w:tcPr>
          <w:p>
            <w:pPr>
              <w:jc w:val="center"/>
              <w:ind w:left="40"/>
              <w:spacing w:after="0"/>
              <w:rPr>
                <w:sz w:val="20"/>
                <w:szCs w:val="20"/>
                <w:color w:val="auto"/>
              </w:rPr>
            </w:pPr>
            <w:r>
              <w:rPr>
                <w:rFonts w:ascii="Times New Roman" w:cs="Times New Roman" w:eastAsia="Times New Roman" w:hAnsi="Times New Roman"/>
                <w:sz w:val="20"/>
                <w:szCs w:val="20"/>
                <w:color w:val="auto"/>
                <w:w w:val="92"/>
              </w:rPr>
              <w:t>1,934,451</w:t>
            </w:r>
            <w:r>
              <w:rPr>
                <w:rFonts w:ascii="Times New Roman" w:cs="Times New Roman" w:eastAsia="Times New Roman" w:hAnsi="Times New Roman"/>
                <w:sz w:val="25"/>
                <w:szCs w:val="25"/>
                <w:color w:val="auto"/>
                <w:w w:val="92"/>
                <w:vertAlign w:val="superscript"/>
              </w:rPr>
              <w:t>(1)(2)</w:t>
            </w:r>
          </w:p>
        </w:tc>
        <w:tc>
          <w:tcPr>
            <w:tcW w:w="1980" w:type="dxa"/>
            <w:vAlign w:val="bottom"/>
            <w:gridSpan w:val="2"/>
            <w:vMerge w:val="restart"/>
          </w:tcPr>
          <w:p>
            <w:pPr>
              <w:jc w:val="center"/>
              <w:ind w:left="60"/>
              <w:spacing w:after="0"/>
              <w:rPr>
                <w:sz w:val="20"/>
                <w:szCs w:val="20"/>
                <w:color w:val="auto"/>
              </w:rPr>
            </w:pPr>
            <w:r>
              <w:rPr>
                <w:rFonts w:ascii="Times New Roman" w:cs="Times New Roman" w:eastAsia="Times New Roman" w:hAnsi="Times New Roman"/>
                <w:sz w:val="20"/>
                <w:szCs w:val="20"/>
                <w:color w:val="auto"/>
                <w:w w:val="93"/>
              </w:rPr>
              <w:t>$11.86</w:t>
            </w:r>
            <w:r>
              <w:rPr>
                <w:rFonts w:ascii="Times New Roman" w:cs="Times New Roman" w:eastAsia="Times New Roman" w:hAnsi="Times New Roman"/>
                <w:sz w:val="25"/>
                <w:szCs w:val="25"/>
                <w:color w:val="auto"/>
                <w:w w:val="93"/>
                <w:vertAlign w:val="superscript"/>
              </w:rPr>
              <w:t>(3)</w:t>
            </w:r>
          </w:p>
        </w:tc>
        <w:tc>
          <w:tcPr>
            <w:tcW w:w="2420" w:type="dxa"/>
            <w:vAlign w:val="bottom"/>
            <w:gridSpan w:val="2"/>
            <w:vMerge w:val="restart"/>
          </w:tcPr>
          <w:p>
            <w:pPr>
              <w:jc w:val="center"/>
              <w:ind w:left="40"/>
              <w:spacing w:after="0"/>
              <w:rPr>
                <w:sz w:val="20"/>
                <w:szCs w:val="20"/>
                <w:color w:val="auto"/>
              </w:rPr>
            </w:pPr>
            <w:r>
              <w:rPr>
                <w:rFonts w:ascii="Times New Roman" w:cs="Times New Roman" w:eastAsia="Times New Roman" w:hAnsi="Times New Roman"/>
                <w:sz w:val="20"/>
                <w:szCs w:val="20"/>
                <w:color w:val="auto"/>
                <w:w w:val="94"/>
              </w:rPr>
              <w:t>811,144</w:t>
            </w:r>
            <w:r>
              <w:rPr>
                <w:rFonts w:ascii="Times New Roman" w:cs="Times New Roman" w:eastAsia="Times New Roman" w:hAnsi="Times New Roman"/>
                <w:sz w:val="25"/>
                <w:szCs w:val="25"/>
                <w:color w:val="auto"/>
                <w:w w:val="94"/>
                <w:vertAlign w:val="superscript"/>
              </w:rPr>
              <w:t>(4)</w:t>
            </w: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160" w:type="dxa"/>
            <w:vAlign w:val="bottom"/>
            <w:gridSpan w:val="2"/>
            <w:vMerge w:val="continue"/>
          </w:tcPr>
          <w:p>
            <w:pPr>
              <w:spacing w:after="0"/>
              <w:rPr>
                <w:sz w:val="24"/>
                <w:szCs w:val="24"/>
                <w:color w:val="auto"/>
              </w:rPr>
            </w:pPr>
          </w:p>
        </w:tc>
        <w:tc>
          <w:tcPr>
            <w:tcW w:w="1980" w:type="dxa"/>
            <w:vAlign w:val="bottom"/>
            <w:gridSpan w:val="2"/>
            <w:vMerge w:val="continue"/>
          </w:tcPr>
          <w:p>
            <w:pPr>
              <w:spacing w:after="0"/>
              <w:rPr>
                <w:sz w:val="24"/>
                <w:szCs w:val="24"/>
                <w:color w:val="auto"/>
              </w:rPr>
            </w:pPr>
          </w:p>
        </w:tc>
        <w:tc>
          <w:tcPr>
            <w:tcW w:w="2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160" w:type="dxa"/>
            <w:vAlign w:val="bottom"/>
          </w:tcPr>
          <w:p>
            <w:pPr>
              <w:spacing w:after="0"/>
              <w:rPr>
                <w:sz w:val="24"/>
                <w:szCs w:val="24"/>
                <w:color w:val="auto"/>
              </w:rPr>
            </w:pPr>
          </w:p>
        </w:tc>
        <w:tc>
          <w:tcPr>
            <w:tcW w:w="2000" w:type="dxa"/>
            <w:vAlign w:val="bottom"/>
            <w:vMerge w:val="restart"/>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820" w:type="dxa"/>
            <w:vAlign w:val="bottom"/>
            <w:vMerge w:val="restart"/>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2260" w:type="dxa"/>
            <w:vAlign w:val="bottom"/>
            <w:vMerge w:val="restart"/>
          </w:tcPr>
          <w:p>
            <w:pPr>
              <w:ind w:left="1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8"/>
                <w:szCs w:val="18"/>
                <w:color w:val="auto"/>
              </w:rPr>
            </w:pP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60" w:type="dxa"/>
            <w:vAlign w:val="bottom"/>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660" w:type="dxa"/>
            <w:vAlign w:val="bottom"/>
          </w:tcPr>
          <w:p>
            <w:pPr>
              <w:ind w:left="1120"/>
              <w:spacing w:after="0" w:line="202"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7"/>
                <w:szCs w:val="17"/>
                <w:color w:val="auto"/>
              </w:rPr>
            </w:pPr>
          </w:p>
        </w:tc>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9"/>
                <w:szCs w:val="19"/>
                <w:color w:val="auto"/>
                <w:w w:val="98"/>
              </w:rPr>
              <w:t>1,934,451</w:t>
            </w:r>
            <w:r>
              <w:rPr>
                <w:rFonts w:ascii="Times New Roman" w:cs="Times New Roman" w:eastAsia="Times New Roman" w:hAnsi="Times New Roman"/>
                <w:sz w:val="23"/>
                <w:szCs w:val="23"/>
                <w:color w:val="auto"/>
                <w:w w:val="98"/>
                <w:vertAlign w:val="superscript"/>
              </w:rPr>
              <w:t>(1)(2)</w:t>
            </w:r>
          </w:p>
        </w:tc>
        <w:tc>
          <w:tcPr>
            <w:tcW w:w="16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Times New Roman" w:cs="Times New Roman" w:eastAsia="Times New Roman" w:hAnsi="Times New Roman"/>
                <w:sz w:val="19"/>
                <w:szCs w:val="19"/>
                <w:color w:val="auto"/>
                <w:w w:val="99"/>
              </w:rPr>
              <w:t>$11.86</w:t>
            </w:r>
            <w:r>
              <w:rPr>
                <w:rFonts w:ascii="Times New Roman" w:cs="Times New Roman" w:eastAsia="Times New Roman" w:hAnsi="Times New Roman"/>
                <w:sz w:val="23"/>
                <w:szCs w:val="23"/>
                <w:color w:val="auto"/>
                <w:w w:val="99"/>
                <w:vertAlign w:val="superscript"/>
              </w:rPr>
              <w:t>(3)</w:t>
            </w:r>
          </w:p>
        </w:tc>
        <w:tc>
          <w:tcPr>
            <w:tcW w:w="160" w:type="dxa"/>
            <w:vAlign w:val="bottom"/>
          </w:tcPr>
          <w:p>
            <w:pPr>
              <w:spacing w:after="0"/>
              <w:rPr>
                <w:sz w:val="17"/>
                <w:szCs w:val="17"/>
                <w:color w:val="auto"/>
              </w:rPr>
            </w:pPr>
          </w:p>
        </w:tc>
        <w:tc>
          <w:tcPr>
            <w:tcW w:w="2260" w:type="dxa"/>
            <w:vAlign w:val="bottom"/>
          </w:tcPr>
          <w:p>
            <w:pPr>
              <w:jc w:val="center"/>
              <w:spacing w:after="0" w:line="202" w:lineRule="exact"/>
              <w:rPr>
                <w:sz w:val="20"/>
                <w:szCs w:val="20"/>
                <w:color w:val="auto"/>
              </w:rPr>
            </w:pPr>
            <w:r>
              <w:rPr>
                <w:rFonts w:ascii="Times New Roman" w:cs="Times New Roman" w:eastAsia="Times New Roman" w:hAnsi="Times New Roman"/>
                <w:sz w:val="19"/>
                <w:szCs w:val="19"/>
                <w:color w:val="auto"/>
              </w:rPr>
              <w:t>811,144</w:t>
            </w:r>
            <w:r>
              <w:rPr>
                <w:rFonts w:ascii="Times New Roman" w:cs="Times New Roman" w:eastAsia="Times New Roman" w:hAnsi="Times New Roman"/>
                <w:sz w:val="23"/>
                <w:szCs w:val="23"/>
                <w:color w:val="auto"/>
                <w:vertAlign w:val="superscript"/>
              </w:rPr>
              <w:t>(4)</w:t>
            </w:r>
          </w:p>
        </w:tc>
        <w:tc>
          <w:tcPr>
            <w:tcW w:w="0" w:type="dxa"/>
            <w:vAlign w:val="bottom"/>
          </w:tcPr>
          <w:p>
            <w:pPr>
              <w:spacing w:after="0"/>
              <w:rPr>
                <w:sz w:val="1"/>
                <w:szCs w:val="1"/>
                <w:color w:val="auto"/>
              </w:rPr>
            </w:pPr>
          </w:p>
        </w:tc>
      </w:tr>
      <w:tr>
        <w:trPr>
          <w:trHeight w:val="267"/>
        </w:trPr>
        <w:tc>
          <w:tcPr>
            <w:tcW w:w="2840" w:type="dxa"/>
            <w:vAlign w:val="bottom"/>
            <w:gridSpan w:val="2"/>
          </w:tcPr>
          <w:p>
            <w:pPr>
              <w:jc w:val="right"/>
              <w:ind w:right="550"/>
              <w:spacing w:after="0"/>
              <w:rPr>
                <w:sz w:val="20"/>
                <w:szCs w:val="20"/>
                <w:color w:val="auto"/>
              </w:rPr>
            </w:pPr>
            <w:r>
              <w:rPr>
                <w:rFonts w:ascii="Times New Roman" w:cs="Times New Roman" w:eastAsia="Times New Roman" w:hAnsi="Times New Roman"/>
                <w:sz w:val="20"/>
                <w:szCs w:val="20"/>
                <w:color w:val="auto"/>
                <w:w w:val="99"/>
              </w:rPr>
              <w:t>______________________</w:t>
            </w:r>
          </w:p>
        </w:tc>
        <w:tc>
          <w:tcPr>
            <w:tcW w:w="1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40" w:right="220" w:hanging="440"/>
        <w:spacing w:after="0" w:line="245" w:lineRule="auto"/>
        <w:tabs>
          <w:tab w:leader="none" w:pos="4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includes 290,533 shares of NTIC common stock issuable upon the exercise of stock options outstanding as of August 31, 2025 under the Northern Technologies International Corporation Amended and Restated 2007 Stock Incentive Plan, 1,387,415 shares of NTIC common stock issuable upon the exercise of stock options outstanding as of August 31, 2025 under the Northern Technologies International Corporation Amended and Restated 2019 Stock Incentive Plan, and 245,190 shares of NTIC common stock issuable upon the exercise of stock options and 11,313 shares of NTIC common stock issuable upon the vesting and settlement of restricted stock units outstanding as of August 31, 2025 under the Northern Technologies International Corporation 2024 Stock Incentive Plan.</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400"/>
          </w:cols>
          <w:pgMar w:left="1440" w:top="1416" w:right="1400" w:bottom="382" w:gutter="0" w:footer="0" w:header="0"/>
        </w:sectPr>
      </w:pPr>
    </w:p>
    <w:bookmarkStart w:id="173" w:name="page174"/>
    <w:bookmarkEnd w:id="173"/>
    <w:p>
      <w:pPr>
        <w:ind w:left="440" w:right="100" w:hanging="440"/>
        <w:spacing w:after="0" w:line="247" w:lineRule="auto"/>
        <w:tabs>
          <w:tab w:leader="none" w:pos="4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28th or 29th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00" w:lineRule="exact"/>
        <w:rPr>
          <w:rFonts w:ascii="Times New Roman" w:cs="Times New Roman" w:eastAsia="Times New Roman" w:hAnsi="Times New Roman"/>
          <w:sz w:val="20"/>
          <w:szCs w:val="20"/>
          <w:color w:val="auto"/>
        </w:rPr>
      </w:pPr>
    </w:p>
    <w:p>
      <w:pPr>
        <w:ind w:left="440" w:right="440" w:hanging="440"/>
        <w:spacing w:after="0" w:line="278" w:lineRule="auto"/>
        <w:tabs>
          <w:tab w:leader="none" w:pos="4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included in the weighted-average exercise price calculation are 11,313 restricted stock units under the Northern Technologies International Corporation 2024 Stock Incentive Plan.</w:t>
      </w:r>
    </w:p>
    <w:p>
      <w:pPr>
        <w:spacing w:after="0" w:line="166" w:lineRule="exact"/>
        <w:rPr>
          <w:rFonts w:ascii="Times New Roman" w:cs="Times New Roman" w:eastAsia="Times New Roman" w:hAnsi="Times New Roman"/>
          <w:sz w:val="20"/>
          <w:szCs w:val="20"/>
          <w:color w:val="auto"/>
        </w:rPr>
      </w:pPr>
    </w:p>
    <w:p>
      <w:pPr>
        <w:ind w:left="440" w:right="60" w:hanging="440"/>
        <w:spacing w:after="0" w:line="252" w:lineRule="auto"/>
        <w:tabs>
          <w:tab w:leader="none" w:pos="44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includes 763,273 shares available as of August 31, 2025 for future issuance under Northern Technologies International Corporation 2024 Stock Incentive Plan and 47,871 shares available at August 31, 2025 for future issuance under the Northern Technologies International Corporation Employee Stock Purchase Plan.</w:t>
      </w:r>
    </w:p>
    <w:p>
      <w:pPr>
        <w:spacing w:after="0" w:line="189" w:lineRule="exact"/>
        <w:rPr>
          <w:sz w:val="20"/>
          <w:szCs w:val="20"/>
          <w:color w:val="auto"/>
        </w:rPr>
      </w:pPr>
    </w:p>
    <w:p>
      <w:pPr>
        <w:ind w:left="1000" w:right="1020" w:hanging="1007"/>
        <w:spacing w:after="0" w:line="287"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13.</w:t>
        <w:tab/>
        <w:t>CERTAIN RELATIONSHIPS AND RELATED TRANSACTIONS, AND DIRECTOR INDEPENDENCE</w:t>
      </w:r>
    </w:p>
    <w:p>
      <w:pPr>
        <w:spacing w:after="0" w:line="15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The information in the “Related Person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9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ACCOUNTANT FEES AND SERVICES</w:t>
      </w:r>
    </w:p>
    <w:p>
      <w:pPr>
        <w:spacing w:after="0" w:line="243"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The information in the “Proposal Four—Ratification of Selection of Independent Registered Public Accounting Firm—Audit, Audit-Related, Tax and Other Fees” and “Proposal Four—Ratification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1420" w:right="1440" w:bottom="382" w:gutter="0" w:footer="0" w:header="0"/>
        </w:sectPr>
      </w:pPr>
    </w:p>
    <w:bookmarkStart w:id="174" w:name="page175"/>
    <w:bookmarkEnd w:id="174"/>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 AND FINANCIAL STATEMENT SCHEDULES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NTIC’s consolidated financial statements are included in Item 8 of Part III of this report.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Statement Schedules</w:t>
      </w:r>
    </w:p>
    <w:p>
      <w:pPr>
        <w:spacing w:after="0" w:line="243" w:lineRule="exact"/>
        <w:rPr>
          <w:sz w:val="20"/>
          <w:szCs w:val="20"/>
          <w:color w:val="auto"/>
        </w:rPr>
      </w:pPr>
    </w:p>
    <w:p>
      <w:pPr>
        <w:ind w:right="1040"/>
        <w:spacing w:after="0" w:line="278" w:lineRule="auto"/>
        <w:rPr>
          <w:sz w:val="20"/>
          <w:szCs w:val="20"/>
          <w:color w:val="auto"/>
        </w:rPr>
      </w:pPr>
      <w:r>
        <w:rPr>
          <w:rFonts w:ascii="Times New Roman" w:cs="Times New Roman" w:eastAsia="Times New Roman" w:hAnsi="Times New Roman"/>
          <w:sz w:val="20"/>
          <w:szCs w:val="20"/>
          <w:color w:val="auto"/>
        </w:rPr>
        <w:t>All financial statement schedules are omitted because they are inapplicable since NTIC is a smaller reporting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243"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20"/>
          <w:szCs w:val="20"/>
          <w:color w:val="auto"/>
        </w:rPr>
        <w:t>The exhibits being filed or furnished with this report are listed below. Each management contract or compensatory plan or arrangement required to be filed as an exhibit to this report is asterisked below.</w:t>
      </w:r>
    </w:p>
    <w:p>
      <w:pPr>
        <w:spacing w:after="0" w:line="167" w:lineRule="exact"/>
        <w:rPr>
          <w:sz w:val="20"/>
          <w:szCs w:val="20"/>
          <w:color w:val="auto"/>
        </w:rPr>
      </w:pPr>
    </w:p>
    <w:p>
      <w:pPr>
        <w:ind w:right="760"/>
        <w:spacing w:after="0" w:line="252" w:lineRule="auto"/>
        <w:rPr>
          <w:sz w:val="20"/>
          <w:szCs w:val="20"/>
          <w:color w:val="auto"/>
        </w:rPr>
      </w:pPr>
      <w:r>
        <w:rPr>
          <w:rFonts w:ascii="Times New Roman" w:cs="Times New Roman" w:eastAsia="Times New Roman" w:hAnsi="Times New Roman"/>
          <w:sz w:val="20"/>
          <w:szCs w:val="20"/>
          <w:color w:val="auto"/>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194" w:lineRule="exact"/>
        <w:rPr>
          <w:sz w:val="20"/>
          <w:szCs w:val="20"/>
          <w:color w:val="auto"/>
        </w:rPr>
      </w:pPr>
    </w:p>
    <w:tbl>
      <w:tblPr>
        <w:tblLayout w:type="fixed"/>
        <w:tblInd w:w="180" w:type="dxa"/>
        <w:tblCellMar>
          <w:top w:w="0" w:type="dxa"/>
          <w:left w:w="0" w:type="dxa"/>
          <w:bottom w:w="0" w:type="dxa"/>
          <w:right w:w="0" w:type="dxa"/>
        </w:tblCellMar>
      </w:tblPr>
      <w:tr>
        <w:trPr>
          <w:trHeight w:val="246"/>
        </w:trPr>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160" w:type="dxa"/>
            <w:vAlign w:val="bottom"/>
          </w:tcPr>
          <w:p>
            <w:pPr>
              <w:spacing w:after="0"/>
              <w:rPr>
                <w:sz w:val="21"/>
                <w:szCs w:val="21"/>
                <w:color w:val="auto"/>
              </w:rPr>
            </w:pPr>
          </w:p>
        </w:tc>
        <w:tc>
          <w:tcPr>
            <w:tcW w:w="4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Item</w:t>
            </w:r>
          </w:p>
        </w:tc>
        <w:tc>
          <w:tcPr>
            <w:tcW w:w="660" w:type="dxa"/>
            <w:vAlign w:val="bottom"/>
          </w:tcPr>
          <w:p>
            <w:pPr>
              <w:spacing w:after="0"/>
              <w:rPr>
                <w:sz w:val="21"/>
                <w:szCs w:val="21"/>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201"/>
        </w:trPr>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20"/>
                <w:szCs w:val="20"/>
                <w:color w:val="auto"/>
              </w:rPr>
              <w:t>3.1</w:t>
            </w:r>
          </w:p>
        </w:tc>
        <w:tc>
          <w:tcPr>
            <w:tcW w:w="160" w:type="dxa"/>
            <w:vAlign w:val="bottom"/>
          </w:tcPr>
          <w:p>
            <w:pPr>
              <w:spacing w:after="0"/>
              <w:rPr>
                <w:sz w:val="17"/>
                <w:szCs w:val="17"/>
                <w:color w:val="auto"/>
              </w:rPr>
            </w:pPr>
          </w:p>
        </w:tc>
        <w:tc>
          <w:tcPr>
            <w:tcW w:w="4200" w:type="dxa"/>
            <w:vAlign w:val="bottom"/>
          </w:tcPr>
          <w:p>
            <w:pPr>
              <w:ind w:left="40"/>
              <w:spacing w:after="0" w:line="202" w:lineRule="exact"/>
              <w:rPr>
                <w:sz w:val="20"/>
                <w:szCs w:val="20"/>
                <w:color w:val="auto"/>
              </w:rPr>
            </w:pPr>
            <w:r>
              <w:rPr>
                <w:rFonts w:ascii="Times New Roman" w:cs="Times New Roman" w:eastAsia="Times New Roman" w:hAnsi="Times New Roman"/>
                <w:sz w:val="20"/>
                <w:szCs w:val="20"/>
                <w:color w:val="auto"/>
              </w:rPr>
              <w:t>Restated Certificate of Incorporation of Northern</w:t>
            </w:r>
          </w:p>
        </w:tc>
        <w:tc>
          <w:tcPr>
            <w:tcW w:w="660" w:type="dxa"/>
            <w:vAlign w:val="bottom"/>
          </w:tcPr>
          <w:p>
            <w:pPr>
              <w:spacing w:after="0"/>
              <w:rPr>
                <w:sz w:val="17"/>
                <w:szCs w:val="17"/>
                <w:color w:val="auto"/>
              </w:rPr>
            </w:pPr>
          </w:p>
        </w:tc>
        <w:tc>
          <w:tcPr>
            <w:tcW w:w="3640" w:type="dxa"/>
            <w:vAlign w:val="bottom"/>
          </w:tcPr>
          <w:p>
            <w:pPr>
              <w:jc w:val="center"/>
              <w:spacing w:after="0" w:line="202" w:lineRule="exact"/>
              <w:rPr>
                <w:sz w:val="20"/>
                <w:szCs w:val="20"/>
                <w:color w:val="auto"/>
              </w:rPr>
            </w:pPr>
            <w:r>
              <w:rPr>
                <w:rFonts w:ascii="Times New Roman" w:cs="Times New Roman" w:eastAsia="Times New Roman" w:hAnsi="Times New Roman"/>
                <w:sz w:val="20"/>
                <w:szCs w:val="20"/>
                <w:color w:val="auto"/>
              </w:rPr>
              <w:t>Incorporated by reference to Exhibit 3.1 to</w:t>
            </w: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Technologies International Corporation</w:t>
            </w:r>
          </w:p>
        </w:tc>
        <w:tc>
          <w:tcPr>
            <w:tcW w:w="66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NTIC’s Quarterly Report on Form 10-Q for</w:t>
            </w:r>
          </w:p>
        </w:tc>
      </w:tr>
      <w:tr>
        <w:trPr>
          <w:trHeight w:val="229"/>
        </w:trPr>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the fiscal quarter ended February 28, 2023</w:t>
            </w:r>
          </w:p>
        </w:tc>
      </w:tr>
      <w:tr>
        <w:trPr>
          <w:trHeight w:val="267"/>
        </w:trPr>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(File No. 001-11038)</w:t>
            </w:r>
          </w:p>
        </w:tc>
      </w:tr>
      <w:tr>
        <w:trPr>
          <w:trHeight w:val="423"/>
        </w:trPr>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w:t>
            </w:r>
          </w:p>
        </w:tc>
        <w:tc>
          <w:tcPr>
            <w:tcW w:w="16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Third Amended and Restated Bylaws of Northern</w:t>
            </w:r>
          </w:p>
        </w:tc>
        <w:tc>
          <w:tcPr>
            <w:tcW w:w="66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Incorporated by reference to Exhibit 3.2 to</w:t>
            </w: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Technologies International Corporation</w:t>
            </w:r>
          </w:p>
        </w:tc>
        <w:tc>
          <w:tcPr>
            <w:tcW w:w="66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NTIC’s Annual Report on Form 10-K for</w:t>
            </w:r>
          </w:p>
        </w:tc>
      </w:tr>
      <w:tr>
        <w:trPr>
          <w:trHeight w:val="229"/>
        </w:trPr>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the fiscal year ended August 31, 2024</w:t>
            </w:r>
          </w:p>
        </w:tc>
      </w:tr>
      <w:tr>
        <w:trPr>
          <w:trHeight w:val="267"/>
        </w:trPr>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(File No. 001-11038)</w:t>
            </w:r>
          </w:p>
        </w:tc>
      </w:tr>
      <w:tr>
        <w:trPr>
          <w:trHeight w:val="423"/>
        </w:trPr>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16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Specimen Stock Certificate Representing Common</w:t>
            </w:r>
          </w:p>
        </w:tc>
        <w:tc>
          <w:tcPr>
            <w:tcW w:w="66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Incorporated by reference to Exhibit 4.1 to</w:t>
            </w: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 of Northern Technologies International</w:t>
            </w:r>
          </w:p>
        </w:tc>
        <w:tc>
          <w:tcPr>
            <w:tcW w:w="66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NTIC’s Registration Statement on Form 10</w:t>
            </w: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Corporation</w:t>
            </w:r>
          </w:p>
        </w:tc>
        <w:tc>
          <w:tcPr>
            <w:tcW w:w="66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(File No. 001-19331) (Filed on paper -</w:t>
            </w:r>
          </w:p>
        </w:tc>
      </w:tr>
      <w:tr>
        <w:trPr>
          <w:trHeight w:val="229"/>
        </w:trPr>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hyperlink is not required pursuant to Rule</w:t>
            </w:r>
          </w:p>
        </w:tc>
      </w:tr>
      <w:tr>
        <w:trPr>
          <w:trHeight w:val="267"/>
        </w:trPr>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105 of Regulation S-T)</w:t>
            </w:r>
          </w:p>
        </w:tc>
      </w:tr>
      <w:tr>
        <w:trPr>
          <w:trHeight w:val="423"/>
        </w:trPr>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16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Description of Common Stock of Northern</w:t>
            </w:r>
          </w:p>
        </w:tc>
        <w:tc>
          <w:tcPr>
            <w:tcW w:w="66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Incorporated by reference to Exhibit 4.2 to</w:t>
            </w: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Technologies International Corporation</w:t>
            </w:r>
          </w:p>
        </w:tc>
        <w:tc>
          <w:tcPr>
            <w:tcW w:w="66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NTIC’s Annual Report on Form 10-K for</w:t>
            </w: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the fiscal year ended August 31, 2023</w:t>
            </w:r>
          </w:p>
        </w:tc>
      </w:tr>
      <w:tr>
        <w:trPr>
          <w:trHeight w:val="267"/>
        </w:trPr>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(File No. 001-11038)</w:t>
            </w:r>
          </w:p>
        </w:tc>
      </w:tr>
      <w:tr>
        <w:trPr>
          <w:trHeight w:val="423"/>
        </w:trPr>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6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Northern Technologies International Corporation</w:t>
            </w:r>
          </w:p>
        </w:tc>
        <w:tc>
          <w:tcPr>
            <w:tcW w:w="66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Incorporated by reference to Exhibit 10.1 to</w:t>
            </w:r>
          </w:p>
        </w:tc>
      </w:tr>
      <w:tr>
        <w:trPr>
          <w:trHeight w:val="229"/>
        </w:trPr>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 Stock Incentive Plan*</w:t>
            </w:r>
          </w:p>
        </w:tc>
        <w:tc>
          <w:tcPr>
            <w:tcW w:w="66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NTIC’s Current Report on Form 8-K as</w:t>
            </w: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filed with the Securities and Exchange</w:t>
            </w: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Commission on January 19, 2024</w:t>
            </w:r>
          </w:p>
        </w:tc>
      </w:tr>
      <w:tr>
        <w:trPr>
          <w:trHeight w:val="267"/>
        </w:trPr>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(File No. 001-11038)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760"/>
          </w:cols>
          <w:pgMar w:left="1440" w:top="1416" w:right="1040" w:bottom="382" w:gutter="0" w:footer="0" w:header="0"/>
        </w:sectPr>
      </w:pPr>
    </w:p>
    <w:bookmarkStart w:id="175" w:name="page176"/>
    <w:bookmarkEnd w:id="175"/>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No.</w:t>
      </w:r>
      <w:r>
        <w:rPr>
          <w:sz w:val="20"/>
          <w:szCs w:val="20"/>
          <w:color w:val="auto"/>
        </w:rPr>
        <w:tab/>
      </w:r>
      <w:r>
        <w:rPr>
          <w:rFonts w:ascii="Times New Roman" w:cs="Times New Roman" w:eastAsia="Times New Roman" w:hAnsi="Times New Roman"/>
          <w:sz w:val="18"/>
          <w:szCs w:val="18"/>
          <w:b w:val="1"/>
          <w:bCs w:val="1"/>
          <w:color w:val="auto"/>
        </w:rPr>
        <w:t>Item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109220</wp:posOffset>
                </wp:positionH>
                <wp:positionV relativeFrom="paragraph">
                  <wp:posOffset>27305</wp:posOffset>
                </wp:positionV>
                <wp:extent cx="59372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6pt,2.15pt" to="55.35pt,2.1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802640</wp:posOffset>
                </wp:positionH>
                <wp:positionV relativeFrom="paragraph">
                  <wp:posOffset>27305</wp:posOffset>
                </wp:positionV>
                <wp:extent cx="265938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938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2pt,2.15pt" to="272.6pt,2.15pt" o:allowincell="f" strokecolor="#000000" strokeweight="0.4809pt"/>
            </w:pict>
          </mc:Fallback>
        </mc:AlternateContent>
      </w:r>
    </w:p>
    <w:p>
      <w:pPr>
        <w:spacing w:after="0" w:line="19" w:lineRule="exact"/>
        <w:rPr>
          <w:sz w:val="20"/>
          <w:szCs w:val="20"/>
          <w:color w:val="auto"/>
        </w:rPr>
      </w:pPr>
    </w:p>
    <w:p>
      <w:pPr>
        <w:ind w:left="1300" w:right="80" w:hanging="837"/>
        <w:spacing w:after="0" w:line="254" w:lineRule="auto"/>
        <w:tabs>
          <w:tab w:leader="none" w:pos="12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Form of Incentive Stock Option Agreement for use with the Northern Technologies International Corporation 2024 Stock Incentive Plan*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color w:val="auto"/>
        </w:rPr>
        <w:t>Form of Non-Statutory Stock Option Agreement</w:t>
      </w:r>
    </w:p>
    <w:p>
      <w:pPr>
        <w:spacing w:after="0" w:line="28" w:lineRule="exact"/>
        <w:rPr>
          <w:sz w:val="20"/>
          <w:szCs w:val="20"/>
          <w:color w:val="auto"/>
        </w:rPr>
      </w:pPr>
    </w:p>
    <w:p>
      <w:pPr>
        <w:ind w:left="1300" w:right="380"/>
        <w:spacing w:after="0" w:line="244" w:lineRule="auto"/>
        <w:rPr>
          <w:sz w:val="20"/>
          <w:szCs w:val="20"/>
          <w:color w:val="auto"/>
        </w:rPr>
      </w:pPr>
      <w:r>
        <w:rPr>
          <w:rFonts w:ascii="Times New Roman" w:cs="Times New Roman" w:eastAsia="Times New Roman" w:hAnsi="Times New Roman"/>
          <w:sz w:val="20"/>
          <w:szCs w:val="20"/>
          <w:color w:val="auto"/>
        </w:rPr>
        <w:t>for use with the Northern Technologies International Corporation 2024 Stock Incentive Plan*</w:t>
      </w:r>
    </w:p>
    <w:p>
      <w:pPr>
        <w:spacing w:after="0" w:line="200" w:lineRule="exact"/>
        <w:rPr>
          <w:sz w:val="20"/>
          <w:szCs w:val="20"/>
          <w:color w:val="auto"/>
        </w:rPr>
      </w:pPr>
    </w:p>
    <w:p>
      <w:pPr>
        <w:spacing w:after="0" w:line="220"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Form of Restricted Stock Unit Award Agreement</w:t>
      </w:r>
    </w:p>
    <w:p>
      <w:pPr>
        <w:spacing w:after="0" w:line="28" w:lineRule="exact"/>
        <w:rPr>
          <w:sz w:val="20"/>
          <w:szCs w:val="20"/>
          <w:color w:val="auto"/>
        </w:rPr>
      </w:pPr>
    </w:p>
    <w:p>
      <w:pPr>
        <w:ind w:left="1300" w:right="380"/>
        <w:spacing w:after="0" w:line="244" w:lineRule="auto"/>
        <w:rPr>
          <w:sz w:val="20"/>
          <w:szCs w:val="20"/>
          <w:color w:val="auto"/>
        </w:rPr>
      </w:pPr>
      <w:r>
        <w:rPr>
          <w:rFonts w:ascii="Times New Roman" w:cs="Times New Roman" w:eastAsia="Times New Roman" w:hAnsi="Times New Roman"/>
          <w:sz w:val="20"/>
          <w:szCs w:val="20"/>
          <w:color w:val="auto"/>
        </w:rPr>
        <w:t>for use with the Northern Technologies International Corporation 2024 Stock Incentive Plan*</w:t>
      </w:r>
    </w:p>
    <w:p>
      <w:pPr>
        <w:spacing w:after="0" w:line="200" w:lineRule="exact"/>
        <w:rPr>
          <w:sz w:val="20"/>
          <w:szCs w:val="20"/>
          <w:color w:val="auto"/>
        </w:rPr>
      </w:pPr>
    </w:p>
    <w:p>
      <w:pPr>
        <w:spacing w:after="0" w:line="220" w:lineRule="exact"/>
        <w:rPr>
          <w:sz w:val="20"/>
          <w:szCs w:val="20"/>
          <w:color w:val="auto"/>
        </w:rPr>
      </w:pPr>
    </w:p>
    <w:p>
      <w:pPr>
        <w:ind w:left="1300" w:right="60" w:hanging="837"/>
        <w:spacing w:after="0" w:line="304" w:lineRule="auto"/>
        <w:tabs>
          <w:tab w:leader="none" w:pos="128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color w:val="auto"/>
        </w:rPr>
        <w:t>Northern Technologies International Corporation Amended and Restated 2019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00" w:right="60" w:hanging="837"/>
        <w:spacing w:after="0" w:line="278" w:lineRule="auto"/>
        <w:tabs>
          <w:tab w:leader="none" w:pos="128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color w:val="auto"/>
        </w:rPr>
        <w:t>Form of Incentive Stock Option Agreement for Northern Technologies International Corporation Amended and Restated 2019 Stock Incentive Plan*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color w:val="auto"/>
        </w:rPr>
        <w:t>Form of Non-Statutory Stock Option Agreement</w:t>
      </w:r>
    </w:p>
    <w:p>
      <w:pPr>
        <w:spacing w:after="0" w:line="27" w:lineRule="exact"/>
        <w:rPr>
          <w:sz w:val="20"/>
          <w:szCs w:val="20"/>
          <w:color w:val="auto"/>
        </w:rPr>
      </w:pPr>
    </w:p>
    <w:p>
      <w:pPr>
        <w:ind w:left="1300" w:right="340"/>
        <w:spacing w:after="0" w:line="244" w:lineRule="auto"/>
        <w:rPr>
          <w:sz w:val="20"/>
          <w:szCs w:val="20"/>
          <w:color w:val="auto"/>
        </w:rPr>
      </w:pPr>
      <w:r>
        <w:rPr>
          <w:rFonts w:ascii="Times New Roman" w:cs="Times New Roman" w:eastAsia="Times New Roman" w:hAnsi="Times New Roman"/>
          <w:sz w:val="20"/>
          <w:szCs w:val="20"/>
          <w:color w:val="auto"/>
        </w:rPr>
        <w:t>for Northern Technologies International Corporation Amended and Restated 2019 Stock Incentive Plan*</w:t>
      </w:r>
    </w:p>
    <w:p>
      <w:pPr>
        <w:spacing w:after="0" w:line="200" w:lineRule="exact"/>
        <w:rPr>
          <w:sz w:val="20"/>
          <w:szCs w:val="20"/>
          <w:color w:val="auto"/>
        </w:rPr>
      </w:pPr>
    </w:p>
    <w:p>
      <w:pPr>
        <w:spacing w:after="0" w:line="221" w:lineRule="exact"/>
        <w:rPr>
          <w:sz w:val="20"/>
          <w:szCs w:val="20"/>
          <w:color w:val="auto"/>
        </w:rPr>
      </w:pPr>
    </w:p>
    <w:p>
      <w:pPr>
        <w:ind w:left="1300" w:right="60" w:hanging="837"/>
        <w:spacing w:after="0" w:line="304" w:lineRule="auto"/>
        <w:tabs>
          <w:tab w:leader="none" w:pos="128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color w:val="auto"/>
        </w:rPr>
        <w:t>Northern Technologies International Corporation Amended and Restated 2007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300" w:right="60" w:hanging="837"/>
        <w:spacing w:after="0" w:line="279" w:lineRule="auto"/>
        <w:tabs>
          <w:tab w:leader="none" w:pos="128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color w:val="auto"/>
        </w:rPr>
        <w:t>Form of Incentive Stock Option Agreement for Northern Technologies International Corporation Amended and Restated 2007 Stock Incentive Plan*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0"/>
        <w:spacing w:after="0"/>
        <w:tabs>
          <w:tab w:leader="none" w:pos="128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Form of Non-Statutory Stock Option Agreement</w:t>
      </w:r>
    </w:p>
    <w:p>
      <w:pPr>
        <w:spacing w:after="0" w:line="28" w:lineRule="exact"/>
        <w:rPr>
          <w:sz w:val="20"/>
          <w:szCs w:val="20"/>
          <w:color w:val="auto"/>
        </w:rPr>
      </w:pPr>
    </w:p>
    <w:p>
      <w:pPr>
        <w:ind w:left="1300" w:right="340"/>
        <w:spacing w:after="0" w:line="244" w:lineRule="auto"/>
        <w:rPr>
          <w:sz w:val="20"/>
          <w:szCs w:val="20"/>
          <w:color w:val="auto"/>
        </w:rPr>
      </w:pPr>
      <w:r>
        <w:rPr>
          <w:rFonts w:ascii="Times New Roman" w:cs="Times New Roman" w:eastAsia="Times New Roman" w:hAnsi="Times New Roman"/>
          <w:sz w:val="20"/>
          <w:szCs w:val="20"/>
          <w:color w:val="auto"/>
        </w:rPr>
        <w:t>for Northern Technologies International Corporation Amended and Restated 2007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Method of Filing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27305</wp:posOffset>
                </wp:positionV>
                <wp:extent cx="231140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14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2.15pt" to="178.65pt,2.15pt" o:allowincell="f" strokecolor="#000000" strokeweight="0.4809pt"/>
            </w:pict>
          </mc:Fallback>
        </mc:AlternateContent>
      </w:r>
    </w:p>
    <w:p>
      <w:pPr>
        <w:spacing w:after="0" w:line="19" w:lineRule="exact"/>
        <w:rPr>
          <w:sz w:val="20"/>
          <w:szCs w:val="20"/>
          <w:color w:val="auto"/>
        </w:rPr>
      </w:pPr>
    </w:p>
    <w:p>
      <w:pPr>
        <w:jc w:val="center"/>
        <w:spacing w:after="0" w:line="247" w:lineRule="auto"/>
        <w:rPr>
          <w:sz w:val="20"/>
          <w:szCs w:val="20"/>
          <w:color w:val="auto"/>
        </w:rPr>
      </w:pPr>
      <w:r>
        <w:rPr>
          <w:rFonts w:ascii="Times New Roman" w:cs="Times New Roman" w:eastAsia="Times New Roman" w:hAnsi="Times New Roman"/>
          <w:sz w:val="20"/>
          <w:szCs w:val="20"/>
          <w:color w:val="auto"/>
        </w:rPr>
        <w:t>Incorporated by reference to Exhibit 10.2 to NTIC’s Current Report on Form 8-K as filed with the Securities and Exchange Commission on January 19, 2024 (File No. 001-11038)</w:t>
      </w:r>
    </w:p>
    <w:p>
      <w:pPr>
        <w:spacing w:after="0" w:line="188" w:lineRule="exact"/>
        <w:rPr>
          <w:sz w:val="20"/>
          <w:szCs w:val="20"/>
          <w:color w:val="auto"/>
        </w:rPr>
      </w:pPr>
    </w:p>
    <w:p>
      <w:pPr>
        <w:jc w:val="center"/>
        <w:spacing w:after="0" w:line="249" w:lineRule="auto"/>
        <w:rPr>
          <w:sz w:val="20"/>
          <w:szCs w:val="20"/>
          <w:color w:val="auto"/>
        </w:rPr>
      </w:pPr>
      <w:r>
        <w:rPr>
          <w:rFonts w:ascii="Times New Roman" w:cs="Times New Roman" w:eastAsia="Times New Roman" w:hAnsi="Times New Roman"/>
          <w:sz w:val="20"/>
          <w:szCs w:val="20"/>
          <w:color w:val="auto"/>
        </w:rPr>
        <w:t>Incorporated by reference to Exhibit 10.3 to NTIC’s Current Report on Form 8-K as filed with the Securities and Exchange Commission on January 19, 2024 (File No. 001-11038)</w:t>
      </w:r>
    </w:p>
    <w:p>
      <w:pPr>
        <w:spacing w:after="0" w:line="187" w:lineRule="exact"/>
        <w:rPr>
          <w:sz w:val="20"/>
          <w:szCs w:val="20"/>
          <w:color w:val="auto"/>
        </w:rPr>
      </w:pPr>
    </w:p>
    <w:p>
      <w:pPr>
        <w:jc w:val="center"/>
        <w:spacing w:after="0" w:line="249" w:lineRule="auto"/>
        <w:rPr>
          <w:sz w:val="20"/>
          <w:szCs w:val="20"/>
          <w:color w:val="auto"/>
        </w:rPr>
      </w:pPr>
      <w:r>
        <w:rPr>
          <w:rFonts w:ascii="Times New Roman" w:cs="Times New Roman" w:eastAsia="Times New Roman" w:hAnsi="Times New Roman"/>
          <w:sz w:val="20"/>
          <w:szCs w:val="20"/>
          <w:color w:val="auto"/>
        </w:rPr>
        <w:t>Incorporated by reference to Exhibit 10.4 to NTIC’s Current Report on Form 8-K as filed with the Securities and Exchange Commission on January 19, 2024 (File No. 001-11038)</w:t>
      </w:r>
    </w:p>
    <w:p>
      <w:pPr>
        <w:spacing w:after="0" w:line="187" w:lineRule="exact"/>
        <w:rPr>
          <w:sz w:val="20"/>
          <w:szCs w:val="20"/>
          <w:color w:val="auto"/>
        </w:rPr>
      </w:pPr>
    </w:p>
    <w:p>
      <w:pPr>
        <w:jc w:val="center"/>
        <w:spacing w:after="0" w:line="249" w:lineRule="auto"/>
        <w:rPr>
          <w:sz w:val="20"/>
          <w:szCs w:val="20"/>
          <w:color w:val="auto"/>
        </w:rPr>
      </w:pPr>
      <w:r>
        <w:rPr>
          <w:rFonts w:ascii="Times New Roman" w:cs="Times New Roman" w:eastAsia="Times New Roman" w:hAnsi="Times New Roman"/>
          <w:sz w:val="20"/>
          <w:szCs w:val="20"/>
          <w:color w:val="auto"/>
        </w:rPr>
        <w:t>Incorporated by reference to Exhibit 10.1 to NTIC’s Current Report on Form 8-K as filed with the Securities and Exchange Commission on January 15, 2021 (File No. 001-11038)</w:t>
      </w:r>
    </w:p>
    <w:p>
      <w:pPr>
        <w:spacing w:after="0" w:line="187" w:lineRule="exact"/>
        <w:rPr>
          <w:sz w:val="20"/>
          <w:szCs w:val="20"/>
          <w:color w:val="auto"/>
        </w:rPr>
      </w:pPr>
    </w:p>
    <w:p>
      <w:pPr>
        <w:jc w:val="center"/>
        <w:spacing w:after="0" w:line="249" w:lineRule="auto"/>
        <w:rPr>
          <w:sz w:val="20"/>
          <w:szCs w:val="20"/>
          <w:color w:val="auto"/>
        </w:rPr>
      </w:pPr>
      <w:r>
        <w:rPr>
          <w:rFonts w:ascii="Times New Roman" w:cs="Times New Roman" w:eastAsia="Times New Roman" w:hAnsi="Times New Roman"/>
          <w:sz w:val="20"/>
          <w:szCs w:val="20"/>
          <w:color w:val="auto"/>
        </w:rPr>
        <w:t>Incorporated by reference to Exhibit 10.2 to NTIC’s Current Report on Form 8-K as filed with the Securities and Exchange Commission on January 25, 2019 (File No. 001-11038)</w:t>
      </w:r>
    </w:p>
    <w:p>
      <w:pPr>
        <w:spacing w:after="0" w:line="187" w:lineRule="exact"/>
        <w:rPr>
          <w:sz w:val="20"/>
          <w:szCs w:val="20"/>
          <w:color w:val="auto"/>
        </w:rPr>
      </w:pPr>
    </w:p>
    <w:p>
      <w:pPr>
        <w:jc w:val="center"/>
        <w:spacing w:after="0" w:line="249" w:lineRule="auto"/>
        <w:rPr>
          <w:sz w:val="20"/>
          <w:szCs w:val="20"/>
          <w:color w:val="auto"/>
        </w:rPr>
      </w:pPr>
      <w:r>
        <w:rPr>
          <w:rFonts w:ascii="Times New Roman" w:cs="Times New Roman" w:eastAsia="Times New Roman" w:hAnsi="Times New Roman"/>
          <w:sz w:val="20"/>
          <w:szCs w:val="20"/>
          <w:color w:val="auto"/>
        </w:rPr>
        <w:t>Incorporated by reference to Exhibit 10.3 to NTIC’s Current Report on Form 8-K as filed with the Securities and Exchange Commission on January 25, 2019 (File No. 001-11038)</w:t>
      </w:r>
    </w:p>
    <w:p>
      <w:pPr>
        <w:spacing w:after="0" w:line="187" w:lineRule="exact"/>
        <w:rPr>
          <w:sz w:val="20"/>
          <w:szCs w:val="20"/>
          <w:color w:val="auto"/>
        </w:rPr>
      </w:pPr>
    </w:p>
    <w:p>
      <w:pPr>
        <w:jc w:val="center"/>
        <w:spacing w:after="0" w:line="249" w:lineRule="auto"/>
        <w:rPr>
          <w:sz w:val="20"/>
          <w:szCs w:val="20"/>
          <w:color w:val="auto"/>
        </w:rPr>
      </w:pPr>
      <w:r>
        <w:rPr>
          <w:rFonts w:ascii="Times New Roman" w:cs="Times New Roman" w:eastAsia="Times New Roman" w:hAnsi="Times New Roman"/>
          <w:sz w:val="20"/>
          <w:szCs w:val="20"/>
          <w:color w:val="auto"/>
        </w:rPr>
        <w:t>Incorporated by reference to Exhibit 10.1 to NTIC’s Current Report on Form 8-K as filed with the Securities and Exchange Commission on January 24, 2011 (File No. 001-11038)</w:t>
      </w:r>
    </w:p>
    <w:p>
      <w:pPr>
        <w:spacing w:after="0" w:line="186" w:lineRule="exact"/>
        <w:rPr>
          <w:sz w:val="20"/>
          <w:szCs w:val="20"/>
          <w:color w:val="auto"/>
        </w:rPr>
      </w:pPr>
    </w:p>
    <w:p>
      <w:pPr>
        <w:jc w:val="center"/>
        <w:spacing w:after="0" w:line="249" w:lineRule="auto"/>
        <w:rPr>
          <w:sz w:val="20"/>
          <w:szCs w:val="20"/>
          <w:color w:val="auto"/>
        </w:rPr>
      </w:pPr>
      <w:r>
        <w:rPr>
          <w:rFonts w:ascii="Times New Roman" w:cs="Times New Roman" w:eastAsia="Times New Roman" w:hAnsi="Times New Roman"/>
          <w:sz w:val="20"/>
          <w:szCs w:val="20"/>
          <w:color w:val="auto"/>
        </w:rPr>
        <w:t>Incorporated by reference to Exhibit 10.2 to NTIC’s Current Report on Form 8-K as filed with the Securities and Exchange Commission on January 24, 2011 (File No. 001-11038)</w:t>
      </w:r>
    </w:p>
    <w:p>
      <w:pPr>
        <w:spacing w:after="0" w:line="187" w:lineRule="exact"/>
        <w:rPr>
          <w:sz w:val="20"/>
          <w:szCs w:val="20"/>
          <w:color w:val="auto"/>
        </w:rPr>
      </w:pPr>
    </w:p>
    <w:p>
      <w:pPr>
        <w:jc w:val="center"/>
        <w:spacing w:after="0" w:line="249" w:lineRule="auto"/>
        <w:rPr>
          <w:sz w:val="20"/>
          <w:szCs w:val="20"/>
          <w:color w:val="auto"/>
        </w:rPr>
      </w:pPr>
      <w:r>
        <w:rPr>
          <w:rFonts w:ascii="Times New Roman" w:cs="Times New Roman" w:eastAsia="Times New Roman" w:hAnsi="Times New Roman"/>
          <w:sz w:val="20"/>
          <w:szCs w:val="20"/>
          <w:color w:val="auto"/>
        </w:rPr>
        <w:t>Incorporated by reference to Exhibit 10.3 to NTIC’s Current Report on Form 8-K as filed with the Securities and Exchange Commission on January 24, 2011 (File No. 001-11038)</w:t>
      </w:r>
    </w:p>
    <w:p>
      <w:pPr>
        <w:sectPr>
          <w:pgSz w:w="12240" w:h="15840" w:orient="portrait"/>
          <w:cols w:equalWidth="0" w:num="2">
            <w:col w:w="5460" w:space="720"/>
            <w:col w:w="3520"/>
          </w:cols>
          <w:pgMar w:left="1440" w:top="1419" w:right="1100" w:bottom="382" w:gutter="0" w:footer="0" w:header="0"/>
        </w:sectPr>
      </w:pPr>
    </w:p>
    <w:bookmarkStart w:id="176" w:name="page177"/>
    <w:bookmarkEnd w:id="176"/>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No.</w:t>
      </w:r>
      <w:r>
        <w:rPr>
          <w:sz w:val="20"/>
          <w:szCs w:val="20"/>
          <w:color w:val="auto"/>
        </w:rPr>
        <w:tab/>
      </w:r>
      <w:r>
        <w:rPr>
          <w:rFonts w:ascii="Times New Roman" w:cs="Times New Roman" w:eastAsia="Times New Roman" w:hAnsi="Times New Roman"/>
          <w:sz w:val="18"/>
          <w:szCs w:val="18"/>
          <w:b w:val="1"/>
          <w:bCs w:val="1"/>
          <w:color w:val="auto"/>
        </w:rPr>
        <w:t>Item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109220</wp:posOffset>
                </wp:positionH>
                <wp:positionV relativeFrom="paragraph">
                  <wp:posOffset>27305</wp:posOffset>
                </wp:positionV>
                <wp:extent cx="59372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6pt,2.15pt" to="55.35pt,2.1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802640</wp:posOffset>
                </wp:positionH>
                <wp:positionV relativeFrom="paragraph">
                  <wp:posOffset>27305</wp:posOffset>
                </wp:positionV>
                <wp:extent cx="265938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938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2pt,2.15pt" to="272.6pt,2.15pt" o:allowincell="f" strokecolor="#000000" strokeweight="0.4809pt"/>
            </w:pict>
          </mc:Fallback>
        </mc:AlternateContent>
      </w:r>
    </w:p>
    <w:p>
      <w:pPr>
        <w:spacing w:after="0" w:line="19" w:lineRule="exact"/>
        <w:rPr>
          <w:sz w:val="20"/>
          <w:szCs w:val="20"/>
          <w:color w:val="auto"/>
        </w:rPr>
      </w:pPr>
    </w:p>
    <w:p>
      <w:pPr>
        <w:ind w:left="1300" w:right="220" w:hanging="882"/>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Northern Technologies International Corporation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300" w:right="420" w:hanging="886"/>
        <w:spacing w:after="0" w:line="305" w:lineRule="auto"/>
        <w:tabs>
          <w:tab w:leader="none" w:pos="12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color w:val="auto"/>
        </w:rPr>
        <w:t>Material Terms of Northern Technologies International Corporation Annual Bonus Plan*</w:t>
      </w:r>
    </w:p>
    <w:p>
      <w:pPr>
        <w:spacing w:after="0" w:line="200" w:lineRule="exact"/>
        <w:rPr>
          <w:sz w:val="20"/>
          <w:szCs w:val="20"/>
          <w:color w:val="auto"/>
        </w:rPr>
      </w:pPr>
    </w:p>
    <w:p>
      <w:pPr>
        <w:spacing w:after="0" w:line="396" w:lineRule="exact"/>
        <w:rPr>
          <w:sz w:val="20"/>
          <w:szCs w:val="20"/>
          <w:color w:val="auto"/>
        </w:rPr>
      </w:pPr>
    </w:p>
    <w:p>
      <w:pPr>
        <w:ind w:left="1300" w:right="220" w:hanging="886"/>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Form of Indemnification Agreement between Northern Technologies International Corporation and its Directors and Officers*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00" w:right="420" w:hanging="886"/>
        <w:spacing w:after="0" w:line="252" w:lineRule="auto"/>
        <w:tabs>
          <w:tab w:leader="none" w:pos="128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Executive Employment Agreement dated as of November 18, 2011 between Northern Technologies International Corporation and G. Patrick Lynch*</w:t>
      </w:r>
    </w:p>
    <w:p>
      <w:pPr>
        <w:spacing w:after="0" w:line="184" w:lineRule="exact"/>
        <w:rPr>
          <w:sz w:val="20"/>
          <w:szCs w:val="20"/>
          <w:color w:val="auto"/>
        </w:rPr>
      </w:pPr>
    </w:p>
    <w:p>
      <w:pPr>
        <w:jc w:val="both"/>
        <w:ind w:left="1300" w:right="160" w:hanging="886"/>
        <w:spacing w:after="0" w:line="260" w:lineRule="auto"/>
        <w:tabs>
          <w:tab w:leader="none" w:pos="128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19"/>
          <w:szCs w:val="19"/>
          <w:color w:val="auto"/>
        </w:rPr>
        <w:t>Confidential Information, Inventions Assignment, Noncompetition and Non-Solicitation Agreement dated as of November 18, 2011 between Northern Technologies International Corporation and 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Patrick Lynch*</w:t>
      </w:r>
    </w:p>
    <w:p>
      <w:pPr>
        <w:spacing w:after="0" w:line="203" w:lineRule="exact"/>
        <w:rPr>
          <w:sz w:val="20"/>
          <w:szCs w:val="20"/>
          <w:color w:val="auto"/>
        </w:rPr>
      </w:pPr>
    </w:p>
    <w:p>
      <w:pPr>
        <w:ind w:left="1300" w:right="420" w:hanging="886"/>
        <w:spacing w:after="0" w:line="252" w:lineRule="auto"/>
        <w:tabs>
          <w:tab w:leader="none" w:pos="128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Executive Employment Agreement dated as of November 18, 2011 between Northern Technologies International Corporation and Matthew C. Wolsfeld*</w:t>
      </w:r>
    </w:p>
    <w:p>
      <w:pPr>
        <w:spacing w:after="0" w:line="184" w:lineRule="exact"/>
        <w:rPr>
          <w:sz w:val="20"/>
          <w:szCs w:val="20"/>
          <w:color w:val="auto"/>
        </w:rPr>
      </w:pPr>
    </w:p>
    <w:p>
      <w:pPr>
        <w:ind w:left="1300" w:right="160" w:hanging="886"/>
        <w:spacing w:after="0" w:line="266" w:lineRule="auto"/>
        <w:tabs>
          <w:tab w:leader="none" w:pos="128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19"/>
          <w:szCs w:val="19"/>
          <w:color w:val="auto"/>
        </w:rPr>
        <w:t>Confidential Information, Inventions Assignment, Noncompetition and Non-Solicitation Agreement dated as of November 18, 2011 between Northern Technologies International Corporation and Matthew C. Wolsfeld*</w:t>
      </w:r>
    </w:p>
    <w:p>
      <w:pPr>
        <w:spacing w:after="0" w:line="169" w:lineRule="exact"/>
        <w:rPr>
          <w:sz w:val="20"/>
          <w:szCs w:val="20"/>
          <w:color w:val="auto"/>
        </w:rPr>
      </w:pPr>
    </w:p>
    <w:p>
      <w:pPr>
        <w:ind w:left="1300" w:right="80" w:hanging="886"/>
        <w:spacing w:after="0" w:line="278" w:lineRule="auto"/>
        <w:tabs>
          <w:tab w:leader="none" w:pos="128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19"/>
          <w:szCs w:val="19"/>
          <w:color w:val="auto"/>
        </w:rPr>
        <w:t>Credit Agreement between JPMorgan Chase Bank, N.A. and Northern Technologies International Corporation, dated December 19, 2022</w:t>
      </w:r>
    </w:p>
    <w:p>
      <w:pPr>
        <w:spacing w:after="0" w:line="390" w:lineRule="exact"/>
        <w:rPr>
          <w:sz w:val="20"/>
          <w:szCs w:val="20"/>
          <w:color w:val="auto"/>
        </w:rPr>
      </w:pPr>
    </w:p>
    <w:p>
      <w:pPr>
        <w:ind w:left="1300" w:right="100" w:hanging="886"/>
        <w:spacing w:after="0" w:line="252" w:lineRule="auto"/>
        <w:tabs>
          <w:tab w:leader="none" w:pos="128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Second Amendment to Credit Agreement, dated as of January 6, 2025, between JPMorgan Chase Bank, N.A. and Northern Technologies International Corporation</w:t>
      </w:r>
    </w:p>
    <w:p>
      <w:pPr>
        <w:spacing w:after="0" w:line="184" w:lineRule="exact"/>
        <w:rPr>
          <w:sz w:val="20"/>
          <w:szCs w:val="20"/>
          <w:color w:val="auto"/>
        </w:rPr>
      </w:pPr>
    </w:p>
    <w:p>
      <w:pPr>
        <w:ind w:left="1300" w:right="240" w:hanging="886"/>
        <w:spacing w:after="0" w:line="252" w:lineRule="auto"/>
        <w:tabs>
          <w:tab w:leader="none" w:pos="128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Third Amendment to Credit Agreement, dated as of July 8, 2025, between JPMorgan Chase Bank, N.A. and Northern Technologies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Method of Filing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27305</wp:posOffset>
                </wp:positionV>
                <wp:extent cx="231140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14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2.15pt" to="178.65pt,2.15pt" o:allowincell="f" strokecolor="#000000" strokeweight="0.4809pt"/>
            </w:pict>
          </mc:Fallback>
        </mc:AlternateContent>
      </w:r>
    </w:p>
    <w:p>
      <w:pPr>
        <w:spacing w:after="0" w:line="19" w:lineRule="exact"/>
        <w:rPr>
          <w:sz w:val="20"/>
          <w:szCs w:val="20"/>
          <w:color w:val="auto"/>
        </w:rPr>
      </w:pPr>
    </w:p>
    <w:p>
      <w:pPr>
        <w:jc w:val="center"/>
        <w:ind w:left="20" w:right="20"/>
        <w:spacing w:after="0" w:line="249" w:lineRule="auto"/>
        <w:rPr>
          <w:sz w:val="20"/>
          <w:szCs w:val="20"/>
          <w:color w:val="auto"/>
        </w:rPr>
      </w:pPr>
      <w:r>
        <w:rPr>
          <w:rFonts w:ascii="Times New Roman" w:cs="Times New Roman" w:eastAsia="Times New Roman" w:hAnsi="Times New Roman"/>
          <w:sz w:val="20"/>
          <w:szCs w:val="20"/>
          <w:color w:val="auto"/>
        </w:rPr>
        <w:t>Incorporated by reference to Exhibit 10.11 to NTIC’s Annual Report on Form 10-KSB for the fiscal year ended August 31, 2006 (File No. 001-11038)</w:t>
      </w:r>
    </w:p>
    <w:p>
      <w:pPr>
        <w:spacing w:after="0" w:line="186"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20"/>
          <w:szCs w:val="20"/>
          <w:color w:val="auto"/>
        </w:rPr>
        <w:t>Incorporated by reference to Exhibit 10.6 to NTIC’s Annual Report on Form 10-K for the fiscal year ended August 31, 2015 (File No. 001-11038)</w:t>
      </w:r>
    </w:p>
    <w:p>
      <w:pPr>
        <w:spacing w:after="0" w:line="185" w:lineRule="exact"/>
        <w:rPr>
          <w:sz w:val="20"/>
          <w:szCs w:val="20"/>
          <w:color w:val="auto"/>
        </w:rPr>
      </w:pPr>
    </w:p>
    <w:p>
      <w:pPr>
        <w:jc w:val="center"/>
        <w:spacing w:after="0" w:line="249" w:lineRule="auto"/>
        <w:rPr>
          <w:sz w:val="20"/>
          <w:szCs w:val="20"/>
          <w:color w:val="auto"/>
        </w:rPr>
      </w:pPr>
      <w:r>
        <w:rPr>
          <w:rFonts w:ascii="Times New Roman" w:cs="Times New Roman" w:eastAsia="Times New Roman" w:hAnsi="Times New Roman"/>
          <w:sz w:val="20"/>
          <w:szCs w:val="20"/>
          <w:color w:val="auto"/>
        </w:rPr>
        <w:t>Incorporated by reference to Exhibit 10.1 to NTIC’s Current Report on Form 8-K as filed with the Securities and Exchange Commission on October 23, 2019 (File No. 001-11038)</w:t>
      </w:r>
    </w:p>
    <w:p>
      <w:pPr>
        <w:spacing w:after="0" w:line="187" w:lineRule="exact"/>
        <w:rPr>
          <w:sz w:val="20"/>
          <w:szCs w:val="20"/>
          <w:color w:val="auto"/>
        </w:rPr>
      </w:pPr>
    </w:p>
    <w:p>
      <w:pPr>
        <w:jc w:val="center"/>
        <w:ind w:right="20"/>
        <w:spacing w:after="0" w:line="252" w:lineRule="auto"/>
        <w:rPr>
          <w:sz w:val="20"/>
          <w:szCs w:val="20"/>
          <w:color w:val="auto"/>
        </w:rPr>
      </w:pPr>
      <w:r>
        <w:rPr>
          <w:rFonts w:ascii="Times New Roman" w:cs="Times New Roman" w:eastAsia="Times New Roman" w:hAnsi="Times New Roman"/>
          <w:sz w:val="20"/>
          <w:szCs w:val="20"/>
          <w:color w:val="auto"/>
        </w:rPr>
        <w:t>Incorporated by reference to Exhibit 10.13 to NTIC’s Annual Report on Form 10-K for the fiscal year ended August 31, 2011 (File No. 001-11038)</w:t>
      </w:r>
    </w:p>
    <w:p>
      <w:pPr>
        <w:spacing w:after="0" w:line="184" w:lineRule="exact"/>
        <w:rPr>
          <w:sz w:val="20"/>
          <w:szCs w:val="20"/>
          <w:color w:val="auto"/>
        </w:rPr>
      </w:pPr>
    </w:p>
    <w:p>
      <w:pPr>
        <w:jc w:val="center"/>
        <w:ind w:right="20"/>
        <w:spacing w:after="0" w:line="252" w:lineRule="auto"/>
        <w:rPr>
          <w:sz w:val="20"/>
          <w:szCs w:val="20"/>
          <w:color w:val="auto"/>
        </w:rPr>
      </w:pPr>
      <w:r>
        <w:rPr>
          <w:rFonts w:ascii="Times New Roman" w:cs="Times New Roman" w:eastAsia="Times New Roman" w:hAnsi="Times New Roman"/>
          <w:sz w:val="20"/>
          <w:szCs w:val="20"/>
          <w:color w:val="auto"/>
        </w:rPr>
        <w:t>Incorporated by reference to Exhibit 10.14 to NTIC’s Annual Report on Form 10-K for the fiscal year ended August 31, 2011 (File No. 001-11038)</w:t>
      </w:r>
    </w:p>
    <w:p>
      <w:pPr>
        <w:spacing w:after="0" w:line="200" w:lineRule="exact"/>
        <w:rPr>
          <w:sz w:val="20"/>
          <w:szCs w:val="20"/>
          <w:color w:val="auto"/>
        </w:rPr>
      </w:pPr>
    </w:p>
    <w:p>
      <w:pPr>
        <w:spacing w:after="0" w:line="214" w:lineRule="exact"/>
        <w:rPr>
          <w:sz w:val="20"/>
          <w:szCs w:val="20"/>
          <w:color w:val="auto"/>
        </w:rPr>
      </w:pPr>
    </w:p>
    <w:p>
      <w:pPr>
        <w:jc w:val="center"/>
        <w:ind w:right="20"/>
        <w:spacing w:after="0" w:line="252" w:lineRule="auto"/>
        <w:rPr>
          <w:sz w:val="20"/>
          <w:szCs w:val="20"/>
          <w:color w:val="auto"/>
        </w:rPr>
      </w:pPr>
      <w:r>
        <w:rPr>
          <w:rFonts w:ascii="Times New Roman" w:cs="Times New Roman" w:eastAsia="Times New Roman" w:hAnsi="Times New Roman"/>
          <w:sz w:val="20"/>
          <w:szCs w:val="20"/>
          <w:color w:val="auto"/>
        </w:rPr>
        <w:t>Incorporated by reference to Exhibit 10.15 to NTIC’s Annual Report on Form 10-K for the fiscal year ended August 31, 2011 (File No. 001-11038)</w:t>
      </w:r>
    </w:p>
    <w:p>
      <w:pPr>
        <w:spacing w:after="0" w:line="184" w:lineRule="exact"/>
        <w:rPr>
          <w:sz w:val="20"/>
          <w:szCs w:val="20"/>
          <w:color w:val="auto"/>
        </w:rPr>
      </w:pPr>
    </w:p>
    <w:p>
      <w:pPr>
        <w:jc w:val="center"/>
        <w:ind w:right="20"/>
        <w:spacing w:after="0" w:line="252" w:lineRule="auto"/>
        <w:rPr>
          <w:sz w:val="20"/>
          <w:szCs w:val="20"/>
          <w:color w:val="auto"/>
        </w:rPr>
      </w:pPr>
      <w:r>
        <w:rPr>
          <w:rFonts w:ascii="Times New Roman" w:cs="Times New Roman" w:eastAsia="Times New Roman" w:hAnsi="Times New Roman"/>
          <w:sz w:val="20"/>
          <w:szCs w:val="20"/>
          <w:color w:val="auto"/>
        </w:rPr>
        <w:t>Incorporated by reference to Exhibit 10.16 to NTIC’s Annual Report on Form 10-K for the fiscal year ended August 31, 2011 (File No. 001-11038)</w:t>
      </w:r>
    </w:p>
    <w:p>
      <w:pPr>
        <w:spacing w:after="0" w:line="200" w:lineRule="exact"/>
        <w:rPr>
          <w:sz w:val="20"/>
          <w:szCs w:val="20"/>
          <w:color w:val="auto"/>
        </w:rPr>
      </w:pPr>
    </w:p>
    <w:p>
      <w:pPr>
        <w:spacing w:after="0" w:line="214"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20"/>
          <w:szCs w:val="20"/>
          <w:color w:val="auto"/>
        </w:rPr>
        <w:t>Incorporated by reference to Exhibit 10.1 to NTIC’s Quarterly Report on Form 10-Q for the fiscal quarter ended February 28, 2023 (File No. 001-11038)</w:t>
      </w:r>
    </w:p>
    <w:p>
      <w:pPr>
        <w:spacing w:after="0" w:line="184"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20"/>
          <w:szCs w:val="20"/>
          <w:color w:val="auto"/>
        </w:rPr>
        <w:t>Incorporated by reference to Exhibit 10.1 to NTIC’s Quarterly Report on Form 10-Q for the fiscal quarter ended November 30, 2024 (File No. 001-11038)</w:t>
      </w:r>
    </w:p>
    <w:p>
      <w:pPr>
        <w:spacing w:after="0" w:line="184"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20"/>
          <w:szCs w:val="20"/>
          <w:color w:val="auto"/>
        </w:rPr>
        <w:t>Incorporated by reference to Exhibit 10.1 to NTIC’s Quarterly Report on Form 10-Q for the fiscal quarter ended May 31, 2025 (File No. 001-11038)</w:t>
      </w:r>
    </w:p>
    <w:p>
      <w:pPr>
        <w:sectPr>
          <w:pgSz w:w="12240" w:h="15840" w:orient="portrait"/>
          <w:cols w:equalWidth="0" w:num="2">
            <w:col w:w="5460" w:space="720"/>
            <w:col w:w="3520"/>
          </w:cols>
          <w:pgMar w:left="1440" w:top="1419" w:right="1100" w:bottom="382" w:gutter="0" w:footer="0" w:header="0"/>
        </w:sectPr>
      </w:pPr>
    </w:p>
    <w:bookmarkStart w:id="177" w:name="page178"/>
    <w:bookmarkEnd w:id="177"/>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No.</w:t>
      </w:r>
      <w:r>
        <w:rPr>
          <w:sz w:val="20"/>
          <w:szCs w:val="20"/>
          <w:color w:val="auto"/>
        </w:rPr>
        <w:tab/>
      </w:r>
      <w:r>
        <w:rPr>
          <w:rFonts w:ascii="Times New Roman" w:cs="Times New Roman" w:eastAsia="Times New Roman" w:hAnsi="Times New Roman"/>
          <w:sz w:val="18"/>
          <w:szCs w:val="18"/>
          <w:b w:val="1"/>
          <w:bCs w:val="1"/>
          <w:color w:val="auto"/>
        </w:rPr>
        <w:t>Item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109220</wp:posOffset>
                </wp:positionH>
                <wp:positionV relativeFrom="paragraph">
                  <wp:posOffset>27305</wp:posOffset>
                </wp:positionV>
                <wp:extent cx="59372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6pt,2.15pt" to="55.35pt,2.1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802640</wp:posOffset>
                </wp:positionH>
                <wp:positionV relativeFrom="paragraph">
                  <wp:posOffset>27305</wp:posOffset>
                </wp:positionV>
                <wp:extent cx="265938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938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2pt,2.15pt" to="272.6pt,2.15pt" o:allowincell="f" strokecolor="#000000" strokeweight="0.4809pt"/>
            </w:pict>
          </mc:Fallback>
        </mc:AlternateContent>
      </w:r>
    </w:p>
    <w:p>
      <w:pPr>
        <w:spacing w:after="0" w:line="19" w:lineRule="exact"/>
        <w:rPr>
          <w:sz w:val="20"/>
          <w:szCs w:val="20"/>
          <w:color w:val="auto"/>
        </w:rPr>
      </w:pPr>
    </w:p>
    <w:p>
      <w:pPr>
        <w:jc w:val="both"/>
        <w:ind w:left="1300" w:right="200" w:hanging="886"/>
        <w:spacing w:after="0" w:line="254" w:lineRule="auto"/>
        <w:tabs>
          <w:tab w:leader="none" w:pos="128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Line of Credit Note, dated July 8, 2025, between Northern Technologies International Corporation and JPMorgan Chase Bank, N.A.</w:t>
      </w:r>
    </w:p>
    <w:p>
      <w:pPr>
        <w:spacing w:after="0" w:line="200" w:lineRule="exact"/>
        <w:rPr>
          <w:sz w:val="20"/>
          <w:szCs w:val="20"/>
          <w:color w:val="auto"/>
        </w:rPr>
      </w:pPr>
    </w:p>
    <w:p>
      <w:pPr>
        <w:spacing w:after="0" w:line="210" w:lineRule="exact"/>
        <w:rPr>
          <w:sz w:val="20"/>
          <w:szCs w:val="20"/>
          <w:color w:val="auto"/>
        </w:rPr>
      </w:pPr>
    </w:p>
    <w:p>
      <w:pPr>
        <w:ind w:left="1300" w:right="180" w:hanging="886"/>
        <w:spacing w:after="0" w:line="252" w:lineRule="auto"/>
        <w:tabs>
          <w:tab w:leader="none" w:pos="128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Consulting Agreement dated January 11, 2017 by and among Northern Technologies International Corporation, BioPlastic Polymers LLC, and Ramani Narayan, Ph.D.</w:t>
      </w:r>
    </w:p>
    <w:p>
      <w:pPr>
        <w:spacing w:after="0" w:line="185" w:lineRule="exact"/>
        <w:rPr>
          <w:sz w:val="20"/>
          <w:szCs w:val="20"/>
          <w:color w:val="auto"/>
        </w:rPr>
      </w:pPr>
    </w:p>
    <w:p>
      <w:pPr>
        <w:ind w:left="1300" w:right="60" w:hanging="886"/>
        <w:spacing w:after="0" w:line="270" w:lineRule="auto"/>
        <w:tabs>
          <w:tab w:leader="none" w:pos="128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19"/>
          <w:szCs w:val="19"/>
          <w:color w:val="auto"/>
        </w:rPr>
        <w:t>Amendment to Consulting Agreement effective January 11, 2022 by and among Northern Technologies International Corporation, BioPlastic Polymers LLC, and Ramani Narayan, Ph.D.</w:t>
      </w:r>
    </w:p>
    <w:p>
      <w:pPr>
        <w:spacing w:after="0" w:line="166" w:lineRule="exact"/>
        <w:rPr>
          <w:sz w:val="20"/>
          <w:szCs w:val="20"/>
          <w:color w:val="auto"/>
        </w:rPr>
      </w:pPr>
    </w:p>
    <w:p>
      <w:pPr>
        <w:ind w:left="1300" w:right="40" w:hanging="886"/>
        <w:spacing w:after="0" w:line="252" w:lineRule="auto"/>
        <w:tabs>
          <w:tab w:leader="none" w:pos="128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Real Estate Purchase and Sales Contract dated July 7, 2021 between NTIC (Shanghai) Co., Ltd. And Shanghai FASTO Investment Group Limited Company (Official Chinese Version)</w:t>
      </w:r>
    </w:p>
    <w:p>
      <w:pPr>
        <w:spacing w:after="0" w:line="200" w:lineRule="exact"/>
        <w:rPr>
          <w:sz w:val="20"/>
          <w:szCs w:val="20"/>
          <w:color w:val="auto"/>
        </w:rPr>
      </w:pPr>
    </w:p>
    <w:p>
      <w:pPr>
        <w:spacing w:after="0" w:line="214" w:lineRule="exact"/>
        <w:rPr>
          <w:sz w:val="20"/>
          <w:szCs w:val="20"/>
          <w:color w:val="auto"/>
        </w:rPr>
      </w:pPr>
    </w:p>
    <w:p>
      <w:pPr>
        <w:ind w:left="1300" w:right="140" w:hanging="886"/>
        <w:spacing w:after="0" w:line="270" w:lineRule="auto"/>
        <w:tabs>
          <w:tab w:leader="none" w:pos="128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19"/>
          <w:szCs w:val="19"/>
          <w:color w:val="auto"/>
        </w:rPr>
        <w:t>Unofficial English Summary of Real Estate Purchase and Sales Contract dated July 7, 2021 between NTIC (Shanghai) Co., Ltd. and Shanghai FASTO Investment Group Limited Company</w:t>
      </w:r>
    </w:p>
    <w:p>
      <w:pPr>
        <w:spacing w:after="0" w:line="397"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color w:val="auto"/>
        </w:rPr>
        <w:t>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300" w:right="220" w:hanging="837"/>
        <w:spacing w:after="0" w:line="278" w:lineRule="auto"/>
        <w:tabs>
          <w:tab w:leader="none" w:pos="128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20"/>
          <w:szCs w:val="20"/>
          <w:color w:val="auto"/>
        </w:rPr>
        <w:t>Northern Technologies International Corporation Insider Trading Policy</w:t>
      </w:r>
    </w:p>
    <w:p>
      <w:pPr>
        <w:spacing w:after="0" w:line="157"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Subsidiaries of the Registrant</w:t>
      </w:r>
    </w:p>
    <w:p>
      <w:pPr>
        <w:spacing w:after="0" w:line="230"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color w:val="auto"/>
        </w:rPr>
        <w:t>Consent of Baker Tilly US, LLP</w:t>
      </w:r>
    </w:p>
    <w:p>
      <w:pPr>
        <w:spacing w:after="0" w:line="231" w:lineRule="exact"/>
        <w:rPr>
          <w:sz w:val="20"/>
          <w:szCs w:val="20"/>
          <w:color w:val="auto"/>
        </w:rPr>
      </w:pPr>
    </w:p>
    <w:p>
      <w:pPr>
        <w:ind w:left="1300" w:right="220" w:hanging="837"/>
        <w:spacing w:after="0" w:line="252" w:lineRule="auto"/>
        <w:tabs>
          <w:tab w:leader="none" w:pos="128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20"/>
          <w:szCs w:val="20"/>
          <w:color w:val="auto"/>
        </w:rPr>
        <w:t>Certification of President and Chief Executive Officer Pursuant to SEC Rule 13a-14(a), as adopted pursuant to Section 302 of the Sarbanes-Oxley Act of 2002</w:t>
      </w:r>
    </w:p>
    <w:p>
      <w:pPr>
        <w:spacing w:after="0" w:line="184" w:lineRule="exact"/>
        <w:rPr>
          <w:sz w:val="20"/>
          <w:szCs w:val="20"/>
          <w:color w:val="auto"/>
        </w:rPr>
      </w:pPr>
    </w:p>
    <w:p>
      <w:pPr>
        <w:ind w:left="1300" w:right="40" w:hanging="83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20"/>
          <w:szCs w:val="20"/>
          <w:color w:val="auto"/>
        </w:rPr>
        <w:t>Certification of Chief Financial Officer Pursuant to SEC Rule 13a-14(a), as adopted pursuant to Section 302 of the Sarbanes-Oxley Act of 2002</w:t>
      </w:r>
    </w:p>
    <w:p>
      <w:pPr>
        <w:spacing w:after="0" w:line="178" w:lineRule="exact"/>
        <w:rPr>
          <w:sz w:val="20"/>
          <w:szCs w:val="20"/>
          <w:color w:val="auto"/>
        </w:rPr>
      </w:pPr>
    </w:p>
    <w:p>
      <w:pPr>
        <w:ind w:left="1300" w:right="200" w:hanging="837"/>
        <w:spacing w:after="0" w:line="252" w:lineRule="auto"/>
        <w:tabs>
          <w:tab w:leader="none" w:pos="128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color w:val="auto"/>
        </w:rPr>
        <w:t>Certification of President and Chief Executive Officer Pursuant to Rule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Method of Filing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-29845</wp:posOffset>
                </wp:positionH>
                <wp:positionV relativeFrom="paragraph">
                  <wp:posOffset>27305</wp:posOffset>
                </wp:positionV>
                <wp:extent cx="231140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14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99pt,2.15pt" to="179.65pt,2.15pt" o:allowincell="f" strokecolor="#000000" strokeweight="0.4809pt"/>
            </w:pict>
          </mc:Fallback>
        </mc:AlternateContent>
      </w:r>
    </w:p>
    <w:p>
      <w:pPr>
        <w:spacing w:after="0" w:line="19" w:lineRule="exact"/>
        <w:rPr>
          <w:sz w:val="20"/>
          <w:szCs w:val="20"/>
          <w:color w:val="auto"/>
        </w:rPr>
      </w:pPr>
    </w:p>
    <w:p>
      <w:pPr>
        <w:jc w:val="center"/>
        <w:ind w:left="-19"/>
        <w:spacing w:after="0" w:line="249" w:lineRule="auto"/>
        <w:rPr>
          <w:sz w:val="20"/>
          <w:szCs w:val="20"/>
          <w:color w:val="auto"/>
        </w:rPr>
      </w:pPr>
      <w:r>
        <w:rPr>
          <w:rFonts w:ascii="Times New Roman" w:cs="Times New Roman" w:eastAsia="Times New Roman" w:hAnsi="Times New Roman"/>
          <w:sz w:val="20"/>
          <w:szCs w:val="20"/>
          <w:color w:val="auto"/>
        </w:rPr>
        <w:t>Incorporated by reference to Exhibit 10.2 to NTIC’s Quarterly Report on Form 10-Q for the fiscal quarter ended May 31, 2025 (File No. 001-11038)</w:t>
      </w:r>
    </w:p>
    <w:p>
      <w:pPr>
        <w:spacing w:after="0" w:line="186" w:lineRule="exact"/>
        <w:rPr>
          <w:sz w:val="20"/>
          <w:szCs w:val="20"/>
          <w:color w:val="auto"/>
        </w:rPr>
      </w:pPr>
    </w:p>
    <w:p>
      <w:pPr>
        <w:jc w:val="center"/>
        <w:ind w:left="-19"/>
        <w:spacing w:after="0" w:line="252" w:lineRule="auto"/>
        <w:rPr>
          <w:sz w:val="20"/>
          <w:szCs w:val="20"/>
          <w:color w:val="auto"/>
        </w:rPr>
      </w:pPr>
      <w:r>
        <w:rPr>
          <w:rFonts w:ascii="Times New Roman" w:cs="Times New Roman" w:eastAsia="Times New Roman" w:hAnsi="Times New Roman"/>
          <w:sz w:val="20"/>
          <w:szCs w:val="20"/>
          <w:color w:val="auto"/>
        </w:rPr>
        <w:t>Incorporated by reference to Exhibit 10.2 to NTIC’s Quarterly Report on Form 10- Q for the fiscal quarter ended November 30, 2016 (File No. 001-11038)</w:t>
      </w:r>
    </w:p>
    <w:p>
      <w:pPr>
        <w:spacing w:after="0" w:line="185"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20"/>
          <w:szCs w:val="20"/>
          <w:color w:val="auto"/>
        </w:rPr>
        <w:t xml:space="preserve">Incorporated by reference to Exhibit 10.24 to NTIC’s Annual Report on Form 10-K for the fiscal year ended August 31, 2022 </w:t>
      </w:r>
      <w:r>
        <w:rPr>
          <w:rFonts w:ascii="Times New Roman" w:cs="Times New Roman" w:eastAsia="Times New Roman" w:hAnsi="Times New Roman"/>
          <w:sz w:val="20"/>
          <w:szCs w:val="20"/>
          <w:u w:val="single" w:color="auto"/>
          <w:color w:val="1C2790"/>
        </w:rPr>
        <w:t>(File No. 001-11038)</w:t>
      </w:r>
    </w:p>
    <w:p>
      <w:pPr>
        <w:spacing w:after="0" w:line="184" w:lineRule="exact"/>
        <w:rPr>
          <w:sz w:val="20"/>
          <w:szCs w:val="20"/>
          <w:color w:val="auto"/>
        </w:rPr>
      </w:pPr>
    </w:p>
    <w:p>
      <w:pPr>
        <w:jc w:val="center"/>
        <w:ind w:left="-19"/>
        <w:spacing w:after="0" w:line="249" w:lineRule="auto"/>
        <w:rPr>
          <w:sz w:val="20"/>
          <w:szCs w:val="20"/>
          <w:color w:val="auto"/>
        </w:rPr>
      </w:pPr>
      <w:r>
        <w:rPr>
          <w:rFonts w:ascii="Times New Roman" w:cs="Times New Roman" w:eastAsia="Times New Roman" w:hAnsi="Times New Roman"/>
          <w:sz w:val="20"/>
          <w:szCs w:val="20"/>
          <w:color w:val="auto"/>
        </w:rPr>
        <w:t>Incorporated by reference to Exhibit 10.1 to NTIC’s Current Report on Form 8-K as filed with the Securities and Exchange Commission on July 8, 2021 (File No. 001-11038)</w:t>
      </w:r>
    </w:p>
    <w:p>
      <w:pPr>
        <w:spacing w:after="0" w:line="187" w:lineRule="exact"/>
        <w:rPr>
          <w:sz w:val="20"/>
          <w:szCs w:val="20"/>
          <w:color w:val="auto"/>
        </w:rPr>
      </w:pPr>
    </w:p>
    <w:p>
      <w:pPr>
        <w:jc w:val="center"/>
        <w:ind w:left="-19"/>
        <w:spacing w:after="0" w:line="249" w:lineRule="auto"/>
        <w:rPr>
          <w:sz w:val="20"/>
          <w:szCs w:val="20"/>
          <w:color w:val="auto"/>
        </w:rPr>
      </w:pPr>
      <w:r>
        <w:rPr>
          <w:rFonts w:ascii="Times New Roman" w:cs="Times New Roman" w:eastAsia="Times New Roman" w:hAnsi="Times New Roman"/>
          <w:sz w:val="20"/>
          <w:szCs w:val="20"/>
          <w:color w:val="auto"/>
        </w:rPr>
        <w:t>Incorporated by reference to Exhibit 10.2 to NTIC’s Current Report on Form 8-K as filed with the Securities and Exchange Commission on July 8, 2021 (File No. 001-11038)</w:t>
      </w:r>
    </w:p>
    <w:p>
      <w:pPr>
        <w:spacing w:after="0" w:line="187"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20"/>
          <w:szCs w:val="20"/>
          <w:color w:val="auto"/>
        </w:rPr>
        <w:t>Incorporated by reference to Exhibit 14.1 to NTIC’s Annual Report on Form 10- KSB for the fiscal year ended August 31, 2004 (File No. 001-11038)</w:t>
      </w:r>
    </w:p>
    <w:p>
      <w:pPr>
        <w:spacing w:after="0" w:line="18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Filed herewith</w:t>
      </w:r>
    </w:p>
    <w:p>
      <w:pPr>
        <w:spacing w:after="0" w:line="200" w:lineRule="exact"/>
        <w:rPr>
          <w:sz w:val="20"/>
          <w:szCs w:val="20"/>
          <w:color w:val="auto"/>
        </w:rPr>
      </w:pPr>
    </w:p>
    <w:p>
      <w:pPr>
        <w:spacing w:after="0" w:line="2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Filed herewith</w:t>
      </w:r>
    </w:p>
    <w:p>
      <w:pPr>
        <w:spacing w:after="0" w:line="23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Filed herewith</w:t>
      </w:r>
    </w:p>
    <w:p>
      <w:pPr>
        <w:spacing w:after="0" w:line="2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Furnished herewith</w:t>
      </w:r>
    </w:p>
    <w:p>
      <w:pPr>
        <w:sectPr>
          <w:pgSz w:w="12240" w:h="15840" w:orient="portrait"/>
          <w:cols w:equalWidth="0" w:num="2">
            <w:col w:w="5440" w:space="720"/>
            <w:col w:w="3540"/>
          </w:cols>
          <w:pgMar w:left="1440" w:top="1419" w:right="1100" w:bottom="382" w:gutter="0" w:footer="0" w:header="0"/>
        </w:sectPr>
      </w:pPr>
    </w:p>
    <w:bookmarkStart w:id="178" w:name="page179"/>
    <w:bookmarkEnd w:id="178"/>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No.</w:t>
      </w:r>
      <w:r>
        <w:rPr>
          <w:sz w:val="20"/>
          <w:szCs w:val="20"/>
          <w:color w:val="auto"/>
        </w:rPr>
        <w:tab/>
      </w:r>
      <w:r>
        <w:rPr>
          <w:rFonts w:ascii="Times New Roman" w:cs="Times New Roman" w:eastAsia="Times New Roman" w:hAnsi="Times New Roman"/>
          <w:sz w:val="18"/>
          <w:szCs w:val="18"/>
          <w:b w:val="1"/>
          <w:bCs w:val="1"/>
          <w:color w:val="auto"/>
        </w:rPr>
        <w:t>Item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109220</wp:posOffset>
                </wp:positionH>
                <wp:positionV relativeFrom="paragraph">
                  <wp:posOffset>27305</wp:posOffset>
                </wp:positionV>
                <wp:extent cx="59372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72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6pt,2.15pt" to="55.35pt,2.1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802640</wp:posOffset>
                </wp:positionH>
                <wp:positionV relativeFrom="paragraph">
                  <wp:posOffset>27305</wp:posOffset>
                </wp:positionV>
                <wp:extent cx="265938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938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2pt,2.15pt" to="272.6pt,2.15pt" o:allowincell="f" strokecolor="#000000" strokeweight="0.4809pt"/>
            </w:pict>
          </mc:Fallback>
        </mc:AlternateContent>
      </w:r>
    </w:p>
    <w:p>
      <w:pPr>
        <w:spacing w:after="0" w:line="19" w:lineRule="exact"/>
        <w:rPr>
          <w:sz w:val="20"/>
          <w:szCs w:val="20"/>
          <w:color w:val="auto"/>
        </w:rPr>
      </w:pPr>
    </w:p>
    <w:p>
      <w:pPr>
        <w:jc w:val="both"/>
        <w:ind w:left="1300" w:right="340" w:hanging="837"/>
        <w:spacing w:after="0" w:line="254" w:lineRule="auto"/>
        <w:tabs>
          <w:tab w:leader="none" w:pos="128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20"/>
          <w:szCs w:val="20"/>
          <w:color w:val="auto"/>
        </w:rPr>
        <w:t>Certification of Chief Financial Officer Pursuant to Rule 18 U.S.C. Section 1350, as adopted pursuant to Section 906 of the Sarbanes-Oxley Act of 2002</w:t>
      </w:r>
    </w:p>
    <w:p>
      <w:pPr>
        <w:spacing w:after="0" w:line="181" w:lineRule="exact"/>
        <w:rPr>
          <w:sz w:val="20"/>
          <w:szCs w:val="20"/>
          <w:color w:val="auto"/>
        </w:rPr>
      </w:pPr>
    </w:p>
    <w:p>
      <w:pPr>
        <w:ind w:left="1300" w:right="500" w:hanging="837"/>
        <w:spacing w:after="0" w:line="277" w:lineRule="auto"/>
        <w:tabs>
          <w:tab w:leader="none" w:pos="1280" w:val="left"/>
        </w:tabs>
        <w:rPr>
          <w:sz w:val="20"/>
          <w:szCs w:val="20"/>
          <w:color w:val="auto"/>
        </w:rPr>
      </w:pPr>
      <w:r>
        <w:rPr>
          <w:rFonts w:ascii="Times New Roman" w:cs="Times New Roman" w:eastAsia="Times New Roman" w:hAnsi="Times New Roman"/>
          <w:sz w:val="20"/>
          <w:szCs w:val="20"/>
          <w:color w:val="auto"/>
        </w:rPr>
        <w:t>97.1</w:t>
      </w:r>
      <w:r>
        <w:rPr>
          <w:sz w:val="20"/>
          <w:szCs w:val="20"/>
          <w:color w:val="auto"/>
        </w:rPr>
        <w:tab/>
      </w:r>
      <w:r>
        <w:rPr>
          <w:rFonts w:ascii="Times New Roman" w:cs="Times New Roman" w:eastAsia="Times New Roman" w:hAnsi="Times New Roman"/>
          <w:sz w:val="20"/>
          <w:szCs w:val="20"/>
          <w:color w:val="auto"/>
        </w:rPr>
        <w:t>Northern Technologies International Corporation Clawback Policy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right="380" w:hanging="818"/>
        <w:spacing w:after="0" w:line="257" w:lineRule="auto"/>
        <w:tabs>
          <w:tab w:leader="none" w:pos="1299"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materials from Northern Technologies International Corporation’s Annual Report on Form 10-K for the fiscal year ended August 31, 2025, formatted in Inline XBRL (Extensible Business Reporting Language): (i) the Consolidated Balance Sheets, (ii) the Consolidated Statements of Operations, (iii) the Consolidated Statements of Comprehensive Income, (iv) the Consolidated Statements of Equity, (v) the Consolidated Statements of Cash Flows, and (vi) Notes to Consolidated Financial Statements</w:t>
      </w:r>
    </w:p>
    <w:p>
      <w:pPr>
        <w:spacing w:after="0" w:line="187" w:lineRule="exact"/>
        <w:rPr>
          <w:sz w:val="20"/>
          <w:szCs w:val="20"/>
          <w:color w:val="auto"/>
        </w:rPr>
      </w:pPr>
    </w:p>
    <w:p>
      <w:pPr>
        <w:ind w:left="1300" w:right="720" w:hanging="818"/>
        <w:spacing w:after="0" w:line="254" w:lineRule="auto"/>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w:t>
      </w:r>
    </w:p>
    <w:p>
      <w:pPr>
        <w:ind w:left="720" w:hanging="720"/>
        <w:spacing w:after="0"/>
        <w:tabs>
          <w:tab w:leader="none" w:pos="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management contract or compensatory plan or arrangement.</w:t>
      </w:r>
    </w:p>
    <w:p>
      <w:pPr>
        <w:spacing w:after="0" w:line="1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Method of Filing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27305</wp:posOffset>
                </wp:positionV>
                <wp:extent cx="231140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14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2.15pt" to="178.65pt,2.15pt" o:allowincell="f" strokecolor="#000000" strokeweight="0.4809pt"/>
            </w:pict>
          </mc:Fallback>
        </mc:AlternateConten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20"/>
          <w:szCs w:val="20"/>
          <w:color w:val="auto"/>
        </w:rPr>
        <w:t>Incorporated by reference to Exhibit 97.1 to NTIC’s Annual Report on Form 10-K for the fiscal year ended August 31, 2023 (File No. 001-11038)</w:t>
      </w:r>
    </w:p>
    <w:p>
      <w:pPr>
        <w:spacing w:after="0" w:line="1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Contained in Exhibit 101</w:t>
      </w:r>
    </w:p>
    <w:p>
      <w:pPr>
        <w:sectPr>
          <w:pgSz w:w="12240" w:h="15840" w:orient="portrait"/>
          <w:cols w:equalWidth="0" w:num="2">
            <w:col w:w="5740" w:space="440"/>
            <w:col w:w="3520"/>
          </w:cols>
          <w:pgMar w:left="1440" w:top="1419" w:right="1100" w:bottom="382" w:gutter="0" w:footer="0" w:header="0"/>
        </w:sectPr>
      </w:pPr>
    </w:p>
    <w:bookmarkStart w:id="179" w:name="page180"/>
    <w:bookmarkEnd w:id="179"/>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5760" w:type="dxa"/>
            <w:vAlign w:val="bottom"/>
            <w:gridSpan w:val="2"/>
          </w:tcPr>
          <w:p>
            <w:pPr>
              <w:ind w:left="1720"/>
              <w:spacing w:after="0"/>
              <w:rPr>
                <w:sz w:val="20"/>
                <w:szCs w:val="20"/>
                <w:color w:val="auto"/>
              </w:rPr>
            </w:pPr>
            <w:r>
              <w:rPr>
                <w:rFonts w:ascii="Times New Roman" w:cs="Times New Roman" w:eastAsia="Times New Roman" w:hAnsi="Times New Roman"/>
                <w:sz w:val="20"/>
                <w:szCs w:val="20"/>
                <w:b w:val="1"/>
                <w:bCs w:val="1"/>
                <w:color w:val="auto"/>
              </w:rPr>
              <w:t>NORTHERN TECHNOLOGIES</w:t>
            </w:r>
          </w:p>
        </w:tc>
      </w:tr>
      <w:tr>
        <w:trPr>
          <w:trHeight w:val="275"/>
        </w:trPr>
        <w:tc>
          <w:tcPr>
            <w:tcW w:w="3320" w:type="dxa"/>
            <w:vAlign w:val="bottom"/>
          </w:tcPr>
          <w:p>
            <w:pPr>
              <w:spacing w:after="0"/>
              <w:rPr>
                <w:sz w:val="23"/>
                <w:szCs w:val="23"/>
                <w:color w:val="auto"/>
              </w:rPr>
            </w:pPr>
          </w:p>
        </w:tc>
        <w:tc>
          <w:tcPr>
            <w:tcW w:w="5760" w:type="dxa"/>
            <w:vAlign w:val="bottom"/>
            <w:gridSpan w:val="2"/>
          </w:tcPr>
          <w:p>
            <w:pPr>
              <w:ind w:left="1720"/>
              <w:spacing w:after="0"/>
              <w:rPr>
                <w:sz w:val="20"/>
                <w:szCs w:val="20"/>
                <w:color w:val="auto"/>
              </w:rPr>
            </w:pPr>
            <w:r>
              <w:rPr>
                <w:rFonts w:ascii="Times New Roman" w:cs="Times New Roman" w:eastAsia="Times New Roman" w:hAnsi="Times New Roman"/>
                <w:sz w:val="20"/>
                <w:szCs w:val="20"/>
                <w:b w:val="1"/>
                <w:bCs w:val="1"/>
                <w:color w:val="auto"/>
              </w:rPr>
              <w:t>INTERNATIONAL CORPORATION</w:t>
            </w:r>
          </w:p>
        </w:tc>
      </w:tr>
      <w:tr>
        <w:trPr>
          <w:trHeight w:val="658"/>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November 20, 2025</w:t>
            </w:r>
          </w:p>
        </w:tc>
        <w:tc>
          <w:tcPr>
            <w:tcW w:w="5760" w:type="dxa"/>
            <w:vAlign w:val="bottom"/>
            <w:gridSpan w:val="2"/>
          </w:tcPr>
          <w:p>
            <w:pPr>
              <w:ind w:left="1720"/>
              <w:spacing w:after="0"/>
              <w:rPr>
                <w:sz w:val="20"/>
                <w:szCs w:val="20"/>
                <w:color w:val="auto"/>
              </w:rPr>
            </w:pPr>
            <w:r>
              <w:rPr>
                <w:rFonts w:ascii="Times New Roman" w:cs="Times New Roman" w:eastAsia="Times New Roman" w:hAnsi="Times New Roman"/>
                <w:sz w:val="20"/>
                <w:szCs w:val="20"/>
                <w:color w:val="auto"/>
              </w:rPr>
              <w:t>By: /s/ G. Patrick Lynch</w:t>
            </w:r>
          </w:p>
        </w:tc>
      </w:tr>
      <w:tr>
        <w:trPr>
          <w:trHeight w:val="212"/>
        </w:trPr>
        <w:tc>
          <w:tcPr>
            <w:tcW w:w="3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40" w:type="dxa"/>
            <w:vAlign w:val="bottom"/>
            <w:tcBorders>
              <w:top w:val="single" w:sz="8" w:color="auto"/>
            </w:tcBorders>
          </w:tcPr>
          <w:p>
            <w:pPr>
              <w:spacing w:after="0" w:line="211" w:lineRule="exact"/>
              <w:rPr>
                <w:sz w:val="20"/>
                <w:szCs w:val="20"/>
                <w:color w:val="auto"/>
              </w:rPr>
            </w:pPr>
            <w:r>
              <w:rPr>
                <w:rFonts w:ascii="Times New Roman" w:cs="Times New Roman" w:eastAsia="Times New Roman" w:hAnsi="Times New Roman"/>
                <w:sz w:val="20"/>
                <w:szCs w:val="20"/>
                <w:color w:val="auto"/>
              </w:rPr>
              <w:t>G. Patrick Lynch</w:t>
            </w:r>
          </w:p>
        </w:tc>
      </w:tr>
      <w:tr>
        <w:trPr>
          <w:trHeight w:val="267"/>
        </w:trPr>
        <w:tc>
          <w:tcPr>
            <w:tcW w:w="3320" w:type="dxa"/>
            <w:vAlign w:val="bottom"/>
          </w:tcPr>
          <w:p>
            <w:pPr>
              <w:spacing w:after="0"/>
              <w:rPr>
                <w:sz w:val="23"/>
                <w:szCs w:val="23"/>
                <w:color w:val="auto"/>
              </w:rPr>
            </w:pPr>
          </w:p>
        </w:tc>
        <w:tc>
          <w:tcPr>
            <w:tcW w:w="5760" w:type="dxa"/>
            <w:vAlign w:val="bottom"/>
            <w:gridSpan w:val="2"/>
          </w:tcPr>
          <w:p>
            <w:pPr>
              <w:ind w:left="210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pacing w:after="0" w:line="200" w:lineRule="exact"/>
        <w:rPr>
          <w:sz w:val="20"/>
          <w:szCs w:val="20"/>
          <w:color w:val="auto"/>
        </w:rPr>
      </w:pPr>
    </w:p>
    <w:p>
      <w:pPr>
        <w:spacing w:after="0" w:line="224" w:lineRule="exact"/>
        <w:rPr>
          <w:sz w:val="20"/>
          <w:szCs w:val="20"/>
          <w:color w:val="auto"/>
        </w:rPr>
      </w:pPr>
    </w:p>
    <w:p>
      <w:pPr>
        <w:ind w:right="98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63" w:lineRule="exact"/>
        <w:rPr>
          <w:sz w:val="20"/>
          <w:szCs w:val="20"/>
          <w:color w:val="auto"/>
        </w:rPr>
      </w:pPr>
    </w:p>
    <w:tbl>
      <w:tblPr>
        <w:tblLayout w:type="fixed"/>
        <w:tblInd w:w="100" w:type="dxa"/>
        <w:tblCellMar>
          <w:top w:w="0" w:type="dxa"/>
          <w:left w:w="0" w:type="dxa"/>
          <w:bottom w:w="0" w:type="dxa"/>
          <w:right w:w="0" w:type="dxa"/>
        </w:tblCellMar>
      </w:tblPr>
      <w:tr>
        <w:trPr>
          <w:trHeight w:val="232"/>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3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Title</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Date</w:t>
            </w:r>
          </w:p>
        </w:tc>
      </w:tr>
      <w:tr>
        <w:trPr>
          <w:trHeight w:val="20"/>
        </w:trPr>
        <w:tc>
          <w:tcPr>
            <w:tcW w:w="30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r>
        <w:trPr>
          <w:trHeight w:val="521"/>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/s/ G. Patrick Lynch</w:t>
            </w:r>
          </w:p>
        </w:tc>
        <w:tc>
          <w:tcPr>
            <w:tcW w:w="3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Chief Executive Officer and</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November 20, 2025</w:t>
            </w:r>
          </w:p>
        </w:tc>
      </w:tr>
      <w:tr>
        <w:trPr>
          <w:trHeight w:val="211"/>
        </w:trPr>
        <w:tc>
          <w:tcPr>
            <w:tcW w:w="3060" w:type="dxa"/>
            <w:vAlign w:val="bottom"/>
            <w:tcBorders>
              <w:top w:val="single" w:sz="8" w:color="auto"/>
            </w:tcBorders>
          </w:tcPr>
          <w:p>
            <w:pPr>
              <w:spacing w:after="0" w:line="211" w:lineRule="exact"/>
              <w:rPr>
                <w:sz w:val="20"/>
                <w:szCs w:val="20"/>
                <w:color w:val="auto"/>
              </w:rPr>
            </w:pPr>
            <w:r>
              <w:rPr>
                <w:rFonts w:ascii="Times New Roman" w:cs="Times New Roman" w:eastAsia="Times New Roman" w:hAnsi="Times New Roman"/>
                <w:sz w:val="20"/>
                <w:szCs w:val="20"/>
                <w:color w:val="auto"/>
              </w:rPr>
              <w:t>G. Patrick Lynch</w:t>
            </w:r>
          </w:p>
        </w:tc>
        <w:tc>
          <w:tcPr>
            <w:tcW w:w="300" w:type="dxa"/>
            <w:vAlign w:val="bottom"/>
          </w:tcPr>
          <w:p>
            <w:pPr>
              <w:spacing w:after="0"/>
              <w:rPr>
                <w:sz w:val="18"/>
                <w:szCs w:val="18"/>
                <w:color w:val="auto"/>
              </w:rPr>
            </w:pPr>
          </w:p>
        </w:tc>
        <w:tc>
          <w:tcPr>
            <w:tcW w:w="402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67"/>
        </w:trPr>
        <w:tc>
          <w:tcPr>
            <w:tcW w:w="3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422"/>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/s/ Matthew C. Wolsfeld, CPA</w:t>
            </w:r>
          </w:p>
        </w:tc>
        <w:tc>
          <w:tcPr>
            <w:tcW w:w="3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 and Corporate Secretary</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November 20, 2025</w:t>
            </w:r>
          </w:p>
        </w:tc>
      </w:tr>
      <w:tr>
        <w:trPr>
          <w:trHeight w:val="256"/>
        </w:trPr>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Matthew C. Wolsfeld, CPA</w:t>
            </w:r>
          </w:p>
        </w:tc>
        <w:tc>
          <w:tcPr>
            <w:tcW w:w="300" w:type="dxa"/>
            <w:vAlign w:val="bottom"/>
          </w:tcPr>
          <w:p>
            <w:pPr>
              <w:spacing w:after="0"/>
              <w:rPr>
                <w:sz w:val="22"/>
                <w:szCs w:val="2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2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13"/>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/s/ Richard J. Nigon</w:t>
            </w:r>
          </w:p>
        </w:tc>
        <w:tc>
          <w:tcPr>
            <w:tcW w:w="3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w:t>
            </w:r>
          </w:p>
        </w:tc>
        <w:tc>
          <w:tcPr>
            <w:tcW w:w="2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November 20, 2025</w:t>
            </w:r>
          </w:p>
        </w:tc>
      </w:tr>
      <w:tr>
        <w:trPr>
          <w:trHeight w:val="256"/>
        </w:trPr>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Richard J. Nigon</w:t>
            </w:r>
          </w:p>
        </w:tc>
        <w:tc>
          <w:tcPr>
            <w:tcW w:w="3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/s/ Nancy E. Calderon</w:t>
            </w:r>
          </w:p>
        </w:tc>
        <w:tc>
          <w:tcPr>
            <w:tcW w:w="3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November 20, 2025</w:t>
            </w:r>
          </w:p>
        </w:tc>
      </w:tr>
      <w:tr>
        <w:trPr>
          <w:trHeight w:val="256"/>
        </w:trPr>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Nancy E. Calderon</w:t>
            </w:r>
          </w:p>
        </w:tc>
        <w:tc>
          <w:tcPr>
            <w:tcW w:w="3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/s/ Sarah E. Kemp</w:t>
            </w:r>
          </w:p>
        </w:tc>
        <w:tc>
          <w:tcPr>
            <w:tcW w:w="3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November 20, 2025</w:t>
            </w:r>
          </w:p>
        </w:tc>
      </w:tr>
      <w:tr>
        <w:trPr>
          <w:trHeight w:val="256"/>
        </w:trPr>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Sarah E. Kemp</w:t>
            </w:r>
          </w:p>
        </w:tc>
        <w:tc>
          <w:tcPr>
            <w:tcW w:w="3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/s/ Sunggyu Lee, Ph.D.</w:t>
            </w:r>
          </w:p>
        </w:tc>
        <w:tc>
          <w:tcPr>
            <w:tcW w:w="3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November 20, 2025</w:t>
            </w:r>
          </w:p>
        </w:tc>
      </w:tr>
      <w:tr>
        <w:trPr>
          <w:trHeight w:val="256"/>
        </w:trPr>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Sunggyu Lee, Ph.D.</w:t>
            </w:r>
          </w:p>
        </w:tc>
        <w:tc>
          <w:tcPr>
            <w:tcW w:w="3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/s/ Ramani Narayan, Ph.D.</w:t>
            </w:r>
          </w:p>
        </w:tc>
        <w:tc>
          <w:tcPr>
            <w:tcW w:w="3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November 20, 2025</w:t>
            </w:r>
          </w:p>
        </w:tc>
      </w:tr>
      <w:tr>
        <w:trPr>
          <w:trHeight w:val="256"/>
        </w:trPr>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Ramani Narayan, Ph.D.</w:t>
            </w:r>
          </w:p>
        </w:tc>
        <w:tc>
          <w:tcPr>
            <w:tcW w:w="3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/s/ Cristina Pinho</w:t>
            </w:r>
          </w:p>
        </w:tc>
        <w:tc>
          <w:tcPr>
            <w:tcW w:w="3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November 20, 2025</w:t>
            </w:r>
          </w:p>
        </w:tc>
      </w:tr>
      <w:tr>
        <w:trPr>
          <w:trHeight w:val="256"/>
        </w:trPr>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Cristina Pinho</w:t>
            </w:r>
          </w:p>
        </w:tc>
        <w:tc>
          <w:tcPr>
            <w:tcW w:w="3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/s/ Konstantin von Falkenhausen</w:t>
            </w:r>
          </w:p>
        </w:tc>
        <w:tc>
          <w:tcPr>
            <w:tcW w:w="3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November 20, 2025</w:t>
            </w:r>
          </w:p>
        </w:tc>
      </w:tr>
      <w:tr>
        <w:trPr>
          <w:trHeight w:val="256"/>
        </w:trPr>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Konstantin von Falkenhausen</w:t>
            </w:r>
          </w:p>
        </w:tc>
        <w:tc>
          <w:tcPr>
            <w:tcW w:w="3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780"/>
          </w:cols>
          <w:pgMar w:left="1440" w:top="1416" w:right="1020" w:bottom="382" w:gutter="0" w:footer="0" w:header="0"/>
        </w:sectPr>
      </w:pPr>
    </w:p>
    <w:bookmarkStart w:id="180" w:name="page181"/>
    <w:bookmarkEnd w:id="180"/>
    <w:p>
      <w:pPr>
        <w:spacing w:after="0"/>
        <w:rPr>
          <w:sz w:val="20"/>
          <w:szCs w:val="20"/>
          <w:color w:val="auto"/>
        </w:rPr>
      </w:pPr>
      <w:r>
        <w:rPr>
          <w:rFonts w:ascii="Calibri" w:cs="Calibri" w:eastAsia="Calibri" w:hAnsi="Calibri"/>
          <w:sz w:val="25"/>
          <w:szCs w:val="25"/>
          <w:b w:val="1"/>
          <w:bCs w:val="1"/>
          <w:color w:val="auto"/>
        </w:rPr>
        <w:t xml:space="preserve"> ŽĂƌĚ ŽĨ  ŝƌĞĐƚŽƌƐ</w:t>
      </w:r>
    </w:p>
    <w:p>
      <w:pPr>
        <w:spacing w:after="0" w:line="33" w:lineRule="exact"/>
        <w:rPr>
          <w:sz w:val="20"/>
          <w:szCs w:val="20"/>
          <w:color w:val="auto"/>
        </w:rPr>
      </w:pPr>
    </w:p>
    <w:p>
      <w:pPr>
        <w:spacing w:after="0"/>
        <w:rPr>
          <w:sz w:val="20"/>
          <w:szCs w:val="20"/>
          <w:color w:val="auto"/>
        </w:rPr>
      </w:pPr>
      <w:r>
        <w:rPr>
          <w:rFonts w:ascii="Arial" w:cs="Arial" w:eastAsia="Arial" w:hAnsi="Arial"/>
          <w:sz w:val="25"/>
          <w:szCs w:val="25"/>
          <w:color w:val="auto"/>
        </w:rPr>
        <w:t>Dƌ͘ ZŝĐŚĂƌĚ :͘ EŝŐŽŶ</w:t>
      </w:r>
    </w:p>
    <w:p>
      <w:pPr>
        <w:spacing w:after="0" w:line="1" w:lineRule="exact"/>
        <w:rPr>
          <w:sz w:val="20"/>
          <w:szCs w:val="20"/>
          <w:color w:val="auto"/>
        </w:rPr>
      </w:pPr>
    </w:p>
    <w:p>
      <w:pPr>
        <w:spacing w:after="0"/>
        <w:rPr>
          <w:sz w:val="20"/>
          <w:szCs w:val="20"/>
          <w:color w:val="auto"/>
        </w:rPr>
      </w:pPr>
      <w:r>
        <w:rPr>
          <w:rFonts w:ascii="Calibri" w:cs="Calibri" w:eastAsia="Calibri" w:hAnsi="Calibri"/>
          <w:sz w:val="25"/>
          <w:szCs w:val="25"/>
          <w:color w:val="auto"/>
        </w:rPr>
        <w:t>Chairman of the Board, NTIC</w:t>
      </w:r>
    </w:p>
    <w:p>
      <w:pPr>
        <w:spacing w:after="0"/>
        <w:rPr>
          <w:sz w:val="20"/>
          <w:szCs w:val="20"/>
          <w:color w:val="auto"/>
        </w:rPr>
      </w:pPr>
      <w:r>
        <w:rPr>
          <w:rFonts w:ascii="Arial" w:cs="Arial" w:eastAsia="Arial" w:hAnsi="Arial"/>
          <w:sz w:val="21"/>
          <w:szCs w:val="21"/>
          <w:color w:val="auto"/>
        </w:rPr>
        <w:t xml:space="preserve">^ĞŶŝŽƌ sŝĐĞ WƌĞƐŝĚĞŶƚ͕  ĞĚĂƌ WŽŝŶƚ  ĂƉŝƚĂů͕ /ŶĐ͘ </w:t>
      </w: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color w:val="auto"/>
        </w:rPr>
        <w:t>Dƌ͘ '͘ WĂƚƌŝĐŬ &gt;ǇŶĐŚ</w:t>
      </w:r>
    </w:p>
    <w:p>
      <w:pPr>
        <w:spacing w:after="0" w:line="39"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WƌĞƐŝĚĞŶƚ Θ   K͕ Ed/ </w:t>
      </w:r>
    </w:p>
    <w:p>
      <w:pPr>
        <w:spacing w:after="0" w:line="270" w:lineRule="exact"/>
        <w:rPr>
          <w:sz w:val="20"/>
          <w:szCs w:val="20"/>
          <w:color w:val="auto"/>
        </w:rPr>
      </w:pPr>
    </w:p>
    <w:p>
      <w:pPr>
        <w:spacing w:after="0"/>
        <w:rPr>
          <w:sz w:val="20"/>
          <w:szCs w:val="20"/>
          <w:color w:val="auto"/>
        </w:rPr>
      </w:pPr>
      <w:r>
        <w:rPr>
          <w:rFonts w:ascii="Calibri" w:cs="Calibri" w:eastAsia="Calibri" w:hAnsi="Calibri"/>
          <w:sz w:val="25"/>
          <w:szCs w:val="25"/>
          <w:color w:val="auto"/>
        </w:rPr>
        <w:t>Dr. Ramani Narayan</w:t>
      </w:r>
    </w:p>
    <w:p>
      <w:pPr>
        <w:spacing w:after="0" w:line="21" w:lineRule="exact"/>
        <w:rPr>
          <w:sz w:val="20"/>
          <w:szCs w:val="20"/>
          <w:color w:val="auto"/>
        </w:rPr>
      </w:pPr>
    </w:p>
    <w:p>
      <w:pPr>
        <w:spacing w:after="0"/>
        <w:rPr>
          <w:sz w:val="20"/>
          <w:szCs w:val="20"/>
          <w:color w:val="auto"/>
        </w:rPr>
      </w:pPr>
      <w:r>
        <w:rPr>
          <w:rFonts w:ascii="Arial" w:cs="Arial" w:eastAsia="Arial" w:hAnsi="Arial"/>
          <w:sz w:val="23"/>
          <w:szCs w:val="23"/>
          <w:color w:val="auto"/>
        </w:rPr>
        <w:t xml:space="preserve"> ŝƐƟŶŐƵŝƐŚĞĚ WƌŽĨĞƐƐŽƌ ŝŶ ƚŚĞ  ĞƉĂƌƚŵĞŶƚ ŽĨ </w:t>
      </w:r>
    </w:p>
    <w:p>
      <w:pPr>
        <w:spacing w:after="0" w:line="20" w:lineRule="exact"/>
        <w:rPr>
          <w:sz w:val="20"/>
          <w:szCs w:val="20"/>
          <w:color w:val="auto"/>
        </w:rPr>
      </w:pPr>
    </w:p>
    <w:p>
      <w:pPr>
        <w:spacing w:after="0"/>
        <w:rPr>
          <w:sz w:val="20"/>
          <w:szCs w:val="20"/>
          <w:color w:val="auto"/>
        </w:rPr>
      </w:pPr>
      <w:r>
        <w:rPr>
          <w:rFonts w:ascii="Calibri" w:cs="Calibri" w:eastAsia="Calibri" w:hAnsi="Calibri"/>
          <w:sz w:val="25"/>
          <w:szCs w:val="25"/>
          <w:color w:val="auto"/>
        </w:rPr>
        <w:t>Chemical Engineering &amp; Materials Science, Michigan</w:t>
      </w:r>
    </w:p>
    <w:p>
      <w:pPr>
        <w:spacing w:after="0" w:line="231" w:lineRule="auto"/>
        <w:rPr>
          <w:sz w:val="20"/>
          <w:szCs w:val="20"/>
          <w:color w:val="auto"/>
        </w:rPr>
      </w:pPr>
      <w:r>
        <w:rPr>
          <w:rFonts w:ascii="Calibri" w:cs="Calibri" w:eastAsia="Calibri" w:hAnsi="Calibri"/>
          <w:sz w:val="25"/>
          <w:szCs w:val="25"/>
          <w:color w:val="auto"/>
        </w:rPr>
        <w:t>State University</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 ƌ͘ ^ƵŶŐŐǇƵ &gt;ĞĞ</w:t>
      </w:r>
    </w:p>
    <w:p>
      <w:pPr>
        <w:spacing w:after="0" w:line="39"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 ŚŝĞĨ dĞĐŚŶŽůŽŐŝƐƚ͕  ŚĞŵƚĞĐŚ /ŶŶŽǀĂƚŽƌƐ &gt;&gt; </w:t>
      </w:r>
    </w:p>
    <w:p>
      <w:pPr>
        <w:spacing w:after="0" w:line="282" w:lineRule="exact"/>
        <w:rPr>
          <w:sz w:val="20"/>
          <w:szCs w:val="20"/>
          <w:color w:val="auto"/>
        </w:rPr>
      </w:pPr>
    </w:p>
    <w:p>
      <w:pPr>
        <w:ind w:right="2180"/>
        <w:spacing w:after="0" w:line="442" w:lineRule="auto"/>
        <w:rPr>
          <w:sz w:val="20"/>
          <w:szCs w:val="20"/>
          <w:color w:val="auto"/>
        </w:rPr>
      </w:pPr>
      <w:r>
        <w:rPr>
          <w:rFonts w:ascii="Arial" w:cs="Arial" w:eastAsia="Arial" w:hAnsi="Arial"/>
          <w:sz w:val="19"/>
          <w:szCs w:val="19"/>
          <w:color w:val="auto"/>
        </w:rPr>
        <w:t>Dƌ͘ &lt;ŽŶƐƚĂŶƟŶ ǀŽŶ &amp;ĂůŬĞŶŚĂƵƐĞŶ WĂƌƚŶĞƌ͕    ĂƉŝƚĂů WĂƌƚŶĞƌƐ  '</w:t>
      </w:r>
    </w:p>
    <w:p>
      <w:pPr>
        <w:spacing w:after="0" w:line="79" w:lineRule="exact"/>
        <w:rPr>
          <w:sz w:val="20"/>
          <w:szCs w:val="20"/>
          <w:color w:val="auto"/>
        </w:rPr>
      </w:pPr>
    </w:p>
    <w:p>
      <w:pPr>
        <w:spacing w:after="0"/>
        <w:rPr>
          <w:sz w:val="20"/>
          <w:szCs w:val="20"/>
          <w:color w:val="auto"/>
        </w:rPr>
      </w:pPr>
      <w:r>
        <w:rPr>
          <w:rFonts w:ascii="Calibri" w:cs="Calibri" w:eastAsia="Calibri" w:hAnsi="Calibri"/>
          <w:sz w:val="25"/>
          <w:szCs w:val="25"/>
          <w:color w:val="auto"/>
        </w:rPr>
        <w:t>Ms. Sarah E. Kemp</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sŝĐĞ WƌĞƐŝĚĞŶƚ͕ /ŶƚĞƌŶĂƟŽŶĂů 'ŽǀĞƌŶŵĞŶƚ  īĂŝƌƐ͕ /ŶƚĞů </w:t>
      </w:r>
    </w:p>
    <w:p>
      <w:pPr>
        <w:spacing w:after="0" w:line="76"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 ŽƌƉŽƌĂƟŽŶ</w:t>
      </w:r>
    </w:p>
    <w:p>
      <w:pPr>
        <w:spacing w:after="0" w:line="270" w:lineRule="exact"/>
        <w:rPr>
          <w:sz w:val="20"/>
          <w:szCs w:val="20"/>
          <w:color w:val="auto"/>
        </w:rPr>
      </w:pPr>
    </w:p>
    <w:p>
      <w:pPr>
        <w:spacing w:after="0"/>
        <w:rPr>
          <w:sz w:val="20"/>
          <w:szCs w:val="20"/>
          <w:color w:val="auto"/>
        </w:rPr>
      </w:pPr>
      <w:r>
        <w:rPr>
          <w:rFonts w:ascii="Calibri" w:cs="Calibri" w:eastAsia="Calibri" w:hAnsi="Calibri"/>
          <w:sz w:val="25"/>
          <w:szCs w:val="25"/>
          <w:color w:val="auto"/>
        </w:rPr>
        <w:t>Ms. Nancy E. Calderon</w:t>
      </w:r>
    </w:p>
    <w:p>
      <w:pPr>
        <w:spacing w:after="0" w:line="21" w:lineRule="exact"/>
        <w:rPr>
          <w:sz w:val="20"/>
          <w:szCs w:val="20"/>
          <w:color w:val="auto"/>
        </w:rPr>
      </w:pPr>
    </w:p>
    <w:p>
      <w:pPr>
        <w:spacing w:after="0"/>
        <w:rPr>
          <w:sz w:val="20"/>
          <w:szCs w:val="20"/>
          <w:color w:val="auto"/>
        </w:rPr>
      </w:pPr>
      <w:r>
        <w:rPr>
          <w:rFonts w:ascii="Arial" w:cs="Arial" w:eastAsia="Arial" w:hAnsi="Arial"/>
          <w:sz w:val="25"/>
          <w:szCs w:val="25"/>
          <w:color w:val="auto"/>
        </w:rPr>
        <w:t>&amp;ŽƌŵĞƌ WĂƌƚŶĞƌ͕ &lt;WD' &gt;&gt;W</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color w:val="auto"/>
        </w:rPr>
        <w:t>DƐ͘  ƌŝƐƟŶĂ WŝŶŚŽ</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 ŚĂŝƌ ŽĨ ƚŚĞ  ŽĂƌĚ ŽĨ /ŶƐƟƚƵƚŽ &gt;ƵşƐĂ WŝŶŚŽ ^ĂƌƚŽƌŝ</w:t>
      </w:r>
    </w:p>
    <w:p>
      <w:pPr>
        <w:spacing w:after="0" w:line="31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Ed/   ǆĞĐƵƟǀĞ KĸĐĞƌƐ</w:t>
      </w:r>
    </w:p>
    <w:p>
      <w:pPr>
        <w:spacing w:after="0" w:line="33" w:lineRule="exact"/>
        <w:rPr>
          <w:sz w:val="20"/>
          <w:szCs w:val="20"/>
          <w:color w:val="auto"/>
        </w:rPr>
      </w:pPr>
    </w:p>
    <w:p>
      <w:pPr>
        <w:spacing w:after="0"/>
        <w:rPr>
          <w:sz w:val="20"/>
          <w:szCs w:val="20"/>
          <w:color w:val="auto"/>
        </w:rPr>
      </w:pPr>
      <w:r>
        <w:rPr>
          <w:rFonts w:ascii="Arial" w:cs="Arial" w:eastAsia="Arial" w:hAnsi="Arial"/>
          <w:sz w:val="25"/>
          <w:szCs w:val="25"/>
          <w:color w:val="auto"/>
        </w:rPr>
        <w:t>Dƌ͘ '͘ WĂƚƌŝĐŬ &gt;ǇŶĐŚ</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color w:val="auto"/>
        </w:rPr>
        <w:t>WƌĞƐŝĚĞŶƚ Θ   K</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color w:val="auto"/>
        </w:rPr>
        <w:t>Dƌ͘ DĂƩŚĞǁ  ͘ tŽůƐĨĞůĚ</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ŚŝĞĨ &amp;ŝŶĂŶĐŝĂů KĸĐĞƌ͕ dƌĞĂƐƵƌĞƌ ĂŶĚ  ŽƌƉŽƌĂƚĞ ^ĞĐƌĞƚĂƌǇ</w:t>
      </w:r>
    </w:p>
    <w:p>
      <w:pPr>
        <w:spacing w:after="0" w:line="358" w:lineRule="exact"/>
        <w:rPr>
          <w:sz w:val="20"/>
          <w:szCs w:val="20"/>
          <w:color w:val="auto"/>
        </w:rPr>
      </w:pPr>
    </w:p>
    <w:p>
      <w:pPr>
        <w:ind w:right="2360"/>
        <w:spacing w:after="0" w:line="248" w:lineRule="auto"/>
        <w:rPr>
          <w:sz w:val="20"/>
          <w:szCs w:val="20"/>
          <w:color w:val="auto"/>
        </w:rPr>
      </w:pPr>
      <w:r>
        <w:rPr>
          <w:rFonts w:ascii="Calibri" w:cs="Calibri" w:eastAsia="Calibri" w:hAnsi="Calibri"/>
          <w:sz w:val="25"/>
          <w:szCs w:val="25"/>
          <w:b w:val="1"/>
          <w:bCs w:val="1"/>
          <w:color w:val="auto"/>
        </w:rPr>
        <w:t>/ŶĚĞƉĞŶĚĞŶƚ ZĞŐŝƐƚĞƌĞĚ WƵďůŝĐ  ĐĐŽƵŶƟŶŐ &amp;ŝƌŵ</w:t>
      </w:r>
    </w:p>
    <w:p>
      <w:pPr>
        <w:spacing w:after="0" w:line="2"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 ĂŬĞƌ dŝůůǇ h^͕ &gt;&gt;W</w:t>
      </w:r>
    </w:p>
    <w:p>
      <w:pPr>
        <w:spacing w:after="0" w:line="1" w:lineRule="exact"/>
        <w:rPr>
          <w:sz w:val="20"/>
          <w:szCs w:val="20"/>
          <w:color w:val="auto"/>
        </w:rPr>
      </w:pPr>
    </w:p>
    <w:p>
      <w:pPr>
        <w:spacing w:after="0"/>
        <w:rPr>
          <w:sz w:val="20"/>
          <w:szCs w:val="20"/>
          <w:color w:val="auto"/>
        </w:rPr>
      </w:pPr>
      <w:r>
        <w:rPr>
          <w:rFonts w:ascii="Calibri" w:cs="Calibri" w:eastAsia="Calibri" w:hAnsi="Calibri"/>
          <w:sz w:val="25"/>
          <w:szCs w:val="25"/>
          <w:color w:val="auto"/>
        </w:rPr>
        <w:t>Minneapolis, MN</w:t>
      </w:r>
    </w:p>
    <w:p>
      <w:pPr>
        <w:spacing w:after="0" w:line="259" w:lineRule="exact"/>
        <w:rPr>
          <w:sz w:val="20"/>
          <w:szCs w:val="20"/>
          <w:color w:val="auto"/>
        </w:rPr>
      </w:pPr>
    </w:p>
    <w:p>
      <w:pPr>
        <w:ind w:right="80"/>
        <w:spacing w:after="0" w:line="287" w:lineRule="auto"/>
        <w:rPr>
          <w:sz w:val="20"/>
          <w:szCs w:val="20"/>
          <w:color w:val="auto"/>
        </w:rPr>
      </w:pPr>
      <w:r>
        <w:rPr>
          <w:rFonts w:ascii="Calibri" w:cs="Calibri" w:eastAsia="Calibri" w:hAnsi="Calibri"/>
          <w:sz w:val="21"/>
          <w:szCs w:val="21"/>
          <w:b w:val="1"/>
          <w:bCs w:val="1"/>
          <w:color w:val="auto"/>
        </w:rPr>
        <w:t xml:space="preserve">dƌĂŶƐĨĞƌ  ŐĞŶƚ ĂŶĚ ZĞŐŝƐƚƌĂƌ </w:t>
      </w:r>
      <w:r>
        <w:rPr>
          <w:rFonts w:ascii="Arial" w:cs="Arial" w:eastAsia="Arial" w:hAnsi="Arial"/>
          <w:sz w:val="21"/>
          <w:szCs w:val="21"/>
          <w:color w:val="auto"/>
        </w:rPr>
        <w:t xml:space="preserve">&amp;Žƌ Ă ƌĞƐƉŽŶƐĞ ƚŽ ƋƵĞƐƟŽŶƐ ƌĞŐĂƌĚŝŶŐ </w:t>
      </w:r>
      <w:r>
        <w:rPr>
          <w:rFonts w:ascii="Calibri" w:cs="Calibri" w:eastAsia="Calibri" w:hAnsi="Calibri"/>
          <w:sz w:val="21"/>
          <w:szCs w:val="21"/>
          <w:color w:val="auto"/>
        </w:rPr>
        <w:t>misplaced stock</w:t>
      </w:r>
      <w:r>
        <w:rPr>
          <w:rFonts w:ascii="Arial" w:cs="Arial" w:eastAsia="Arial" w:hAnsi="Arial"/>
          <w:sz w:val="21"/>
          <w:szCs w:val="21"/>
          <w:color w:val="auto"/>
        </w:rPr>
        <w:t xml:space="preserve"> ĐĞƌƟĮĐĂƚĞƐ͕ ĐŚĂŶŐĞƐ ŽĨ ĂĚĚƌĞƐƐ Žƌ ƚŚĞ ĐŽŶƐŽůŝĚĂƟŽŶ  </w:t>
      </w:r>
      <w:r>
        <w:rPr>
          <w:rFonts w:ascii="Calibri" w:cs="Calibri" w:eastAsia="Calibri" w:hAnsi="Calibri"/>
          <w:sz w:val="21"/>
          <w:szCs w:val="21"/>
          <w:color w:val="auto"/>
        </w:rPr>
        <w:t>of accounts, please contact NTIC’s transfer agent:</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 ƌŽĂĚƌŝĚŐĞ  ŽƌƉŽƌĂƚĞ /ƐƐƵĞƌ ^ŽůƵƟŽŶƐ͕ &gt;&gt; </w:t>
      </w:r>
    </w:p>
    <w:p>
      <w:pPr>
        <w:spacing w:after="0" w:line="39" w:lineRule="exact"/>
        <w:rPr>
          <w:sz w:val="20"/>
          <w:szCs w:val="20"/>
          <w:color w:val="auto"/>
        </w:rPr>
      </w:pPr>
    </w:p>
    <w:p>
      <w:pPr>
        <w:ind w:right="2460"/>
        <w:spacing w:after="0"/>
        <w:rPr>
          <w:sz w:val="20"/>
          <w:szCs w:val="20"/>
          <w:color w:val="auto"/>
        </w:rPr>
      </w:pPr>
      <w:r>
        <w:rPr>
          <w:rFonts w:ascii="Calibri" w:cs="Calibri" w:eastAsia="Calibri" w:hAnsi="Calibri"/>
          <w:sz w:val="24"/>
          <w:szCs w:val="24"/>
          <w:color w:val="auto"/>
        </w:rPr>
        <w:t xml:space="preserve">51 Mercedes Way </w:t>
      </w:r>
      <w:r>
        <w:rPr>
          <w:rFonts w:ascii="Arial" w:cs="Arial" w:eastAsia="Arial" w:hAnsi="Arial"/>
          <w:sz w:val="24"/>
          <w:szCs w:val="24"/>
          <w:color w:val="auto"/>
        </w:rPr>
        <w:t xml:space="preserve"> ĚŐĞǁŽŽĚ͕ Ez ϭϭϳϭϳ ;ϴϱϱͿ ϱϴϴͲϱϬϰϵ </w:t>
      </w:r>
      <w:r>
        <w:rPr>
          <w:rFonts w:ascii="Calibri" w:cs="Calibri" w:eastAsia="Calibri" w:hAnsi="Calibri"/>
          <w:sz w:val="24"/>
          <w:szCs w:val="24"/>
          <w:color w:val="auto"/>
        </w:rPr>
        <w:t>shareholder@broadridge.com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/ŶǀĞƐƚŽƌ ZĞůĂƟŽŶƐ</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-2658110</wp:posOffset>
            </wp:positionV>
            <wp:extent cx="3729355" cy="23977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9">
                      <a:extLst>
                        <a:ext uri="{28A0092B-C50C-407E-A947-70E740481C1C}"/>
                      </a:extLst>
                    </a:blip>
                    <a:srcRect/>
                    <a:stretch>
                      <a:fillRect/>
                    </a:stretch>
                  </pic:blipFill>
                  <pic:spPr bwMode="auto">
                    <a:xfrm>
                      <a:off x="0" y="0"/>
                      <a:ext cx="3729355" cy="2397760"/>
                    </a:xfrm>
                    <a:prstGeom prst="rect">
                      <a:avLst/>
                    </a:prstGeom>
                    <a:noFill/>
                  </pic:spPr>
                </pic:pic>
              </a:graphicData>
            </a:graphic>
          </wp:anchor>
        </w:drawing>
      </w:r>
    </w:p>
    <w:p>
      <w:pPr>
        <w:spacing w:after="0" w:line="13" w:lineRule="exact"/>
        <w:rPr>
          <w:sz w:val="20"/>
          <w:szCs w:val="20"/>
          <w:color w:val="auto"/>
        </w:rPr>
      </w:pPr>
    </w:p>
    <w:p>
      <w:pPr>
        <w:ind w:right="260"/>
        <w:spacing w:after="0" w:line="270" w:lineRule="auto"/>
        <w:rPr>
          <w:sz w:val="20"/>
          <w:szCs w:val="20"/>
          <w:color w:val="auto"/>
        </w:rPr>
      </w:pPr>
      <w:r>
        <w:rPr>
          <w:rFonts w:ascii="Arial" w:cs="Arial" w:eastAsia="Arial" w:hAnsi="Arial"/>
          <w:sz w:val="21"/>
          <w:szCs w:val="21"/>
          <w:color w:val="auto"/>
        </w:rPr>
        <w:t xml:space="preserve">EŽƌƚŚĞƌŶ dĞĐŚŶŽůŽŐŝĞƐ /ŶƚĞƌŶĂƟŽŶĂů  ŽƌƉŽƌĂƟŽŶ  </w:t>
      </w:r>
      <w:r>
        <w:rPr>
          <w:rFonts w:ascii="Calibri" w:cs="Calibri" w:eastAsia="Calibri" w:hAnsi="Calibri"/>
          <w:sz w:val="21"/>
          <w:szCs w:val="21"/>
          <w:color w:val="auto"/>
        </w:rPr>
        <w:t xml:space="preserve">welcomes inquiries from its stockholders and other </w:t>
      </w:r>
      <w:r>
        <w:rPr>
          <w:rFonts w:ascii="Arial" w:cs="Arial" w:eastAsia="Arial" w:hAnsi="Arial"/>
          <w:sz w:val="21"/>
          <w:szCs w:val="21"/>
          <w:color w:val="auto"/>
        </w:rPr>
        <w:t xml:space="preserve">ŝŶƚĞƌĞƐƚĞĚ ŝŶǀĞƐƚŽƌƐ͘ &amp;Žƌ ĨƵƌƚŚĞƌ ŝŶĨŽƌŵĂƟŽŶ ŽŶ  Ed/ ͛^ ĂĐƟǀŝƟĞƐ Žƌ ĂĚĚŝƟŽŶĂů ĐŽƉŝĞƐ ŽĨ ƚŚŝƐ ƌĞƉŽƌƚ͕  </w:t>
      </w:r>
      <w:r>
        <w:rPr>
          <w:rFonts w:ascii="Calibri" w:cs="Calibri" w:eastAsia="Calibri" w:hAnsi="Calibri"/>
          <w:sz w:val="21"/>
          <w:szCs w:val="21"/>
          <w:color w:val="auto"/>
        </w:rPr>
        <w:t>please contact:</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color w:val="auto"/>
        </w:rPr>
        <w:t>/ŶǀĞƐƚŽƌ ZĞůĂƟŽŶƐ</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EŽƌƚŚĞƌŶ dĞĐŚŶŽůŽŐŝĞƐ /ŶƚĞƌŶĂƟŽŶĂů  ŽƌƉŽƌĂƟŽŶ </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ϰϮϬϭ tŽŽĚůĂŶĚ ZŽĂĚ͕ W͘K͘  Žǆ ϲϵ</w:t>
      </w:r>
    </w:p>
    <w:p>
      <w:pPr>
        <w:spacing w:after="0" w:line="225" w:lineRule="auto"/>
        <w:rPr>
          <w:sz w:val="20"/>
          <w:szCs w:val="20"/>
          <w:color w:val="auto"/>
        </w:rPr>
      </w:pPr>
      <w:r>
        <w:rPr>
          <w:rFonts w:ascii="Arial" w:cs="Arial" w:eastAsia="Arial" w:hAnsi="Arial"/>
          <w:sz w:val="25"/>
          <w:szCs w:val="25"/>
          <w:color w:val="auto"/>
        </w:rPr>
        <w:t xml:space="preserve"> ŝƌĐůĞ WŝŶĞƐ͕ DE ϱϱϬϭϰ</w:t>
      </w:r>
    </w:p>
    <w:p>
      <w:pPr>
        <w:spacing w:after="0" w:line="226" w:lineRule="auto"/>
        <w:rPr>
          <w:sz w:val="20"/>
          <w:szCs w:val="20"/>
          <w:color w:val="auto"/>
        </w:rPr>
      </w:pPr>
      <w:r>
        <w:rPr>
          <w:rFonts w:ascii="Arial" w:cs="Arial" w:eastAsia="Arial" w:hAnsi="Arial"/>
          <w:sz w:val="25"/>
          <w:szCs w:val="25"/>
          <w:color w:val="auto"/>
        </w:rPr>
        <w:t>;ϳϲϯͿ ϮϮϱͲϲϲϬϬ</w:t>
      </w:r>
    </w:p>
    <w:p>
      <w:pPr>
        <w:spacing w:after="0" w:line="225" w:lineRule="auto"/>
        <w:rPr>
          <w:sz w:val="20"/>
          <w:szCs w:val="20"/>
          <w:color w:val="auto"/>
        </w:rPr>
      </w:pPr>
      <w:r>
        <w:rPr>
          <w:rFonts w:ascii="Arial" w:cs="Arial" w:eastAsia="Arial" w:hAnsi="Arial"/>
          <w:sz w:val="25"/>
          <w:szCs w:val="25"/>
          <w:color w:val="auto"/>
        </w:rPr>
        <w:t>ŝŶǀĞƐƚŽƌƐΛŶƟĐ͘ĐŽŵ</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rPr>
        <w:t>ǁǁǁ͘ŶƟĐ͘ĐŽŵ</w:t>
      </w:r>
    </w:p>
    <w:p>
      <w:pPr>
        <w:spacing w:after="0" w:line="266"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^ƚŽĐŬ &gt;ŝƐƟŶŐ</w:t>
      </w:r>
    </w:p>
    <w:p>
      <w:pPr>
        <w:spacing w:after="0" w:line="33" w:lineRule="exact"/>
        <w:rPr>
          <w:sz w:val="20"/>
          <w:szCs w:val="20"/>
          <w:color w:val="auto"/>
        </w:rPr>
      </w:pPr>
    </w:p>
    <w:p>
      <w:pPr>
        <w:ind w:right="740"/>
        <w:spacing w:after="0" w:line="246" w:lineRule="auto"/>
        <w:rPr>
          <w:sz w:val="20"/>
          <w:szCs w:val="20"/>
          <w:color w:val="auto"/>
        </w:rPr>
      </w:pPr>
      <w:r>
        <w:rPr>
          <w:rFonts w:ascii="Calibri" w:cs="Calibri" w:eastAsia="Calibri" w:hAnsi="Calibri"/>
          <w:sz w:val="24"/>
          <w:szCs w:val="24"/>
          <w:color w:val="auto"/>
        </w:rPr>
        <w:t>NTIC’s common stock is traded on the Nasdaq Global Market under the symbol NTIC.</w:t>
      </w:r>
    </w:p>
    <w:p>
      <w:pPr>
        <w:spacing w:after="0" w:line="25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 xml:space="preserve"> ŶŶƵĂů DĞĞƟŶŐ</w:t>
      </w:r>
    </w:p>
    <w:p>
      <w:pPr>
        <w:spacing w:after="0" w:line="33" w:lineRule="exact"/>
        <w:rPr>
          <w:sz w:val="20"/>
          <w:szCs w:val="20"/>
          <w:color w:val="auto"/>
        </w:rPr>
      </w:pPr>
    </w:p>
    <w:p>
      <w:pPr>
        <w:ind w:right="180"/>
        <w:spacing w:after="0" w:line="326" w:lineRule="auto"/>
        <w:rPr>
          <w:sz w:val="20"/>
          <w:szCs w:val="20"/>
          <w:color w:val="auto"/>
        </w:rPr>
      </w:pPr>
      <w:r>
        <w:rPr>
          <w:rFonts w:ascii="Arial" w:cs="Arial" w:eastAsia="Arial" w:hAnsi="Arial"/>
          <w:sz w:val="20"/>
          <w:szCs w:val="20"/>
          <w:color w:val="auto"/>
        </w:rPr>
        <w:t xml:space="preserve">dŚĞ ĂŶŶƵĂů ŵĞĞƟŶŐ ŽĨ ƐƚŽĐŬŚŽůĚĞƌƐ ǁŝůů ďĞ ŚĞůĚ </w:t>
      </w:r>
      <w:r>
        <w:rPr>
          <w:rFonts w:ascii="Calibri" w:cs="Calibri" w:eastAsia="Calibri" w:hAnsi="Calibri"/>
          <w:sz w:val="20"/>
          <w:szCs w:val="20"/>
          <w:color w:val="auto"/>
        </w:rPr>
        <w:t>at</w:t>
      </w:r>
      <w:r>
        <w:rPr>
          <w:rFonts w:ascii="Arial" w:cs="Arial" w:eastAsia="Arial" w:hAnsi="Arial"/>
          <w:sz w:val="20"/>
          <w:szCs w:val="20"/>
          <w:color w:val="auto"/>
        </w:rPr>
        <w:t xml:space="preserve"> ϴ͗ϬϬ Ă͘ŵ͘ ;ůŽĐĂů ƟŵĞͿ ŽŶ &amp;ƌŝĚĂǇ͕ :ĂŶƵĂƌǇ ϭϲ͕ ϮϬϮϲ Ăƚ  </w:t>
      </w:r>
      <w:r>
        <w:rPr>
          <w:rFonts w:ascii="Calibri" w:cs="Calibri" w:eastAsia="Calibri" w:hAnsi="Calibri"/>
          <w:sz w:val="20"/>
          <w:szCs w:val="20"/>
          <w:color w:val="auto"/>
        </w:rPr>
        <w:t>NTIC’s corporate headquarters: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EŽƌƚŚĞƌŶ dĞĐŚŶŽůŽŐŝĞƐ /ŶƚĞƌŶĂƟŽŶĂů  ŽƌƉŽƌĂƟŽŶ</w:t>
      </w:r>
    </w:p>
    <w:p>
      <w:pPr>
        <w:spacing w:after="0" w:line="109" w:lineRule="exact"/>
        <w:rPr>
          <w:sz w:val="20"/>
          <w:szCs w:val="20"/>
          <w:color w:val="auto"/>
        </w:rPr>
      </w:pPr>
    </w:p>
    <w:p>
      <w:pPr>
        <w:ind w:left="500"/>
        <w:spacing w:after="0"/>
        <w:rPr>
          <w:sz w:val="20"/>
          <w:szCs w:val="20"/>
          <w:color w:val="auto"/>
        </w:rPr>
      </w:pPr>
      <w:r>
        <w:rPr>
          <w:rFonts w:ascii="Calibri" w:cs="Calibri" w:eastAsia="Calibri" w:hAnsi="Calibri"/>
          <w:sz w:val="25"/>
          <w:szCs w:val="25"/>
          <w:color w:val="auto"/>
        </w:rPr>
        <w:t>4201 Woodland Road</w:t>
      </w:r>
    </w:p>
    <w:p>
      <w:pPr>
        <w:ind w:left="500"/>
        <w:spacing w:after="0"/>
        <w:rPr>
          <w:sz w:val="20"/>
          <w:szCs w:val="20"/>
          <w:color w:val="auto"/>
        </w:rPr>
      </w:pPr>
      <w:r>
        <w:rPr>
          <w:rFonts w:ascii="Arial" w:cs="Arial" w:eastAsia="Arial" w:hAnsi="Arial"/>
          <w:sz w:val="25"/>
          <w:szCs w:val="25"/>
          <w:color w:val="auto"/>
        </w:rPr>
        <w:t xml:space="preserve"> ŝƌĐůĞ WŝŶĞƐ͕ DE ϱϱϬϭϰ</w:t>
      </w:r>
    </w:p>
    <w:p>
      <w:pPr>
        <w:spacing w:after="0" w:line="7" w:lineRule="exact"/>
        <w:rPr>
          <w:sz w:val="20"/>
          <w:szCs w:val="20"/>
          <w:color w:val="auto"/>
        </w:rPr>
      </w:pPr>
    </w:p>
    <w:p>
      <w:pPr>
        <w:ind w:left="500"/>
        <w:spacing w:after="0"/>
        <w:rPr>
          <w:sz w:val="20"/>
          <w:szCs w:val="20"/>
          <w:color w:val="auto"/>
        </w:rPr>
      </w:pPr>
      <w:r>
        <w:rPr>
          <w:rFonts w:ascii="Arial" w:cs="Arial" w:eastAsia="Arial" w:hAnsi="Arial"/>
          <w:sz w:val="25"/>
          <w:szCs w:val="25"/>
          <w:color w:val="auto"/>
        </w:rPr>
        <w:t>;ϳϲϯͿ ϮϮϱͲϲϲϬϬ</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593725</wp:posOffset>
            </wp:positionV>
            <wp:extent cx="1522730" cy="10680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0">
                      <a:extLst>
                        <a:ext uri="{28A0092B-C50C-407E-A947-70E740481C1C}"/>
                      </a:extLst>
                    </a:blip>
                    <a:srcRect/>
                    <a:stretch>
                      <a:fillRect/>
                    </a:stretch>
                  </pic:blipFill>
                  <pic:spPr bwMode="auto">
                    <a:xfrm>
                      <a:off x="0" y="0"/>
                      <a:ext cx="1522730" cy="1068070"/>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1838325</wp:posOffset>
            </wp:positionV>
            <wp:extent cx="1572895" cy="736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1">
                      <a:extLst>
                        <a:ext uri="{28A0092B-C50C-407E-A947-70E740481C1C}"/>
                      </a:extLst>
                    </a:blip>
                    <a:srcRect/>
                    <a:stretch>
                      <a:fillRect/>
                    </a:stretch>
                  </pic:blipFill>
                  <pic:spPr bwMode="auto">
                    <a:xfrm>
                      <a:off x="0" y="0"/>
                      <a:ext cx="1572895" cy="73660"/>
                    </a:xfrm>
                    <a:prstGeom prst="rect">
                      <a:avLst/>
                    </a:prstGeom>
                    <a:noFill/>
                  </pic:spPr>
                </pic:pic>
              </a:graphicData>
            </a:graphic>
          </wp:anchor>
        </w:drawing>
      </w:r>
    </w:p>
    <w:sectPr>
      <w:pgSz w:w="12240" w:h="15840" w:orient="portrait"/>
      <w:cols w:equalWidth="0" w:num="2">
        <w:col w:w="5460" w:space="360"/>
        <w:col w:w="5360"/>
      </w:cols>
      <w:pgMar w:left="540" w:top="482" w:right="520" w:bottom="9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decimal"/>
      <w:start w:val="1"/>
    </w:lvl>
  </w:abstractNum>
  <w:abstractNum w:abstractNumId="4">
    <w:nsid w:val="75C6C33A"/>
    <w:multiLevelType w:val="hybridMultilevel"/>
    <w:lvl w:ilvl="0">
      <w:lvlJc w:val="left"/>
      <w:lvlText w:val="x"/>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x"/>
      <w:numFmt w:val="bullet"/>
      <w:start w:val="1"/>
    </w:lvl>
  </w:abstractNum>
  <w:abstractNum w:abstractNumId="7">
    <w:nsid w:val="520EEDD1"/>
    <w:multiLevelType w:val="hybridMultilevel"/>
    <w:lvl w:ilvl="0">
      <w:lvlJc w:val="left"/>
      <w:lvlText w:val="x"/>
      <w:numFmt w:val="bullet"/>
      <w:start w:val="1"/>
    </w:lvl>
  </w:abstractNum>
  <w:abstractNum w:abstractNumId="8">
    <w:nsid w:val="374A3FE6"/>
    <w:multiLevelType w:val="hybridMultilevel"/>
    <w:lvl w:ilvl="0">
      <w:lvlJc w:val="left"/>
      <w:lvlText w:val="x"/>
      <w:numFmt w:val="bullet"/>
      <w:start w:val="1"/>
    </w:lvl>
  </w:abstractNum>
  <w:abstractNum w:abstractNumId="9">
    <w:nsid w:val="4F4EF005"/>
    <w:multiLevelType w:val="hybridMultilevel"/>
    <w:lvl w:ilvl="0">
      <w:lvlJc w:val="left"/>
      <w:lvlText w:val="x"/>
      <w:numFmt w:val="bullet"/>
      <w:start w:val="1"/>
    </w:lvl>
  </w:abstractNum>
  <w:abstractNum w:abstractNumId="10">
    <w:nsid w:val="23F9C13C"/>
    <w:multiLevelType w:val="hybridMultilevel"/>
    <w:lvl w:ilvl="0">
      <w:lvlJc w:val="left"/>
      <w:lvlText w:val="9"/>
      <w:numFmt w:val="bullet"/>
      <w:start w:val="1"/>
    </w:lvl>
  </w:abstractNum>
  <w:abstractNum w:abstractNumId="11">
    <w:nsid w:val="649BB77C"/>
    <w:multiLevelType w:val="hybridMultilevel"/>
    <w:lvl w:ilvl="0">
      <w:lvlJc w:val="left"/>
      <w:lvlText w:val="9"/>
      <w:numFmt w:val="bullet"/>
      <w:start w:val="1"/>
    </w:lvl>
  </w:abstractNum>
  <w:abstractNum w:abstractNumId="12">
    <w:nsid w:val="275AC794"/>
    <w:multiLevelType w:val="hybridMultilevel"/>
    <w:lvl w:ilvl="0">
      <w:lvlJc w:val="left"/>
      <w:lvlText w:val="x"/>
      <w:numFmt w:val="bullet"/>
      <w:start w:val="1"/>
    </w:lvl>
  </w:abstractNum>
  <w:abstractNum w:abstractNumId="13">
    <w:nsid w:val="39386575"/>
    <w:multiLevelType w:val="hybridMultilevel"/>
    <w:lvl w:ilvl="0">
      <w:lvlJc w:val="left"/>
      <w:lvlText w:val="x"/>
      <w:numFmt w:val="bullet"/>
      <w:start w:val="1"/>
    </w:lvl>
  </w:abstractNum>
  <w:abstractNum w:abstractNumId="14">
    <w:nsid w:val="1CF10FD8"/>
    <w:multiLevelType w:val="hybridMultilevel"/>
    <w:lvl w:ilvl="0">
      <w:lvlJc w:val="left"/>
      <w:lvlText w:val="x"/>
      <w:numFmt w:val="bullet"/>
      <w:start w:val="1"/>
    </w:lvl>
  </w:abstractNum>
  <w:abstractNum w:abstractNumId="15">
    <w:nsid w:val="180115BE"/>
    <w:multiLevelType w:val="hybridMultilevel"/>
    <w:lvl w:ilvl="0">
      <w:lvlJc w:val="left"/>
      <w:lvlText w:val="x"/>
      <w:numFmt w:val="bullet"/>
      <w:start w:val="1"/>
    </w:lvl>
  </w:abstractNum>
  <w:abstractNum w:abstractNumId="16">
    <w:nsid w:val="235BA861"/>
    <w:multiLevelType w:val="hybridMultilevel"/>
    <w:lvl w:ilvl="0">
      <w:lvlJc w:val="left"/>
      <w:lvlText w:val="x"/>
      <w:numFmt w:val="bullet"/>
      <w:start w:val="1"/>
    </w:lvl>
  </w:abstractNum>
  <w:abstractNum w:abstractNumId="17">
    <w:nsid w:val="47398C89"/>
    <w:multiLevelType w:val="hybridMultilevel"/>
    <w:lvl w:ilvl="0">
      <w:lvlJc w:val="left"/>
      <w:lvlText w:val="x"/>
      <w:numFmt w:val="bullet"/>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x"/>
      <w:numFmt w:val="bullet"/>
      <w:start w:val="1"/>
    </w:lvl>
  </w:abstractNum>
  <w:abstractNum w:abstractNumId="21">
    <w:nsid w:val="D34B6A8"/>
    <w:multiLevelType w:val="hybridMultilevel"/>
    <w:lvl w:ilvl="0">
      <w:lvlJc w:val="left"/>
      <w:lvlText w:val="x"/>
      <w:numFmt w:val="bullet"/>
      <w:start w:val="1"/>
    </w:lvl>
  </w:abstractNum>
  <w:abstractNum w:abstractNumId="22">
    <w:nsid w:val="10233C99"/>
    <w:multiLevelType w:val="hybridMultilevel"/>
    <w:lvl w:ilvl="0">
      <w:lvlJc w:val="left"/>
      <w:lvlText w:val="x"/>
      <w:numFmt w:val="bullet"/>
      <w:start w:val="1"/>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x"/>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1)"/>
      <w:numFmt w:val="decimal"/>
      <w:start w:val="1"/>
    </w:lvl>
  </w:abstractNum>
  <w:abstractNum w:abstractNumId="27">
    <w:nsid w:val="579BE4F1"/>
    <w:multiLevelType w:val="hybridMultilevel"/>
    <w:lvl w:ilvl="0">
      <w:lvlJc w:val="left"/>
      <w:lvlText w:val="(%1)"/>
      <w:numFmt w:val="decimal"/>
      <w:start w:val="3"/>
    </w:lvl>
  </w:abstractNum>
  <w:abstractNum w:abstractNumId="28">
    <w:nsid w:val="310C50B3"/>
    <w:multiLevelType w:val="hybridMultilevel"/>
    <w:lvl w:ilvl="0">
      <w:lvlJc w:val="left"/>
      <w:lvlText w:val="(%1)"/>
      <w:numFmt w:val="decimal"/>
      <w:start w:val="1"/>
    </w:lvl>
  </w:abstractNum>
  <w:abstractNum w:abstractNumId="29">
    <w:nsid w:val="5FF87E05"/>
    <w:multiLevelType w:val="hybridMultilevel"/>
    <w:lvl w:ilvl="0">
      <w:lvlJc w:val="left"/>
      <w:lvlText w:val="x"/>
      <w:numFmt w:val="bullet"/>
      <w:start w:val="1"/>
    </w:lvl>
  </w:abstractNum>
  <w:abstractNum w:abstractNumId="30">
    <w:nsid w:val="2F305DEF"/>
    <w:multiLevelType w:val="hybridMultilevel"/>
    <w:lvl w:ilvl="0">
      <w:lvlJc w:val="left"/>
      <w:lvlText w:val="x"/>
      <w:numFmt w:val="bullet"/>
      <w:start w:val="1"/>
    </w:lvl>
  </w:abstractNum>
  <w:abstractNum w:abstractNumId="31">
    <w:nsid w:val="25A70BF7"/>
    <w:multiLevelType w:val="hybridMultilevel"/>
    <w:lvl w:ilvl="0">
      <w:lvlJc w:val="left"/>
      <w:lvlText w:val="x"/>
      <w:numFmt w:val="bullet"/>
      <w:start w:val="1"/>
    </w:lvl>
  </w:abstractNum>
  <w:abstractNum w:abstractNumId="32">
    <w:nsid w:val="1DBABF00"/>
    <w:multiLevelType w:val="hybridMultilevel"/>
    <w:lvl w:ilvl="0">
      <w:lvlJc w:val="left"/>
      <w:lvlText w:val="x"/>
      <w:numFmt w:val="bullet"/>
      <w:start w:val="1"/>
    </w:lvl>
  </w:abstractNum>
  <w:abstractNum w:abstractNumId="33">
    <w:nsid w:val="4AD084E9"/>
    <w:multiLevelType w:val="hybridMultilevel"/>
    <w:lvl w:ilvl="0">
      <w:lvlJc w:val="left"/>
      <w:lvlText w:val="x"/>
      <w:numFmt w:val="bullet"/>
      <w:start w:val="1"/>
    </w:lvl>
  </w:abstractNum>
  <w:abstractNum w:abstractNumId="34">
    <w:nsid w:val="1F48EAA1"/>
    <w:multiLevelType w:val="hybridMultilevel"/>
    <w:lvl w:ilvl="0">
      <w:lvlJc w:val="left"/>
      <w:lvlText w:val="x"/>
      <w:numFmt w:val="bullet"/>
      <w:start w:val="1"/>
    </w:lvl>
  </w:abstractNum>
  <w:abstractNum w:abstractNumId="35">
    <w:nsid w:val="1381823A"/>
    <w:multiLevelType w:val="hybridMultilevel"/>
    <w:lvl w:ilvl="0">
      <w:lvlJc w:val="left"/>
      <w:lvlText w:val="x"/>
      <w:numFmt w:val="bullet"/>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decimal"/>
      <w:start w:val="4"/>
    </w:lvl>
  </w:abstractNum>
  <w:abstractNum w:abstractNumId="38">
    <w:nsid w:val="6590700B"/>
    <w:multiLevelType w:val="hybridMultilevel"/>
    <w:lvl w:ilvl="0">
      <w:lvlJc w:val="left"/>
      <w:lvlText w:val="(%1)"/>
      <w:numFmt w:val="decimal"/>
      <w:start w:val="5"/>
    </w:lvl>
  </w:abstractNum>
  <w:abstractNum w:abstractNumId="39">
    <w:nsid w:val="15014ACB"/>
    <w:multiLevelType w:val="hybridMultilevel"/>
    <w:lvl w:ilvl="0">
      <w:lvlJc w:val="left"/>
      <w:lvlText w:val="x"/>
      <w:numFmt w:val="bullet"/>
      <w:start w:val="1"/>
    </w:lvl>
  </w:abstractNum>
  <w:abstractNum w:abstractNumId="40">
    <w:nsid w:val="5F5E7FD0"/>
    <w:multiLevelType w:val="hybridMultilevel"/>
    <w:lvl w:ilvl="0">
      <w:lvlJc w:val="left"/>
      <w:lvlText w:val="(%1)"/>
      <w:numFmt w:val="decimal"/>
      <w:start w:val="3"/>
    </w:lvl>
  </w:abstractNum>
  <w:abstractNum w:abstractNumId="41">
    <w:nsid w:val="98A3148"/>
    <w:multiLevelType w:val="hybridMultilevel"/>
    <w:lvl w:ilvl="0">
      <w:lvlJc w:val="left"/>
      <w:lvlText w:val="x"/>
      <w:numFmt w:val="bullet"/>
      <w:start w:val="1"/>
    </w:lvl>
  </w:abstractNum>
  <w:abstractNum w:abstractNumId="42">
    <w:nsid w:val="799D0247"/>
    <w:multiLevelType w:val="hybridMultilevel"/>
    <w:lvl w:ilvl="0">
      <w:lvlJc w:val="left"/>
      <w:lvlText w:val="x"/>
      <w:numFmt w:val="bullet"/>
      <w:start w:val="1"/>
    </w:lvl>
  </w:abstractNum>
  <w:abstractNum w:abstractNumId="43">
    <w:nsid w:val="6B94764"/>
    <w:multiLevelType w:val="hybridMultilevel"/>
    <w:lvl w:ilvl="0">
      <w:lvlJc w:val="left"/>
      <w:lvlText w:val="x"/>
      <w:numFmt w:val="bullet"/>
      <w:start w:val="1"/>
    </w:lvl>
  </w:abstractNum>
  <w:abstractNum w:abstractNumId="44">
    <w:nsid w:val="42C296BD"/>
    <w:multiLevelType w:val="hybridMultilevel"/>
    <w:lvl w:ilvl="0">
      <w:lvlJc w:val="left"/>
      <w:lvlText w:val="x"/>
      <w:numFmt w:val="bullet"/>
      <w:start w:val="1"/>
    </w:lvl>
  </w:abstractNum>
  <w:abstractNum w:abstractNumId="45">
    <w:nsid w:val="168E121F"/>
    <w:multiLevelType w:val="hybridMultilevel"/>
    <w:lvl w:ilvl="0">
      <w:lvlJc w:val="left"/>
      <w:lvlText w:val="x"/>
      <w:numFmt w:val="bullet"/>
      <w:start w:val="1"/>
    </w:lvl>
  </w:abstractNum>
  <w:abstractNum w:abstractNumId="46">
    <w:nsid w:val="1EBA5D23"/>
    <w:multiLevelType w:val="hybridMultilevel"/>
    <w:lvl w:ilvl="0">
      <w:lvlJc w:val="left"/>
      <w:lvlText w:val="x"/>
      <w:numFmt w:val="bullet"/>
      <w:start w:val="1"/>
    </w:lvl>
  </w:abstractNum>
  <w:abstractNum w:abstractNumId="47">
    <w:nsid w:val="661E3F1E"/>
    <w:multiLevelType w:val="hybridMultilevel"/>
    <w:lvl w:ilvl="0">
      <w:lvlJc w:val="left"/>
      <w:lvlText w:val="(%1)"/>
      <w:numFmt w:val="decimal"/>
      <w:start w:val="1"/>
    </w:lvl>
  </w:abstractNum>
  <w:abstractNum w:abstractNumId="48">
    <w:nsid w:val="5DC79EA8"/>
    <w:multiLevelType w:val="hybridMultilevel"/>
    <w:lvl w:ilvl="0">
      <w:lvlJc w:val="left"/>
      <w:lvlText w:val="(%1)"/>
      <w:numFmt w:val="decimal"/>
      <w:start w:val="1"/>
    </w:lvl>
  </w:abstractNum>
  <w:abstractNum w:abstractNumId="49">
    <w:nsid w:val="540A471C"/>
    <w:multiLevelType w:val="hybridMultilevel"/>
    <w:lvl w:ilvl="0">
      <w:lvlJc w:val="left"/>
      <w:lvlText w:val="x"/>
      <w:numFmt w:val="bullet"/>
      <w:start w:val="1"/>
    </w:lvl>
  </w:abstractNum>
  <w:abstractNum w:abstractNumId="50">
    <w:nsid w:val="7BD3EE7B"/>
    <w:multiLevelType w:val="hybridMultilevel"/>
    <w:lvl w:ilvl="0">
      <w:lvlJc w:val="left"/>
      <w:lvlText w:val="(%1)"/>
      <w:numFmt w:val="lowerRoman"/>
      <w:start w:val="1"/>
    </w:lvl>
  </w:abstractNum>
  <w:abstractNum w:abstractNumId="51">
    <w:nsid w:val="51D9C564"/>
    <w:multiLevelType w:val="hybridMultilevel"/>
    <w:lvl w:ilvl="0">
      <w:lvlJc w:val="left"/>
      <w:lvlText w:val="x"/>
      <w:numFmt w:val="bullet"/>
      <w:start w:val="1"/>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1)"/>
      <w:numFmt w:val="lowerLetter"/>
      <w:start w:val="1"/>
    </w:lvl>
  </w:abstractNum>
  <w:abstractNum w:abstractNumId="55">
    <w:nsid w:val="42963E5A"/>
    <w:multiLevelType w:val="hybridMultilevel"/>
    <w:lvl w:ilvl="0">
      <w:lvlJc w:val="left"/>
      <w:lvlText w:val="(%1)"/>
      <w:numFmt w:val="decimal"/>
      <w:start w:val="4"/>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lowerLetter"/>
      <w:start w:val="2"/>
    </w:lvl>
  </w:abstractNum>
  <w:abstractNum w:abstractNumId="58">
    <w:nsid w:val="1A32234B"/>
    <w:multiLevelType w:val="hybridMultilevel"/>
    <w:lvl w:ilvl="0">
      <w:lvlJc w:val="left"/>
      <w:lvlText w:val="(%1)"/>
      <w:numFmt w:val="decimal"/>
      <w:start w:val="7"/>
    </w:lvl>
  </w:abstractNum>
  <w:abstractNum w:abstractNumId="59">
    <w:nsid w:val="3B0FD379"/>
    <w:multiLevelType w:val="hybridMultilevel"/>
    <w:lvl w:ilvl="0">
      <w:lvlJc w:val="left"/>
      <w:lvlText w:val="x"/>
      <w:numFmt w:val="bullet"/>
      <w:start w:val="1"/>
    </w:lvl>
  </w:abstractNum>
  <w:abstractNum w:abstractNumId="60">
    <w:nsid w:val="68EB2F63"/>
    <w:multiLevelType w:val="hybridMultilevel"/>
    <w:lvl w:ilvl="0">
      <w:lvlJc w:val="left"/>
      <w:lvlText w:val="x"/>
      <w:numFmt w:val="bullet"/>
      <w:start w:val="1"/>
    </w:lvl>
  </w:abstractNum>
  <w:abstractNum w:abstractNumId="61">
    <w:nsid w:val="4962813B"/>
    <w:multiLevelType w:val="hybridMultilevel"/>
    <w:lvl w:ilvl="0">
      <w:lvlJc w:val="left"/>
      <w:lvlText w:val="6"/>
      <w:numFmt w:val="bullet"/>
      <w:start w:val="1"/>
    </w:lvl>
  </w:abstractNum>
  <w:abstractNum w:abstractNumId="62">
    <w:nsid w:val="60B6DF70"/>
    <w:multiLevelType w:val="hybridMultilevel"/>
    <w:lvl w:ilvl="0">
      <w:lvlJc w:val="left"/>
      <w:lvlText w:val=""/>
      <w:numFmt w:val="bullet"/>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x"/>
      <w:numFmt w:val="bullet"/>
      <w:start w:val="1"/>
    </w:lvl>
  </w:abstractNum>
  <w:abstractNum w:abstractNumId="65">
    <w:nsid w:val="7FFFCA11"/>
    <w:multiLevelType w:val="hybridMultilevel"/>
    <w:lvl w:ilvl="0">
      <w:lvlJc w:val="left"/>
      <w:lvlText w:val="(%1)"/>
      <w:numFmt w:val="decimal"/>
      <w:start w:val="763"/>
    </w:lvl>
  </w:abstractNum>
  <w:abstractNum w:abstractNumId="66">
    <w:nsid w:val="1A27709E"/>
    <w:multiLevelType w:val="hybridMultilevel"/>
    <w:lvl w:ilvl="0">
      <w:lvlJc w:val="left"/>
      <w:lvlText w:val="x"/>
      <w:numFmt w:val="bullet"/>
      <w:start w:val="1"/>
    </w:lvl>
  </w:abstractNum>
  <w:abstractNum w:abstractNumId="67">
    <w:nsid w:val="71EA1109"/>
    <w:multiLevelType w:val="hybridMultilevel"/>
    <w:lvl w:ilvl="0">
      <w:lvlJc w:val="left"/>
      <w:lvlText w:val="x"/>
      <w:numFmt w:val="bullet"/>
      <w:start w:val="1"/>
    </w:lvl>
  </w:abstractNum>
  <w:abstractNum w:abstractNumId="68">
    <w:nsid w:val="100F59DC"/>
    <w:multiLevelType w:val="hybridMultilevel"/>
    <w:lvl w:ilvl="0">
      <w:lvlJc w:val="left"/>
      <w:lvlText w:val="x"/>
      <w:numFmt w:val="bullet"/>
      <w:start w:val="1"/>
    </w:lvl>
  </w:abstractNum>
  <w:abstractNum w:abstractNumId="69">
    <w:nsid w:val="7FB7E0AA"/>
    <w:multiLevelType w:val="hybridMultilevel"/>
    <w:lvl w:ilvl="0">
      <w:lvlJc w:val="left"/>
      <w:lvlText w:val="x"/>
      <w:numFmt w:val="bullet"/>
      <w:start w:val="1"/>
    </w:lvl>
  </w:abstractNum>
  <w:abstractNum w:abstractNumId="70">
    <w:nsid w:val="6EB5BD4"/>
    <w:multiLevelType w:val="hybridMultilevel"/>
    <w:lvl w:ilvl="0">
      <w:lvlJc w:val="left"/>
      <w:lvlText w:val="x"/>
      <w:numFmt w:val="bullet"/>
      <w:start w:val="1"/>
    </w:lvl>
  </w:abstractNum>
  <w:abstractNum w:abstractNumId="71">
    <w:nsid w:val="6F6DD9AC"/>
    <w:multiLevelType w:val="hybridMultilevel"/>
    <w:lvl w:ilvl="0">
      <w:lvlJc w:val="left"/>
      <w:lvlText w:val="x"/>
      <w:numFmt w:val="bullet"/>
      <w:start w:val="1"/>
    </w:lvl>
  </w:abstractNum>
  <w:abstractNum w:abstractNumId="72">
    <w:nsid w:val="94211F2"/>
    <w:multiLevelType w:val="hybridMultilevel"/>
    <w:lvl w:ilvl="0">
      <w:lvlJc w:val="left"/>
      <w:lvlText w:val="x"/>
      <w:numFmt w:val="bullet"/>
      <w:start w:val="1"/>
    </w:lvl>
  </w:abstractNum>
  <w:abstractNum w:abstractNumId="73">
    <w:nsid w:val="885E1B"/>
    <w:multiLevelType w:val="hybridMultilevel"/>
    <w:lvl w:ilvl="0">
      <w:lvlJc w:val="left"/>
      <w:lvlText w:val="x"/>
      <w:numFmt w:val="bullet"/>
      <w:start w:val="1"/>
    </w:lvl>
  </w:abstractNum>
  <w:abstractNum w:abstractNumId="74">
    <w:nsid w:val="76272110"/>
    <w:multiLevelType w:val="hybridMultilevel"/>
    <w:lvl w:ilvl="0">
      <w:lvlJc w:val="left"/>
      <w:lvlText w:val="x"/>
      <w:numFmt w:val="bullet"/>
      <w:start w:val="1"/>
    </w:lvl>
  </w:abstractNum>
  <w:abstractNum w:abstractNumId="75">
    <w:nsid w:val="4C04A8AF"/>
    <w:multiLevelType w:val="hybridMultilevel"/>
    <w:lvl w:ilvl="0">
      <w:lvlJc w:val="left"/>
      <w:lvlText w:val="x"/>
      <w:numFmt w:val="bullet"/>
      <w:start w:val="1"/>
    </w:lvl>
  </w:abstractNum>
  <w:abstractNum w:abstractNumId="76">
    <w:nsid w:val="1716703B"/>
    <w:multiLevelType w:val="hybridMultilevel"/>
    <w:lvl w:ilvl="0">
      <w:lvlJc w:val="left"/>
      <w:lvlText w:val="x"/>
      <w:numFmt w:val="bullet"/>
      <w:start w:val="1"/>
    </w:lvl>
  </w:abstractNum>
  <w:abstractNum w:abstractNumId="77">
    <w:nsid w:val="14E17E33"/>
    <w:multiLevelType w:val="hybridMultilevel"/>
    <w:lvl w:ilvl="0">
      <w:lvlJc w:val="left"/>
      <w:lvlText w:val="x"/>
      <w:numFmt w:val="bullet"/>
      <w:start w:val="1"/>
    </w:lvl>
  </w:abstractNum>
  <w:abstractNum w:abstractNumId="78">
    <w:nsid w:val="3222E7CD"/>
    <w:multiLevelType w:val="hybridMultilevel"/>
    <w:lvl w:ilvl="0">
      <w:lvlJc w:val="left"/>
      <w:lvlText w:val="x"/>
      <w:numFmt w:val="bullet"/>
      <w:start w:val="1"/>
    </w:lvl>
  </w:abstractNum>
  <w:abstractNum w:abstractNumId="79">
    <w:nsid w:val="74DE0EE3"/>
    <w:multiLevelType w:val="hybridMultilevel"/>
    <w:lvl w:ilvl="0">
      <w:lvlJc w:val="left"/>
      <w:lvlText w:val="x"/>
      <w:numFmt w:val="bullet"/>
      <w:start w:val="1"/>
    </w:lvl>
  </w:abstractNum>
  <w:abstractNum w:abstractNumId="80">
    <w:nsid w:val="68EBC550"/>
    <w:multiLevelType w:val="hybridMultilevel"/>
    <w:lvl w:ilvl="0">
      <w:lvlJc w:val="left"/>
      <w:lvlText w:val="%1."/>
      <w:numFmt w:val="decimal"/>
      <w:start w:val="1"/>
    </w:lvl>
  </w:abstractNum>
  <w:abstractNum w:abstractNumId="81">
    <w:nsid w:val="2DF6D648"/>
    <w:multiLevelType w:val="hybridMultilevel"/>
    <w:lvl w:ilvl="0">
      <w:lvlJc w:val="left"/>
      <w:lvlText w:val="%1."/>
      <w:numFmt w:val="decimal"/>
      <w:start w:val="2"/>
    </w:lvl>
  </w:abstractNum>
  <w:abstractNum w:abstractNumId="82">
    <w:nsid w:val="46B7D447"/>
    <w:multiLevelType w:val="hybridMultilevel"/>
    <w:lvl w:ilvl="0">
      <w:lvlJc w:val="left"/>
      <w:lvlText w:val="%1."/>
      <w:numFmt w:val="decimal"/>
      <w:start w:val="3"/>
    </w:lvl>
  </w:abstractNum>
  <w:abstractNum w:abstractNumId="83">
    <w:nsid w:val="4A2AC315"/>
    <w:multiLevelType w:val="hybridMultilevel"/>
    <w:lvl w:ilvl="0">
      <w:lvlJc w:val="left"/>
      <w:lvlText w:val="%1."/>
      <w:numFmt w:val="decimal"/>
      <w:start w:val="7"/>
    </w:lvl>
  </w:abstractNum>
  <w:abstractNum w:abstractNumId="84">
    <w:nsid w:val="39EE015C"/>
    <w:multiLevelType w:val="hybridMultilevel"/>
    <w:lvl w:ilvl="0">
      <w:lvlJc w:val="left"/>
      <w:lvlText w:val="%1."/>
      <w:numFmt w:val="decimal"/>
      <w:start w:val="9"/>
    </w:lvl>
  </w:abstractNum>
  <w:abstractNum w:abstractNumId="85">
    <w:nsid w:val="57FC4FBB"/>
    <w:multiLevelType w:val="hybridMultilevel"/>
    <w:lvl w:ilvl="0">
      <w:lvlJc w:val="left"/>
      <w:lvlText w:val="%1."/>
      <w:numFmt w:val="decimal"/>
      <w:start w:val="10"/>
    </w:lvl>
  </w:abstractNum>
  <w:abstractNum w:abstractNumId="86">
    <w:nsid w:val="CC1016F"/>
    <w:multiLevelType w:val="hybridMultilevel"/>
    <w:lvl w:ilvl="0">
      <w:lvlJc w:val="left"/>
      <w:lvlText w:val="%1."/>
      <w:numFmt w:val="decimal"/>
      <w:start w:val="11"/>
    </w:lvl>
  </w:abstractNum>
  <w:abstractNum w:abstractNumId="87">
    <w:nsid w:val="43F18422"/>
    <w:multiLevelType w:val="hybridMultilevel"/>
    <w:lvl w:ilvl="0">
      <w:lvlJc w:val="left"/>
      <w:lvlText w:val="%1."/>
      <w:numFmt w:val="decimal"/>
      <w:start w:val="12"/>
    </w:lvl>
  </w:abstractNum>
  <w:abstractNum w:abstractNumId="88">
    <w:nsid w:val="60EF0119"/>
    <w:multiLevelType w:val="hybridMultilevel"/>
    <w:lvl w:ilvl="0">
      <w:lvlJc w:val="left"/>
      <w:lvlText w:val="%1."/>
      <w:numFmt w:val="decimal"/>
      <w:start w:val="13"/>
    </w:lvl>
  </w:abstractNum>
  <w:abstractNum w:abstractNumId="89">
    <w:nsid w:val="26F324BA"/>
    <w:multiLevelType w:val="hybridMultilevel"/>
    <w:lvl w:ilvl="0">
      <w:lvlJc w:val="left"/>
      <w:lvlText w:val="%1."/>
      <w:numFmt w:val="decimal"/>
      <w:start w:val="14"/>
    </w:lvl>
  </w:abstractNum>
  <w:abstractNum w:abstractNumId="90">
    <w:nsid w:val="7F01579B"/>
    <w:multiLevelType w:val="hybridMultilevel"/>
    <w:lvl w:ilvl="0">
      <w:lvlJc w:val="left"/>
      <w:lvlText w:val="%1."/>
      <w:numFmt w:val="decimal"/>
      <w:start w:val="15"/>
    </w:lvl>
  </w:abstractNum>
  <w:abstractNum w:abstractNumId="91">
    <w:nsid w:val="49DA307D"/>
    <w:multiLevelType w:val="hybridMultilevel"/>
    <w:lvl w:ilvl="0">
      <w:lvlJc w:val="left"/>
      <w:lvlText w:val="%1."/>
      <w:numFmt w:val="decimal"/>
      <w:start w:val="16"/>
    </w:lvl>
  </w:abstractNum>
  <w:abstractNum w:abstractNumId="92">
    <w:nsid w:val="7055A5F5"/>
    <w:multiLevelType w:val="hybridMultilevel"/>
    <w:lvl w:ilvl="0">
      <w:lvlJc w:val="left"/>
      <w:lvlText w:val="%1."/>
      <w:numFmt w:val="decimal"/>
      <w:start w:val="17"/>
    </w:lvl>
  </w:abstractNum>
  <w:abstractNum w:abstractNumId="93">
    <w:nsid w:val="5FB8370B"/>
    <w:multiLevelType w:val="hybridMultilevel"/>
    <w:lvl w:ilvl="0">
      <w:lvlJc w:val="left"/>
      <w:lvlText w:val="%1."/>
      <w:numFmt w:val="decimal"/>
      <w:start w:val="18"/>
    </w:lvl>
  </w:abstractNum>
  <w:abstractNum w:abstractNumId="94">
    <w:nsid w:val="50801EE1"/>
    <w:multiLevelType w:val="hybridMultilevel"/>
    <w:lvl w:ilvl="0">
      <w:lvlJc w:val="left"/>
      <w:lvlText w:val="(%1)"/>
      <w:numFmt w:val="decimal"/>
      <w:start w:val="1"/>
    </w:lvl>
  </w:abstractNum>
  <w:abstractNum w:abstractNumId="95">
    <w:nsid w:val="488AC1A"/>
    <w:multiLevelType w:val="hybridMultilevel"/>
    <w:lvl w:ilvl="0">
      <w:lvlJc w:val="left"/>
      <w:lvlText w:val="(%1)"/>
      <w:numFmt w:val="decimal"/>
      <w:start w:val="2"/>
    </w:lvl>
  </w:abstractNum>
  <w:abstractNum w:abstractNumId="96">
    <w:nsid w:val="5FB8011C"/>
    <w:multiLevelType w:val="hybridMultilevel"/>
    <w:lvl w:ilvl="0">
      <w:lvlJc w:val="left"/>
      <w:lvlText w:val="%1"/>
      <w:numFmt w:val="decimal"/>
      <w:start w:val="101"/>
    </w:lvl>
  </w:abstractNum>
  <w:abstractNum w:abstractNumId="97">
    <w:nsid w:val="6AA78F7F"/>
    <w:multiLevelType w:val="hybridMultilevel"/>
    <w:lvl w:ilvl="0">
      <w:lvlJc w:val="left"/>
      <w:lvlText w:val="%1"/>
      <w:numFmt w:val="decimal"/>
      <w:start w:val="104"/>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2025-12-01T07:09:38Z</dcterms:created>
  <dcterms:modified xsi:type="dcterms:W3CDTF">2025-12-01T07:09:38Z</dcterms:modified>
</cp:coreProperties>
</file>