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3700" w:right="1800" w:hanging="3692"/>
        <w:spacing w:after="0" w:line="250" w:lineRule="auto"/>
        <w:tabs>
          <w:tab w:leader="none" w:pos="29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February 29, 2020</w:t>
      </w:r>
    </w:p>
    <w:p>
      <w:pPr>
        <w:spacing w:after="0" w:line="1"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[_] </w:t>
      </w:r>
      <w:r>
        <w:rPr>
          <w:rFonts w:ascii="Arial" w:cs="Arial" w:eastAsia="Arial" w:hAnsi="Arial"/>
          <w:sz w:val="18"/>
          <w:szCs w:val="18"/>
          <w:b w:val="1"/>
          <w:bCs w:val="1"/>
          <w:color w:val="auto"/>
        </w:rPr>
        <w:t>TRANSITION REPORT PURSUANT TO SECTION 13 OR 15(d) OF THE SECURITIES EXCHANGE ACT OF 1934</w:t>
      </w:r>
    </w:p>
    <w:p>
      <w:pPr>
        <w:spacing w:after="0" w:line="9"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86" w:right="339" w:bottom="1440" w:gutter="0" w:footer="0" w:header="0"/>
        </w:sectPr>
      </w:pPr>
    </w:p>
    <w:p>
      <w:pPr>
        <w:spacing w:after="0" w:line="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8"/>
          <w:szCs w:val="18"/>
          <w:b w:val="1"/>
          <w:bCs w:val="1"/>
          <w:color w:val="auto"/>
        </w:rPr>
        <w:t>41-0857886</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40" w:space="720"/>
            <w:col w:w="3880"/>
          </w:cols>
          <w:pgMar w:left="320" w:top="48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$0.02 per share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NTIC</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ind w:right="60" w:firstLine="324"/>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84" w:lineRule="exact"/>
        <w:rPr>
          <w:sz w:val="24"/>
          <w:szCs w:val="24"/>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[_]</w:t>
      </w:r>
    </w:p>
    <w:p>
      <w:pPr>
        <w:spacing w:after="0" w:line="184" w:lineRule="exact"/>
        <w:rPr>
          <w:sz w:val="24"/>
          <w:szCs w:val="24"/>
          <w:color w:val="auto"/>
        </w:rPr>
      </w:pPr>
    </w:p>
    <w:p>
      <w:pPr>
        <w:ind w:right="20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86" w:right="339" w:bottom="1440" w:gutter="0" w:footer="0" w:header="0"/>
          <w:type w:val="continuous"/>
        </w:sectPr>
      </w:pP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[_]</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[_]</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[_]</w:t>
      </w:r>
    </w:p>
    <w:p>
      <w:pPr>
        <w:spacing w:after="0" w:line="200" w:lineRule="exact"/>
        <w:rPr>
          <w:sz w:val="24"/>
          <w:szCs w:val="24"/>
          <w:color w:val="auto"/>
        </w:rPr>
      </w:pPr>
    </w:p>
    <w:p>
      <w:pPr>
        <w:sectPr>
          <w:pgSz w:w="11900" w:h="16838" w:orient="portrait"/>
          <w:cols w:equalWidth="0" w:num="2">
            <w:col w:w="6920" w:space="720"/>
            <w:col w:w="3600"/>
          </w:cols>
          <w:pgMar w:left="320" w:top="486" w:right="339" w:bottom="1440" w:gutter="0" w:footer="0" w:header="0"/>
          <w:type w:val="continuous"/>
        </w:sectPr>
      </w:pPr>
    </w:p>
    <w:p>
      <w:pPr>
        <w:spacing w:after="0" w:line="22"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[_]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8, 2020, there were 9,097,236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29,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b w:val="1"/>
                <w:bCs w:val="1"/>
                <w:color w:val="auto"/>
                <w:w w:val="88"/>
              </w:rPr>
              <w:t>Description</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40" w:type="dxa"/>
            <w:vAlign w:val="bottom"/>
            <w:gridSpan w:val="7"/>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1200" w:type="dxa"/>
            <w:vAlign w:val="bottom"/>
            <w:gridSpan w:val="2"/>
          </w:tcPr>
          <w:p>
            <w:pPr>
              <w:jc w:val="right"/>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1</w:t>
              </w:r>
            </w:hyperlink>
          </w:p>
        </w:tc>
        <w:tc>
          <w:tcPr>
            <w:tcW w:w="0" w:type="dxa"/>
            <w:vAlign w:val="bottom"/>
          </w:tcPr>
          <w:p>
            <w:pPr>
              <w:spacing w:after="0"/>
              <w:rPr>
                <w:sz w:val="1"/>
                <w:szCs w:val="1"/>
                <w:color w:val="auto"/>
              </w:rPr>
            </w:pPr>
          </w:p>
        </w:tc>
      </w:tr>
      <w:tr>
        <w:trPr>
          <w:trHeight w:val="324"/>
        </w:trPr>
        <w:tc>
          <w:tcPr>
            <w:tcW w:w="130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8740" w:type="dxa"/>
            <w:vAlign w:val="bottom"/>
            <w:gridSpan w:val="5"/>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120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8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23">
              <w:r>
                <w:rPr>
                  <w:rFonts w:ascii="Arial" w:cs="Arial" w:eastAsia="Arial" w:hAnsi="Arial"/>
                  <w:sz w:val="18"/>
                  <w:szCs w:val="18"/>
                  <w:color w:val="0000EE"/>
                  <w:w w:val="97"/>
                </w:rPr>
                <w:t>MANAGEMENT’S DISCUSSION AND ANALYSIS OF FINANCIAL CONDITION AND RESULTS OF</w:t>
              </w:r>
            </w:hyperlink>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6"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2.</w:t>
              </w:r>
            </w:hyperlink>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OPERATIONS</w:t>
              </w:r>
            </w:hyperlink>
          </w:p>
        </w:tc>
        <w:tc>
          <w:tcPr>
            <w:tcW w:w="6540" w:type="dxa"/>
            <w:vAlign w:val="bottom"/>
            <w:gridSpan w:val="2"/>
          </w:tcPr>
          <w:p>
            <w:pPr>
              <w:spacing w:after="0"/>
              <w:rPr>
                <w:sz w:val="17"/>
                <w:szCs w:val="17"/>
                <w:color w:val="auto"/>
              </w:rPr>
            </w:pPr>
          </w:p>
        </w:tc>
        <w:tc>
          <w:tcPr>
            <w:tcW w:w="1200" w:type="dxa"/>
            <w:vAlign w:val="bottom"/>
            <w:gridSpan w:val="2"/>
          </w:tcPr>
          <w:p>
            <w:pPr>
              <w:jc w:val="right"/>
              <w:spacing w:after="0" w:line="196"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20</w:t>
              </w:r>
            </w:hyperlink>
          </w:p>
        </w:tc>
        <w:tc>
          <w:tcPr>
            <w:tcW w:w="0" w:type="dxa"/>
            <w:vAlign w:val="bottom"/>
          </w:tcPr>
          <w:p>
            <w:pPr>
              <w:spacing w:after="0"/>
              <w:rPr>
                <w:sz w:val="1"/>
                <w:szCs w:val="1"/>
                <w:color w:val="auto"/>
              </w:rPr>
            </w:pPr>
          </w:p>
        </w:tc>
      </w:tr>
      <w:tr>
        <w:trPr>
          <w:trHeight w:val="345"/>
        </w:trPr>
        <w:tc>
          <w:tcPr>
            <w:tcW w:w="1300" w:type="dxa"/>
            <w:vAlign w:val="bottom"/>
            <w:gridSpan w:val="2"/>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3.</w:t>
              </w:r>
            </w:hyperlink>
          </w:p>
        </w:tc>
        <w:tc>
          <w:tcPr>
            <w:tcW w:w="8740" w:type="dxa"/>
            <w:vAlign w:val="bottom"/>
            <w:gridSpan w:val="5"/>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QUANTITATIVE AND QUALITATIVE DISCLOSURES ABOUT MARKET RISK</w:t>
              </w:r>
            </w:hyperlink>
          </w:p>
        </w:tc>
        <w:tc>
          <w:tcPr>
            <w:tcW w:w="1200" w:type="dxa"/>
            <w:vAlign w:val="bottom"/>
            <w:gridSpan w:val="2"/>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37</w:t>
              </w:r>
            </w:hyperlink>
          </w:p>
        </w:tc>
        <w:tc>
          <w:tcPr>
            <w:tcW w:w="0" w:type="dxa"/>
            <w:vAlign w:val="bottom"/>
          </w:tcPr>
          <w:p>
            <w:pPr>
              <w:spacing w:after="0"/>
              <w:rPr>
                <w:sz w:val="1"/>
                <w:szCs w:val="1"/>
                <w:color w:val="auto"/>
              </w:rPr>
            </w:pPr>
          </w:p>
        </w:tc>
      </w:tr>
      <w:tr>
        <w:trPr>
          <w:trHeight w:val="324"/>
        </w:trPr>
        <w:tc>
          <w:tcPr>
            <w:tcW w:w="1300" w:type="dxa"/>
            <w:vAlign w:val="bottom"/>
            <w:gridSpan w:val="2"/>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4.</w:t>
              </w:r>
            </w:hyperlink>
          </w:p>
        </w:tc>
        <w:tc>
          <w:tcPr>
            <w:tcW w:w="8740" w:type="dxa"/>
            <w:vAlign w:val="bottom"/>
            <w:gridSpan w:val="5"/>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CONTROLS AND PROCEDURES</w:t>
              </w:r>
            </w:hyperlink>
          </w:p>
        </w:tc>
        <w:tc>
          <w:tcPr>
            <w:tcW w:w="1200" w:type="dxa"/>
            <w:vAlign w:val="bottom"/>
            <w:gridSpan w:val="2"/>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37</w:t>
              </w:r>
            </w:hyperlink>
          </w:p>
        </w:tc>
        <w:tc>
          <w:tcPr>
            <w:tcW w:w="0" w:type="dxa"/>
            <w:vAlign w:val="bottom"/>
          </w:tcPr>
          <w:p>
            <w:pPr>
              <w:spacing w:after="0"/>
              <w:rPr>
                <w:sz w:val="1"/>
                <w:szCs w:val="1"/>
                <w:color w:val="auto"/>
              </w:rPr>
            </w:pPr>
          </w:p>
        </w:tc>
      </w:tr>
      <w:tr>
        <w:trPr>
          <w:trHeight w:val="432"/>
        </w:trPr>
        <w:tc>
          <w:tcPr>
            <w:tcW w:w="10040" w:type="dxa"/>
            <w:vAlign w:val="bottom"/>
            <w:gridSpan w:val="7"/>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PART II - OTHER INFORMATION</w:t>
              </w:r>
            </w:hyperlink>
          </w:p>
        </w:tc>
        <w:tc>
          <w:tcPr>
            <w:tcW w:w="1200" w:type="dxa"/>
            <w:vAlign w:val="bottom"/>
            <w:gridSpan w:val="2"/>
          </w:tcPr>
          <w:p>
            <w:pPr>
              <w:jc w:val="right"/>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39</w:t>
              </w:r>
            </w:hyperlink>
          </w:p>
        </w:tc>
        <w:tc>
          <w:tcPr>
            <w:tcW w:w="0" w:type="dxa"/>
            <w:vAlign w:val="bottom"/>
          </w:tcPr>
          <w:p>
            <w:pPr>
              <w:spacing w:after="0"/>
              <w:rPr>
                <w:sz w:val="1"/>
                <w:szCs w:val="1"/>
                <w:color w:val="auto"/>
              </w:rPr>
            </w:pPr>
          </w:p>
        </w:tc>
      </w:tr>
      <w:tr>
        <w:trPr>
          <w:trHeight w:val="324"/>
        </w:trPr>
        <w:tc>
          <w:tcPr>
            <w:tcW w:w="1300" w:type="dxa"/>
            <w:vAlign w:val="bottom"/>
            <w:gridSpan w:val="2"/>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w:t>
              </w:r>
            </w:hyperlink>
          </w:p>
        </w:tc>
        <w:tc>
          <w:tcPr>
            <w:tcW w:w="8740" w:type="dxa"/>
            <w:vAlign w:val="bottom"/>
            <w:gridSpan w:val="5"/>
          </w:tcPr>
          <w:p>
            <w:pPr>
              <w:ind w:left="1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1200" w:type="dxa"/>
            <w:vAlign w:val="bottom"/>
            <w:gridSpan w:val="2"/>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39</w:t>
              </w:r>
            </w:hyperlink>
          </w:p>
        </w:tc>
        <w:tc>
          <w:tcPr>
            <w:tcW w:w="0" w:type="dxa"/>
            <w:vAlign w:val="bottom"/>
          </w:tcPr>
          <w:p>
            <w:pPr>
              <w:spacing w:after="0"/>
              <w:rPr>
                <w:sz w:val="1"/>
                <w:szCs w:val="1"/>
                <w:color w:val="auto"/>
              </w:rPr>
            </w:pPr>
          </w:p>
        </w:tc>
      </w:tr>
      <w:tr>
        <w:trPr>
          <w:trHeight w:val="324"/>
        </w:trPr>
        <w:tc>
          <w:tcPr>
            <w:tcW w:w="1300" w:type="dxa"/>
            <w:vAlign w:val="bottom"/>
            <w:gridSpan w:val="2"/>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1A.</w:t>
              </w:r>
            </w:hyperlink>
          </w:p>
        </w:tc>
        <w:tc>
          <w:tcPr>
            <w:tcW w:w="8740" w:type="dxa"/>
            <w:vAlign w:val="bottom"/>
            <w:gridSpan w:val="5"/>
          </w:tcPr>
          <w:p>
            <w:pPr>
              <w:ind w:left="1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1200" w:type="dxa"/>
            <w:vAlign w:val="bottom"/>
            <w:gridSpan w:val="2"/>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39</w:t>
              </w:r>
            </w:hyperlink>
          </w:p>
        </w:tc>
        <w:tc>
          <w:tcPr>
            <w:tcW w:w="0" w:type="dxa"/>
            <w:vAlign w:val="bottom"/>
          </w:tcPr>
          <w:p>
            <w:pPr>
              <w:spacing w:after="0"/>
              <w:rPr>
                <w:sz w:val="1"/>
                <w:szCs w:val="1"/>
                <w:color w:val="auto"/>
              </w:rPr>
            </w:pPr>
          </w:p>
        </w:tc>
      </w:tr>
      <w:tr>
        <w:trPr>
          <w:trHeight w:val="324"/>
        </w:trPr>
        <w:tc>
          <w:tcPr>
            <w:tcW w:w="1300" w:type="dxa"/>
            <w:vAlign w:val="bottom"/>
            <w:gridSpan w:val="2"/>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2.</w:t>
              </w:r>
            </w:hyperlink>
          </w:p>
        </w:tc>
        <w:tc>
          <w:tcPr>
            <w:tcW w:w="8740" w:type="dxa"/>
            <w:vAlign w:val="bottom"/>
            <w:gridSpan w:val="5"/>
          </w:tcPr>
          <w:p>
            <w:pPr>
              <w:ind w:left="1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UNREGISTERED SALES OF EQUITY SECURITIES AND USE OF PROCEEDS</w:t>
              </w:r>
            </w:hyperlink>
          </w:p>
        </w:tc>
        <w:tc>
          <w:tcPr>
            <w:tcW w:w="1200" w:type="dxa"/>
            <w:vAlign w:val="bottom"/>
            <w:gridSpan w:val="2"/>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40</w:t>
              </w:r>
            </w:hyperlink>
          </w:p>
        </w:tc>
        <w:tc>
          <w:tcPr>
            <w:tcW w:w="0" w:type="dxa"/>
            <w:vAlign w:val="bottom"/>
          </w:tcPr>
          <w:p>
            <w:pPr>
              <w:spacing w:after="0"/>
              <w:rPr>
                <w:sz w:val="1"/>
                <w:szCs w:val="1"/>
                <w:color w:val="auto"/>
              </w:rPr>
            </w:pPr>
          </w:p>
        </w:tc>
      </w:tr>
      <w:tr>
        <w:trPr>
          <w:trHeight w:val="324"/>
        </w:trPr>
        <w:tc>
          <w:tcPr>
            <w:tcW w:w="1300" w:type="dxa"/>
            <w:vAlign w:val="bottom"/>
            <w:gridSpan w:val="2"/>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3.</w:t>
              </w:r>
            </w:hyperlink>
          </w:p>
        </w:tc>
        <w:tc>
          <w:tcPr>
            <w:tcW w:w="8740" w:type="dxa"/>
            <w:vAlign w:val="bottom"/>
            <w:gridSpan w:val="5"/>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DEFAULTS UPON SENIOR SECURITIES</w:t>
              </w:r>
            </w:hyperlink>
          </w:p>
        </w:tc>
        <w:tc>
          <w:tcPr>
            <w:tcW w:w="1200" w:type="dxa"/>
            <w:vAlign w:val="bottom"/>
            <w:gridSpan w:val="2"/>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41</w:t>
              </w:r>
            </w:hyperlink>
          </w:p>
        </w:tc>
        <w:tc>
          <w:tcPr>
            <w:tcW w:w="0" w:type="dxa"/>
            <w:vAlign w:val="bottom"/>
          </w:tcPr>
          <w:p>
            <w:pPr>
              <w:spacing w:after="0"/>
              <w:rPr>
                <w:sz w:val="1"/>
                <w:szCs w:val="1"/>
                <w:color w:val="auto"/>
              </w:rPr>
            </w:pPr>
          </w:p>
        </w:tc>
      </w:tr>
      <w:tr>
        <w:trPr>
          <w:trHeight w:val="324"/>
        </w:trPr>
        <w:tc>
          <w:tcPr>
            <w:tcW w:w="1300" w:type="dxa"/>
            <w:vAlign w:val="bottom"/>
            <w:gridSpan w:val="2"/>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4.</w:t>
              </w:r>
            </w:hyperlink>
          </w:p>
        </w:tc>
        <w:tc>
          <w:tcPr>
            <w:tcW w:w="8740" w:type="dxa"/>
            <w:vAlign w:val="bottom"/>
            <w:gridSpan w:val="5"/>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MINE SAFETY DISCLOSURES</w:t>
              </w:r>
            </w:hyperlink>
          </w:p>
        </w:tc>
        <w:tc>
          <w:tcPr>
            <w:tcW w:w="1200" w:type="dxa"/>
            <w:vAlign w:val="bottom"/>
            <w:gridSpan w:val="2"/>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41</w:t>
              </w:r>
            </w:hyperlink>
          </w:p>
        </w:tc>
        <w:tc>
          <w:tcPr>
            <w:tcW w:w="0" w:type="dxa"/>
            <w:vAlign w:val="bottom"/>
          </w:tcPr>
          <w:p>
            <w:pPr>
              <w:spacing w:after="0"/>
              <w:rPr>
                <w:sz w:val="1"/>
                <w:szCs w:val="1"/>
                <w:color w:val="auto"/>
              </w:rPr>
            </w:pPr>
          </w:p>
        </w:tc>
      </w:tr>
      <w:tr>
        <w:trPr>
          <w:trHeight w:val="324"/>
        </w:trPr>
        <w:tc>
          <w:tcPr>
            <w:tcW w:w="1300" w:type="dxa"/>
            <w:vAlign w:val="bottom"/>
            <w:gridSpan w:val="2"/>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5.</w:t>
              </w:r>
            </w:hyperlink>
          </w:p>
        </w:tc>
        <w:tc>
          <w:tcPr>
            <w:tcW w:w="8740" w:type="dxa"/>
            <w:vAlign w:val="bottom"/>
            <w:gridSpan w:val="5"/>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OTHER INFORMATION</w:t>
              </w:r>
            </w:hyperlink>
          </w:p>
        </w:tc>
        <w:tc>
          <w:tcPr>
            <w:tcW w:w="1200" w:type="dxa"/>
            <w:vAlign w:val="bottom"/>
            <w:gridSpan w:val="2"/>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41</w:t>
              </w:r>
            </w:hyperlink>
          </w:p>
        </w:tc>
        <w:tc>
          <w:tcPr>
            <w:tcW w:w="0" w:type="dxa"/>
            <w:vAlign w:val="bottom"/>
          </w:tcPr>
          <w:p>
            <w:pPr>
              <w:spacing w:after="0"/>
              <w:rPr>
                <w:sz w:val="1"/>
                <w:szCs w:val="1"/>
                <w:color w:val="auto"/>
              </w:rPr>
            </w:pPr>
          </w:p>
        </w:tc>
      </w:tr>
      <w:tr>
        <w:trPr>
          <w:trHeight w:val="324"/>
        </w:trPr>
        <w:tc>
          <w:tcPr>
            <w:tcW w:w="1300" w:type="dxa"/>
            <w:vAlign w:val="bottom"/>
            <w:gridSpan w:val="2"/>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6.</w:t>
              </w:r>
            </w:hyperlink>
          </w:p>
        </w:tc>
        <w:tc>
          <w:tcPr>
            <w:tcW w:w="8740" w:type="dxa"/>
            <w:vAlign w:val="bottom"/>
            <w:gridSpan w:val="5"/>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EXHIBITS</w:t>
              </w:r>
            </w:hyperlink>
          </w:p>
        </w:tc>
        <w:tc>
          <w:tcPr>
            <w:tcW w:w="1200" w:type="dxa"/>
            <w:vAlign w:val="bottom"/>
            <w:gridSpan w:val="2"/>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41</w:t>
              </w:r>
            </w:hyperlink>
          </w:p>
        </w:tc>
        <w:tc>
          <w:tcPr>
            <w:tcW w:w="0" w:type="dxa"/>
            <w:vAlign w:val="bottom"/>
          </w:tcPr>
          <w:p>
            <w:pPr>
              <w:spacing w:after="0"/>
              <w:rPr>
                <w:sz w:val="1"/>
                <w:szCs w:val="1"/>
                <w:color w:val="auto"/>
              </w:rPr>
            </w:pPr>
          </w:p>
        </w:tc>
      </w:tr>
      <w:tr>
        <w:trPr>
          <w:trHeight w:val="432"/>
        </w:trPr>
        <w:tc>
          <w:tcPr>
            <w:tcW w:w="1300" w:type="dxa"/>
            <w:vAlign w:val="bottom"/>
            <w:gridSpan w:val="2"/>
          </w:tcPr>
          <w:p>
            <w:pPr>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SIGNATURES</w:t>
              </w:r>
            </w:hyperlink>
          </w:p>
        </w:tc>
        <w:tc>
          <w:tcPr>
            <w:tcW w:w="7900" w:type="dxa"/>
            <w:vAlign w:val="bottom"/>
            <w:gridSpan w:val="4"/>
            <w:vMerge w:val="restart"/>
          </w:tcPr>
          <w:p>
            <w:pPr>
              <w:jc w:val="right"/>
              <w:ind w:right="2820"/>
              <w:spacing w:after="0"/>
              <w:rPr>
                <w:sz w:val="20"/>
                <w:szCs w:val="20"/>
                <w:color w:val="auto"/>
              </w:rPr>
            </w:pPr>
            <w:r>
              <w:rPr>
                <w:rFonts w:ascii="Arial" w:cs="Arial" w:eastAsia="Arial" w:hAnsi="Arial"/>
                <w:sz w:val="18"/>
                <w:szCs w:val="18"/>
                <w:color w:val="auto"/>
              </w:rPr>
              <w:t>_________________</w:t>
            </w:r>
          </w:p>
        </w:tc>
        <w:tc>
          <w:tcPr>
            <w:tcW w:w="840" w:type="dxa"/>
            <w:vAlign w:val="bottom"/>
          </w:tcPr>
          <w:p>
            <w:pPr>
              <w:spacing w:after="0"/>
              <w:rPr>
                <w:sz w:val="24"/>
                <w:szCs w:val="24"/>
                <w:color w:val="auto"/>
              </w:rPr>
            </w:pPr>
          </w:p>
        </w:tc>
        <w:tc>
          <w:tcPr>
            <w:tcW w:w="1200" w:type="dxa"/>
            <w:vAlign w:val="bottom"/>
            <w:gridSpan w:val="2"/>
          </w:tcPr>
          <w:p>
            <w:pPr>
              <w:jc w:val="right"/>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43</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00" w:type="dxa"/>
            <w:vAlign w:val="bottom"/>
            <w:gridSpan w:val="4"/>
            <w:vMerge w:val="continue"/>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ind w:right="2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that are within the meaning of Section 27A of the Securities Act of 1933, as amended, and Section 21E of the Securities Exchange Act of 1934, as amended, and that are subject to the safe harbor created by those sections. For more information, see “Part I. Financial Information – Item 2. Management’s Discussion and Analysis of Financial Condition and Results of Operations – Forward-Looking Statements.”</w:t>
      </w:r>
    </w:p>
    <w:p>
      <w:pPr>
        <w:spacing w:after="0" w:line="18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8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and (4)“NTI Asean” refer to NTIC’s majority-owned holding company subsidiary, NTI Asean LLC, which holds investments in certain entities that operate in the Association of Southeast Asian Nations (ASEAN) region, including the following countries: Indonesia, South Korea, Malaysia, Philippines, Singapore, Taiwan, Thailand and Vietnam.</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On June 3, 2019, the Company’s Board of Directors declared a two-for-one stock split of the Company’s common stock effected in the form of a 100% share dividend distributed on June 28, 2019 to record holders as of June 17, 2019. All share and per share values in this report have been adjusted to retroactively reflect the effect of the two-for-one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tcPr>
          <w:p>
            <w:pPr>
              <w:ind w:left="600"/>
              <w:spacing w:after="0"/>
              <w:rPr>
                <w:sz w:val="20"/>
                <w:szCs w:val="20"/>
                <w:color w:val="auto"/>
              </w:rPr>
            </w:pPr>
            <w:r>
              <w:rPr>
                <w:rFonts w:ascii="Arial" w:cs="Arial" w:eastAsia="Arial" w:hAnsi="Arial"/>
                <w:sz w:val="18"/>
                <w:szCs w:val="18"/>
                <w:b w:val="1"/>
                <w:bCs w:val="1"/>
                <w:color w:val="auto"/>
              </w:rPr>
              <w:t>FINANCIAL STATEMENTS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AS OF FEBRUARY 29, 2020 (UNAUDITED)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8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AND AUGUST 31, 2019 (AUDITED)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493"/>
        </w:trPr>
        <w:tc>
          <w:tcPr>
            <w:tcW w:w="700" w:type="dxa"/>
            <w:vAlign w:val="bottom"/>
            <w:tcBorders>
              <w:bottom w:val="single" w:sz="8" w:color="CCEEFF"/>
            </w:tcBorders>
          </w:tcPr>
          <w:p>
            <w:pPr>
              <w:spacing w:after="0"/>
              <w:rPr>
                <w:sz w:val="24"/>
                <w:szCs w:val="24"/>
                <w:color w:val="auto"/>
              </w:rPr>
            </w:pPr>
          </w:p>
        </w:tc>
        <w:tc>
          <w:tcPr>
            <w:tcW w:w="73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February 29, 2020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August 31, 2019</w:t>
            </w:r>
          </w:p>
        </w:tc>
      </w:tr>
      <w:tr>
        <w:trPr>
          <w:trHeight w:val="197"/>
        </w:trPr>
        <w:tc>
          <w:tcPr>
            <w:tcW w:w="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ASSETS</w:t>
            </w:r>
          </w:p>
        </w:tc>
        <w:tc>
          <w:tcPr>
            <w:tcW w:w="7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5,626,410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5,856,758</w:t>
            </w: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Available for sale securities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6,512,166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3,565,258</w:t>
            </w: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540"/>
              <w:spacing w:after="0" w:line="201" w:lineRule="exact"/>
              <w:rPr>
                <w:sz w:val="20"/>
                <w:szCs w:val="20"/>
                <w:color w:val="auto"/>
              </w:rPr>
            </w:pPr>
            <w:r>
              <w:rPr>
                <w:rFonts w:ascii="Arial" w:cs="Arial" w:eastAsia="Arial" w:hAnsi="Arial"/>
                <w:sz w:val="18"/>
                <w:szCs w:val="18"/>
                <w:color w:val="auto"/>
                <w:w w:val="92"/>
              </w:rPr>
              <w:t>Trade excluding joint ventures, less allowance for doubtful accounts of $65,000 at February 29, 2020</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70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and August 31, 2019</w:t>
            </w:r>
          </w:p>
        </w:tc>
        <w:tc>
          <w:tcPr>
            <w:tcW w:w="3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9,810,545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9,779,518</w:t>
            </w:r>
          </w:p>
        </w:tc>
      </w:tr>
      <w:tr>
        <w:trPr>
          <w:trHeight w:val="216"/>
        </w:trPr>
        <w:tc>
          <w:tcPr>
            <w:tcW w:w="8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Trade joint ventures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824,473</w:t>
            </w:r>
          </w:p>
        </w:tc>
      </w:tr>
      <w:tr>
        <w:trPr>
          <w:trHeight w:val="216"/>
        </w:trPr>
        <w:tc>
          <w:tcPr>
            <w:tcW w:w="8000" w:type="dxa"/>
            <w:vAlign w:val="bottom"/>
            <w:gridSpan w:val="2"/>
          </w:tcPr>
          <w:p>
            <w:pPr>
              <w:ind w:left="540"/>
              <w:spacing w:after="0"/>
              <w:rPr>
                <w:sz w:val="20"/>
                <w:szCs w:val="20"/>
                <w:color w:val="auto"/>
              </w:rPr>
            </w:pPr>
            <w:r>
              <w:rPr>
                <w:rFonts w:ascii="Arial" w:cs="Arial" w:eastAsia="Arial" w:hAnsi="Arial"/>
                <w:sz w:val="18"/>
                <w:szCs w:val="18"/>
                <w:color w:val="auto"/>
              </w:rPr>
              <w:t>Fees for services provided to joint ventures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1,195,219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1,268,000</w:t>
            </w:r>
          </w:p>
        </w:tc>
      </w:tr>
      <w:tr>
        <w:trPr>
          <w:trHeight w:val="216"/>
        </w:trPr>
        <w:tc>
          <w:tcPr>
            <w:tcW w:w="8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Income taxes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457,018</w:t>
            </w: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11,424,384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10,488,728</w:t>
            </w:r>
          </w:p>
        </w:tc>
      </w:tr>
      <w:tr>
        <w:trPr>
          <w:trHeight w:val="229"/>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949,893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1,062,609</w:t>
            </w:r>
          </w:p>
        </w:tc>
      </w:tr>
      <w:tr>
        <w:trPr>
          <w:trHeight w:val="210"/>
        </w:trPr>
        <w:tc>
          <w:tcPr>
            <w:tcW w:w="700" w:type="dxa"/>
            <w:vAlign w:val="bottom"/>
            <w:tcBorders>
              <w:bottom w:val="single" w:sz="8" w:color="CCEEFF"/>
            </w:tcBorders>
          </w:tcPr>
          <w:p>
            <w:pPr>
              <w:spacing w:after="0"/>
              <w:rPr>
                <w:sz w:val="18"/>
                <w:szCs w:val="18"/>
                <w:color w:val="auto"/>
              </w:rPr>
            </w:pPr>
          </w:p>
        </w:tc>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36,114,611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33,302,362</w:t>
            </w:r>
          </w:p>
        </w:tc>
      </w:tr>
      <w:tr>
        <w:trPr>
          <w:trHeight w:val="209"/>
        </w:trPr>
        <w:tc>
          <w:tcPr>
            <w:tcW w:w="7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8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7,227,524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7,358,159</w:t>
            </w:r>
          </w:p>
        </w:tc>
      </w:tr>
      <w:tr>
        <w:trPr>
          <w:trHeight w:val="210"/>
        </w:trPr>
        <w:tc>
          <w:tcPr>
            <w:tcW w:w="7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80" w:right="339" w:bottom="1440" w:gutter="0" w:footer="0" w:header="0"/>
        </w:sectPr>
      </w:pPr>
    </w:p>
    <w:p>
      <w:pPr>
        <w:ind w:left="180"/>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Investments in joint ventures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Patents and trademarks, net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Operating lease right of use asset</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other assets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21,297,202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24,207,339</w:t>
            </w:r>
          </w:p>
        </w:tc>
      </w:tr>
      <w:tr>
        <w:trPr>
          <w:trHeight w:val="216"/>
        </w:trPr>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1,694,499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1,634,258</w:t>
            </w:r>
          </w:p>
        </w:tc>
      </w:tr>
      <w:tr>
        <w:trPr>
          <w:trHeight w:val="229"/>
        </w:trPr>
        <w:tc>
          <w:tcPr>
            <w:tcW w:w="3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930,132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1,008,969</w:t>
            </w:r>
          </w:p>
        </w:tc>
      </w:tr>
      <w:tr>
        <w:trPr>
          <w:trHeight w:val="230"/>
        </w:trPr>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520,601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24,442,434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26,850,566</w:t>
            </w:r>
          </w:p>
        </w:tc>
      </w:tr>
      <w:tr>
        <w:trPr>
          <w:trHeight w:val="223"/>
        </w:trPr>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67,784,569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67,511,087</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-882015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-607695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-325120</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280" w:space="720"/>
            <w:col w:w="3240"/>
          </w:cols>
          <w:pgMar w:left="320" w:top="58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4,373,988</w:t>
            </w:r>
          </w:p>
        </w:tc>
        <w:tc>
          <w:tcPr>
            <w:tcW w:w="100" w:type="dxa"/>
            <w:vAlign w:val="bottom"/>
          </w:tcPr>
          <w:p>
            <w:pPr>
              <w:spacing w:after="0"/>
              <w:rPr>
                <w:sz w:val="18"/>
                <w:szCs w:val="18"/>
                <w:color w:val="auto"/>
              </w:rPr>
            </w:pP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4,505,531</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6,759</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Payroll and related benefits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1,259,122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1,857,971</w:t>
            </w:r>
          </w:p>
        </w:tc>
      </w:tr>
      <w:tr>
        <w:trPr>
          <w:trHeight w:val="216"/>
        </w:trPr>
        <w:tc>
          <w:tcPr>
            <w:tcW w:w="8000" w:type="dxa"/>
            <w:vAlign w:val="bottom"/>
          </w:tcPr>
          <w:p>
            <w:pPr>
              <w:ind w:left="5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835,823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1,471,532</w:t>
            </w: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211,495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6,683,597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7,841,793</w:t>
            </w: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less current portion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309,106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long-term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309,106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COMMITMENTS AND CONTINGENCIES (Note 12)</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3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Common stock, $0.02 par value per share; authorized 15,000,000 shares as of February 29, 2020 and</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August 31, 2019; issued and outstanding 9,097,236 and 9,086,816, respectively</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181,945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181,736</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16,707,207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16,013,338</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45,202,903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44,992,719</w:t>
            </w:r>
          </w:p>
        </w:tc>
      </w:tr>
      <w:tr>
        <w:trPr>
          <w:trHeight w:val="229"/>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(4,602,349)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(4,593,178)</w:t>
            </w:r>
          </w:p>
        </w:tc>
      </w:tr>
      <w:tr>
        <w:trPr>
          <w:trHeight w:val="210"/>
        </w:trPr>
        <w:tc>
          <w:tcPr>
            <w:tcW w:w="8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57,489,706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56,594,615</w:t>
            </w:r>
          </w:p>
        </w:tc>
      </w:tr>
      <w:tr>
        <w:trPr>
          <w:trHeight w:val="229"/>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3,302,160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3,074,679</w:t>
            </w:r>
          </w:p>
        </w:tc>
      </w:tr>
      <w:tr>
        <w:trPr>
          <w:trHeight w:val="210"/>
        </w:trPr>
        <w:tc>
          <w:tcPr>
            <w:tcW w:w="8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60,791,866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59,669,294</w:t>
            </w:r>
          </w:p>
        </w:tc>
      </w:tr>
      <w:tr>
        <w:trPr>
          <w:trHeight w:val="223"/>
        </w:trPr>
        <w:tc>
          <w:tcPr>
            <w:tcW w:w="80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67,784,569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67,511,087</w:t>
            </w: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29, 2020 AND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8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7"/>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February 29, 2020</w:t>
            </w:r>
          </w:p>
        </w:tc>
        <w:tc>
          <w:tcPr>
            <w:tcW w:w="120" w:type="dxa"/>
            <w:vAlign w:val="bottom"/>
          </w:tcPr>
          <w:p>
            <w:pPr>
              <w:spacing w:after="0"/>
              <w:rPr>
                <w:sz w:val="24"/>
                <w:szCs w:val="24"/>
                <w:color w:val="auto"/>
              </w:rPr>
            </w:pPr>
          </w:p>
        </w:tc>
        <w:tc>
          <w:tcPr>
            <w:tcW w:w="1680" w:type="dxa"/>
            <w:vAlign w:val="bottom"/>
            <w:gridSpan w:val="3"/>
          </w:tcPr>
          <w:p>
            <w:pPr>
              <w:ind w:left="80"/>
              <w:spacing w:after="0"/>
              <w:rPr>
                <w:sz w:val="20"/>
                <w:szCs w:val="20"/>
                <w:color w:val="auto"/>
              </w:rPr>
            </w:pPr>
            <w:r>
              <w:rPr>
                <w:rFonts w:ascii="Arial" w:cs="Arial" w:eastAsia="Arial" w:hAnsi="Arial"/>
                <w:sz w:val="18"/>
                <w:szCs w:val="18"/>
                <w:b w:val="1"/>
                <w:bCs w:val="1"/>
                <w:color w:val="auto"/>
              </w:rPr>
              <w:t>February 28, 2019</w:t>
            </w:r>
          </w:p>
        </w:tc>
        <w:tc>
          <w:tcPr>
            <w:tcW w:w="1660" w:type="dxa"/>
            <w:vAlign w:val="bottom"/>
            <w:gridSpan w:val="3"/>
          </w:tcPr>
          <w:p>
            <w:pPr>
              <w:ind w:left="80"/>
              <w:spacing w:after="0"/>
              <w:rPr>
                <w:sz w:val="20"/>
                <w:szCs w:val="20"/>
                <w:color w:val="auto"/>
              </w:rPr>
            </w:pPr>
            <w:r>
              <w:rPr>
                <w:rFonts w:ascii="Arial" w:cs="Arial" w:eastAsia="Arial" w:hAnsi="Arial"/>
                <w:sz w:val="18"/>
                <w:szCs w:val="18"/>
                <w:b w:val="1"/>
                <w:bCs w:val="1"/>
                <w:color w:val="auto"/>
              </w:rPr>
              <w:t>February 29, 2020</w:t>
            </w:r>
          </w:p>
        </w:tc>
        <w:tc>
          <w:tcPr>
            <w:tcW w:w="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February 28, 2019</w:t>
            </w:r>
          </w:p>
        </w:tc>
        <w:tc>
          <w:tcPr>
            <w:tcW w:w="0" w:type="dxa"/>
            <w:vAlign w:val="bottom"/>
          </w:tcPr>
          <w:p>
            <w:pPr>
              <w:spacing w:after="0"/>
              <w:rPr>
                <w:sz w:val="1"/>
                <w:szCs w:val="1"/>
                <w:color w:val="auto"/>
              </w:rPr>
            </w:pPr>
          </w:p>
        </w:tc>
      </w:tr>
      <w:tr>
        <w:trPr>
          <w:trHeight w:val="197"/>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sales, excluding joint ventures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12,988,153</w:t>
            </w:r>
          </w:p>
        </w:tc>
        <w:tc>
          <w:tcPr>
            <w:tcW w:w="5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12,606,449</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27,033,937</w:t>
            </w:r>
          </w:p>
        </w:tc>
        <w:tc>
          <w:tcPr>
            <w:tcW w:w="100" w:type="dxa"/>
            <w:vAlign w:val="bottom"/>
          </w:tcPr>
          <w:p>
            <w:pPr>
              <w:spacing w:after="0"/>
              <w:rPr>
                <w:sz w:val="18"/>
                <w:szCs w:val="18"/>
                <w:color w:val="auto"/>
              </w:rPr>
            </w:pPr>
          </w:p>
        </w:tc>
        <w:tc>
          <w:tcPr>
            <w:tcW w:w="360" w:type="dxa"/>
            <w:vAlign w:val="bottom"/>
            <w:gridSpan w:val="2"/>
          </w:tcPr>
          <w:p>
            <w:pPr>
              <w:jc w:val="right"/>
              <w:ind w:right="18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26,217,314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joint ventures</w:t>
            </w: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245,630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708,955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831,246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1,192,142</w:t>
            </w:r>
          </w:p>
        </w:tc>
        <w:tc>
          <w:tcPr>
            <w:tcW w:w="0" w:type="dxa"/>
            <w:vAlign w:val="bottom"/>
          </w:tcPr>
          <w:p>
            <w:pPr>
              <w:spacing w:after="0"/>
              <w:rPr>
                <w:sz w:val="1"/>
                <w:szCs w:val="1"/>
                <w:color w:val="auto"/>
              </w:rPr>
            </w:pPr>
          </w:p>
        </w:tc>
      </w:tr>
      <w:tr>
        <w:trPr>
          <w:trHeight w:val="209"/>
        </w:trPr>
        <w:tc>
          <w:tcPr>
            <w:tcW w:w="462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1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13,233,783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13,315,404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27,865,183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27,409,456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8,687,301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9,284,099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18,492,385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18,745,236</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4,546,482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4,031,305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9,372,798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8,664,220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Equity in income from joint ventures</w:t>
            </w:r>
          </w:p>
        </w:tc>
        <w:tc>
          <w:tcPr>
            <w:tcW w:w="1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1,360,804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1,715,216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2,654,794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3,719,378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Fees for services provided to joint ventures</w:t>
            </w: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1,256,213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1,436,774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2,614,538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2,865,209</w:t>
            </w:r>
          </w:p>
        </w:tc>
        <w:tc>
          <w:tcPr>
            <w:tcW w:w="0" w:type="dxa"/>
            <w:vAlign w:val="bottom"/>
          </w:tcPr>
          <w:p>
            <w:pPr>
              <w:spacing w:after="0"/>
              <w:rPr>
                <w:sz w:val="1"/>
                <w:szCs w:val="1"/>
                <w:color w:val="auto"/>
              </w:rPr>
            </w:pPr>
          </w:p>
        </w:tc>
      </w:tr>
      <w:tr>
        <w:trPr>
          <w:trHeight w:val="209"/>
        </w:trPr>
        <w:tc>
          <w:tcPr>
            <w:tcW w:w="4620" w:type="dxa"/>
            <w:vAlign w:val="bottom"/>
          </w:tcPr>
          <w:p>
            <w:pPr>
              <w:ind w:left="540"/>
              <w:spacing w:after="0"/>
              <w:rPr>
                <w:sz w:val="20"/>
                <w:szCs w:val="20"/>
                <w:color w:val="auto"/>
              </w:rPr>
            </w:pPr>
            <w:r>
              <w:rPr>
                <w:rFonts w:ascii="Arial" w:cs="Arial" w:eastAsia="Arial" w:hAnsi="Arial"/>
                <w:sz w:val="18"/>
                <w:szCs w:val="18"/>
                <w:color w:val="auto"/>
              </w:rPr>
              <w:t>Total joint venture operations</w:t>
            </w:r>
          </w:p>
        </w:tc>
        <w:tc>
          <w:tcPr>
            <w:tcW w:w="1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2,617,017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3,151,990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5,269,332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6,584,587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expenses</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3,110,240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2,505,081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5,997,532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5,316,175</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2,345,113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1,963,537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4,394,800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4,459,334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1,006,395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927,537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1,968,036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1,799,694</w:t>
            </w:r>
          </w:p>
        </w:tc>
        <w:tc>
          <w:tcPr>
            <w:tcW w:w="0" w:type="dxa"/>
            <w:vAlign w:val="bottom"/>
          </w:tcPr>
          <w:p>
            <w:pPr>
              <w:spacing w:after="0"/>
              <w:rPr>
                <w:sz w:val="1"/>
                <w:szCs w:val="1"/>
                <w:color w:val="auto"/>
              </w:rPr>
            </w:pPr>
          </w:p>
        </w:tc>
      </w:tr>
      <w:tr>
        <w:trPr>
          <w:trHeight w:val="210"/>
        </w:trPr>
        <w:tc>
          <w:tcPr>
            <w:tcW w:w="46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6,461,748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5,396,155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12,360,368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11,575,203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701,751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1,787,140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2,281,762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3,673,604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55,042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104,080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27,909</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747,416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1,798,427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2,371,021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3,695,321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463,594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246,371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727,660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502,074</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283,822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1,552,056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1,643,361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3,193,247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INTERESTS</w:t>
            </w:r>
          </w:p>
        </w:tc>
        <w:tc>
          <w:tcPr>
            <w:tcW w:w="1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103,988</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150,488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250,977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294,620</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179,834</w:t>
            </w:r>
          </w:p>
        </w:tc>
        <w:tc>
          <w:tcPr>
            <w:tcW w:w="5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1,401,568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1,392,384</w:t>
            </w: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2,898,627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INCOME ATTRIBUTABLE TO NTIC PER COMMON</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62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5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4"/>
                <w:szCs w:val="24"/>
                <w:color w:val="auto"/>
              </w:rPr>
            </w:pPr>
          </w:p>
        </w:tc>
        <w:tc>
          <w:tcPr>
            <w:tcW w:w="360" w:type="dxa"/>
            <w:vAlign w:val="bottom"/>
            <w:gridSpan w:val="2"/>
          </w:tcPr>
          <w:p>
            <w:pPr>
              <w:jc w:val="right"/>
              <w:ind w:right="18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0.02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ASSUMED</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9,097,236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9,084,354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9,095,604</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9,084,350</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9,461,727</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9,447,860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9,383,867</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9,463,216</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0.065</w:t>
            </w:r>
          </w:p>
        </w:tc>
        <w:tc>
          <w:tcPr>
            <w:tcW w:w="1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21"/>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0.06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0.13</w:t>
            </w:r>
          </w:p>
        </w:tc>
        <w:tc>
          <w:tcPr>
            <w:tcW w:w="1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29, 2020 AND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860" w:type="dxa"/>
            <w:vAlign w:val="bottom"/>
            <w:tcBorders>
              <w:bottom w:val="single" w:sz="8" w:color="auto"/>
            </w:tcBorders>
          </w:tcPr>
          <w:p>
            <w:pPr>
              <w:spacing w:after="0"/>
              <w:rPr>
                <w:sz w:val="20"/>
                <w:szCs w:val="20"/>
                <w:color w:val="auto"/>
              </w:rPr>
            </w:pPr>
          </w:p>
        </w:tc>
      </w:tr>
      <w:tr>
        <w:trPr>
          <w:trHeight w:val="276"/>
        </w:trPr>
        <w:tc>
          <w:tcPr>
            <w:tcW w:w="47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February 29, 2020</w:t>
            </w:r>
          </w:p>
        </w:tc>
        <w:tc>
          <w:tcPr>
            <w:tcW w:w="100" w:type="dxa"/>
            <w:vAlign w:val="bottom"/>
          </w:tcPr>
          <w:p>
            <w:pPr>
              <w:spacing w:after="0"/>
              <w:rPr>
                <w:sz w:val="24"/>
                <w:szCs w:val="24"/>
                <w:color w:val="auto"/>
              </w:rPr>
            </w:pPr>
          </w:p>
        </w:tc>
        <w:tc>
          <w:tcPr>
            <w:tcW w:w="1660" w:type="dxa"/>
            <w:vAlign w:val="bottom"/>
            <w:gridSpan w:val="3"/>
          </w:tcPr>
          <w:p>
            <w:pPr>
              <w:ind w:left="80"/>
              <w:spacing w:after="0"/>
              <w:rPr>
                <w:sz w:val="20"/>
                <w:szCs w:val="20"/>
                <w:color w:val="auto"/>
              </w:rPr>
            </w:pPr>
            <w:r>
              <w:rPr>
                <w:rFonts w:ascii="Arial" w:cs="Arial" w:eastAsia="Arial" w:hAnsi="Arial"/>
                <w:sz w:val="18"/>
                <w:szCs w:val="18"/>
                <w:b w:val="1"/>
                <w:bCs w:val="1"/>
                <w:color w:val="auto"/>
              </w:rPr>
              <w:t>February 28, 2019</w:t>
            </w:r>
          </w:p>
        </w:tc>
        <w:tc>
          <w:tcPr>
            <w:tcW w:w="1660" w:type="dxa"/>
            <w:vAlign w:val="bottom"/>
            <w:gridSpan w:val="3"/>
          </w:tcPr>
          <w:p>
            <w:pPr>
              <w:ind w:left="80"/>
              <w:spacing w:after="0"/>
              <w:rPr>
                <w:sz w:val="20"/>
                <w:szCs w:val="20"/>
                <w:color w:val="auto"/>
              </w:rPr>
            </w:pPr>
            <w:r>
              <w:rPr>
                <w:rFonts w:ascii="Arial" w:cs="Arial" w:eastAsia="Arial" w:hAnsi="Arial"/>
                <w:sz w:val="18"/>
                <w:szCs w:val="18"/>
                <w:b w:val="1"/>
                <w:bCs w:val="1"/>
                <w:color w:val="auto"/>
              </w:rPr>
              <w:t>February 29, 2020</w:t>
            </w:r>
          </w:p>
        </w:tc>
        <w:tc>
          <w:tcPr>
            <w:tcW w:w="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February 28, 2019</w:t>
            </w:r>
          </w:p>
        </w:tc>
      </w:tr>
      <w:tr>
        <w:trPr>
          <w:trHeight w:val="197"/>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440" w:type="dxa"/>
            <w:vAlign w:val="bottom"/>
            <w:tcBorders>
              <w:top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283,822</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1,552,056</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1,643,361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2"/>
              </w:rPr>
              <w:t>3,193,247</w:t>
            </w: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w w:val="99"/>
              </w:rPr>
              <w:t>OTHER COMPREHENSIVE INCOME (LOSS) – FOREIGN</w:t>
            </w: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CURRENCY TRANSLATION ADJUSTMENT</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(158,343)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194,838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(102,980)</w:t>
            </w:r>
          </w:p>
        </w:tc>
      </w:tr>
      <w:tr>
        <w:trPr>
          <w:trHeight w:val="230"/>
        </w:trPr>
        <w:tc>
          <w:tcPr>
            <w:tcW w:w="47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r>
      <w:tr>
        <w:trPr>
          <w:trHeight w:val="209"/>
        </w:trPr>
        <w:tc>
          <w:tcPr>
            <w:tcW w:w="4700" w:type="dxa"/>
            <w:vAlign w:val="bottom"/>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125,479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1,746,894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1,610,694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3,090,267</w:t>
            </w:r>
          </w:p>
        </w:tc>
      </w:tr>
      <w:tr>
        <w:trPr>
          <w:trHeight w:val="202"/>
        </w:trPr>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 TO NON-</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44"/>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INTERESTS</w:t>
            </w: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57,630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169,499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227,481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336,699</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COMPREHENSIVE INCOME ATTRIBUTABLE TO NTIC</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67,849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1,577,395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1,383,213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2,753,568</w:t>
            </w:r>
          </w:p>
        </w:tc>
      </w:tr>
      <w:tr>
        <w:trPr>
          <w:trHeight w:val="20"/>
        </w:trPr>
        <w:tc>
          <w:tcPr>
            <w:tcW w:w="4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29, 2020 AND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STOCKHOLDERS’ EQUITY –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520" w:right="2240" w:hanging="7974"/>
        <w:spacing w:after="0" w:line="265" w:lineRule="auto"/>
        <w:tabs>
          <w:tab w:leader="none" w:pos="4500" w:val="left"/>
        </w:tabs>
        <w:rPr>
          <w:sz w:val="20"/>
          <w:szCs w:val="20"/>
          <w:color w:val="auto"/>
        </w:rPr>
      </w:pPr>
      <w:r>
        <w:rPr>
          <w:rFonts w:ascii="Arial" w:cs="Arial" w:eastAsia="Arial" w:hAnsi="Arial"/>
          <w:sz w:val="18"/>
          <w:szCs w:val="18"/>
          <w:b w:val="1"/>
          <w:bCs w:val="1"/>
          <w:color w:val="FFFFFF"/>
        </w:rPr>
        <w:t>.</w:t>
      </w:r>
      <w:r>
        <w:rPr>
          <w:sz w:val="20"/>
          <w:szCs w:val="20"/>
          <w:color w:val="auto"/>
        </w:rPr>
        <w:tab/>
      </w:r>
      <w:r>
        <w:rPr>
          <w:rFonts w:ascii="Arial" w:cs="Arial" w:eastAsia="Arial" w:hAnsi="Arial"/>
          <w:sz w:val="18"/>
          <w:szCs w:val="18"/>
          <w:b w:val="1"/>
          <w:bCs w:val="1"/>
          <w:color w:val="auto"/>
        </w:rPr>
        <w:t>FEBRUARY 29, 2020 AND FEBRUARY 28, 2019 Accumulated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-144780</wp:posOffset>
            </wp:positionV>
            <wp:extent cx="33686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8"/>
        </w:trPr>
        <w:tc>
          <w:tcPr>
            <w:tcW w:w="3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Additional</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330"/>
              <w:spacing w:after="0" w:line="198" w:lineRule="exact"/>
              <w:rPr>
                <w:sz w:val="20"/>
                <w:szCs w:val="20"/>
                <w:color w:val="auto"/>
              </w:rPr>
            </w:pPr>
            <w:r>
              <w:rPr>
                <w:rFonts w:ascii="Arial" w:cs="Arial" w:eastAsia="Arial" w:hAnsi="Arial"/>
                <w:sz w:val="18"/>
                <w:szCs w:val="18"/>
                <w:b w:val="1"/>
                <w:bCs w:val="1"/>
                <w:color w:val="auto"/>
              </w:rPr>
              <w:t>Other</w:t>
            </w: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Non-</w:t>
            </w:r>
          </w:p>
        </w:tc>
        <w:tc>
          <w:tcPr>
            <w:tcW w:w="1080" w:type="dxa"/>
            <w:vAlign w:val="bottom"/>
          </w:tcPr>
          <w:p>
            <w:pPr>
              <w:spacing w:after="0"/>
              <w:rPr>
                <w:sz w:val="17"/>
                <w:szCs w:val="17"/>
                <w:color w:val="auto"/>
              </w:rPr>
            </w:pPr>
          </w:p>
        </w:tc>
      </w:tr>
      <w:tr>
        <w:trPr>
          <w:trHeight w:val="248"/>
        </w:trPr>
        <w:tc>
          <w:tcPr>
            <w:tcW w:w="3780" w:type="dxa"/>
            <w:vAlign w:val="bottom"/>
          </w:tcPr>
          <w:p>
            <w:pPr>
              <w:spacing w:after="0"/>
              <w:rPr>
                <w:sz w:val="21"/>
                <w:szCs w:val="21"/>
                <w:color w:val="auto"/>
              </w:rPr>
            </w:pPr>
          </w:p>
        </w:tc>
        <w:tc>
          <w:tcPr>
            <w:tcW w:w="18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Common Stock</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Paid-in</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Retained</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Comprehensive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Controlling</w:t>
            </w: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10"/>
        </w:trPr>
        <w:tc>
          <w:tcPr>
            <w:tcW w:w="3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Capital</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Earnings</w:t>
            </w: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6"/>
              </w:rPr>
              <w:t>Income (Loss)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r>
      <w:tr>
        <w:trPr>
          <w:trHeight w:val="209"/>
        </w:trPr>
        <w:tc>
          <w:tcPr>
            <w:tcW w:w="3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2019</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9,097,236</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$ 181,945</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$16,367,555</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$45,614,389</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(4,490,364)</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0"/>
              </w:rPr>
              <w:t>$ 3,244,530</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$60,918,055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w w:val="99"/>
              </w:rPr>
              <w:t>Stock issued for employee stock purchase plan</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339,652</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339,652</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(591,320)</w:t>
            </w:r>
          </w:p>
        </w:tc>
        <w:tc>
          <w:tcPr>
            <w:tcW w:w="22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(591,320)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Dividend received by non-controlling interest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income (loss)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179,834</w:t>
            </w:r>
          </w:p>
        </w:tc>
        <w:tc>
          <w:tcPr>
            <w:tcW w:w="22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103,988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283,822</w:t>
            </w: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(111,985)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(158,343)</w:t>
            </w:r>
          </w:p>
        </w:tc>
      </w:tr>
      <w:tr>
        <w:trPr>
          <w:trHeight w:val="263"/>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FEBRUARY 29, 2020</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9,097,236</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$ 181,945</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$16,707,207</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$45,202,903</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(4,602,349)</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$ 3,302,160</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$60,791,866</w:t>
            </w:r>
          </w:p>
        </w:tc>
      </w:tr>
      <w:tr>
        <w:trPr>
          <w:trHeight w:val="197"/>
        </w:trPr>
        <w:tc>
          <w:tcPr>
            <w:tcW w:w="3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BALANCE AT NOVEMBER 30, 2018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9,084,354</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$ 181,688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$14,904,576</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w w:val="97"/>
              </w:rPr>
              <w:t>$42,915,335</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7"/>
              </w:rPr>
              <w:t>(3,918,085)</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0"/>
              </w:rPr>
              <w:t>$ 3,043,543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$57,127,057</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9"/>
              </w:rPr>
              <w:t>Stock issued for employee stock purchase plan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Stock option expense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357,980</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357,980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(545,060)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(545,064)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Dividend received by non-controlling interest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(200,000)</w:t>
            </w:r>
          </w:p>
        </w:tc>
        <w:tc>
          <w:tcPr>
            <w:tcW w:w="10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1,401,568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150,544</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1,552,056</w:t>
            </w:r>
          </w:p>
        </w:tc>
      </w:tr>
      <w:tr>
        <w:trPr>
          <w:trHeight w:val="229"/>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175,827</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19,011</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194,838</w:t>
            </w:r>
          </w:p>
        </w:tc>
      </w:tr>
      <w:tr>
        <w:trPr>
          <w:trHeight w:val="22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28, 2019</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9,084,354</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$ 181,688</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$15,262,556</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$43,771,843</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(3,742,258)</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$ 3,013,042</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$58,486,871</w:t>
            </w:r>
          </w:p>
        </w:tc>
      </w:tr>
      <w:tr>
        <w:trPr>
          <w:trHeight w:val="20"/>
        </w:trPr>
        <w:tc>
          <w:tcPr>
            <w:tcW w:w="3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FFFFFF"/>
              </w:rPr>
              <w:t>.</w:t>
            </w:r>
          </w:p>
        </w:tc>
        <w:tc>
          <w:tcPr>
            <w:tcW w:w="536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rPr>
              <w:t>STOCKHOLDERS’ EQUITY – SIX MONTHS ENDED</w:t>
            </w: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vMerge w:val="continue"/>
          </w:tcPr>
          <w:p>
            <w:pPr>
              <w:spacing w:after="0"/>
              <w:rPr>
                <w:sz w:val="20"/>
                <w:szCs w:val="20"/>
                <w:color w:val="auto"/>
              </w:rPr>
            </w:pPr>
          </w:p>
        </w:tc>
        <w:tc>
          <w:tcPr>
            <w:tcW w:w="536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95"/>
              </w:rPr>
              <w:t>FEBRUARY 29, 2020 AND FEBRUARY 28, 2019</w:t>
            </w: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Additional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80" w:type="dxa"/>
            <w:vAlign w:val="bottom"/>
          </w:tcPr>
          <w:p>
            <w:pPr>
              <w:spacing w:after="0"/>
              <w:rPr>
                <w:sz w:val="21"/>
                <w:szCs w:val="21"/>
                <w:color w:val="auto"/>
              </w:rPr>
            </w:pPr>
          </w:p>
        </w:tc>
        <w:tc>
          <w:tcPr>
            <w:tcW w:w="18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Common Stock</w:t>
            </w: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Paid-in</w:t>
            </w: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Retained</w:t>
            </w: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w w:val="90"/>
              </w:rPr>
              <w:t>Comprehensive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Controlling</w:t>
            </w: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Earnings</w:t>
            </w: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2019</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9,086,816</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$ 181,736</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$16,013,338</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$44,992,718</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(4,593,178)</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0"/>
              </w:rPr>
              <w:t>$ 3,074,679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$59,669,293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6,823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9"/>
              </w:rPr>
              <w:t>Stock issued for employee stock purchase plan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3,597</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35,536</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35,608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Stock option expense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658,470</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658,470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(1,182,199)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(1,182,199)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Dividend received by non-controlling interest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1,392,384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250,977</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1,643,361</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(9,171)</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(32,667)</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29, 2020</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9,097,236</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$ 181,945</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$16,707,207</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$45,202,903</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(4,602,349)</w:t>
            </w:r>
          </w:p>
        </w:tc>
        <w:tc>
          <w:tcPr>
            <w:tcW w:w="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$ 3,302,160</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$60,791,866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9,082,606</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$ 181,652</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$14,528,951</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$41,963,341</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(3,597,199)</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0"/>
              </w:rPr>
              <w:t>$ 2,742,309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$55,819,054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w w:val="99"/>
              </w:rPr>
              <w:t>Stock issued for employee stock purchase plan</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1,748</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17,645</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17,681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715,960</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715,960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Investment by non-controlling interest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134,034</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134,034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(1,090,125)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(1,090,125)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Dividend received by non-controlling interest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(200,000)</w:t>
            </w:r>
          </w:p>
        </w:tc>
        <w:tc>
          <w:tcPr>
            <w:tcW w:w="10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2,898,627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294,620</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3,193,247</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(145,059)</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42,079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(102,980)</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28, 2019</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9,084,354</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$ 181,688</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$15,262,556</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$43,771,843</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(3,742,258)</w:t>
            </w:r>
          </w:p>
        </w:tc>
        <w:tc>
          <w:tcPr>
            <w:tcW w:w="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$ 3,013,042</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$58,486,871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FEBRUARY 29, 2020 AND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8"/>
              </w:rPr>
              <w:t>February 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8"/>
              </w:rPr>
              <w:t>February 28,</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1,643,361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3,193,247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658,470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715,960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428,711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429,377</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118,171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129,346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from joint ventures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(2,654,794)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(3,719,378)</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111,768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135,167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received from joint ventures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5,558,926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2,027,243</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Gain on sale of property and equipment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(36,285)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Trade, excluding joint ventures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730,647</w:t>
            </w:r>
          </w:p>
        </w:tc>
        <w:tc>
          <w:tcPr>
            <w:tcW w:w="0" w:type="dxa"/>
            <w:vAlign w:val="bottom"/>
          </w:tcPr>
          <w:p>
            <w:pPr>
              <w:spacing w:after="0"/>
              <w:rPr>
                <w:sz w:val="1"/>
                <w:szCs w:val="1"/>
                <w:color w:val="auto"/>
              </w:rPr>
            </w:pPr>
          </w:p>
        </w:tc>
      </w:tr>
      <w:tr>
        <w:trPr>
          <w:trHeight w:val="216"/>
        </w:trPr>
        <w:tc>
          <w:tcPr>
            <w:tcW w:w="8000" w:type="dxa"/>
            <w:vAlign w:val="bottom"/>
          </w:tcPr>
          <w:p>
            <w:pPr>
              <w:ind w:left="620"/>
              <w:spacing w:after="0"/>
              <w:rPr>
                <w:sz w:val="20"/>
                <w:szCs w:val="20"/>
                <w:color w:val="auto"/>
              </w:rPr>
            </w:pPr>
            <w:r>
              <w:rPr>
                <w:rFonts w:ascii="Arial" w:cs="Arial" w:eastAsia="Arial" w:hAnsi="Arial"/>
                <w:sz w:val="18"/>
                <w:szCs w:val="18"/>
                <w:color w:val="auto"/>
              </w:rPr>
              <w:t>Trade, joint ventures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285,298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82,157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Fees for services provided to joint ventures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18,762</w:t>
            </w:r>
          </w:p>
        </w:tc>
        <w:tc>
          <w:tcPr>
            <w:tcW w:w="0" w:type="dxa"/>
            <w:vAlign w:val="bottom"/>
          </w:tcPr>
          <w:p>
            <w:pPr>
              <w:spacing w:after="0"/>
              <w:rPr>
                <w:sz w:val="1"/>
                <w:szCs w:val="1"/>
                <w:color w:val="auto"/>
              </w:rPr>
            </w:pPr>
          </w:p>
        </w:tc>
      </w:tr>
      <w:tr>
        <w:trPr>
          <w:trHeight w:val="216"/>
        </w:trPr>
        <w:tc>
          <w:tcPr>
            <w:tcW w:w="8000" w:type="dxa"/>
            <w:vAlign w:val="bottom"/>
          </w:tcPr>
          <w:p>
            <w:pPr>
              <w:ind w:left="62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221,211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(222,609)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(2,048,648)</w:t>
            </w:r>
          </w:p>
        </w:tc>
        <w:tc>
          <w:tcPr>
            <w:tcW w:w="0" w:type="dxa"/>
            <w:vAlign w:val="bottom"/>
          </w:tcPr>
          <w:p>
            <w:pPr>
              <w:spacing w:after="0"/>
              <w:rPr>
                <w:sz w:val="1"/>
                <w:szCs w:val="1"/>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122,676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215,178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850,534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113,849</w:t>
            </w:r>
          </w:p>
        </w:tc>
        <w:tc>
          <w:tcPr>
            <w:tcW w:w="0" w:type="dxa"/>
            <w:vAlign w:val="bottom"/>
          </w:tcPr>
          <w:p>
            <w:pPr>
              <w:spacing w:after="0"/>
              <w:rPr>
                <w:sz w:val="1"/>
                <w:szCs w:val="1"/>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15,607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(2,284,150)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(1,517,466)</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4,207,710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262,153</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available for sale securities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the sale of available for sale securities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(6,946,908)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2,072,842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(439,899)</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Investments in patents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(57,401)</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(3,289,108)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1,575,542</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Dividend received by non-controlling interest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by non-controlling interest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134,035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Dividends paid on NTIC common stock</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(1,182,199)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(1,090,125)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17,681</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Principal payments on finance lease obligations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(1,146,591)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(1,138,409)</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74,068</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(230,348)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773,354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5,856,758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4,163,023</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5,626,410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4,936,377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3960"/>
              <w:spacing w:after="0"/>
              <w:rPr>
                <w:sz w:val="20"/>
                <w:szCs w:val="20"/>
                <w:color w:val="auto"/>
              </w:rPr>
            </w:pPr>
            <w:r>
              <w:rPr>
                <w:rFonts w:ascii="Arial" w:cs="Arial" w:eastAsia="Arial" w:hAnsi="Arial"/>
                <w:sz w:val="18"/>
                <w:szCs w:val="18"/>
                <w:color w:val="auto"/>
              </w:rPr>
              <w:t>See notes to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ind w:right="394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3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29, 2020 and August 31, 2019, the results of their operations for the three and six months ended February 29, 2020 and February 28, 2019, the changes in equity for the three and six months ended February 29, 2020 and February 28, 2019, and the Company’s cash flows for the six months ended February 29, 2020 and February 28, 2019, in conformity with accounting principles generally accepted in the United States of America (U.S. GAAP).</w:t>
      </w:r>
    </w:p>
    <w:p>
      <w:pPr>
        <w:spacing w:after="0" w:line="192" w:lineRule="exact"/>
        <w:rPr>
          <w:sz w:val="20"/>
          <w:szCs w:val="20"/>
          <w:color w:val="auto"/>
        </w:rPr>
      </w:pPr>
    </w:p>
    <w:p>
      <w:pPr>
        <w:ind w:right="660"/>
        <w:spacing w:after="0" w:line="311"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2019. These consolidated financial statements also should be read in conjunction with the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section appearing in this report.</w:t>
      </w:r>
    </w:p>
    <w:p>
      <w:pPr>
        <w:spacing w:after="0" w:line="1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June 3, 2019, the Company’s Board of Directors declared a two-for-one stock split of the Company’s common stock effected in the form of a 100% share dividend distributed on June 28, 2019 to record holders as of June 17, 2019. All share and per share values in this report have been adjusted to retroactively reflect the effect of the two-for-one stock split.</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results for the three and six months ended February 29, 2020 are not necessarily indicative of the results that may be expected for the full fiscal year ending August 31, 2020.</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66"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Adopted</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guidance in ASU 2016-02 supersedes the lease recognition requirements in the Accounting Standards Codification (ASC) Topic 840, </w:t>
      </w:r>
      <w:r>
        <w:rPr>
          <w:rFonts w:ascii="Arial" w:cs="Arial" w:eastAsia="Arial" w:hAnsi="Arial"/>
          <w:sz w:val="18"/>
          <w:szCs w:val="18"/>
          <w:i w:val="1"/>
          <w:iCs w:val="1"/>
          <w:color w:val="auto"/>
        </w:rPr>
        <w:t>Leases</w:t>
      </w:r>
      <w:r>
        <w:rPr>
          <w:rFonts w:ascii="Arial" w:cs="Arial" w:eastAsia="Arial" w:hAnsi="Arial"/>
          <w:sz w:val="18"/>
          <w:szCs w:val="18"/>
          <w:color w:val="auto"/>
        </w:rPr>
        <w:t>. ASU 2016-02 requires an entity to recognize assets and liabilities arising from a lease for both financing and operating leases, along with additional qualitative and quantitative disclosures. This standard became effective for the Company on September 1, 2019.</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FASB has subsequently issued the following amendments to ASU 2016-02, which have the same effective date and transition date of September 1, 2019, and which are collectively referred to as the new leasing standards:</w:t>
      </w:r>
    </w:p>
    <w:p>
      <w:pPr>
        <w:spacing w:after="0" w:line="170" w:lineRule="exact"/>
        <w:rPr>
          <w:sz w:val="20"/>
          <w:szCs w:val="20"/>
          <w:color w:val="auto"/>
        </w:rPr>
      </w:pPr>
    </w:p>
    <w:p>
      <w:pPr>
        <w:ind w:left="840" w:right="20" w:hanging="319"/>
        <w:spacing w:after="0" w:line="263"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ASU No. 2018-01, </w:t>
      </w:r>
      <w:r>
        <w:rPr>
          <w:rFonts w:ascii="Arial" w:cs="Arial" w:eastAsia="Arial" w:hAnsi="Arial"/>
          <w:sz w:val="18"/>
          <w:szCs w:val="18"/>
          <w:i w:val="1"/>
          <w:iCs w:val="1"/>
          <w:color w:val="auto"/>
        </w:rPr>
        <w:t>Leases (Topic 842): Land Easement Practical Expedient for Transition to Topic 842</w:t>
      </w:r>
      <w:r>
        <w:rPr>
          <w:rFonts w:ascii="Arial" w:cs="Arial" w:eastAsia="Arial" w:hAnsi="Arial"/>
          <w:sz w:val="18"/>
          <w:szCs w:val="18"/>
          <w:color w:val="auto"/>
        </w:rPr>
        <w:t xml:space="preserve">, which permits an entity to elect an optional transition practical expedient to not evaluate under Topic 842 land easements that existed or expired prior to adoption of Topic 842 and that were not previously accounted for as leases under the prior standard, ASC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 w:name="page10"/>
    <w:bookmarkEnd w:id="9"/>
    <w:p>
      <w:pPr>
        <w:ind w:left="840" w:right="40" w:hanging="319"/>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which amends certain narrow aspects of the guidance issued in ASU 2016-02.</w:t>
      </w:r>
    </w:p>
    <w:p>
      <w:pPr>
        <w:spacing w:after="0" w:line="170" w:lineRule="exact"/>
        <w:rPr>
          <w:rFonts w:ascii="Arial" w:cs="Arial" w:eastAsia="Arial" w:hAnsi="Arial"/>
          <w:sz w:val="18"/>
          <w:szCs w:val="18"/>
          <w:color w:val="auto"/>
        </w:rPr>
      </w:pPr>
    </w:p>
    <w:p>
      <w:pPr>
        <w:ind w:left="840" w:right="180" w:hanging="319"/>
        <w:spacing w:after="0" w:line="286"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which allows for a transition approach to 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65" w:lineRule="exact"/>
        <w:rPr>
          <w:rFonts w:ascii="Arial" w:cs="Arial" w:eastAsia="Arial" w:hAnsi="Arial"/>
          <w:sz w:val="17"/>
          <w:szCs w:val="17"/>
          <w:color w:val="auto"/>
        </w:rPr>
      </w:pPr>
    </w:p>
    <w:p>
      <w:pPr>
        <w:ind w:left="840" w:right="20" w:hanging="319"/>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ASU No. 2018-20, </w:t>
      </w:r>
      <w:r>
        <w:rPr>
          <w:rFonts w:ascii="Arial" w:cs="Arial" w:eastAsia="Arial" w:hAnsi="Arial"/>
          <w:sz w:val="18"/>
          <w:szCs w:val="18"/>
          <w:i w:val="1"/>
          <w:iCs w:val="1"/>
          <w:color w:val="auto"/>
        </w:rPr>
        <w:t>Narrow-Scope Improvements for Lessors</w:t>
      </w:r>
      <w:r>
        <w:rPr>
          <w:rFonts w:ascii="Arial" w:cs="Arial" w:eastAsia="Arial" w:hAnsi="Arial"/>
          <w:sz w:val="18"/>
          <w:szCs w:val="18"/>
          <w:color w:val="auto"/>
        </w:rPr>
        <w:t>, which contains certain narrow scope improvements to the guidance issued in ASU 2016-02.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and disclosures required by this new standard are contained in Note 12, titled “Commitments and Contingencies.”</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Company adopted the new leasing standards on September 1, 2019, using a modified retrospective transition approach to be applied to leases existing as of, or entered into after, September 1, 2019; and, consequently, financial information will not be updated and the disclosures required under Topic 842 will not be provided for dates and periods prior to September 1, 2019. The Company has reviewed its existing lease contracts and the impact of the new leasing standards on its consolidated results of operations, financial position and disclosures. Upon adoption of the new leasing standards, the Company recognized a lease liability and related right-of-use asset on its consolidated balance sheet of approximately $600,000.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Income Statement – 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from Accumulated Other Comprehensive Income</w:t>
      </w:r>
      <w:r>
        <w:rPr>
          <w:rFonts w:ascii="Arial" w:cs="Arial" w:eastAsia="Arial" w:hAnsi="Arial"/>
          <w:sz w:val="16"/>
          <w:szCs w:val="16"/>
          <w:color w:val="auto"/>
        </w:rPr>
        <w:t>, which will allow a reclassification from accumulated other comprehensive income to retained</w:t>
      </w:r>
      <w:r>
        <w:rPr>
          <w:rFonts w:ascii="Arial" w:cs="Arial" w:eastAsia="Arial" w:hAnsi="Arial"/>
          <w:sz w:val="16"/>
          <w:szCs w:val="16"/>
          <w:i w:val="1"/>
          <w:iCs w:val="1"/>
          <w:color w:val="auto"/>
        </w:rPr>
        <w:t xml:space="preserve"> </w:t>
      </w:r>
      <w:r>
        <w:rPr>
          <w:rFonts w:ascii="Arial" w:cs="Arial" w:eastAsia="Arial" w:hAnsi="Arial"/>
          <w:sz w:val="16"/>
          <w:szCs w:val="16"/>
          <w:color w:val="auto"/>
        </w:rPr>
        <w:t>earnings for the tax effects resulting from the Tax Cuts and Jobs Act (Tax Reform Act) that are stranded in accumulated other comprehensive income. This standard also requires certain disclosures about stranded tax effects. ASU No. 2018-02, however, does not change the underlying guidance that requires that the effect of a change in tax laws or rates be included in income from continuing operations. ASU No. 2018-02 was adopted by the Company commencing with first quarter of the Company’s fiscal year 2020, and it did not have any impact on its consolidated financial statements.</w:t>
      </w:r>
    </w:p>
    <w:p>
      <w:pPr>
        <w:spacing w:after="0" w:line="16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3.</w:t>
            </w:r>
          </w:p>
        </w:tc>
        <w:tc>
          <w:tcPr>
            <w:tcW w:w="7580" w:type="dxa"/>
            <w:vAlign w:val="bottom"/>
          </w:tcPr>
          <w:p>
            <w:pPr>
              <w:ind w:left="300"/>
              <w:spacing w:after="0"/>
              <w:rPr>
                <w:sz w:val="20"/>
                <w:szCs w:val="20"/>
                <w:color w:val="auto"/>
              </w:rPr>
            </w:pPr>
            <w:r>
              <w:rPr>
                <w:rFonts w:ascii="Arial" w:cs="Arial" w:eastAsia="Arial" w:hAnsi="Arial"/>
                <w:sz w:val="18"/>
                <w:szCs w:val="18"/>
                <w:b w:val="1"/>
                <w:bCs w:val="1"/>
                <w:color w:val="auto"/>
              </w:rPr>
              <w:t>INVENTORIES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40"/>
        </w:trPr>
        <w:tc>
          <w:tcPr>
            <w:tcW w:w="800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6"/>
        </w:trPr>
        <w:tc>
          <w:tcPr>
            <w:tcW w:w="420" w:type="dxa"/>
            <w:vAlign w:val="bottom"/>
            <w:tcBorders>
              <w:bottom w:val="single" w:sz="8" w:color="CCEEFF"/>
            </w:tcBorders>
          </w:tcPr>
          <w:p>
            <w:pPr>
              <w:spacing w:after="0"/>
              <w:rPr>
                <w:sz w:val="24"/>
                <w:szCs w:val="24"/>
                <w:color w:val="auto"/>
              </w:rPr>
            </w:pPr>
          </w:p>
        </w:tc>
        <w:tc>
          <w:tcPr>
            <w:tcW w:w="758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February 29, 2020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August 31, 2019</w:t>
            </w: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3,908,268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1,980,816</w:t>
            </w:r>
          </w:p>
        </w:tc>
      </w:tr>
      <w:tr>
        <w:trPr>
          <w:trHeight w:val="230"/>
        </w:trPr>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7,516,116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8,507,912</w:t>
            </w:r>
          </w:p>
        </w:tc>
      </w:tr>
      <w:tr>
        <w:trPr>
          <w:trHeight w:val="223"/>
        </w:trPr>
        <w:tc>
          <w:tcPr>
            <w:tcW w:w="420" w:type="dxa"/>
            <w:vAlign w:val="bottom"/>
            <w:tcBorders>
              <w:bottom w:val="single" w:sz="8" w:color="CCEEFF"/>
            </w:tcBorders>
            <w:shd w:val="clear" w:color="auto" w:fill="CCEEFF"/>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11,424,384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10,488,728</w:t>
            </w:r>
          </w:p>
        </w:tc>
      </w:tr>
      <w:tr>
        <w:trPr>
          <w:trHeight w:val="20"/>
        </w:trPr>
        <w:tc>
          <w:tcPr>
            <w:tcW w:w="4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40" w:type="dxa"/>
            <w:vAlign w:val="bottom"/>
            <w:tcBorders>
              <w:bottom w:val="single" w:sz="8" w:color="CCEEFF"/>
            </w:tcBorders>
          </w:tcPr>
          <w:p>
            <w:pPr>
              <w:spacing w:after="0"/>
              <w:rPr>
                <w:sz w:val="24"/>
                <w:szCs w:val="24"/>
                <w:color w:val="auto"/>
              </w:rPr>
            </w:pPr>
          </w:p>
        </w:tc>
        <w:tc>
          <w:tcPr>
            <w:tcW w:w="746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February 29, 2020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August 31, 2019</w:t>
            </w:r>
          </w:p>
        </w:tc>
        <w:tc>
          <w:tcPr>
            <w:tcW w:w="0" w:type="dxa"/>
            <w:vAlign w:val="bottom"/>
          </w:tcPr>
          <w:p>
            <w:pPr>
              <w:spacing w:after="0"/>
              <w:rPr>
                <w:sz w:val="1"/>
                <w:szCs w:val="1"/>
                <w:color w:val="auto"/>
              </w:rPr>
            </w:pPr>
          </w:p>
        </w:tc>
      </w:tr>
      <w:tr>
        <w:trPr>
          <w:trHeight w:val="209"/>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74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7,942,162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7,749,980</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4,991,681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4,903,664</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13,244,208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12,964,009</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(6,016,684)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(5,605,850)</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7,227,524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7,358,159</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74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PATENTS AND TRADEMARKS, NET</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 w:type="dxa"/>
            <w:vAlign w:val="bottom"/>
            <w:vMerge w:val="continue"/>
          </w:tcPr>
          <w:p>
            <w:pPr>
              <w:spacing w:after="0"/>
              <w:rPr>
                <w:sz w:val="24"/>
                <w:szCs w:val="24"/>
                <w:color w:val="auto"/>
              </w:rPr>
            </w:pPr>
          </w:p>
        </w:tc>
        <w:tc>
          <w:tcPr>
            <w:tcW w:w="74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00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0" w:type="dxa"/>
            <w:vAlign w:val="bottom"/>
            <w:tcBorders>
              <w:bottom w:val="single" w:sz="8" w:color="CCEEFF"/>
            </w:tcBorders>
          </w:tcPr>
          <w:p>
            <w:pPr>
              <w:spacing w:after="0"/>
              <w:rPr>
                <w:sz w:val="24"/>
                <w:szCs w:val="24"/>
                <w:color w:val="auto"/>
              </w:rPr>
            </w:pPr>
          </w:p>
        </w:tc>
        <w:tc>
          <w:tcPr>
            <w:tcW w:w="746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February 29, 2020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August 31, 2019</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2,978,210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2,938,876</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accumulated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(2,048,078)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(1,929,907)</w:t>
            </w:r>
          </w:p>
        </w:tc>
        <w:tc>
          <w:tcPr>
            <w:tcW w:w="0" w:type="dxa"/>
            <w:vAlign w:val="bottom"/>
          </w:tcPr>
          <w:p>
            <w:pPr>
              <w:spacing w:after="0"/>
              <w:rPr>
                <w:sz w:val="1"/>
                <w:szCs w:val="1"/>
                <w:color w:val="auto"/>
              </w:rPr>
            </w:pPr>
          </w:p>
        </w:tc>
      </w:tr>
      <w:tr>
        <w:trPr>
          <w:trHeight w:val="223"/>
        </w:trPr>
        <w:tc>
          <w:tcPr>
            <w:tcW w:w="540" w:type="dxa"/>
            <w:vAlign w:val="bottom"/>
            <w:tcBorders>
              <w:bottom w:val="single" w:sz="8" w:color="CCEEFF"/>
            </w:tcBorders>
            <w:shd w:val="clear" w:color="auto" w:fill="CCEEFF"/>
          </w:tcPr>
          <w:p>
            <w:pPr>
              <w:spacing w:after="0"/>
              <w:rPr>
                <w:sz w:val="19"/>
                <w:szCs w:val="19"/>
                <w:color w:val="auto"/>
              </w:rPr>
            </w:pPr>
          </w:p>
        </w:tc>
        <w:tc>
          <w:tcPr>
            <w:tcW w:w="74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930,132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1,008,969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be $200,000 in each of the next five fiscal years.</w:t>
      </w:r>
    </w:p>
    <w:p>
      <w:pPr>
        <w:spacing w:after="0" w:line="288" w:lineRule="exact"/>
        <w:rPr>
          <w:sz w:val="20"/>
          <w:szCs w:val="20"/>
          <w:color w:val="auto"/>
        </w:rPr>
      </w:pPr>
    </w:p>
    <w:p>
      <w:pPr>
        <w:ind w:left="720" w:hanging="712"/>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recorded that remain on the consolidated balance sheet of sales from the Company to its joint ventures and from joint ventures to other joint ventures have been eliminated for financial reporting purposes.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and all the Company’s other joint ventures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w w:val="92"/>
              </w:rPr>
              <w:t>As of February 29, 2020</w:t>
            </w:r>
          </w:p>
        </w:tc>
        <w:tc>
          <w:tcPr>
            <w:tcW w:w="130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All Other</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52,843,263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23,302,245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29,541,018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56,806,232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25,573,425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31,232,807</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13,446,110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3,357,346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10,088,764</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19,924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43,340,198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22,216,079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21,124,119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w w:val="98"/>
              </w:rPr>
              <w:t>Northern Technologies International Corporation’s share of joint ventures’ equity</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21,297,202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11,108,042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10,189,160</w:t>
            </w:r>
          </w:p>
        </w:tc>
      </w:tr>
      <w:tr>
        <w:trPr>
          <w:trHeight w:val="202"/>
        </w:trPr>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19,267,931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11,077,137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8,190,794</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7"/>
          </w:tcPr>
          <w:p>
            <w:pPr>
              <w:jc w:val="right"/>
              <w:ind w:right="830"/>
              <w:spacing w:after="0"/>
              <w:rPr>
                <w:sz w:val="20"/>
                <w:szCs w:val="20"/>
                <w:color w:val="auto"/>
              </w:rPr>
            </w:pPr>
            <w:r>
              <w:rPr>
                <w:rFonts w:ascii="Arial" w:cs="Arial" w:eastAsia="Arial" w:hAnsi="Arial"/>
                <w:sz w:val="18"/>
                <w:szCs w:val="18"/>
                <w:b w:val="1"/>
                <w:bCs w:val="1"/>
                <w:color w:val="auto"/>
              </w:rPr>
              <w:t>Three Months Ended February 29, 2020</w:t>
            </w:r>
          </w:p>
        </w:tc>
      </w:tr>
      <w:tr>
        <w:trPr>
          <w:trHeight w:val="223"/>
        </w:trPr>
        <w:tc>
          <w:tcPr>
            <w:tcW w:w="6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24,289,370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8,980,176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15,309,194</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11,102,573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5,262,082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5,840,491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2,721,542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1,778,027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943,516</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 from</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5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1,360,804</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889,226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471,578</w:t>
            </w: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54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5,353,552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4,675,850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677,702</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7"/>
          </w:tcPr>
          <w:p>
            <w:pPr>
              <w:jc w:val="right"/>
              <w:ind w:right="930"/>
              <w:spacing w:after="0"/>
              <w:rPr>
                <w:sz w:val="20"/>
                <w:szCs w:val="20"/>
                <w:color w:val="auto"/>
              </w:rPr>
            </w:pPr>
            <w:r>
              <w:rPr>
                <w:rFonts w:ascii="Arial" w:cs="Arial" w:eastAsia="Arial" w:hAnsi="Arial"/>
                <w:sz w:val="18"/>
                <w:szCs w:val="18"/>
                <w:b w:val="1"/>
                <w:bCs w:val="1"/>
                <w:color w:val="auto"/>
              </w:rPr>
              <w:t>Six Months Ended February 29, 2020</w:t>
            </w:r>
          </w:p>
        </w:tc>
      </w:tr>
      <w:tr>
        <w:trPr>
          <w:trHeight w:val="223"/>
        </w:trPr>
        <w:tc>
          <w:tcPr>
            <w:tcW w:w="6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All Other</w:t>
            </w: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49,749,664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18,348,415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31,401,249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22,459,707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10,587,570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11,872,137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5,309,523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3,420,354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1,889,169</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 from</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5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2,654,794</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1,710,390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944,404</w:t>
            </w: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54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5,558,926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4,675,850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883,133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1"/>
              </w:rPr>
              <w:t>As of August 31, 2019</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6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EXCOR</w:t>
            </w:r>
          </w:p>
        </w:tc>
        <w:tc>
          <w:tcPr>
            <w:tcW w:w="260" w:type="dxa"/>
            <w:vAlign w:val="bottom"/>
          </w:tcPr>
          <w:p>
            <w:pPr>
              <w:spacing w:after="0"/>
              <w:rPr>
                <w:sz w:val="19"/>
                <w:szCs w:val="19"/>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59,162,834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29,139,787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30,023,047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63,326,703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31,666,841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31,659,862</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14,145,499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3,573,160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10,572,339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20,797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20,797</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49,160,407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28,093,681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21,066,726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w w:val="98"/>
              </w:rPr>
              <w:t>Northern Technologies International Corporation’s share of joint ventures’ equity</w:t>
            </w: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24,207,339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14,046,842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10,160,497</w:t>
            </w:r>
          </w:p>
        </w:tc>
      </w:tr>
      <w:tr>
        <w:trPr>
          <w:trHeight w:val="202"/>
        </w:trPr>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22,178,126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14,015,937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8,162,189</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8"/>
          </w:tcPr>
          <w:p>
            <w:pPr>
              <w:jc w:val="right"/>
              <w:ind w:right="830"/>
              <w:spacing w:after="0"/>
              <w:rPr>
                <w:sz w:val="20"/>
                <w:szCs w:val="20"/>
                <w:color w:val="auto"/>
              </w:rPr>
            </w:pPr>
            <w:r>
              <w:rPr>
                <w:rFonts w:ascii="Arial" w:cs="Arial" w:eastAsia="Arial" w:hAnsi="Arial"/>
                <w:sz w:val="18"/>
                <w:szCs w:val="18"/>
                <w:b w:val="1"/>
                <w:bCs w:val="1"/>
                <w:color w:val="auto"/>
              </w:rPr>
              <w:t>Three Months Ended February 28, 2019</w:t>
            </w:r>
          </w:p>
        </w:tc>
      </w:tr>
      <w:tr>
        <w:trPr>
          <w:trHeight w:val="223"/>
        </w:trPr>
        <w:tc>
          <w:tcPr>
            <w:tcW w:w="6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19"/>
                <w:szCs w:val="19"/>
                <w:color w:val="auto"/>
              </w:rPr>
            </w:pPr>
          </w:p>
        </w:tc>
        <w:tc>
          <w:tcPr>
            <w:tcW w:w="1240" w:type="dxa"/>
            <w:vAlign w:val="bottom"/>
            <w:gridSpan w:val="2"/>
          </w:tcPr>
          <w:p>
            <w:pPr>
              <w:ind w:left="520"/>
              <w:spacing w:after="0"/>
              <w:rPr>
                <w:sz w:val="20"/>
                <w:szCs w:val="20"/>
                <w:color w:val="auto"/>
              </w:rPr>
            </w:pPr>
            <w:r>
              <w:rPr>
                <w:rFonts w:ascii="Arial" w:cs="Arial" w:eastAsia="Arial" w:hAnsi="Arial"/>
                <w:sz w:val="18"/>
                <w:szCs w:val="18"/>
                <w:b w:val="1"/>
                <w:bCs w:val="1"/>
                <w:color w:val="auto"/>
              </w:rPr>
              <w:t>EXCOR</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All Other</w:t>
            </w: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27,749,880</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11,092,133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16,657,747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12,632,547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6,306,084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6,326,463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3,450,976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2,440,323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1,010,653</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 from</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5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1,715,216</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1,221,006</w:t>
            </w:r>
          </w:p>
        </w:tc>
        <w:tc>
          <w:tcPr>
            <w:tcW w:w="60" w:type="dxa"/>
            <w:vAlign w:val="bottom"/>
          </w:tcPr>
          <w:p>
            <w:pPr>
              <w:spacing w:after="0"/>
              <w:rPr>
                <w:sz w:val="20"/>
                <w:szCs w:val="20"/>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494,210</w:t>
            </w: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54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540,538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540,538</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8"/>
          </w:tcPr>
          <w:p>
            <w:pPr>
              <w:jc w:val="right"/>
              <w:ind w:right="930"/>
              <w:spacing w:after="0"/>
              <w:rPr>
                <w:sz w:val="20"/>
                <w:szCs w:val="20"/>
                <w:color w:val="auto"/>
              </w:rPr>
            </w:pPr>
            <w:r>
              <w:rPr>
                <w:rFonts w:ascii="Arial" w:cs="Arial" w:eastAsia="Arial" w:hAnsi="Arial"/>
                <w:sz w:val="18"/>
                <w:szCs w:val="18"/>
                <w:b w:val="1"/>
                <w:bCs w:val="1"/>
                <w:color w:val="auto"/>
              </w:rPr>
              <w:t>Six Months Ended February 28, 2019</w:t>
            </w:r>
          </w:p>
        </w:tc>
      </w:tr>
      <w:tr>
        <w:trPr>
          <w:trHeight w:val="223"/>
        </w:trPr>
        <w:tc>
          <w:tcPr>
            <w:tcW w:w="1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spacing w:after="0"/>
              <w:rPr>
                <w:sz w:val="19"/>
                <w:szCs w:val="19"/>
                <w:color w:val="auto"/>
              </w:rPr>
            </w:pPr>
          </w:p>
        </w:tc>
        <w:tc>
          <w:tcPr>
            <w:tcW w:w="1260" w:type="dxa"/>
            <w:vAlign w:val="bottom"/>
            <w:gridSpan w:val="2"/>
          </w:tcPr>
          <w:p>
            <w:pPr>
              <w:ind w:left="540"/>
              <w:spacing w:after="0"/>
              <w:rPr>
                <w:sz w:val="20"/>
                <w:szCs w:val="20"/>
                <w:color w:val="auto"/>
              </w:rPr>
            </w:pPr>
            <w:r>
              <w:rPr>
                <w:rFonts w:ascii="Arial" w:cs="Arial" w:eastAsia="Arial" w:hAnsi="Arial"/>
                <w:sz w:val="18"/>
                <w:szCs w:val="18"/>
                <w:b w:val="1"/>
                <w:bCs w:val="1"/>
                <w:color w:val="auto"/>
              </w:rPr>
              <w:t>EXCOR</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All Other</w:t>
            </w:r>
          </w:p>
        </w:tc>
      </w:tr>
      <w:tr>
        <w:trPr>
          <w:trHeight w:val="209"/>
        </w:trPr>
        <w:tc>
          <w:tcPr>
            <w:tcW w:w="6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58,229,806</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23,961,656</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34,268,150</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25,989,438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12,989,658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12,999,780</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7,614,767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5,480,125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2,134,642</w:t>
            </w:r>
          </w:p>
        </w:tc>
      </w:tr>
      <w:tr>
        <w:trPr>
          <w:trHeight w:val="202"/>
        </w:trPr>
        <w:tc>
          <w:tcPr>
            <w:tcW w:w="6120" w:type="dxa"/>
            <w:vAlign w:val="bottom"/>
            <w:gridSpan w:val="2"/>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 from</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160" w:type="dxa"/>
            <w:vAlign w:val="bottom"/>
          </w:tcPr>
          <w:p>
            <w:pPr>
              <w:spacing w:after="0"/>
              <w:rPr>
                <w:sz w:val="20"/>
                <w:szCs w:val="20"/>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joint ventures</w:t>
            </w:r>
          </w:p>
        </w:tc>
        <w:tc>
          <w:tcPr>
            <w:tcW w:w="5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3,719,378</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2,740,907</w:t>
            </w:r>
          </w:p>
        </w:tc>
        <w:tc>
          <w:tcPr>
            <w:tcW w:w="60" w:type="dxa"/>
            <w:vAlign w:val="bottom"/>
          </w:tcPr>
          <w:p>
            <w:pPr>
              <w:spacing w:after="0"/>
              <w:rPr>
                <w:sz w:val="20"/>
                <w:szCs w:val="20"/>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978,471</w:t>
            </w:r>
          </w:p>
        </w:tc>
      </w:tr>
      <w:tr>
        <w:trPr>
          <w:trHeight w:val="202"/>
        </w:trPr>
        <w:tc>
          <w:tcPr>
            <w:tcW w:w="6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160" w:type="dxa"/>
            <w:vAlign w:val="bottom"/>
            <w:shd w:val="clear" w:color="auto" w:fill="CCEEFF"/>
          </w:tcPr>
          <w:p>
            <w:pPr>
              <w:spacing w:after="0"/>
              <w:rPr>
                <w:sz w:val="20"/>
                <w:szCs w:val="20"/>
                <w:color w:val="auto"/>
              </w:rPr>
            </w:pP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ventures</w:t>
            </w:r>
          </w:p>
        </w:tc>
        <w:tc>
          <w:tcPr>
            <w:tcW w:w="54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2,027,243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843,750</w:t>
            </w:r>
          </w:p>
        </w:tc>
        <w:tc>
          <w:tcPr>
            <w:tcW w:w="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183,493</w:t>
            </w:r>
          </w:p>
        </w:tc>
      </w:tr>
      <w:tr>
        <w:trPr>
          <w:trHeight w:val="230"/>
        </w:trPr>
        <w:tc>
          <w:tcPr>
            <w:tcW w:w="9640" w:type="dxa"/>
            <w:vAlign w:val="bottom"/>
            <w:gridSpan w:val="9"/>
          </w:tcPr>
          <w:p>
            <w:pPr>
              <w:spacing w:after="0"/>
              <w:rPr>
                <w:sz w:val="20"/>
                <w:szCs w:val="20"/>
                <w:color w:val="auto"/>
              </w:rPr>
            </w:pPr>
            <w:r>
              <w:rPr>
                <w:rFonts w:ascii="Arial" w:cs="Arial" w:eastAsia="Arial" w:hAnsi="Arial"/>
                <w:sz w:val="18"/>
                <w:szCs w:val="18"/>
                <w:color w:val="auto"/>
                <w:w w:val="94"/>
              </w:rPr>
              <w:t>The Company did not make any joint venture investments during the six months ended February 29, 2020 or February 28, 2019.</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26"/>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5960" w:type="dxa"/>
            <w:vAlign w:val="bottom"/>
          </w:tcPr>
          <w:p>
            <w:pPr>
              <w:ind w:left="560"/>
              <w:spacing w:after="0"/>
              <w:rPr>
                <w:sz w:val="20"/>
                <w:szCs w:val="20"/>
                <w:color w:val="auto"/>
              </w:rPr>
            </w:pPr>
            <w:r>
              <w:rPr>
                <w:rFonts w:ascii="Arial" w:cs="Arial" w:eastAsia="Arial" w:hAnsi="Arial"/>
                <w:sz w:val="18"/>
                <w:szCs w:val="18"/>
                <w:b w:val="1"/>
                <w:bCs w:val="1"/>
                <w:color w:val="auto"/>
              </w:rPr>
              <w:t>CORPORATE DEBT</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 revolving line of credit with PNC Bank, National Association (PNC Bank) of $3,000,000. No amounts were outstanding under the line of credit as of either February 29, 2020 or August 31, 2019.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3" w:name="page14"/>
    <w:bookmarkEnd w:id="13"/>
    <w:p>
      <w:pPr>
        <w:ind w:right="120"/>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February 29, 2020, the Company was in compliance with all debt covenants.</w:t>
      </w:r>
    </w:p>
    <w:p>
      <w:pPr>
        <w:spacing w:after="0" w:line="18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revolving credit facility allows the Company to request that PNC Bank issue letters of credit up to $1,200,000. The Company did not have any letters of credit reserved against the available letters of credit balance as of February 29, 2020 and August 31, 2019 with PNC Bank. The availability of advances under the line of credit will be reduced by the face amount of any letter of credit issued and outstanding (whether or not drawn) under the revolving credit facility.</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December 16, 2019, the Company and PNC Bank extended the maturity date of the line of credit from January 7, 2020 to January 7, 2021. All other terms of the line of credit and the loan agreement and other documents evidencing the line of credit remain the same.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February 29, 2020 and August 31, 2019, the Company had $88,831 of letters of credit with JP Morgan Chase Bank that are performance based and set to expire between May 2020 and May 2022.</w:t>
      </w:r>
    </w:p>
    <w:p>
      <w:pPr>
        <w:spacing w:after="0" w:line="274"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33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June 3, 2019, the Company’s Board of Directors declared a two-for-one stock split of the Company’s common stock effected in the form of a 100% share dividend distributed on June 28, 2019 to record holders as of June 17, 2019. All share and per share values have been adjusted to retroactively reflect the effect of the two-for-one stock split.</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six months ended February 29, 2020, the Company’s Board of Directors declared cash dividends on the following dates in the following amounts to the following holders of the Company’s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Declaration Date</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9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2"/>
              </w:rPr>
              <w:t>Record Date</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October 22, 2019</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$0.065</w:t>
            </w:r>
          </w:p>
        </w:tc>
        <w:tc>
          <w:tcPr>
            <w:tcW w:w="29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November 6, 2019</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20, 2019</w:t>
            </w:r>
          </w:p>
        </w:tc>
      </w:tr>
      <w:tr>
        <w:trPr>
          <w:trHeight w:val="230"/>
        </w:trPr>
        <w:tc>
          <w:tcPr>
            <w:tcW w:w="2980" w:type="dxa"/>
            <w:vAlign w:val="bottom"/>
          </w:tcPr>
          <w:p>
            <w:pPr>
              <w:jc w:val="center"/>
              <w:ind w:right="70"/>
              <w:spacing w:after="0"/>
              <w:rPr>
                <w:sz w:val="20"/>
                <w:szCs w:val="20"/>
                <w:color w:val="auto"/>
              </w:rPr>
            </w:pPr>
            <w:r>
              <w:rPr>
                <w:rFonts w:ascii="Arial" w:cs="Arial" w:eastAsia="Arial" w:hAnsi="Arial"/>
                <w:sz w:val="18"/>
                <w:szCs w:val="18"/>
                <w:color w:val="auto"/>
                <w:w w:val="87"/>
              </w:rPr>
              <w:t>January 22, 2020</w:t>
            </w:r>
          </w:p>
        </w:tc>
        <w:tc>
          <w:tcPr>
            <w:tcW w:w="2460" w:type="dxa"/>
            <w:vAlign w:val="bottom"/>
          </w:tcPr>
          <w:p>
            <w:pPr>
              <w:jc w:val="center"/>
              <w:spacing w:after="0"/>
              <w:rPr>
                <w:sz w:val="20"/>
                <w:szCs w:val="20"/>
                <w:color w:val="auto"/>
              </w:rPr>
            </w:pPr>
            <w:r>
              <w:rPr>
                <w:rFonts w:ascii="Arial" w:cs="Arial" w:eastAsia="Arial" w:hAnsi="Arial"/>
                <w:sz w:val="18"/>
                <w:szCs w:val="18"/>
                <w:color w:val="auto"/>
                <w:w w:val="87"/>
              </w:rPr>
              <w:t>$0.065</w:t>
            </w:r>
          </w:p>
        </w:tc>
        <w:tc>
          <w:tcPr>
            <w:tcW w:w="2960" w:type="dxa"/>
            <w:vAlign w:val="bottom"/>
          </w:tcPr>
          <w:p>
            <w:pPr>
              <w:jc w:val="center"/>
              <w:ind w:left="130"/>
              <w:spacing w:after="0"/>
              <w:rPr>
                <w:sz w:val="20"/>
                <w:szCs w:val="20"/>
                <w:color w:val="auto"/>
              </w:rPr>
            </w:pPr>
            <w:r>
              <w:rPr>
                <w:rFonts w:ascii="Arial" w:cs="Arial" w:eastAsia="Arial" w:hAnsi="Arial"/>
                <w:sz w:val="18"/>
                <w:szCs w:val="18"/>
                <w:color w:val="auto"/>
                <w:w w:val="88"/>
              </w:rPr>
              <w:t>February 5, 2020</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bl>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six months ended February 28, 2019, the Company’s Board of Directors declared cash dividends on the following dates in the following amounts to the following holders of the Company’s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Declaration Date</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9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2"/>
              </w:rPr>
              <w:t>Record Date</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30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October 24, 2018</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$0.06</w:t>
            </w:r>
          </w:p>
        </w:tc>
        <w:tc>
          <w:tcPr>
            <w:tcW w:w="29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November 7, 2018</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21, 2018</w:t>
            </w:r>
          </w:p>
        </w:tc>
      </w:tr>
      <w:tr>
        <w:trPr>
          <w:trHeight w:val="230"/>
        </w:trPr>
        <w:tc>
          <w:tcPr>
            <w:tcW w:w="3040" w:type="dxa"/>
            <w:vAlign w:val="bottom"/>
          </w:tcPr>
          <w:p>
            <w:pPr>
              <w:jc w:val="center"/>
              <w:ind w:right="10"/>
              <w:spacing w:after="0"/>
              <w:rPr>
                <w:sz w:val="20"/>
                <w:szCs w:val="20"/>
                <w:color w:val="auto"/>
              </w:rPr>
            </w:pPr>
            <w:r>
              <w:rPr>
                <w:rFonts w:ascii="Arial" w:cs="Arial" w:eastAsia="Arial" w:hAnsi="Arial"/>
                <w:sz w:val="18"/>
                <w:szCs w:val="18"/>
                <w:color w:val="auto"/>
                <w:w w:val="87"/>
              </w:rPr>
              <w:t>January 23, 2019</w:t>
            </w: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$0.06</w:t>
            </w:r>
          </w:p>
        </w:tc>
        <w:tc>
          <w:tcPr>
            <w:tcW w:w="2920" w:type="dxa"/>
            <w:vAlign w:val="bottom"/>
          </w:tcPr>
          <w:p>
            <w:pPr>
              <w:jc w:val="center"/>
              <w:ind w:left="90"/>
              <w:spacing w:after="0"/>
              <w:rPr>
                <w:sz w:val="20"/>
                <w:szCs w:val="20"/>
                <w:color w:val="auto"/>
              </w:rPr>
            </w:pPr>
            <w:r>
              <w:rPr>
                <w:rFonts w:ascii="Arial" w:cs="Arial" w:eastAsia="Arial" w:hAnsi="Arial"/>
                <w:sz w:val="18"/>
                <w:szCs w:val="18"/>
                <w:color w:val="auto"/>
                <w:w w:val="88"/>
              </w:rPr>
              <w:t>February 6, 2019</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February 29, 2020 and February 28, 2019, the Company repurchased no shares of its common stock.</w:t>
      </w:r>
    </w:p>
    <w:p>
      <w:pPr>
        <w:spacing w:after="0" w:line="225"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During the six months ended February 29, 2020, the Company granted stock options under the Northern Technologies International Corporation 2019 Stock Incentive Plan (the 2019 Plan) to purchase an aggregate of 300,770 shares of its common stock to various employees and directors. The weighted average per share exercise price of the stock options is $10.87, which was equal to the fair market value of the Company’s common stock on the date of grant. During the six months ended February 29, 2020, no stock options to purchase common stock were exercised.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spacing w:after="0" w:line="301" w:lineRule="auto"/>
        <w:rPr>
          <w:sz w:val="20"/>
          <w:szCs w:val="20"/>
          <w:color w:val="auto"/>
        </w:rPr>
      </w:pPr>
      <w:r>
        <w:rPr>
          <w:rFonts w:ascii="Arial" w:cs="Arial" w:eastAsia="Arial" w:hAnsi="Arial"/>
          <w:sz w:val="16"/>
          <w:szCs w:val="16"/>
          <w:color w:val="auto"/>
        </w:rPr>
        <w:t>During the six months ended February 28, 2019, the Company granted stock options under the Northern Technologies International Corporation Amended and Restated 2007 Stock Incentive Plan (the 2007 Plan) to purchase an aggregate of 141,767 shares of its common stock to various employees and directors. The weighted average per share exercise price of the stock options is $18.23, which was equal to the fair market value of the Company’s common stock on the date of grant. During the six months ended February 28, 2019, no stock options to purchase common stock were exercised.</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issued 3,597 and 1,748 shares of common stock on September 1, 2019 and 2018, respectively, under the Northern Technologies International Corporation Employee Stock Purchase Plan (the ESPP).</w:t>
      </w:r>
    </w:p>
    <w:p>
      <w:pPr>
        <w:spacing w:after="0" w:line="166"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33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income per share computation for the three and six months ended February 29, 2020 and February 28, 2019: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5"/>
          </w:tcPr>
          <w:p>
            <w:pPr>
              <w:ind w:left="6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30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February 29,</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8"/>
              </w:rPr>
              <w:t>February 29,</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8"/>
              </w:rPr>
              <w:t>February 28,</w:t>
            </w:r>
          </w:p>
        </w:tc>
        <w:tc>
          <w:tcPr>
            <w:tcW w:w="0" w:type="dxa"/>
            <w:vAlign w:val="bottom"/>
          </w:tcPr>
          <w:p>
            <w:pPr>
              <w:spacing w:after="0"/>
              <w:rPr>
                <w:sz w:val="1"/>
                <w:szCs w:val="1"/>
                <w:color w:val="auto"/>
              </w:rPr>
            </w:pPr>
          </w:p>
        </w:tc>
      </w:tr>
      <w:tr>
        <w:trPr>
          <w:trHeight w:val="234"/>
        </w:trPr>
        <w:tc>
          <w:tcPr>
            <w:tcW w:w="46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179,834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1,401,568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1,392,384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2,898,627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2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9,097,236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9,084,354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9,095,604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9,084,350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shares assumed upon exercise of stock options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364,491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363,506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288,263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378,866</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2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9,461,727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9,447,860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9,383,867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9,463,216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method when computing the diluted net income per share. Excluded from the computation of diluted income per share for the three and six months ended February 29, 2020 were options outstanding to purchase 141,768 shares of common stock. Excluded from the computation of diluted income per share for the three and six months ended February 28, 2019, were options outstanding to purchase 141,768 shares of common stock.</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33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Company has three stock-based compensation plans under which stock options or other stock-based awards have been granted: the Northern Technologies International Corporation 2019 Stock Incentive Plan, which was approved by stockholders at the 2019 annual meeting of stockholders, the Northern Technologies International Corporation Amended and Restated 2007 Stock Incentive Plan and the Northern Technologies International Corporation Employee Stock Purchase Plan. The 2019 Plan replaced the 2007 Plan with respect to future grants; and, therefore, no further awards may be made under the 2007 Plan. The Compensation Committee of the Board of Directors and the Board of Directors administer these plans.</w:t>
      </w:r>
    </w:p>
    <w:p>
      <w:pPr>
        <w:spacing w:after="0" w:line="16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2019 Plan, up to a maximum of 800,000 shares of the Company’s common stock are issuable under the 2019 Plan. Options granted generally have a term of ten years and become exercisable over a one- or three- year period beginning on the one-year anniversary of the date of grant. Options are granted at per share exercise prices equal to the market value of the Company’s common stock on the date of grant. The Company issues new shares upon the exercise of options. As of February 29, 2020, options to purchase an aggregate of 300,770 shares of the Company’s common stock had been granted under the 2019 Plan.</w:t>
      </w:r>
    </w:p>
    <w:p>
      <w:pPr>
        <w:spacing w:after="0" w:line="178"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maximum number of shares of common stock of the Company available for issuance under the ESPP is 200,000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 As of February 29, 2020, 87,447 shares of common stock remained available for sale under the ESPP.</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granted options to purchase an aggregate of 300,770 and 141,768 shares of its common stock during the six months ended February 29, 2020 and February 28, 2019, respectively. The fair value of option grants is determined at the date of grant using the Black-Scholes option pricing model with the assumptions listed below. The Company recognized compensation expense of $658,470 and $715,960 during the six months ended February 29, 2020 and February 28, 2019, respectively, related to the options that vested during such time period. As of February 29, 2020, the total compensation cost for non-vested options not yet recognized in the Company’s consolidated statements of operations was $700,138. Stock-based compensation expense of $679,304 is expected through the remainder of fiscal year 2020 and $20,834 is expected to be recognized during fiscal 2021, based on outstanding options as of February 29, 2020. Future option grants will impact the compensation expense recognized. Stock-based compensation expense is included in general and administrative expense on the consolidated statements of operations.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 pricing model with the following assumptions and results for the grants: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5480" w:type="dxa"/>
            <w:vAlign w:val="bottom"/>
            <w:tcBorders>
              <w:bottom w:val="single" w:sz="8" w:color="auto"/>
            </w:tcBorders>
            <w:gridSpan w:val="3"/>
          </w:tcPr>
          <w:p>
            <w:pPr>
              <w:ind w:left="1620"/>
              <w:spacing w:after="0"/>
              <w:rPr>
                <w:sz w:val="20"/>
                <w:szCs w:val="20"/>
                <w:color w:val="auto"/>
              </w:rPr>
            </w:pPr>
            <w:r>
              <w:rPr>
                <w:rFonts w:ascii="Arial" w:cs="Arial" w:eastAsia="Arial" w:hAnsi="Arial"/>
                <w:sz w:val="18"/>
                <w:szCs w:val="18"/>
                <w:b w:val="1"/>
                <w:bCs w:val="1"/>
                <w:color w:val="auto"/>
              </w:rPr>
              <w:t>Three and Six Months Ended</w:t>
            </w:r>
          </w:p>
        </w:tc>
      </w:tr>
      <w:tr>
        <w:trPr>
          <w:trHeight w:val="209"/>
        </w:trPr>
        <w:tc>
          <w:tcPr>
            <w:tcW w:w="5760" w:type="dxa"/>
            <w:vAlign w:val="bottom"/>
          </w:tcPr>
          <w:p>
            <w:pPr>
              <w:spacing w:after="0"/>
              <w:rPr>
                <w:sz w:val="18"/>
                <w:szCs w:val="18"/>
                <w:color w:val="auto"/>
              </w:rPr>
            </w:pPr>
          </w:p>
        </w:tc>
        <w:tc>
          <w:tcPr>
            <w:tcW w:w="3080" w:type="dxa"/>
            <w:vAlign w:val="bottom"/>
            <w:gridSpan w:val="2"/>
          </w:tcPr>
          <w:p>
            <w:pPr>
              <w:ind w:left="520"/>
              <w:spacing w:after="0"/>
              <w:rPr>
                <w:sz w:val="20"/>
                <w:szCs w:val="20"/>
                <w:color w:val="auto"/>
              </w:rPr>
            </w:pPr>
            <w:r>
              <w:rPr>
                <w:rFonts w:ascii="Arial" w:cs="Arial" w:eastAsia="Arial" w:hAnsi="Arial"/>
                <w:sz w:val="18"/>
                <w:szCs w:val="18"/>
                <w:b w:val="1"/>
                <w:bCs w:val="1"/>
                <w:color w:val="auto"/>
              </w:rPr>
              <w:t>February 29, 2020</w:t>
            </w:r>
          </w:p>
        </w:tc>
        <w:tc>
          <w:tcPr>
            <w:tcW w:w="2400" w:type="dxa"/>
            <w:vAlign w:val="bottom"/>
          </w:tcPr>
          <w:p>
            <w:pPr>
              <w:ind w:left="500"/>
              <w:spacing w:after="0"/>
              <w:rPr>
                <w:sz w:val="20"/>
                <w:szCs w:val="20"/>
                <w:color w:val="auto"/>
              </w:rPr>
            </w:pPr>
            <w:r>
              <w:rPr>
                <w:rFonts w:ascii="Arial" w:cs="Arial" w:eastAsia="Arial" w:hAnsi="Arial"/>
                <w:sz w:val="18"/>
                <w:szCs w:val="18"/>
                <w:b w:val="1"/>
                <w:bCs w:val="1"/>
                <w:color w:val="auto"/>
              </w:rPr>
              <w:t>February 28, 2019</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2.15%</w:t>
            </w:r>
          </w:p>
        </w:tc>
        <w:tc>
          <w:tcPr>
            <w:tcW w:w="66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1.32%</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Expected volatility</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45.2%</w:t>
            </w:r>
          </w:p>
        </w:tc>
        <w:tc>
          <w:tcPr>
            <w:tcW w:w="66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45.8%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66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1.57%</w:t>
            </w:r>
          </w:p>
        </w:tc>
        <w:tc>
          <w:tcPr>
            <w:tcW w:w="66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2.75%</w:t>
            </w: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ind w:right="20"/>
        <w:spacing w:after="0" w:line="263" w:lineRule="auto"/>
        <w:rPr>
          <w:sz w:val="20"/>
          <w:szCs w:val="20"/>
          <w:color w:val="auto"/>
        </w:rPr>
      </w:pPr>
      <w:r>
        <w:rPr>
          <w:rFonts w:ascii="Arial" w:cs="Arial" w:eastAsia="Arial" w:hAnsi="Arial"/>
          <w:sz w:val="18"/>
          <w:szCs w:val="18"/>
          <w:color w:val="auto"/>
        </w:rPr>
        <w:t>The weighted average per share fair value of options granted during the six months ended February 29, 2020 and February 28, 2019 was $4.30 and $9.02, respectively. The weighted average remaining contractual life of the options outstanding as of February 29, 2020 and February 28, 2019 was 6.53 years and 6.40 years, respectively.</w:t>
      </w:r>
    </w:p>
    <w:p>
      <w:pPr>
        <w:spacing w:after="0" w:line="288"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Company’s chief operating decision maker is its Chief Executive Officer. The Company’s business is organized into two reportable segments: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Natur-Tec</w:t>
      </w:r>
      <w:r>
        <w:rPr>
          <w:rFonts w:ascii="Arial" w:cs="Arial" w:eastAsia="Arial" w:hAnsi="Arial"/>
          <w:sz w:val="29"/>
          <w:szCs w:val="29"/>
          <w:color w:val="auto"/>
          <w:vertAlign w:val="superscript"/>
        </w:rPr>
        <w:t>®</w:t>
      </w:r>
      <w:r>
        <w:rPr>
          <w:rFonts w:ascii="Arial" w:cs="Arial" w:eastAsia="Arial" w:hAnsi="Arial"/>
          <w:sz w:val="18"/>
          <w:szCs w:val="18"/>
          <w:color w:val="auto"/>
        </w:rPr>
        <w:t>. The Company has been selling its proprietary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brand.</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Company’s net sales for the three and six months ended February 29, 2020 and February 28, 2019 by segment: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5"/>
          </w:tcPr>
          <w:p>
            <w:pPr>
              <w:ind w:left="6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30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6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February 29,</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8"/>
              </w:rPr>
              <w:t>February 29,</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8"/>
              </w:rPr>
              <w:t>February 28,</w:t>
            </w:r>
          </w:p>
        </w:tc>
      </w:tr>
      <w:tr>
        <w:trPr>
          <w:trHeight w:val="234"/>
        </w:trPr>
        <w:tc>
          <w:tcPr>
            <w:tcW w:w="46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36"/>
        </w:trPr>
        <w:tc>
          <w:tcPr>
            <w:tcW w:w="46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9,016,222</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9,108,395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18,965,734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19,173,569</w:t>
            </w:r>
          </w:p>
        </w:tc>
      </w:tr>
      <w:tr>
        <w:trPr>
          <w:trHeight w:val="270"/>
        </w:trPr>
        <w:tc>
          <w:tcPr>
            <w:tcW w:w="4620" w:type="dxa"/>
            <w:vAlign w:val="bottom"/>
            <w:tcBorders>
              <w:bottom w:val="single" w:sz="8" w:color="CCEEFF"/>
            </w:tcBorders>
          </w:tcPr>
          <w:p>
            <w:pPr>
              <w:spacing w:after="0" w:line="270" w:lineRule="exact"/>
              <w:rPr>
                <w:sz w:val="20"/>
                <w:szCs w:val="20"/>
                <w:color w:val="auto"/>
              </w:rPr>
            </w:pPr>
            <w:r>
              <w:rPr>
                <w:rFonts w:ascii="Arial" w:cs="Arial" w:eastAsia="Arial" w:hAnsi="Arial"/>
                <w:sz w:val="18"/>
                <w:szCs w:val="18"/>
                <w:color w:val="auto"/>
              </w:rPr>
              <w:t>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net sales</w:t>
            </w: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4,217,561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4,207,009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8,899,449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8,235,887</w:t>
            </w:r>
          </w:p>
        </w:tc>
      </w:tr>
      <w:tr>
        <w:trPr>
          <w:trHeight w:val="210"/>
        </w:trPr>
        <w:tc>
          <w:tcPr>
            <w:tcW w:w="4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13,233,783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13,315,404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27,865,183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27,409,456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cost of goods sold for the three and six months ended February 29, 2020 and February 28, 2019 by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Three Months Ended</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Six Months Ended</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February</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February 29,</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February 28,</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0" w:type="dxa"/>
            <w:vAlign w:val="bottom"/>
          </w:tcPr>
          <w:p>
            <w:pPr>
              <w:spacing w:after="0"/>
              <w:rPr>
                <w:sz w:val="1"/>
                <w:szCs w:val="1"/>
                <w:color w:val="auto"/>
              </w:rPr>
            </w:pPr>
          </w:p>
        </w:tc>
      </w:tr>
      <w:tr>
        <w:trPr>
          <w:trHeight w:val="234"/>
        </w:trPr>
        <w:tc>
          <w:tcPr>
            <w:tcW w:w="3180" w:type="dxa"/>
            <w:vAlign w:val="bottom"/>
            <w:vMerge w:val="restart"/>
          </w:tcPr>
          <w:p>
            <w:pPr>
              <w:spacing w:after="0"/>
              <w:rPr>
                <w:sz w:val="20"/>
                <w:szCs w:val="20"/>
                <w:color w:val="auto"/>
              </w:rPr>
            </w:pPr>
            <w:r>
              <w:rPr>
                <w:rFonts w:ascii="Arial" w:cs="Arial" w:eastAsia="Arial" w:hAnsi="Arial"/>
                <w:sz w:val="18"/>
                <w:szCs w:val="18"/>
                <w:color w:val="auto"/>
              </w:rPr>
              <w:t>Direct cost of goods sold</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29, 2020</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28, 2019</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11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11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0" w:type="dxa"/>
            <w:vAlign w:val="bottom"/>
          </w:tcPr>
          <w:p>
            <w:pPr>
              <w:spacing w:after="0"/>
              <w:rPr>
                <w:sz w:val="1"/>
                <w:szCs w:val="1"/>
                <w:color w:val="auto"/>
              </w:rPr>
            </w:pPr>
          </w:p>
        </w:tc>
      </w:tr>
      <w:tr>
        <w:trPr>
          <w:trHeight w:val="209"/>
        </w:trPr>
        <w:tc>
          <w:tcPr>
            <w:tcW w:w="31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ZERUST</w:t>
            </w:r>
            <w:r>
              <w:rPr>
                <w:rFonts w:ascii="Arial" w:cs="Arial" w:eastAsia="Arial" w:hAnsi="Arial"/>
                <w:sz w:val="29"/>
                <w:szCs w:val="29"/>
                <w:color w:val="auto"/>
                <w:vertAlign w:val="superscript"/>
              </w:rPr>
              <w:t>®</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$ 4,638,514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6"/>
              </w:rPr>
              <w:t>$ 5,249,617</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$10,081,686</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$10,871,316</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56"/>
        </w:trPr>
        <w:tc>
          <w:tcPr>
            <w:tcW w:w="3180" w:type="dxa"/>
            <w:vAlign w:val="bottom"/>
          </w:tcPr>
          <w:p>
            <w:pPr>
              <w:ind w:left="140"/>
              <w:spacing w:after="0" w:line="256" w:lineRule="exact"/>
              <w:rPr>
                <w:sz w:val="20"/>
                <w:szCs w:val="20"/>
                <w:color w:val="auto"/>
              </w:rPr>
            </w:pPr>
            <w:r>
              <w:rPr>
                <w:rFonts w:ascii="Arial" w:cs="Arial" w:eastAsia="Arial" w:hAnsi="Arial"/>
                <w:sz w:val="18"/>
                <w:szCs w:val="18"/>
                <w:color w:val="auto"/>
              </w:rPr>
              <w:t>Natur-Tec</w:t>
            </w:r>
            <w:r>
              <w:rPr>
                <w:rFonts w:ascii="Arial" w:cs="Arial" w:eastAsia="Arial" w:hAnsi="Arial"/>
                <w:sz w:val="29"/>
                <w:szCs w:val="29"/>
                <w:color w:val="auto"/>
                <w:vertAlign w:val="superscript"/>
              </w:rPr>
              <w:t>®</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3,276,058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77.7%</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3,354,693</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79.7%</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6,890,477</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6,510,768</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772,729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679,789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1,420,040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1,363,152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3180" w:type="dxa"/>
            <w:vAlign w:val="bottom"/>
          </w:tcPr>
          <w:p>
            <w:pPr>
              <w:spacing w:after="0" w:line="195" w:lineRule="exact"/>
              <w:rPr>
                <w:sz w:val="20"/>
                <w:szCs w:val="20"/>
                <w:color w:val="auto"/>
              </w:rPr>
            </w:pPr>
            <w:r>
              <w:rPr>
                <w:rFonts w:ascii="Arial" w:cs="Arial" w:eastAsia="Arial" w:hAnsi="Arial"/>
                <w:sz w:val="18"/>
                <w:szCs w:val="18"/>
                <w:color w:val="auto"/>
              </w:rPr>
              <w:t>Total net cost of goods sold</w:t>
            </w:r>
          </w:p>
        </w:tc>
        <w:tc>
          <w:tcPr>
            <w:tcW w:w="640" w:type="dxa"/>
            <w:vAlign w:val="bottom"/>
          </w:tcPr>
          <w:p>
            <w:pPr>
              <w:spacing w:after="0"/>
              <w:rPr>
                <w:sz w:val="16"/>
                <w:szCs w:val="16"/>
                <w:color w:val="auto"/>
              </w:rPr>
            </w:pPr>
          </w:p>
        </w:tc>
        <w:tc>
          <w:tcPr>
            <w:tcW w:w="9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86"/>
              </w:rPr>
              <w:t>$ 8,687,301</w:t>
            </w: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86"/>
              </w:rPr>
              <w:t>$ 9,284,099</w:t>
            </w: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89"/>
              </w:rPr>
              <w:t>$18,492,385</w:t>
            </w:r>
          </w:p>
        </w:tc>
        <w:tc>
          <w:tcPr>
            <w:tcW w:w="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$18,745,236</w:t>
            </w: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right="460" w:hanging="332"/>
        <w:spacing w:after="0" w:line="26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spacing w:after="0" w:line="263"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for the three and six months ended February 29, 2020 and February 28, 2019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5"/>
          </w:tcPr>
          <w:p>
            <w:pPr>
              <w:ind w:left="7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0"/>
                <w:szCs w:val="20"/>
                <w:color w:val="auto"/>
              </w:rPr>
            </w:pPr>
          </w:p>
        </w:tc>
        <w:tc>
          <w:tcPr>
            <w:tcW w:w="28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46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February 29, 2020</w:t>
            </w:r>
          </w:p>
        </w:tc>
        <w:tc>
          <w:tcPr>
            <w:tcW w:w="120" w:type="dxa"/>
            <w:vAlign w:val="bottom"/>
            <w:tcBorders>
              <w:top w:val="single" w:sz="8" w:color="auto"/>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February 28, 2019</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February 29, 2020</w:t>
            </w:r>
          </w:p>
        </w:tc>
        <w:tc>
          <w:tcPr>
            <w:tcW w:w="10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February 28, 2019</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6,628,647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1"/>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6,467,940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14,527,345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13,391,874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Outside the U.S.A. to:</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2"/>
        </w:trPr>
        <w:tc>
          <w:tcPr>
            <w:tcW w:w="46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Joint ventures in which the Company is a shareholder</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directly and indirectly</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245,630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708,955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831,246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1,192,142</w:t>
            </w:r>
          </w:p>
        </w:tc>
      </w:tr>
      <w:tr>
        <w:trPr>
          <w:trHeight w:val="229"/>
        </w:trPr>
        <w:tc>
          <w:tcPr>
            <w:tcW w:w="4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Unaffiliated customers</w:t>
            </w: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6,359,506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6,138,509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12,506,592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12,825,440</w:t>
            </w:r>
          </w:p>
        </w:tc>
      </w:tr>
      <w:tr>
        <w:trPr>
          <w:trHeight w:val="209"/>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13,233,783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1"/>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13,315,404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27,865,183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27,409,456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and six months ended February 29, 2020 and February 28, 2019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5"/>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bottom w:val="single" w:sz="8" w:color="auto"/>
            </w:tcBorders>
          </w:tcPr>
          <w:p>
            <w:pPr>
              <w:spacing w:after="0"/>
              <w:rPr>
                <w:sz w:val="20"/>
                <w:szCs w:val="20"/>
                <w:color w:val="auto"/>
              </w:rPr>
            </w:pPr>
          </w:p>
        </w:tc>
      </w:tr>
      <w:tr>
        <w:trPr>
          <w:trHeight w:val="191"/>
        </w:trPr>
        <w:tc>
          <w:tcPr>
            <w:tcW w:w="4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1"/>
              </w:rPr>
              <w:t>% of Total Fees for</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 of Total Fees for</w:t>
            </w:r>
          </w:p>
        </w:tc>
      </w:tr>
      <w:tr>
        <w:trPr>
          <w:trHeight w:val="216"/>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29,</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Services Provided to</w:t>
            </w: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28,</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Services Provided to</w:t>
            </w:r>
          </w:p>
        </w:tc>
      </w:tr>
      <w:tr>
        <w:trPr>
          <w:trHeight w:val="234"/>
        </w:trPr>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Joint Ventures</w:t>
            </w:r>
          </w:p>
        </w:tc>
        <w:tc>
          <w:tcPr>
            <w:tcW w:w="18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Joint Ventures</w:t>
            </w: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208,128</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215,337</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Poland</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170,916</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188,529</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150,150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167,496</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Sweden</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98,398</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149,750</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90,878</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105,299</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85,709</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106,270</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64,279</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96,209</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Czech Republic</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80,200</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93,928</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80,024</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85,401</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South Korea</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75,289</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87,413</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74,001</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64,648</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78,241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76,494</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4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1,256,213</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1,436,774</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ind w:left="94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1"/>
        </w:trPr>
        <w:tc>
          <w:tcPr>
            <w:tcW w:w="4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1"/>
              </w:rPr>
              <w:t>% of Total Fees for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 of Total Fees for</w:t>
            </w:r>
          </w:p>
        </w:tc>
      </w:tr>
      <w:tr>
        <w:trPr>
          <w:trHeight w:val="216"/>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29,</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Services Provided to</w:t>
            </w:r>
          </w:p>
        </w:tc>
        <w:tc>
          <w:tcPr>
            <w:tcW w:w="1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February 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Services Provided to</w:t>
            </w:r>
          </w:p>
        </w:tc>
      </w:tr>
      <w:tr>
        <w:trPr>
          <w:trHeight w:val="234"/>
        </w:trPr>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Joint Ventures</w:t>
            </w:r>
          </w:p>
        </w:tc>
        <w:tc>
          <w:tcPr>
            <w:tcW w:w="140" w:type="dxa"/>
            <w:vAlign w:val="bottom"/>
          </w:tcPr>
          <w:p>
            <w:pPr>
              <w:spacing w:after="0"/>
              <w:rPr>
                <w:sz w:val="20"/>
                <w:szCs w:val="20"/>
                <w:color w:val="auto"/>
              </w:rPr>
            </w:pPr>
          </w:p>
        </w:tc>
        <w:tc>
          <w:tcPr>
            <w:tcW w:w="1120" w:type="dxa"/>
            <w:vAlign w:val="bottom"/>
          </w:tcPr>
          <w:p>
            <w:pPr>
              <w:ind w:left="4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Joint Ventures</w:t>
            </w: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420,229</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430,328</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Poland</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365,894</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370,374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314,079</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337,296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Sweden</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207,904</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279,993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193,212</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203,647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179,340</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216,332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149,758</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190,990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Czech Republic</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169,214</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183,620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162,984</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180,128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South Korea</w:t>
            </w:r>
          </w:p>
        </w:tc>
        <w:tc>
          <w:tcPr>
            <w:tcW w:w="1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151,321</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173,880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141,942</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146,464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158,661</w:t>
            </w:r>
          </w:p>
        </w:tc>
        <w:tc>
          <w:tcPr>
            <w:tcW w:w="1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152,157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09"/>
        </w:trPr>
        <w:tc>
          <w:tcPr>
            <w:tcW w:w="4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2,614,538</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2,865,209</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432"/>
        </w:trPr>
        <w:tc>
          <w:tcPr>
            <w:tcW w:w="6260" w:type="dxa"/>
            <w:vAlign w:val="bottom"/>
            <w:gridSpan w:val="4"/>
          </w:tcPr>
          <w:p>
            <w:pPr>
              <w:spacing w:after="0"/>
              <w:rPr>
                <w:sz w:val="20"/>
                <w:szCs w:val="20"/>
                <w:color w:val="auto"/>
              </w:rPr>
            </w:pPr>
            <w:r>
              <w:rPr>
                <w:rFonts w:ascii="Arial" w:cs="Arial" w:eastAsia="Arial" w:hAnsi="Arial"/>
                <w:sz w:val="18"/>
                <w:szCs w:val="18"/>
                <w:color w:val="auto"/>
              </w:rPr>
              <w:t>The geographical distribution of key financial statement data is as follows:</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14"/>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rPr>
              <w:t>At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94"/>
              </w:rPr>
              <w:t>At</w:t>
            </w:r>
          </w:p>
        </w:tc>
      </w:tr>
      <w:tr>
        <w:trPr>
          <w:trHeight w:val="234"/>
        </w:trPr>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February 29, 2020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August 31, 2019</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w:t>
            </w: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397,139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337,162</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Brazil</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79,825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rPr>
              <w:t>101,548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14,791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India</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72,951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rPr>
              <w:t>61,748</w:t>
            </w: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6,653,875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6,842,910</w:t>
            </w:r>
          </w:p>
        </w:tc>
      </w:tr>
      <w:tr>
        <w:trPr>
          <w:trHeight w:val="223"/>
        </w:trPr>
        <w:tc>
          <w:tcPr>
            <w:tcW w:w="460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7,227,524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7,358,159</w:t>
            </w: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gridSpan w:val="3"/>
          </w:tcPr>
          <w:p>
            <w:pPr>
              <w:spacing w:after="0" w:line="20" w:lineRule="exact"/>
              <w:rPr>
                <w:sz w:val="1"/>
                <w:szCs w:val="1"/>
                <w:color w:val="auto"/>
              </w:rPr>
            </w:pPr>
          </w:p>
        </w:tc>
      </w:tr>
      <w:tr>
        <w:trPr>
          <w:trHeight w:val="426"/>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right"/>
              <w:ind w:right="105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4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February 29, 2020</w:t>
            </w:r>
          </w:p>
        </w:tc>
        <w:tc>
          <w:tcPr>
            <w:tcW w:w="180" w:type="dxa"/>
            <w:vAlign w:val="bottom"/>
          </w:tcPr>
          <w:p>
            <w:pPr>
              <w:spacing w:after="0"/>
              <w:rPr>
                <w:sz w:val="19"/>
                <w:szCs w:val="19"/>
                <w:color w:val="auto"/>
              </w:rPr>
            </w:pPr>
          </w:p>
        </w:tc>
        <w:tc>
          <w:tcPr>
            <w:tcW w:w="17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February 28, 2019</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w:t>
            </w: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3,024,384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3,005,199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Brazil</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823,218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rPr>
              <w:t>726,799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2,059,564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2,224,149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967,111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rPr>
              <w:t>891,317</w:t>
            </w: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6,359,506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6,467,940</w:t>
            </w:r>
          </w:p>
        </w:tc>
      </w:tr>
      <w:tr>
        <w:trPr>
          <w:trHeight w:val="223"/>
        </w:trPr>
        <w:tc>
          <w:tcPr>
            <w:tcW w:w="460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13,233,783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13,315,404</w:t>
            </w: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gridSpan w:val="3"/>
          </w:tcPr>
          <w:p>
            <w:pPr>
              <w:spacing w:after="0" w:line="20" w:lineRule="exact"/>
              <w:rPr>
                <w:sz w:val="1"/>
                <w:szCs w:val="1"/>
                <w:color w:val="auto"/>
              </w:rPr>
            </w:pPr>
          </w:p>
        </w:tc>
      </w:tr>
      <w:tr>
        <w:trPr>
          <w:trHeight w:val="453"/>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4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February 29, 2020</w:t>
            </w:r>
          </w:p>
        </w:tc>
        <w:tc>
          <w:tcPr>
            <w:tcW w:w="180" w:type="dxa"/>
            <w:vAlign w:val="bottom"/>
          </w:tcPr>
          <w:p>
            <w:pPr>
              <w:spacing w:after="0"/>
              <w:rPr>
                <w:sz w:val="19"/>
                <w:szCs w:val="19"/>
                <w:color w:val="auto"/>
              </w:rPr>
            </w:pPr>
          </w:p>
        </w:tc>
        <w:tc>
          <w:tcPr>
            <w:tcW w:w="17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February 28, 2019</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w:t>
            </w: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6,885,956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6,173,259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Brazil</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1,715,196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rPr>
              <w:t>1,551,595</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4,095,774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3,875,790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2,661,665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rPr>
              <w:t>2,416,938</w:t>
            </w: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12,506,592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13,391,874</w:t>
            </w:r>
          </w:p>
        </w:tc>
      </w:tr>
      <w:tr>
        <w:trPr>
          <w:trHeight w:val="223"/>
        </w:trPr>
        <w:tc>
          <w:tcPr>
            <w:tcW w:w="460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27,865,183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27,409,456</w:t>
            </w: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9" w:name="page20"/>
    <w:bookmarkEnd w:id="19"/>
    <w:p>
      <w:pPr>
        <w:ind w:right="280"/>
        <w:spacing w:after="0" w:line="342" w:lineRule="auto"/>
        <w:rPr>
          <w:sz w:val="20"/>
          <w:szCs w:val="20"/>
          <w:color w:val="auto"/>
        </w:rPr>
      </w:pPr>
      <w:r>
        <w:rPr>
          <w:rFonts w:ascii="Arial" w:cs="Arial" w:eastAsia="Arial" w:hAnsi="Arial"/>
          <w:sz w:val="16"/>
          <w:szCs w:val="16"/>
          <w:color w:val="auto"/>
        </w:rPr>
        <w:t>Total property and equipment are periodically reviewed to assure the net realizable value from the estimated future production based on forecasted sales exceeds the carrying value of the assets. Total assets located in the United States include the Company’s investments in joint ventures.</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All joint venture operations, including equity in income, fees for services, and related dividends, are primarily related to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w:t>
      </w:r>
    </w:p>
    <w:p>
      <w:pPr>
        <w:spacing w:after="0" w:line="166"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 Company currently has 19 operating leases for various buildings, equipment and vehicles. These leases are under non-cancelable operating lease agreements with expiration dates between March 31, 2020 and June 30, 2024. The Company has the option to extend certain leases to five or ten-year term(s) and has the right of first refusal on any sale.</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records lease liabilities within current liabilities or long-term liabilities based upon the length of time associated with the lease payments. The Company records its long-term operating leases as right-of-use assets. Upon initial adoption, using the modified retrospective transition approach, no leases with terms less than 12-months have been capitalized to the consolidated balance sheet consistent with ASC 842. Instead, these leases are recognized in the consolidated statement of operations on a straight-line expense throughout the lives of the leases. None of the Company’s leases contain common area maintenance or security agreements.</w:t>
      </w:r>
    </w:p>
    <w:p>
      <w:pPr>
        <w:spacing w:after="0" w:line="18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Company has made certain assumptions and judgments when applying ASC 842, the most significant of which is that the Company elected the package of practical expedients available for transition that allow the Company to not reassess whether expired or existing contracts contain leases under the new definition of a lease, lease classification for expired or existing leases and whether previously capitalized initial direct costs would qualify for capitalization under ASC 842. Additionally, the Company did not elect to use hindsight when considering judgments and estimates such as assessments of lessee options to extend or terminate a lease or purchase the underlying asset. The Company has no contingent rent agreements.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gridSpan w:val="2"/>
          </w:tcPr>
          <w:p>
            <w:pPr>
              <w:spacing w:after="0"/>
              <w:rPr>
                <w:sz w:val="20"/>
                <w:szCs w:val="20"/>
                <w:color w:val="auto"/>
              </w:rPr>
            </w:pPr>
            <w:r>
              <w:rPr>
                <w:rFonts w:ascii="Arial" w:cs="Arial" w:eastAsia="Arial" w:hAnsi="Arial"/>
                <w:sz w:val="18"/>
                <w:szCs w:val="18"/>
                <w:i w:val="1"/>
                <w:iCs w:val="1"/>
                <w:color w:val="auto"/>
              </w:rPr>
              <w:t>Present Value of Long-term Leases</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45"/>
        </w:trPr>
        <w:tc>
          <w:tcPr>
            <w:tcW w:w="93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29, 2020</w:t>
            </w:r>
          </w:p>
        </w:tc>
      </w:tr>
      <w:tr>
        <w:trPr>
          <w:trHeight w:val="210"/>
        </w:trPr>
        <w:tc>
          <w:tcPr>
            <w:tcW w:w="9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520,601</w:t>
            </w:r>
          </w:p>
        </w:tc>
      </w:tr>
    </w:tbl>
    <w:p>
      <w:pPr>
        <w:spacing w:after="0" w:line="200" w:lineRule="exact"/>
        <w:rPr>
          <w:sz w:val="20"/>
          <w:szCs w:val="20"/>
          <w:color w:val="auto"/>
        </w:rPr>
      </w:pPr>
    </w:p>
    <w:p>
      <w:pPr>
        <w:sectPr>
          <w:pgSz w:w="11900" w:h="16838" w:orient="portrait"/>
          <w:cols w:equalWidth="0" w:num="1">
            <w:col w:w="11240"/>
          </w:cols>
          <w:pgMar w:left="320" w:top="584"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 of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Lease liability, less current portion</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Total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211,495</w:t>
      </w:r>
    </w:p>
    <w:p>
      <w:pPr>
        <w:spacing w:after="0" w:line="23" w:lineRule="exact"/>
        <w:rPr>
          <w:sz w:val="20"/>
          <w:szCs w:val="20"/>
          <w:color w:val="auto"/>
        </w:rPr>
      </w:pPr>
    </w:p>
    <w:p>
      <w:pPr>
        <w:ind w:left="1190"/>
        <w:spacing w:after="0"/>
        <w:rPr>
          <w:sz w:val="20"/>
          <w:szCs w:val="20"/>
          <w:color w:val="auto"/>
        </w:rPr>
      </w:pPr>
      <w:r>
        <w:rPr>
          <w:rFonts w:ascii="Arial" w:cs="Arial" w:eastAsia="Arial" w:hAnsi="Arial"/>
          <w:sz w:val="16"/>
          <w:szCs w:val="16"/>
          <w:color w:val="auto"/>
        </w:rPr>
        <w:t>309,106</w:t>
      </w:r>
    </w:p>
    <w:p>
      <w:pPr>
        <w:spacing w:after="0" w:line="58" w:lineRule="exact"/>
        <w:rPr>
          <w:sz w:val="20"/>
          <w:szCs w:val="20"/>
          <w:color w:val="auto"/>
        </w:rPr>
      </w:pPr>
    </w:p>
    <w:p>
      <w:pPr>
        <w:ind w:left="1190" w:hanging="1190"/>
        <w:spacing w:after="0"/>
        <w:tabs>
          <w:tab w:leader="none" w:pos="11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520,601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1200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30" w:space="720"/>
            <w:col w:w="1890"/>
          </w:cols>
          <w:pgMar w:left="320" w:top="584" w:right="339" w:bottom="1440" w:gutter="0" w:footer="0" w:header="0"/>
          <w:type w:val="continuous"/>
        </w:sectPr>
      </w:pP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29, 2020, the weighted-average remaining lease term was 2.1 years. The Company’s lease agreements do not provide a readily determinable implicit rate nor is it available to the Company from its lessors. Instead, as of February 29, 2020, the Company estimates the weighted-average discount rate for its operating leases to be 4.32% to present value based on the incremental borrowing rate.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20" w:name="page21"/>
    <w:bookmarkEnd w:id="20"/>
    <w:p>
      <w:pPr>
        <w:ind w:right="320"/>
        <w:spacing w:after="0" w:line="277" w:lineRule="auto"/>
        <w:rPr>
          <w:sz w:val="20"/>
          <w:szCs w:val="20"/>
          <w:color w:val="auto"/>
        </w:rPr>
      </w:pPr>
      <w:r>
        <w:rPr>
          <w:rFonts w:ascii="Arial" w:cs="Arial" w:eastAsia="Arial" w:hAnsi="Arial"/>
          <w:sz w:val="18"/>
          <w:szCs w:val="18"/>
          <w:color w:val="auto"/>
        </w:rPr>
        <w:t>Future minimum payments for the next five fiscal years and thereafter as of February 29, 2020 under these long-term operating leases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Fiscal 2020</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143,527</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Fiscal 2021</w:t>
            </w:r>
          </w:p>
        </w:tc>
        <w:tc>
          <w:tcPr>
            <w:tcW w:w="6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263,392</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125,648</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Fiscal 2023</w:t>
            </w:r>
          </w:p>
        </w:tc>
        <w:tc>
          <w:tcPr>
            <w:tcW w:w="6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10,222</w:t>
            </w:r>
          </w:p>
        </w:tc>
      </w:tr>
      <w:tr>
        <w:trPr>
          <w:trHeight w:val="229"/>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2,570</w:t>
            </w:r>
          </w:p>
        </w:tc>
      </w:tr>
      <w:tr>
        <w:trPr>
          <w:trHeight w:val="209"/>
        </w:trPr>
        <w:tc>
          <w:tcPr>
            <w:tcW w:w="9340" w:type="dxa"/>
            <w:vAlign w:val="bottom"/>
          </w:tcPr>
          <w:p>
            <w:pPr>
              <w:ind w:left="680"/>
              <w:spacing w:after="0"/>
              <w:rPr>
                <w:sz w:val="20"/>
                <w:szCs w:val="20"/>
                <w:color w:val="auto"/>
              </w:rPr>
            </w:pPr>
            <w:r>
              <w:rPr>
                <w:rFonts w:ascii="Arial" w:cs="Arial" w:eastAsia="Arial" w:hAnsi="Arial"/>
                <w:sz w:val="18"/>
                <w:szCs w:val="18"/>
                <w:color w:val="auto"/>
              </w:rPr>
              <w:t>Total future minimum lease payments</w:t>
            </w:r>
          </w:p>
        </w:tc>
        <w:tc>
          <w:tcPr>
            <w:tcW w:w="6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545,359</w:t>
            </w:r>
          </w:p>
        </w:tc>
      </w:tr>
      <w:tr>
        <w:trPr>
          <w:trHeight w:val="23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6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(24,758)</w:t>
            </w:r>
          </w:p>
        </w:tc>
      </w:tr>
      <w:tr>
        <w:trPr>
          <w:trHeight w:val="209"/>
        </w:trPr>
        <w:tc>
          <w:tcPr>
            <w:tcW w:w="9340" w:type="dxa"/>
            <w:vAlign w:val="bottom"/>
          </w:tcPr>
          <w:p>
            <w:pPr>
              <w:ind w:left="680"/>
              <w:spacing w:after="0"/>
              <w:rPr>
                <w:sz w:val="20"/>
                <w:szCs w:val="20"/>
                <w:color w:val="auto"/>
              </w:rPr>
            </w:pPr>
            <w:r>
              <w:rPr>
                <w:rFonts w:ascii="Arial" w:cs="Arial" w:eastAsia="Arial" w:hAnsi="Arial"/>
                <w:sz w:val="18"/>
                <w:szCs w:val="18"/>
                <w:color w:val="auto"/>
              </w:rPr>
              <w:t>Present value of obligations under operating leases</w:t>
            </w:r>
          </w:p>
        </w:tc>
        <w:tc>
          <w:tcPr>
            <w:tcW w:w="6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520,601</w:t>
            </w:r>
          </w:p>
        </w:tc>
      </w:tr>
      <w:tr>
        <w:trPr>
          <w:trHeight w:val="23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6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(211,495)</w:t>
            </w:r>
          </w:p>
        </w:tc>
      </w:tr>
      <w:tr>
        <w:trPr>
          <w:trHeight w:val="223"/>
        </w:trPr>
        <w:tc>
          <w:tcPr>
            <w:tcW w:w="9340" w:type="dxa"/>
            <w:vAlign w:val="bottom"/>
          </w:tcPr>
          <w:p>
            <w:pPr>
              <w:ind w:left="680"/>
              <w:spacing w:after="0"/>
              <w:rPr>
                <w:sz w:val="20"/>
                <w:szCs w:val="20"/>
                <w:color w:val="auto"/>
              </w:rPr>
            </w:pPr>
            <w:r>
              <w:rPr>
                <w:rFonts w:ascii="Arial" w:cs="Arial" w:eastAsia="Arial" w:hAnsi="Arial"/>
                <w:sz w:val="18"/>
                <w:szCs w:val="18"/>
                <w:color w:val="auto"/>
              </w:rPr>
              <w:t>Long-term operating lease obligations</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309,106</w:t>
            </w:r>
          </w:p>
        </w:tc>
      </w:tr>
      <w:tr>
        <w:trPr>
          <w:trHeight w:val="20"/>
        </w:trPr>
        <w:tc>
          <w:tcPr>
            <w:tcW w:w="9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 Plan</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August 31, 2019, the Compensation Committee of the Board of Directors of the Company approved the material terms of an annual bonus plan for the Company’s executive officers as well as certain officers and employees for the fiscal year ending August 31, 2020. For fiscal 2020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2020 compared to a pre-established target EBITOI for fiscal 2020,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NTIC common stock, with the exact amount and percentages determined by the Company’s Board of Directors, upon recommendation of the Compensation Committee, after the completion of the Company’s consolidated financial statements for fiscal 2020. There was $800,000 recognized for management bonuses for the six months ended February 29, 2020, compared to $900,000 recognized for management bonuses for the six months ended February 28, 2019.</w:t>
      </w:r>
    </w:p>
    <w:p>
      <w:pPr>
        <w:spacing w:after="0" w:line="18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Two joint ventures (consisting of the Company’s joint ventures in South Korea and Thailand) accounted for 55.8% of the Company’s trade joint venture receivables at February 29, 2020, and five joint ventures (consisting of the Company’s joint ventures in South Korea, Thailand, France, Germany and India) accounted for 69.6% of the Company’s trade joint venture receivables as of August 31, 2019.</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February 29, 2020, the amount of liability, if any, with respect to these matters, individually or in the aggregate, will not materially affect the Company’s consolidated results of operations, financial position or cash flows.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ind w:left="720" w:hanging="712"/>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3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1"/>
              </w:rPr>
              <w:t>Fair Value Measurements</w:t>
            </w: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Fair value as of</w:t>
            </w: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Using Inputs Considered as</w:t>
            </w: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February 29, 2020</w:t>
            </w:r>
          </w:p>
        </w:tc>
        <w:tc>
          <w:tcPr>
            <w:tcW w:w="400" w:type="dxa"/>
            <w:vAlign w:val="bottom"/>
          </w:tcPr>
          <w:p>
            <w:pPr>
              <w:spacing w:after="0"/>
              <w:rPr>
                <w:sz w:val="20"/>
                <w:szCs w:val="20"/>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Level 2</w:t>
            </w:r>
          </w:p>
        </w:tc>
        <w:tc>
          <w:tcPr>
            <w:tcW w:w="380" w:type="dxa"/>
            <w:vAlign w:val="bottom"/>
          </w:tcPr>
          <w:p>
            <w:pPr>
              <w:spacing w:after="0"/>
              <w:rPr>
                <w:sz w:val="20"/>
                <w:szCs w:val="20"/>
                <w:color w:val="auto"/>
              </w:rPr>
            </w:pPr>
          </w:p>
        </w:tc>
        <w:tc>
          <w:tcPr>
            <w:tcW w:w="1520" w:type="dxa"/>
            <w:vAlign w:val="bottom"/>
          </w:tcPr>
          <w:p>
            <w:pPr>
              <w:ind w:left="3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6,512,166</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6,512,166</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1"/>
              </w:rPr>
              <w:t>Fair Value Measurements</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Fair value as of</w:t>
            </w: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Using Inputs Considered as</w:t>
            </w: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August 31, 2019</w:t>
            </w:r>
          </w:p>
        </w:tc>
        <w:tc>
          <w:tcPr>
            <w:tcW w:w="400" w:type="dxa"/>
            <w:vAlign w:val="bottom"/>
          </w:tcPr>
          <w:p>
            <w:pPr>
              <w:spacing w:after="0"/>
              <w:rPr>
                <w:sz w:val="20"/>
                <w:szCs w:val="20"/>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Level 2</w:t>
            </w:r>
          </w:p>
        </w:tc>
        <w:tc>
          <w:tcPr>
            <w:tcW w:w="380" w:type="dxa"/>
            <w:vAlign w:val="bottom"/>
          </w:tcPr>
          <w:p>
            <w:pPr>
              <w:spacing w:after="0"/>
              <w:rPr>
                <w:sz w:val="20"/>
                <w:szCs w:val="20"/>
                <w:color w:val="auto"/>
              </w:rPr>
            </w:pPr>
          </w:p>
        </w:tc>
        <w:tc>
          <w:tcPr>
            <w:tcW w:w="1520" w:type="dxa"/>
            <w:vAlign w:val="bottom"/>
          </w:tcPr>
          <w:p>
            <w:pPr>
              <w:ind w:left="3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3,565,258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3,565,258</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between Level 1, Level 2, or Level 3 during the three and six months ended February 29, 2020 and February 28, 2019.</w:t>
      </w:r>
    </w:p>
    <w:p>
      <w:pPr>
        <w:spacing w:after="0" w:line="341" w:lineRule="exact"/>
        <w:rPr>
          <w:sz w:val="20"/>
          <w:szCs w:val="20"/>
          <w:color w:val="auto"/>
        </w:rPr>
      </w:pPr>
    </w:p>
    <w:p>
      <w:pPr>
        <w:ind w:left="720" w:hanging="712"/>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consisted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5"/>
          </w:tcPr>
          <w:p>
            <w:pPr>
              <w:ind w:left="6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30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6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February 29,</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8"/>
              </w:rPr>
              <w:t>February 29,</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8"/>
              </w:rPr>
              <w:t>February 28,</w:t>
            </w:r>
          </w:p>
        </w:tc>
      </w:tr>
      <w:tr>
        <w:trPr>
          <w:trHeight w:val="234"/>
        </w:trPr>
        <w:tc>
          <w:tcPr>
            <w:tcW w:w="46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6,192</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53,975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53,975</w:t>
            </w:r>
          </w:p>
        </w:tc>
      </w:tr>
    </w:tbl>
    <w:p>
      <w:pPr>
        <w:spacing w:after="0" w:line="183"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33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Company evaluated its February 29, 2020 condensed consolidated financial statements for subsequent events through the date the condensed consolidated financial statements were issued. As a result of the novel strain of coronavirus (COVID-19) pandemic and related government mandated restrictions on the Company’s business as well as the businesses of its joint ventures, customers and suppliers, a disruption in the Company’s business and the manufacture and sale of its products and services is expected to occur. Specifically, the operations at NTI China were suspended on January 18, 2020 and did not resume until February 28, 2020. While the disruption is currently expected to be temporary, there is considerable uncertainty around the duration. The Company expects this matter will likely have a material adverse effect on its business, operating results and financial condition for the third quarter of fiscal 2020 and beyond; however, the precise financial impact and duration cannot be reasonably estimated at this time. As of the date of this filing, the Company's U.S. location and its primary suppliers, continue to be operating. The Company’s location in India is currently under mandated governmental shutdown until April 15, 2020.</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2. Management’s Discussion and Analysis of Financial Condition and Results of Operations—Forward-Looking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in this report and under “</w:t>
      </w:r>
      <w:r>
        <w:rPr>
          <w:rFonts w:ascii="Arial" w:cs="Arial" w:eastAsia="Arial" w:hAnsi="Arial"/>
          <w:sz w:val="17"/>
          <w:szCs w:val="17"/>
          <w:i w:val="1"/>
          <w:iCs w:val="1"/>
          <w:color w:val="auto"/>
        </w:rPr>
        <w:t>Part 1. Item 1A. Risk Factors</w:t>
      </w:r>
      <w:r>
        <w:rPr>
          <w:rFonts w:ascii="Arial" w:cs="Arial" w:eastAsia="Arial" w:hAnsi="Arial"/>
          <w:sz w:val="17"/>
          <w:szCs w:val="17"/>
          <w:color w:val="auto"/>
        </w:rPr>
        <w:t>” in our annual report on Form 10-K for the fiscal year ended August 31, 2019.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discussion of the results of the operations and financial condition of NTIC should be read in conjunction with NTIC’s consolidated financial statements and the related notes thereto included under the heading “</w:t>
      </w:r>
      <w:r>
        <w:rPr>
          <w:rFonts w:ascii="Arial" w:cs="Arial" w:eastAsia="Arial" w:hAnsi="Arial"/>
          <w:sz w:val="17"/>
          <w:szCs w:val="17"/>
          <w:i w:val="1"/>
          <w:iCs w:val="1"/>
          <w:color w:val="auto"/>
        </w:rPr>
        <w:t>Part I. Item 1. Financial Statements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NTIC develops and markets proprietary, environmentally-beneficial products and services in over 60 countries either directly or via a network of subsidiaries, joint ventures, independent distributors, and agents. NTIC’s primary business is corrosion prevention marketed mainly under the ZERUST</w:t>
      </w:r>
      <w:r>
        <w:rPr>
          <w:rFonts w:ascii="Arial" w:cs="Arial" w:eastAsia="Arial" w:hAnsi="Arial"/>
          <w:sz w:val="26"/>
          <w:szCs w:val="26"/>
          <w:color w:val="auto"/>
          <w:vertAlign w:val="superscript"/>
        </w:rPr>
        <w:t>®</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brand. NTIC has 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to the automotive, electronics, electrical, mechanical, military, and retail consumer markets for over 40 years and, in recent years, has targeted and expanded into the oil and gas industry. NTIC also markets and sells a portfolio of</w:t>
      </w:r>
    </w:p>
    <w:p>
      <w:pPr>
        <w:ind w:right="20"/>
        <w:spacing w:after="0" w:line="209" w:lineRule="auto"/>
        <w:rPr>
          <w:sz w:val="20"/>
          <w:szCs w:val="20"/>
          <w:color w:val="auto"/>
        </w:rPr>
      </w:pPr>
      <w:r>
        <w:rPr>
          <w:rFonts w:ascii="Arial" w:cs="Arial" w:eastAsia="Arial" w:hAnsi="Arial"/>
          <w:sz w:val="18"/>
          <w:szCs w:val="18"/>
          <w:color w:val="auto"/>
        </w:rPr>
        <w:t>bio-based and certified compostable (fully biodegradable) polymer resin compounds and finished products under the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brand. These products are intended to reduce NTIC’s customers’ carbon footprint and provide environmentally sound waste disposal options.</w:t>
      </w:r>
    </w:p>
    <w:p>
      <w:pPr>
        <w:spacing w:after="0" w:line="207" w:lineRule="exact"/>
        <w:rPr>
          <w:sz w:val="20"/>
          <w:szCs w:val="20"/>
          <w:color w:val="auto"/>
        </w:rPr>
      </w:pPr>
    </w:p>
    <w:p>
      <w:pPr>
        <w:ind w:right="220"/>
        <w:spacing w:after="0" w:line="227" w:lineRule="auto"/>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w:t>
      </w:r>
    </w:p>
    <w:p>
      <w:pPr>
        <w:spacing w:after="0" w:line="1" w:lineRule="exact"/>
        <w:rPr>
          <w:sz w:val="20"/>
          <w:szCs w:val="20"/>
          <w:color w:val="auto"/>
        </w:rPr>
      </w:pPr>
    </w:p>
    <w:p>
      <w:pPr>
        <w:ind w:right="280"/>
        <w:spacing w:after="0" w:line="234" w:lineRule="auto"/>
        <w:rPr>
          <w:sz w:val="20"/>
          <w:szCs w:val="20"/>
          <w:color w:val="auto"/>
        </w:rPr>
      </w:pPr>
      <w:r>
        <w:rPr>
          <w:rFonts w:ascii="Arial" w:cs="Arial" w:eastAsia="Arial" w:hAnsi="Arial"/>
          <w:sz w:val="16"/>
          <w:szCs w:val="16"/>
          <w:color w:val="auto"/>
        </w:rPr>
        <w:t>products to analyze their specific needs and develop systems to meet their performance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through a network of independent distributors and agents supported by a direct sales force. Internationally, NTIC sells its</w:t>
      </w:r>
    </w:p>
    <w:p>
      <w:pPr>
        <w:spacing w:after="0" w:line="238" w:lineRule="auto"/>
        <w:rPr>
          <w:sz w:val="20"/>
          <w:szCs w:val="20"/>
          <w:color w:val="auto"/>
        </w:rPr>
      </w:pPr>
      <w:r>
        <w:rPr>
          <w:rFonts w:ascii="Arial" w:cs="Arial" w:eastAsia="Arial" w:hAnsi="Arial"/>
          <w:sz w:val="17"/>
          <w:szCs w:val="17"/>
          <w:color w:val="auto"/>
        </w:rPr>
        <w:t>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joint venture partners through its wholly-owned subsidiary in Germany, NTIC Europe GmbH (NTI Europe).</w:t>
      </w:r>
    </w:p>
    <w:p>
      <w:pPr>
        <w:spacing w:after="0" w:line="209" w:lineRule="exact"/>
        <w:rPr>
          <w:sz w:val="20"/>
          <w:szCs w:val="20"/>
          <w:color w:val="auto"/>
        </w:rPr>
      </w:pPr>
    </w:p>
    <w:p>
      <w:pPr>
        <w:ind w:right="2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technologies. Consequently, for the past several years, NTIC has focused significant sales and marketing efforts on the oil and gas industry, as the infrastructure that supports that industry is</w:t>
      </w:r>
    </w:p>
    <w:p>
      <w:pPr>
        <w:jc w:val="both"/>
        <w:ind w:right="120"/>
        <w:spacing w:after="0" w:line="221" w:lineRule="auto"/>
        <w:rPr>
          <w:sz w:val="20"/>
          <w:szCs w:val="20"/>
          <w:color w:val="auto"/>
        </w:rPr>
      </w:pPr>
      <w:r>
        <w:rPr>
          <w:rFonts w:ascii="Arial" w:cs="Arial" w:eastAsia="Arial" w:hAnsi="Arial"/>
          <w:sz w:val="18"/>
          <w:szCs w:val="18"/>
          <w:color w:val="auto"/>
        </w:rPr>
        <w:t>typically constructed using metals that are highly susceptible to corrosion. NTIC believes that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6"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NTIC markets and sells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corrosion prevention solutions to customers in the oil and gas industry typically involves long sales cycles, often including multi-year trial periods with each customer and a slow integration process thereafter.</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3" w:name="page24"/>
    <w:bookmarkEnd w:id="23"/>
    <w:p>
      <w:pPr>
        <w:ind w:right="100"/>
        <w:spacing w:after="0" w:line="237"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w:t>
      </w:r>
    </w:p>
    <w:p>
      <w:pPr>
        <w:spacing w:after="0" w:line="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bags, lawn and leaf bags, pet waste collection bags, cutlery, and coated paper products. In North America, NTIC markets its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bioplastic products.</w:t>
      </w:r>
    </w:p>
    <w:p>
      <w:pPr>
        <w:spacing w:after="0" w:line="83" w:lineRule="exact"/>
        <w:rPr>
          <w:sz w:val="20"/>
          <w:szCs w:val="20"/>
          <w:color w:val="auto"/>
        </w:rPr>
      </w:pPr>
    </w:p>
    <w:p>
      <w:pPr>
        <w:ind w:right="440"/>
        <w:spacing w:after="0" w:line="214" w:lineRule="auto"/>
        <w:rPr>
          <w:sz w:val="20"/>
          <w:szCs w:val="20"/>
          <w:color w:val="auto"/>
        </w:rPr>
      </w:pPr>
      <w:r>
        <w:rPr>
          <w:rFonts w:ascii="Arial" w:cs="Arial" w:eastAsia="Arial" w:hAnsi="Arial"/>
          <w:sz w:val="18"/>
          <w:szCs w:val="18"/>
          <w:color w:val="auto"/>
        </w:rPr>
        <w:t>Internationally, NTIC sells its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resin compounds and finished products both directly and through its wholly-owned subsidiary in China and majority-owned subsidiaries in India and Sri Lanka, and through distributors and certain joint ventures.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NTIC has ownership interests in nine operating subsidiaries in North America, South America, Europe, and Asia. The following table sets forth a list of NTIC’s operating subsidiaries as of February 29, 2020, the country in which the subsidiary is organized, and NTIC’s ownership percentage in each subsidiary: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64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Percent (%)</w:t>
            </w:r>
          </w:p>
        </w:tc>
      </w:tr>
      <w:tr>
        <w:trPr>
          <w:trHeight w:val="234"/>
        </w:trPr>
        <w:tc>
          <w:tcPr>
            <w:tcW w:w="6460" w:type="dxa"/>
            <w:vAlign w:val="bottom"/>
            <w:tcBorders>
              <w:bottom w:val="single" w:sz="8" w:color="auto"/>
            </w:tcBorders>
          </w:tcPr>
          <w:p>
            <w:pPr>
              <w:ind w:left="3280"/>
              <w:spacing w:after="0"/>
              <w:rPr>
                <w:sz w:val="20"/>
                <w:szCs w:val="20"/>
                <w:color w:val="auto"/>
              </w:rPr>
            </w:pPr>
            <w:r>
              <w:rPr>
                <w:rFonts w:ascii="Arial" w:cs="Arial" w:eastAsia="Arial" w:hAnsi="Arial"/>
                <w:sz w:val="18"/>
                <w:szCs w:val="18"/>
                <w:b w:val="1"/>
                <w:bCs w:val="1"/>
                <w:color w:val="auto"/>
              </w:rPr>
              <w:t>Subsidiary Name</w:t>
            </w:r>
          </w:p>
        </w:tc>
        <w:tc>
          <w:tcPr>
            <w:tcW w:w="3160" w:type="dxa"/>
            <w:vAlign w:val="bottom"/>
            <w:tcBorders>
              <w:bottom w:val="single" w:sz="8" w:color="auto"/>
            </w:tcBorders>
          </w:tcPr>
          <w:p>
            <w:pPr>
              <w:jc w:val="center"/>
              <w:ind w:left="1390"/>
              <w:spacing w:after="0"/>
              <w:rPr>
                <w:sz w:val="20"/>
                <w:szCs w:val="20"/>
                <w:color w:val="auto"/>
              </w:rPr>
            </w:pPr>
            <w:r>
              <w:rPr>
                <w:rFonts w:ascii="Arial" w:cs="Arial" w:eastAsia="Arial" w:hAnsi="Arial"/>
                <w:sz w:val="18"/>
                <w:szCs w:val="18"/>
                <w:b w:val="1"/>
                <w:bCs w:val="1"/>
                <w:color w:val="auto"/>
                <w:w w:val="92"/>
              </w:rPr>
              <w:t>Country</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316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3"/>
              </w:rPr>
              <w:t>China</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NTI Asean LLC</w:t>
            </w:r>
          </w:p>
        </w:tc>
        <w:tc>
          <w:tcPr>
            <w:tcW w:w="3160" w:type="dxa"/>
            <w:vAlign w:val="bottom"/>
          </w:tcPr>
          <w:p>
            <w:pPr>
              <w:jc w:val="center"/>
              <w:ind w:left="1390"/>
              <w:spacing w:after="0"/>
              <w:rPr>
                <w:sz w:val="20"/>
                <w:szCs w:val="20"/>
                <w:color w:val="auto"/>
              </w:rPr>
            </w:pPr>
            <w:r>
              <w:rPr>
                <w:rFonts w:ascii="Arial" w:cs="Arial" w:eastAsia="Arial" w:hAnsi="Arial"/>
                <w:sz w:val="18"/>
                <w:szCs w:val="18"/>
                <w:color w:val="auto"/>
                <w:w w:val="88"/>
              </w:rPr>
              <w:t>United States</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316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7"/>
              </w:rPr>
              <w:t>Brazil</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ZERUST-EXCOR MEXICO, S. de R.L. de C.V</w:t>
            </w:r>
          </w:p>
        </w:tc>
        <w:tc>
          <w:tcPr>
            <w:tcW w:w="3160" w:type="dxa"/>
            <w:vAlign w:val="bottom"/>
          </w:tcPr>
          <w:p>
            <w:pPr>
              <w:jc w:val="center"/>
              <w:ind w:left="1390"/>
              <w:spacing w:after="0"/>
              <w:rPr>
                <w:sz w:val="20"/>
                <w:szCs w:val="20"/>
                <w:color w:val="auto"/>
              </w:rPr>
            </w:pPr>
            <w:r>
              <w:rPr>
                <w:rFonts w:ascii="Arial" w:cs="Arial" w:eastAsia="Arial" w:hAnsi="Arial"/>
                <w:sz w:val="18"/>
                <w:szCs w:val="18"/>
                <w:color w:val="auto"/>
                <w:w w:val="98"/>
              </w:rPr>
              <w:t>Mexico</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316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2"/>
              </w:rPr>
              <w:t>India</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Natur Tec Lanka (Pvt) Ltd</w:t>
            </w:r>
          </w:p>
        </w:tc>
        <w:tc>
          <w:tcPr>
            <w:tcW w:w="3160" w:type="dxa"/>
            <w:vAlign w:val="bottom"/>
          </w:tcPr>
          <w:p>
            <w:pPr>
              <w:jc w:val="center"/>
              <w:ind w:left="1390"/>
              <w:spacing w:after="0" w:line="256" w:lineRule="exact"/>
              <w:rPr>
                <w:sz w:val="20"/>
                <w:szCs w:val="20"/>
                <w:color w:val="auto"/>
              </w:rPr>
            </w:pPr>
            <w:r>
              <w:rPr>
                <w:rFonts w:ascii="Arial" w:cs="Arial" w:eastAsia="Arial" w:hAnsi="Arial"/>
                <w:sz w:val="18"/>
                <w:szCs w:val="18"/>
                <w:color w:val="auto"/>
                <w:w w:val="88"/>
              </w:rPr>
              <w:t>Sri Lanka</w:t>
            </w:r>
            <w:r>
              <w:rPr>
                <w:rFonts w:ascii="Arial" w:cs="Arial" w:eastAsia="Arial" w:hAnsi="Arial"/>
                <w:sz w:val="29"/>
                <w:szCs w:val="29"/>
                <w:color w:val="auto"/>
                <w:w w:val="88"/>
                <w:vertAlign w:val="superscript"/>
              </w:rPr>
              <w:t>(1)</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75%</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NTIC Europe GmbH</w:t>
            </w:r>
          </w:p>
        </w:tc>
        <w:tc>
          <w:tcPr>
            <w:tcW w:w="316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1"/>
              </w:rPr>
              <w:t>Germany</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56"/>
        </w:trPr>
        <w:tc>
          <w:tcPr>
            <w:tcW w:w="6460" w:type="dxa"/>
            <w:vAlign w:val="bottom"/>
          </w:tcPr>
          <w:p>
            <w:pPr>
              <w:spacing w:after="0"/>
              <w:rPr>
                <w:sz w:val="20"/>
                <w:szCs w:val="20"/>
                <w:color w:val="auto"/>
              </w:rPr>
            </w:pPr>
            <w:r>
              <w:rPr>
                <w:rFonts w:ascii="Arial" w:cs="Arial" w:eastAsia="Arial" w:hAnsi="Arial"/>
                <w:sz w:val="18"/>
                <w:szCs w:val="18"/>
                <w:color w:val="auto"/>
              </w:rPr>
              <w:t>Zerust Singapore Pte Ltd</w:t>
            </w:r>
          </w:p>
        </w:tc>
        <w:tc>
          <w:tcPr>
            <w:tcW w:w="3160" w:type="dxa"/>
            <w:vAlign w:val="bottom"/>
          </w:tcPr>
          <w:p>
            <w:pPr>
              <w:jc w:val="center"/>
              <w:ind w:left="1410"/>
              <w:spacing w:after="0" w:line="256" w:lineRule="exact"/>
              <w:rPr>
                <w:sz w:val="20"/>
                <w:szCs w:val="20"/>
                <w:color w:val="auto"/>
              </w:rPr>
            </w:pPr>
            <w:r>
              <w:rPr>
                <w:rFonts w:ascii="Arial" w:cs="Arial" w:eastAsia="Arial" w:hAnsi="Arial"/>
                <w:sz w:val="18"/>
                <w:szCs w:val="18"/>
                <w:color w:val="auto"/>
                <w:w w:val="85"/>
              </w:rPr>
              <w:t>Singapore</w:t>
            </w:r>
            <w:r>
              <w:rPr>
                <w:rFonts w:ascii="Arial" w:cs="Arial" w:eastAsia="Arial" w:hAnsi="Arial"/>
                <w:sz w:val="29"/>
                <w:szCs w:val="29"/>
                <w:color w:val="auto"/>
                <w:w w:val="85"/>
                <w:vertAlign w:val="superscript"/>
              </w:rPr>
              <w:t>(2)</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257"/>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Zerust Vietnam Co. Ltd</w:t>
            </w:r>
          </w:p>
        </w:tc>
        <w:tc>
          <w:tcPr>
            <w:tcW w:w="3160" w:type="dxa"/>
            <w:vAlign w:val="bottom"/>
            <w:shd w:val="clear" w:color="auto" w:fill="CCEEFF"/>
          </w:tcPr>
          <w:p>
            <w:pPr>
              <w:jc w:val="center"/>
              <w:ind w:left="1410"/>
              <w:spacing w:after="0" w:line="256" w:lineRule="exact"/>
              <w:rPr>
                <w:sz w:val="20"/>
                <w:szCs w:val="20"/>
                <w:color w:val="auto"/>
              </w:rPr>
            </w:pPr>
            <w:r>
              <w:rPr>
                <w:rFonts w:ascii="Arial" w:cs="Arial" w:eastAsia="Arial" w:hAnsi="Arial"/>
                <w:sz w:val="18"/>
                <w:szCs w:val="18"/>
                <w:color w:val="auto"/>
                <w:w w:val="86"/>
              </w:rPr>
              <w:t>Vietnam</w:t>
            </w:r>
            <w:r>
              <w:rPr>
                <w:rFonts w:ascii="Arial" w:cs="Arial" w:eastAsia="Arial" w:hAnsi="Arial"/>
                <w:sz w:val="29"/>
                <w:szCs w:val="29"/>
                <w:color w:val="auto"/>
                <w:w w:val="86"/>
                <w:vertAlign w:val="superscript"/>
              </w:rPr>
              <w:t>(2)</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w:t>
            </w:r>
          </w:p>
        </w:tc>
      </w:tr>
    </w:tbl>
    <w:p>
      <w:pPr>
        <w:spacing w:after="0" w:line="229" w:lineRule="exact"/>
        <w:rPr>
          <w:sz w:val="20"/>
          <w:szCs w:val="20"/>
          <w:color w:val="auto"/>
        </w:rPr>
      </w:pPr>
    </w:p>
    <w:p>
      <w:pPr>
        <w:ind w:left="660" w:hanging="571"/>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 Tec Lanka (Pyt) Ltd. is 100% owned by Natur-Tec India Private Limited and, therefore, indirectly owned by NTIC.</w:t>
      </w:r>
    </w:p>
    <w:p>
      <w:pPr>
        <w:spacing w:after="0" w:line="23" w:lineRule="exact"/>
        <w:rPr>
          <w:rFonts w:ascii="Arial" w:cs="Arial" w:eastAsia="Arial" w:hAnsi="Arial"/>
          <w:sz w:val="18"/>
          <w:szCs w:val="18"/>
          <w:color w:val="auto"/>
        </w:rPr>
      </w:pPr>
    </w:p>
    <w:p>
      <w:pPr>
        <w:ind w:left="660" w:hanging="571"/>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Zerust Singapore Pte Ltd and Zerust Vietnam Co. Ltd are 100% owned by NTI Asean LLC and, therefore, indirectly owned by NTIC.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subsidiaries are fully consolidated in NTIC’s consolidated financial statements.</w:t>
      </w:r>
    </w:p>
    <w:p>
      <w:pPr>
        <w:spacing w:after="0" w:line="225"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w:t>
      </w:r>
    </w:p>
    <w:p>
      <w:pPr>
        <w:ind w:right="40"/>
        <w:spacing w:after="0" w:line="209" w:lineRule="auto"/>
        <w:rPr>
          <w:sz w:val="20"/>
          <w:szCs w:val="20"/>
          <w:color w:val="auto"/>
        </w:rPr>
      </w:pPr>
      <w:r>
        <w:rPr>
          <w:rFonts w:ascii="Arial" w:cs="Arial" w:eastAsia="Arial" w:hAnsi="Arial"/>
          <w:sz w:val="18"/>
          <w:szCs w:val="18"/>
          <w:color w:val="auto"/>
        </w:rPr>
        <w:t>products, some of the joint ventures also sell NTIC’s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resin compounds. NTIC has historically funded its investments in joint ventures with cash generated from operations.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8"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The following table sets forth a list of NTIC’s operating joint ventures as of February 29, 2020, the country in which the joint venture is organized,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980" w:type="dxa"/>
            <w:vAlign w:val="bottom"/>
          </w:tcPr>
          <w:p>
            <w:pPr>
              <w:jc w:val="center"/>
              <w:ind w:left="10"/>
              <w:spacing w:after="0"/>
              <w:rPr>
                <w:sz w:val="20"/>
                <w:szCs w:val="20"/>
                <w:color w:val="auto"/>
              </w:rPr>
            </w:pPr>
            <w:r>
              <w:rPr>
                <w:rFonts w:ascii="Arial" w:cs="Arial" w:eastAsia="Arial" w:hAnsi="Arial"/>
                <w:sz w:val="18"/>
                <w:szCs w:val="18"/>
                <w:b w:val="1"/>
                <w:bCs w:val="1"/>
                <w:color w:val="auto"/>
              </w:rPr>
              <w:t>NTIC</w:t>
            </w:r>
          </w:p>
        </w:tc>
      </w:tr>
      <w:tr>
        <w:trPr>
          <w:trHeight w:val="234"/>
        </w:trPr>
        <w:tc>
          <w:tcPr>
            <w:tcW w:w="46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ind w:left="2600"/>
              <w:spacing w:after="0"/>
              <w:rPr>
                <w:sz w:val="20"/>
                <w:szCs w:val="20"/>
                <w:color w:val="auto"/>
              </w:rPr>
            </w:pPr>
            <w:r>
              <w:rPr>
                <w:rFonts w:ascii="Arial" w:cs="Arial" w:eastAsia="Arial" w:hAnsi="Arial"/>
                <w:sz w:val="18"/>
                <w:szCs w:val="18"/>
                <w:b w:val="1"/>
                <w:bCs w:val="1"/>
                <w:color w:val="auto"/>
              </w:rPr>
              <w:t>Joint Venture Name</w:t>
            </w:r>
          </w:p>
        </w:tc>
        <w:tc>
          <w:tcPr>
            <w:tcW w:w="224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b w:val="1"/>
                <w:bCs w:val="1"/>
                <w:color w:val="auto"/>
                <w:w w:val="92"/>
              </w:rPr>
              <w:t>Country</w:t>
            </w:r>
          </w:p>
        </w:tc>
        <w:tc>
          <w:tcPr>
            <w:tcW w:w="19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Percent (%) Ownership</w:t>
            </w:r>
          </w:p>
        </w:tc>
      </w:tr>
      <w:tr>
        <w:trPr>
          <w:trHeight w:val="21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TAIYONIC LTD.</w:t>
            </w:r>
          </w:p>
        </w:tc>
        <w:tc>
          <w:tcPr>
            <w:tcW w:w="22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1"/>
              </w:rPr>
              <w:t>Japan</w:t>
            </w:r>
          </w:p>
        </w:tc>
        <w:tc>
          <w:tcPr>
            <w:tcW w:w="19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50%</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ACOBAL SAS</w:t>
            </w:r>
          </w:p>
        </w:tc>
        <w:tc>
          <w:tcPr>
            <w:tcW w:w="2240" w:type="dxa"/>
            <w:vAlign w:val="bottom"/>
          </w:tcPr>
          <w:p>
            <w:pPr>
              <w:jc w:val="center"/>
              <w:ind w:left="670"/>
              <w:spacing w:after="0"/>
              <w:rPr>
                <w:sz w:val="20"/>
                <w:szCs w:val="20"/>
                <w:color w:val="auto"/>
              </w:rPr>
            </w:pPr>
            <w:r>
              <w:rPr>
                <w:rFonts w:ascii="Arial" w:cs="Arial" w:eastAsia="Arial" w:hAnsi="Arial"/>
                <w:sz w:val="18"/>
                <w:szCs w:val="18"/>
                <w:color w:val="auto"/>
                <w:w w:val="85"/>
              </w:rPr>
              <w:t>France</w:t>
            </w:r>
          </w:p>
        </w:tc>
        <w:tc>
          <w:tcPr>
            <w:tcW w:w="1980" w:type="dxa"/>
            <w:vAlign w:val="bottom"/>
          </w:tcPr>
          <w:p>
            <w:pPr>
              <w:jc w:val="center"/>
              <w:ind w:left="50"/>
              <w:spacing w:after="0"/>
              <w:rPr>
                <w:sz w:val="20"/>
                <w:szCs w:val="20"/>
                <w:color w:val="auto"/>
              </w:rPr>
            </w:pPr>
            <w:r>
              <w:rPr>
                <w:rFonts w:ascii="Arial" w:cs="Arial" w:eastAsia="Arial" w:hAnsi="Arial"/>
                <w:sz w:val="18"/>
                <w:szCs w:val="18"/>
                <w:color w:val="auto"/>
                <w:w w:val="88"/>
              </w:rPr>
              <w:t>50%</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EXCOR KORROSIONSSCHUTZ – TECHNOLOGIEN UND PRODUKTE GMBH</w:t>
            </w:r>
          </w:p>
        </w:tc>
        <w:tc>
          <w:tcPr>
            <w:tcW w:w="22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1"/>
              </w:rPr>
              <w:t>Germany</w:t>
            </w:r>
          </w:p>
        </w:tc>
        <w:tc>
          <w:tcPr>
            <w:tcW w:w="19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50%</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ZERUST AB</w:t>
            </w:r>
          </w:p>
        </w:tc>
        <w:tc>
          <w:tcPr>
            <w:tcW w:w="2240" w:type="dxa"/>
            <w:vAlign w:val="bottom"/>
          </w:tcPr>
          <w:p>
            <w:pPr>
              <w:jc w:val="center"/>
              <w:ind w:left="670"/>
              <w:spacing w:after="0"/>
              <w:rPr>
                <w:sz w:val="20"/>
                <w:szCs w:val="20"/>
                <w:color w:val="auto"/>
              </w:rPr>
            </w:pPr>
            <w:r>
              <w:rPr>
                <w:rFonts w:ascii="Arial" w:cs="Arial" w:eastAsia="Arial" w:hAnsi="Arial"/>
                <w:sz w:val="18"/>
                <w:szCs w:val="18"/>
                <w:color w:val="auto"/>
                <w:w w:val="86"/>
              </w:rPr>
              <w:t>Sweden</w:t>
            </w:r>
          </w:p>
        </w:tc>
        <w:tc>
          <w:tcPr>
            <w:tcW w:w="1980" w:type="dxa"/>
            <w:vAlign w:val="bottom"/>
          </w:tcPr>
          <w:p>
            <w:pPr>
              <w:jc w:val="center"/>
              <w:ind w:left="50"/>
              <w:spacing w:after="0"/>
              <w:rPr>
                <w:sz w:val="20"/>
                <w:szCs w:val="20"/>
                <w:color w:val="auto"/>
              </w:rPr>
            </w:pPr>
            <w:r>
              <w:rPr>
                <w:rFonts w:ascii="Arial" w:cs="Arial" w:eastAsia="Arial" w:hAnsi="Arial"/>
                <w:sz w:val="18"/>
                <w:szCs w:val="18"/>
                <w:color w:val="auto"/>
                <w:w w:val="88"/>
              </w:rPr>
              <w:t>50%</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MOSTNIC-ZERUST</w:t>
            </w:r>
          </w:p>
        </w:tc>
        <w:tc>
          <w:tcPr>
            <w:tcW w:w="22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7"/>
              </w:rPr>
              <w:t>Russia</w:t>
            </w:r>
          </w:p>
        </w:tc>
        <w:tc>
          <w:tcPr>
            <w:tcW w:w="19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50%</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ZERUST OY</w:t>
            </w:r>
          </w:p>
        </w:tc>
        <w:tc>
          <w:tcPr>
            <w:tcW w:w="2240" w:type="dxa"/>
            <w:vAlign w:val="bottom"/>
          </w:tcPr>
          <w:p>
            <w:pPr>
              <w:jc w:val="center"/>
              <w:ind w:left="670"/>
              <w:spacing w:after="0"/>
              <w:rPr>
                <w:sz w:val="20"/>
                <w:szCs w:val="20"/>
                <w:color w:val="auto"/>
              </w:rPr>
            </w:pPr>
            <w:r>
              <w:rPr>
                <w:rFonts w:ascii="Arial" w:cs="Arial" w:eastAsia="Arial" w:hAnsi="Arial"/>
                <w:sz w:val="18"/>
                <w:szCs w:val="18"/>
                <w:color w:val="auto"/>
                <w:w w:val="94"/>
              </w:rPr>
              <w:t>Finland</w:t>
            </w:r>
          </w:p>
        </w:tc>
        <w:tc>
          <w:tcPr>
            <w:tcW w:w="1980" w:type="dxa"/>
            <w:vAlign w:val="bottom"/>
          </w:tcPr>
          <w:p>
            <w:pPr>
              <w:jc w:val="center"/>
              <w:ind w:left="50"/>
              <w:spacing w:after="0"/>
              <w:rPr>
                <w:sz w:val="20"/>
                <w:szCs w:val="20"/>
                <w:color w:val="auto"/>
              </w:rPr>
            </w:pPr>
            <w:r>
              <w:rPr>
                <w:rFonts w:ascii="Arial" w:cs="Arial" w:eastAsia="Arial" w:hAnsi="Arial"/>
                <w:sz w:val="18"/>
                <w:szCs w:val="18"/>
                <w:color w:val="auto"/>
                <w:w w:val="88"/>
              </w:rPr>
              <w:t>50%</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HARITA-NTI LTD</w:t>
            </w:r>
          </w:p>
        </w:tc>
        <w:tc>
          <w:tcPr>
            <w:tcW w:w="22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2"/>
              </w:rPr>
              <w:t>India</w:t>
            </w:r>
          </w:p>
        </w:tc>
        <w:tc>
          <w:tcPr>
            <w:tcW w:w="19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50%</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ZERUST (U.K.) LTD.</w:t>
            </w:r>
          </w:p>
        </w:tc>
        <w:tc>
          <w:tcPr>
            <w:tcW w:w="2240" w:type="dxa"/>
            <w:vAlign w:val="bottom"/>
          </w:tcPr>
          <w:p>
            <w:pPr>
              <w:jc w:val="center"/>
              <w:ind w:left="670"/>
              <w:spacing w:after="0"/>
              <w:rPr>
                <w:sz w:val="20"/>
                <w:szCs w:val="20"/>
                <w:color w:val="auto"/>
              </w:rPr>
            </w:pPr>
            <w:r>
              <w:rPr>
                <w:rFonts w:ascii="Arial" w:cs="Arial" w:eastAsia="Arial" w:hAnsi="Arial"/>
                <w:sz w:val="18"/>
                <w:szCs w:val="18"/>
                <w:color w:val="auto"/>
                <w:w w:val="93"/>
              </w:rPr>
              <w:t>United Kingdom</w:t>
            </w:r>
          </w:p>
        </w:tc>
        <w:tc>
          <w:tcPr>
            <w:tcW w:w="1980" w:type="dxa"/>
            <w:vAlign w:val="bottom"/>
          </w:tcPr>
          <w:p>
            <w:pPr>
              <w:jc w:val="center"/>
              <w:ind w:left="50"/>
              <w:spacing w:after="0"/>
              <w:rPr>
                <w:sz w:val="20"/>
                <w:szCs w:val="20"/>
                <w:color w:val="auto"/>
              </w:rPr>
            </w:pPr>
            <w:r>
              <w:rPr>
                <w:rFonts w:ascii="Arial" w:cs="Arial" w:eastAsia="Arial" w:hAnsi="Arial"/>
                <w:sz w:val="18"/>
                <w:szCs w:val="18"/>
                <w:color w:val="auto"/>
                <w:w w:val="88"/>
              </w:rPr>
              <w:t>50%</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EXCOR-ZERUST S.R.O.</w:t>
            </w:r>
          </w:p>
        </w:tc>
        <w:tc>
          <w:tcPr>
            <w:tcW w:w="22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1"/>
              </w:rPr>
              <w:t>Czech Republic</w:t>
            </w:r>
          </w:p>
        </w:tc>
        <w:tc>
          <w:tcPr>
            <w:tcW w:w="19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50%</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EXCOR SP. Z.O.O.</w:t>
            </w:r>
          </w:p>
        </w:tc>
        <w:tc>
          <w:tcPr>
            <w:tcW w:w="2240" w:type="dxa"/>
            <w:vAlign w:val="bottom"/>
          </w:tcPr>
          <w:p>
            <w:pPr>
              <w:jc w:val="center"/>
              <w:ind w:left="650"/>
              <w:spacing w:after="0"/>
              <w:rPr>
                <w:sz w:val="20"/>
                <w:szCs w:val="20"/>
                <w:color w:val="auto"/>
              </w:rPr>
            </w:pPr>
            <w:r>
              <w:rPr>
                <w:rFonts w:ascii="Arial" w:cs="Arial" w:eastAsia="Arial" w:hAnsi="Arial"/>
                <w:sz w:val="18"/>
                <w:szCs w:val="18"/>
                <w:color w:val="auto"/>
                <w:w w:val="89"/>
              </w:rPr>
              <w:t>Poland</w:t>
            </w:r>
          </w:p>
        </w:tc>
        <w:tc>
          <w:tcPr>
            <w:tcW w:w="1980" w:type="dxa"/>
            <w:vAlign w:val="bottom"/>
          </w:tcPr>
          <w:p>
            <w:pPr>
              <w:jc w:val="center"/>
              <w:ind w:left="50"/>
              <w:spacing w:after="0"/>
              <w:rPr>
                <w:sz w:val="20"/>
                <w:szCs w:val="20"/>
                <w:color w:val="auto"/>
              </w:rPr>
            </w:pPr>
            <w:r>
              <w:rPr>
                <w:rFonts w:ascii="Arial" w:cs="Arial" w:eastAsia="Arial" w:hAnsi="Arial"/>
                <w:sz w:val="18"/>
                <w:szCs w:val="18"/>
                <w:color w:val="auto"/>
                <w:w w:val="88"/>
              </w:rPr>
              <w:t>50%</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A.Ş.</w:t>
            </w:r>
          </w:p>
        </w:tc>
        <w:tc>
          <w:tcPr>
            <w:tcW w:w="22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4"/>
              </w:rPr>
              <w:t>Turkey</w:t>
            </w:r>
          </w:p>
        </w:tc>
        <w:tc>
          <w:tcPr>
            <w:tcW w:w="19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50%</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ZERUST CONSUMER PRODUCTS, LLC</w:t>
            </w:r>
          </w:p>
        </w:tc>
        <w:tc>
          <w:tcPr>
            <w:tcW w:w="2240" w:type="dxa"/>
            <w:vAlign w:val="bottom"/>
          </w:tcPr>
          <w:p>
            <w:pPr>
              <w:jc w:val="center"/>
              <w:ind w:left="670"/>
              <w:spacing w:after="0"/>
              <w:rPr>
                <w:sz w:val="20"/>
                <w:szCs w:val="20"/>
                <w:color w:val="auto"/>
              </w:rPr>
            </w:pPr>
            <w:r>
              <w:rPr>
                <w:rFonts w:ascii="Arial" w:cs="Arial" w:eastAsia="Arial" w:hAnsi="Arial"/>
                <w:sz w:val="18"/>
                <w:szCs w:val="18"/>
                <w:color w:val="auto"/>
                <w:w w:val="88"/>
              </w:rPr>
              <w:t>United States</w:t>
            </w:r>
          </w:p>
        </w:tc>
        <w:tc>
          <w:tcPr>
            <w:tcW w:w="1980" w:type="dxa"/>
            <w:vAlign w:val="bottom"/>
          </w:tcPr>
          <w:p>
            <w:pPr>
              <w:jc w:val="center"/>
              <w:ind w:left="50"/>
              <w:spacing w:after="0"/>
              <w:rPr>
                <w:sz w:val="20"/>
                <w:szCs w:val="20"/>
                <w:color w:val="auto"/>
              </w:rPr>
            </w:pPr>
            <w:r>
              <w:rPr>
                <w:rFonts w:ascii="Arial" w:cs="Arial" w:eastAsia="Arial" w:hAnsi="Arial"/>
                <w:sz w:val="18"/>
                <w:szCs w:val="18"/>
                <w:color w:val="auto"/>
                <w:w w:val="88"/>
              </w:rPr>
              <w:t>50%</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 DNEPR</w:t>
            </w:r>
          </w:p>
        </w:tc>
        <w:tc>
          <w:tcPr>
            <w:tcW w:w="22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0"/>
              </w:rPr>
              <w:t>Ukraine</w:t>
            </w:r>
          </w:p>
        </w:tc>
        <w:tc>
          <w:tcPr>
            <w:tcW w:w="19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50%</w:t>
            </w:r>
          </w:p>
        </w:tc>
      </w:tr>
      <w:tr>
        <w:trPr>
          <w:trHeight w:val="257"/>
        </w:trPr>
        <w:tc>
          <w:tcPr>
            <w:tcW w:w="7020" w:type="dxa"/>
            <w:vAlign w:val="bottom"/>
            <w:gridSpan w:val="2"/>
          </w:tcPr>
          <w:p>
            <w:pPr>
              <w:spacing w:after="0"/>
              <w:rPr>
                <w:sz w:val="20"/>
                <w:szCs w:val="20"/>
                <w:color w:val="auto"/>
              </w:rPr>
            </w:pPr>
            <w:r>
              <w:rPr>
                <w:rFonts w:ascii="Arial" w:cs="Arial" w:eastAsia="Arial" w:hAnsi="Arial"/>
                <w:sz w:val="18"/>
                <w:szCs w:val="18"/>
                <w:color w:val="auto"/>
              </w:rPr>
              <w:t>KOREA ZERUST CO., LTD.</w:t>
            </w:r>
          </w:p>
        </w:tc>
        <w:tc>
          <w:tcPr>
            <w:tcW w:w="2240" w:type="dxa"/>
            <w:vAlign w:val="bottom"/>
          </w:tcPr>
          <w:p>
            <w:pPr>
              <w:jc w:val="center"/>
              <w:ind w:left="670"/>
              <w:spacing w:after="0" w:line="256" w:lineRule="exact"/>
              <w:rPr>
                <w:sz w:val="20"/>
                <w:szCs w:val="20"/>
                <w:color w:val="auto"/>
              </w:rPr>
            </w:pPr>
            <w:r>
              <w:rPr>
                <w:rFonts w:ascii="Arial" w:cs="Arial" w:eastAsia="Arial" w:hAnsi="Arial"/>
                <w:sz w:val="18"/>
                <w:szCs w:val="18"/>
                <w:color w:val="auto"/>
                <w:w w:val="87"/>
              </w:rPr>
              <w:t>South Korea</w:t>
            </w:r>
            <w:r>
              <w:rPr>
                <w:rFonts w:ascii="Arial" w:cs="Arial" w:eastAsia="Arial" w:hAnsi="Arial"/>
                <w:sz w:val="29"/>
                <w:szCs w:val="29"/>
                <w:color w:val="auto"/>
                <w:w w:val="87"/>
                <w:vertAlign w:val="superscript"/>
              </w:rPr>
              <w:t>(1)</w:t>
            </w:r>
          </w:p>
        </w:tc>
        <w:tc>
          <w:tcPr>
            <w:tcW w:w="1980" w:type="dxa"/>
            <w:vAlign w:val="bottom"/>
          </w:tcPr>
          <w:p>
            <w:pPr>
              <w:jc w:val="center"/>
              <w:ind w:left="50"/>
              <w:spacing w:after="0"/>
              <w:rPr>
                <w:sz w:val="20"/>
                <w:szCs w:val="20"/>
                <w:color w:val="auto"/>
              </w:rPr>
            </w:pPr>
            <w:r>
              <w:rPr>
                <w:rFonts w:ascii="Arial" w:cs="Arial" w:eastAsia="Arial" w:hAnsi="Arial"/>
                <w:sz w:val="18"/>
                <w:szCs w:val="18"/>
                <w:color w:val="auto"/>
                <w:w w:val="88"/>
              </w:rPr>
              <w:t>30%</w:t>
            </w:r>
          </w:p>
        </w:tc>
      </w:tr>
      <w:tr>
        <w:trPr>
          <w:trHeight w:val="257"/>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ZERUST-NIC (TAIWAN) CORP.</w:t>
            </w:r>
          </w:p>
        </w:tc>
        <w:tc>
          <w:tcPr>
            <w:tcW w:w="2240" w:type="dxa"/>
            <w:vAlign w:val="bottom"/>
            <w:shd w:val="clear" w:color="auto" w:fill="CCEEFF"/>
          </w:tcPr>
          <w:p>
            <w:pPr>
              <w:jc w:val="center"/>
              <w:ind w:left="670"/>
              <w:spacing w:after="0" w:line="256" w:lineRule="exact"/>
              <w:rPr>
                <w:sz w:val="20"/>
                <w:szCs w:val="20"/>
                <w:color w:val="auto"/>
              </w:rPr>
            </w:pPr>
            <w:r>
              <w:rPr>
                <w:rFonts w:ascii="Arial" w:cs="Arial" w:eastAsia="Arial" w:hAnsi="Arial"/>
                <w:sz w:val="18"/>
                <w:szCs w:val="18"/>
                <w:color w:val="auto"/>
                <w:w w:val="88"/>
              </w:rPr>
              <w:t>Taiwan</w:t>
            </w:r>
            <w:r>
              <w:rPr>
                <w:rFonts w:ascii="Arial" w:cs="Arial" w:eastAsia="Arial" w:hAnsi="Arial"/>
                <w:sz w:val="29"/>
                <w:szCs w:val="29"/>
                <w:color w:val="auto"/>
                <w:w w:val="88"/>
                <w:vertAlign w:val="superscript"/>
              </w:rPr>
              <w:t>(1)</w:t>
            </w:r>
          </w:p>
        </w:tc>
        <w:tc>
          <w:tcPr>
            <w:tcW w:w="19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30%</w:t>
            </w:r>
          </w:p>
        </w:tc>
      </w:tr>
      <w:tr>
        <w:trPr>
          <w:trHeight w:val="256"/>
        </w:trPr>
        <w:tc>
          <w:tcPr>
            <w:tcW w:w="7020" w:type="dxa"/>
            <w:vAlign w:val="bottom"/>
            <w:gridSpan w:val="2"/>
          </w:tcPr>
          <w:p>
            <w:pPr>
              <w:spacing w:after="0"/>
              <w:rPr>
                <w:sz w:val="20"/>
                <w:szCs w:val="20"/>
                <w:color w:val="auto"/>
              </w:rPr>
            </w:pPr>
            <w:r>
              <w:rPr>
                <w:rFonts w:ascii="Arial" w:cs="Arial" w:eastAsia="Arial" w:hAnsi="Arial"/>
                <w:sz w:val="18"/>
                <w:szCs w:val="18"/>
                <w:color w:val="auto"/>
              </w:rPr>
              <w:t>PT. CHEMINDO – NTIA</w:t>
            </w:r>
          </w:p>
        </w:tc>
        <w:tc>
          <w:tcPr>
            <w:tcW w:w="2240" w:type="dxa"/>
            <w:vAlign w:val="bottom"/>
          </w:tcPr>
          <w:p>
            <w:pPr>
              <w:jc w:val="center"/>
              <w:ind w:left="670"/>
              <w:spacing w:after="0" w:line="256" w:lineRule="exact"/>
              <w:rPr>
                <w:sz w:val="20"/>
                <w:szCs w:val="20"/>
                <w:color w:val="auto"/>
              </w:rPr>
            </w:pPr>
            <w:r>
              <w:rPr>
                <w:rFonts w:ascii="Arial" w:cs="Arial" w:eastAsia="Arial" w:hAnsi="Arial"/>
                <w:sz w:val="18"/>
                <w:szCs w:val="18"/>
                <w:color w:val="auto"/>
                <w:w w:val="86"/>
              </w:rPr>
              <w:t>Indonesia</w:t>
            </w:r>
            <w:r>
              <w:rPr>
                <w:rFonts w:ascii="Arial" w:cs="Arial" w:eastAsia="Arial" w:hAnsi="Arial"/>
                <w:sz w:val="29"/>
                <w:szCs w:val="29"/>
                <w:color w:val="auto"/>
                <w:w w:val="86"/>
                <w:vertAlign w:val="superscript"/>
              </w:rPr>
              <w:t>(1)</w:t>
            </w:r>
          </w:p>
        </w:tc>
        <w:tc>
          <w:tcPr>
            <w:tcW w:w="1980" w:type="dxa"/>
            <w:vAlign w:val="bottom"/>
          </w:tcPr>
          <w:p>
            <w:pPr>
              <w:jc w:val="center"/>
              <w:ind w:left="50"/>
              <w:spacing w:after="0"/>
              <w:rPr>
                <w:sz w:val="20"/>
                <w:szCs w:val="20"/>
                <w:color w:val="auto"/>
              </w:rPr>
            </w:pPr>
            <w:r>
              <w:rPr>
                <w:rFonts w:ascii="Arial" w:cs="Arial" w:eastAsia="Arial" w:hAnsi="Arial"/>
                <w:sz w:val="18"/>
                <w:szCs w:val="18"/>
                <w:color w:val="auto"/>
                <w:w w:val="88"/>
              </w:rPr>
              <w:t>30%</w:t>
            </w:r>
          </w:p>
        </w:tc>
      </w:tr>
      <w:tr>
        <w:trPr>
          <w:trHeight w:val="257"/>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SPECIALTY TECH CO. LTD.</w:t>
            </w:r>
          </w:p>
        </w:tc>
        <w:tc>
          <w:tcPr>
            <w:tcW w:w="2240" w:type="dxa"/>
            <w:vAlign w:val="bottom"/>
            <w:shd w:val="clear" w:color="auto" w:fill="CCEEFF"/>
          </w:tcPr>
          <w:p>
            <w:pPr>
              <w:jc w:val="center"/>
              <w:ind w:left="670"/>
              <w:spacing w:after="0" w:line="256" w:lineRule="exact"/>
              <w:rPr>
                <w:sz w:val="20"/>
                <w:szCs w:val="20"/>
                <w:color w:val="auto"/>
              </w:rPr>
            </w:pPr>
            <w:r>
              <w:rPr>
                <w:rFonts w:ascii="Arial" w:cs="Arial" w:eastAsia="Arial" w:hAnsi="Arial"/>
                <w:sz w:val="18"/>
                <w:szCs w:val="18"/>
                <w:color w:val="auto"/>
                <w:w w:val="86"/>
              </w:rPr>
              <w:t>Thailand</w:t>
            </w:r>
            <w:r>
              <w:rPr>
                <w:rFonts w:ascii="Arial" w:cs="Arial" w:eastAsia="Arial" w:hAnsi="Arial"/>
                <w:sz w:val="29"/>
                <w:szCs w:val="29"/>
                <w:color w:val="auto"/>
                <w:w w:val="86"/>
                <w:vertAlign w:val="superscript"/>
              </w:rPr>
              <w:t>(1)</w:t>
            </w:r>
          </w:p>
        </w:tc>
        <w:tc>
          <w:tcPr>
            <w:tcW w:w="19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30%</w:t>
            </w:r>
          </w:p>
        </w:tc>
      </w:tr>
      <w:tr>
        <w:trPr>
          <w:trHeight w:val="257"/>
        </w:trPr>
        <w:tc>
          <w:tcPr>
            <w:tcW w:w="7020" w:type="dxa"/>
            <w:vAlign w:val="bottom"/>
            <w:gridSpan w:val="2"/>
          </w:tcPr>
          <w:p>
            <w:pPr>
              <w:spacing w:after="0"/>
              <w:rPr>
                <w:sz w:val="20"/>
                <w:szCs w:val="20"/>
                <w:color w:val="auto"/>
              </w:rPr>
            </w:pPr>
            <w:r>
              <w:rPr>
                <w:rFonts w:ascii="Arial" w:cs="Arial" w:eastAsia="Arial" w:hAnsi="Arial"/>
                <w:sz w:val="18"/>
                <w:szCs w:val="18"/>
                <w:color w:val="auto"/>
              </w:rPr>
              <w:t>CHONG WAH-NTIA SDN. BHD.</w:t>
            </w:r>
          </w:p>
        </w:tc>
        <w:tc>
          <w:tcPr>
            <w:tcW w:w="2240" w:type="dxa"/>
            <w:vAlign w:val="bottom"/>
          </w:tcPr>
          <w:p>
            <w:pPr>
              <w:jc w:val="center"/>
              <w:ind w:left="670"/>
              <w:spacing w:after="0" w:line="256" w:lineRule="exact"/>
              <w:rPr>
                <w:sz w:val="20"/>
                <w:szCs w:val="20"/>
                <w:color w:val="auto"/>
              </w:rPr>
            </w:pPr>
            <w:r>
              <w:rPr>
                <w:rFonts w:ascii="Arial" w:cs="Arial" w:eastAsia="Arial" w:hAnsi="Arial"/>
                <w:sz w:val="18"/>
                <w:szCs w:val="18"/>
                <w:color w:val="auto"/>
                <w:w w:val="88"/>
              </w:rPr>
              <w:t>Malaysia</w:t>
            </w:r>
            <w:r>
              <w:rPr>
                <w:rFonts w:ascii="Arial" w:cs="Arial" w:eastAsia="Arial" w:hAnsi="Arial"/>
                <w:sz w:val="29"/>
                <w:szCs w:val="29"/>
                <w:color w:val="auto"/>
                <w:w w:val="88"/>
                <w:vertAlign w:val="superscript"/>
              </w:rPr>
              <w:t>(1)</w:t>
            </w:r>
          </w:p>
        </w:tc>
        <w:tc>
          <w:tcPr>
            <w:tcW w:w="1980" w:type="dxa"/>
            <w:vAlign w:val="bottom"/>
          </w:tcPr>
          <w:p>
            <w:pPr>
              <w:jc w:val="center"/>
              <w:ind w:left="50"/>
              <w:spacing w:after="0"/>
              <w:rPr>
                <w:sz w:val="20"/>
                <w:szCs w:val="20"/>
                <w:color w:val="auto"/>
              </w:rPr>
            </w:pPr>
            <w:r>
              <w:rPr>
                <w:rFonts w:ascii="Arial" w:cs="Arial" w:eastAsia="Arial" w:hAnsi="Arial"/>
                <w:sz w:val="18"/>
                <w:szCs w:val="18"/>
                <w:color w:val="auto"/>
                <w:w w:val="88"/>
              </w:rPr>
              <w:t>30%</w:t>
            </w:r>
          </w:p>
        </w:tc>
      </w:tr>
      <w:tr>
        <w:trPr>
          <w:trHeight w:val="257"/>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NTIA ZERUST PHILIPPINES, INC.</w:t>
            </w:r>
          </w:p>
        </w:tc>
        <w:tc>
          <w:tcPr>
            <w:tcW w:w="2240" w:type="dxa"/>
            <w:vAlign w:val="bottom"/>
            <w:shd w:val="clear" w:color="auto" w:fill="CCEEFF"/>
          </w:tcPr>
          <w:p>
            <w:pPr>
              <w:jc w:val="center"/>
              <w:ind w:left="670"/>
              <w:spacing w:after="0" w:line="256" w:lineRule="exact"/>
              <w:rPr>
                <w:sz w:val="20"/>
                <w:szCs w:val="20"/>
                <w:color w:val="auto"/>
              </w:rPr>
            </w:pPr>
            <w:r>
              <w:rPr>
                <w:rFonts w:ascii="Arial" w:cs="Arial" w:eastAsia="Arial" w:hAnsi="Arial"/>
                <w:sz w:val="18"/>
                <w:szCs w:val="18"/>
                <w:color w:val="auto"/>
                <w:w w:val="90"/>
              </w:rPr>
              <w:t>Philippines</w:t>
            </w:r>
            <w:r>
              <w:rPr>
                <w:rFonts w:ascii="Arial" w:cs="Arial" w:eastAsia="Arial" w:hAnsi="Arial"/>
                <w:sz w:val="29"/>
                <w:szCs w:val="29"/>
                <w:color w:val="auto"/>
                <w:w w:val="90"/>
                <w:vertAlign w:val="superscript"/>
              </w:rPr>
              <w:t>(1)</w:t>
            </w:r>
          </w:p>
        </w:tc>
        <w:tc>
          <w:tcPr>
            <w:tcW w:w="19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30%</w:t>
            </w:r>
          </w:p>
        </w:tc>
      </w:tr>
      <w:tr>
        <w:trPr>
          <w:trHeight w:val="202"/>
        </w:trPr>
        <w:tc>
          <w:tcPr>
            <w:tcW w:w="7020" w:type="dxa"/>
            <w:vAlign w:val="bottom"/>
            <w:gridSpan w:val="2"/>
          </w:tcPr>
          <w:p>
            <w:pPr>
              <w:spacing w:after="0" w:line="201" w:lineRule="exact"/>
              <w:rPr>
                <w:sz w:val="20"/>
                <w:szCs w:val="20"/>
                <w:color w:val="auto"/>
              </w:rPr>
            </w:pPr>
            <w:r>
              <w:rPr>
                <w:rFonts w:ascii="Arial" w:cs="Arial" w:eastAsia="Arial" w:hAnsi="Arial"/>
                <w:sz w:val="18"/>
                <w:szCs w:val="18"/>
                <w:color w:val="auto"/>
              </w:rPr>
              <w:t>____________________________</w:t>
            </w:r>
          </w:p>
        </w:tc>
        <w:tc>
          <w:tcPr>
            <w:tcW w:w="22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6560" w:type="dxa"/>
            <w:vAlign w:val="bottom"/>
          </w:tcPr>
          <w:p>
            <w:pPr>
              <w:ind w:left="260"/>
              <w:spacing w:after="0"/>
              <w:rPr>
                <w:sz w:val="20"/>
                <w:szCs w:val="20"/>
                <w:color w:val="auto"/>
              </w:rPr>
            </w:pPr>
            <w:r>
              <w:rPr>
                <w:rFonts w:ascii="Arial" w:cs="Arial" w:eastAsia="Arial" w:hAnsi="Arial"/>
                <w:sz w:val="18"/>
                <w:szCs w:val="18"/>
                <w:color w:val="auto"/>
              </w:rPr>
              <w:t>Indirect ownership interest through NTI Asean.</w:t>
            </w:r>
          </w:p>
        </w:tc>
        <w:tc>
          <w:tcPr>
            <w:tcW w:w="224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NTIC receives funds from its joint ventures as fees received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NTIC accounts for the investments and financial results of its joint ventures in its financial statements utilizing the equity method of accounting.</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Therefore, NTIC provides certain additional information regarding EXCOR in the notes to NTIC’s consolidated financial statements and in this section of this report.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Potential Impact of the COVID-19 Pandemic</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NTIC is closely monitoring the novel strain of coronavirus (COVID-19) pandemic and its potential impact on its business. The outbreak and continuing rapid spread of COVID-19 has resulted in a substantial curtailment of business activities worldwide and is causing weakened economic conditions, both in the United States and many countries abroad. As part of intensifying efforts to contain the spread of COVID-19, a growing number of state, local and foreign governments have imposed various restrictions on the conduct of business and travel. Government restrictions, such as stay-at-home orders, quarantines and worker absenteeism as a result of COVID-19 have led to a significant number of business closures and slowdowns. These business closures and slowdowns have already adversely impacted and will likely continue to adversely impact NTIC directly, as well as cause its customers and suppliers to slow or stop production, which will likely significantly disrupt NTIC’s sales, production and supply chain. For example, as a result of the COVID-19 outbreak in China in December 2019, NTIC experienced decreased demand for its products and services in China and other places in Asia during the three months ended February 29, 2020. The operations at NTIC China were suspended on January 18, 2020 and did not resume until February 28, 2020. In addition, NTIC’s location in India is currently under mandated governmental shutdown until April 15, 2020. NTIC anticipates significantly decreased global demand for its products and services during third quarter of fiscal 2020 and beyond. This significantly decreased demand will likely have a material adverse effect on NTIC’s business, operating results and financial condition beginning with third quarter of fiscal 2020. Due to the international reach of COVID-19, NTIC anticipates that its international joint ventures will also be adversely impacted by the causes listed above, as well as other local issues that may arise, which will likely have a material adverse effect on NTIC’s joint venture operations and equity in income from joint ventures in the third quarter of fiscal 2020 and beyond. It is currently not possible to predict the precise potential impact, as well as the extent of any impact, of the COVID-19 pandemic on NTIC’s business, and on the global economy as a whole. It is also currently not possible to predict how long the pandemic will last or the time that it will take for economic activity to return to prior levels. A prolonged situation could have a significant adverse effect on economies and financial markets globally, potentially leading to a significant worldwide economic downturn, which could have a significant adverse effect on NTIC’s business, operating results and financial condition.</w:t>
      </w:r>
    </w:p>
    <w:p>
      <w:pPr>
        <w:spacing w:after="0" w:line="3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extent to which the COVID-19 pandemic impacts NTIC’s business will likely depend on numerous evolving factors that NTIC may not be able to accurately predict, including:</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duration and scope of the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pandemic on economic activity and actions taken in response;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on NTIC’s customers and demand for its products and services;</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ability to continue to manufacture and sell its products and services, including as a result of travel restrictions and people working from home;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NTIC’s customers to pay for its products and services;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closures of NTIC’s facilities and the facilities of its customers and supplier.</w:t>
      </w: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Any of these events could materially adversely affect NTIC’s business, operating results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reportable business segments based on products sold, customer base, and distribution center: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w:t>
      </w:r>
    </w:p>
    <w:p>
      <w:pPr>
        <w:spacing w:after="0"/>
        <w:rPr>
          <w:sz w:val="20"/>
          <w:szCs w:val="20"/>
          <w:color w:val="auto"/>
        </w:rPr>
      </w:pPr>
      <w:r>
        <w:rPr>
          <w:rFonts w:ascii="Arial" w:cs="Arial" w:eastAsia="Arial" w:hAnsi="Arial"/>
          <w:sz w:val="18"/>
          <w:szCs w:val="18"/>
          <w:color w:val="auto"/>
        </w:rPr>
        <w:t>All share and per share data have been adjusted for all periods presented to reflect the two-for-one stock split effective June 28, 2019.</w:t>
      </w:r>
    </w:p>
    <w:p>
      <w:pPr>
        <w:spacing w:after="0" w:line="20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NTIC’s consolidated net sales decreased 0.6% and increased 1.7% during the three and six months ended February 29, 2020, respectively, compared to the three and six months ended February 28, 2019. NTIC’s consolidated net sales for the three months ended February 29, 2020 were adversely affected by reduced demand in China and other parts of Asia as a result of the novel strain of coronavirus (COVID-19) outbreak in China. The operations at NTIC China were suspended on January 18, 2020 and did not resume until February 28, 2020. NTIC anticipates that the COVID-19 outbreak will continue to significantly adversely affect NTIC’s consolidated net sales and earnings in the third quarter of fiscal 2020 and beyond.</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During both the three and six months ended February 29, 2020, 68.1%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decreased 1.0% and 1.1% to $9,016,222 and $18,965,734, respectively, compared to $9,108,395 and $19,173,569 during the three and six months ended February 28, 2019, respectively. These decreases were due to lower sales from existing customers for existing products as a result of</w:t>
      </w:r>
    </w:p>
    <w:p>
      <w:pPr>
        <w:spacing w:after="0" w:line="2" w:lineRule="exact"/>
        <w:rPr>
          <w:sz w:val="20"/>
          <w:szCs w:val="20"/>
          <w:color w:val="auto"/>
        </w:rPr>
      </w:pPr>
    </w:p>
    <w:p>
      <w:pPr>
        <w:ind w:right="80"/>
        <w:spacing w:after="0" w:line="235" w:lineRule="auto"/>
        <w:rPr>
          <w:sz w:val="20"/>
          <w:szCs w:val="20"/>
          <w:color w:val="auto"/>
        </w:rPr>
      </w:pPr>
      <w:r>
        <w:rPr>
          <w:rFonts w:ascii="Arial" w:cs="Arial" w:eastAsia="Arial" w:hAnsi="Arial"/>
          <w:sz w:val="16"/>
          <w:szCs w:val="16"/>
          <w:color w:val="auto"/>
        </w:rPr>
        <w:t>decreased demand. NTIC has focused its sales efforts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by strategically targeting customers with specific corrosion issues in new market areas, including the oil and gas industry and other industrial sectors that offer sizable growth opportunities. NTIC’s consolidated net sales for the six months ended February 29, 2020 included $1,587,862 of sales made to customers in the oil and gas industry compared to $1,343,460 for the six months ended February 28, 2019. Overall 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depends heavily on the overall health of the markets in</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which NTIC sells its products, including the automotive, oil and gas, agriculture, and mining markets in particular. NTIC’s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for the three months ended February 29, 2020 were adversely affected by reduced demand in China and other parts of Asia as a result of the</w:t>
      </w:r>
    </w:p>
    <w:p>
      <w:pPr>
        <w:ind w:right="160"/>
        <w:spacing w:after="0" w:line="209" w:lineRule="auto"/>
        <w:rPr>
          <w:sz w:val="20"/>
          <w:szCs w:val="20"/>
          <w:color w:val="auto"/>
        </w:rPr>
      </w:pPr>
      <w:r>
        <w:rPr>
          <w:rFonts w:ascii="Arial" w:cs="Arial" w:eastAsia="Arial" w:hAnsi="Arial"/>
          <w:sz w:val="18"/>
          <w:szCs w:val="18"/>
          <w:color w:val="auto"/>
        </w:rPr>
        <w:t>COVID-19 outbreak in China. NTIC anticipates that the COVID-19 outbreak will continue to significantly adversely affect sales of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in the third quarter of fiscal 2020 and beyond.</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During both the three and six months ended February 29, 2020, 31.9% of NTIC’s consolidated net sales were derived from sales of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compared to 31.6% and 30.0% during the three and six months ended February 28, 2019, respectively. Net sales of Natur-Tec® products increased 0.3% and 8.1% during the three and six months ended February 29, 2020, respectively, compared to the three and six months ended February 28, 2019 primarily due to an increase in finished product sales in North America and finished product sales at NTIC’s majority-owned subsidiary in India, Natur-Tec India Private Limited (Natur-Tec India), partially offset by reduced demand in China and other parts of Asia as a result of the COVID-19 outbreak in China during the three months ended February 29, 2020. NTIC anticipates that the COVID-19 outbreak will continue to significantly adversely affect sales of Natur-Tec® products in the third quarter of fiscal 2020 and beyond.</w:t>
      </w:r>
    </w:p>
    <w:p>
      <w:pPr>
        <w:spacing w:after="0" w:line="19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Cost of goods sold as a percentage of net sales decreased to 65.6% during the three months ended February 29, 2020, compared to 69.7% during the three months ended February 28, 2019, and decreased to 66.4% during the six months ended February 29, 2020, compared to 68.4% during the prior fiscal year period primarily as a result of an increased percentage of product sales from oil and gas products that have higher gross margins than NTIC’s traditional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industrial products.</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27" w:name="page28"/>
    <w:bookmarkEnd w:id="27"/>
    <w:p>
      <w:pPr>
        <w:spacing w:after="0" w:line="289" w:lineRule="auto"/>
        <w:rPr>
          <w:sz w:val="20"/>
          <w:szCs w:val="20"/>
          <w:color w:val="auto"/>
        </w:rPr>
      </w:pPr>
      <w:r>
        <w:rPr>
          <w:rFonts w:ascii="Arial" w:cs="Arial" w:eastAsia="Arial" w:hAnsi="Arial"/>
          <w:sz w:val="16"/>
          <w:szCs w:val="16"/>
          <w:color w:val="auto"/>
        </w:rPr>
        <w:t>NTIC’s equity in income from joint ventures decreased 20.7% and 28.6% to $1,360,804 and $2,654,794 during the three and six months ended February 29, 2020, respectively, compared to $1,715,216 and $3,719,378 during the three and six months ended February 28, 2019, respectively. These decreases were primarily due to corresponding decreases in net sales at the joint ventures, which decreased 12.5% and 14.6% to $24,289,370 and $49,749,664 during the three and six months ended February 29, 2020, respectively, compared to $27,749,880 and $58,229,806 during the three and six months ended February 28, 2019, respectively. These decreases in net sales of NTIC’s joint ventures were primarily due to lower sales from existing customers for existing products as a result of decreased demand. The decreases in net sales of NTIC’s joint ventures resulted in corresponding decreases in fees for services provided to joint ventures, as such fees are a function of net sales of NTIC’s joint ventures. NTIC anticipates that net sales of its joint ventures will decrease significantly as a result of anticipated decreased demand as a result of the COVID-19 outbreak and may have a significant adverse effect on NTIC’s equity in income from its joint ventures commencing in the third quarter of fiscal 2020.</w:t>
      </w:r>
    </w:p>
    <w:p>
      <w:pPr>
        <w:spacing w:after="0" w:line="16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NTIC’s total operating expenses increased 19.7% and 6.8% to $6,461,748 and $12,360,368 during the three and six months ended February 29, 2020, respectively, compared to $5,396,155 and $11,575,203 for the three and six months ended February 28, 2019. This increase was primarily due to an increase in NTIC’s personnel expenses.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NTIC spent $1,006,395 and $1,968,036 during the three and six months ended February 29, 2020, compared to $927,537 and $1,799,694 during the three and six months ended February 28, 2019, respectively, in connection with its research and development activities. NTIC anticipates that it will spend a total of between $3,500,000 and $3,700,000 in fiscal 2020 on research and development activities.</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Net income attributable to NTIC decreased to $179,834, or $0.02 per diluted common share, for the three months ended February 29, 2020, compared to $1,401,568, or $0.15 per diluted common share, for the three months ended February 28, 2019, a decrease of $1,212,734, or $0.13 per diluted share. Net income attributable to NTIC decreased to $1,392,384, or $0.15 per diluted common share, for the six months ended February 29, 2020, compared to $2,898,627, or $0.31 per diluted common share, for the six months ended February 28, 2019, a decrease of $1,506,243, or $0.16 per diluted share. These decreases were primarily the result of the increase in operating expenses and decrease in income from joint venture operations during the current fiscal year periods compared to the prior fiscal year periods, partially offset by increases in gross profit.</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NTIC anticipates that its earnings may be significantly adversely affected by COVID-19 in the third quarter of fiscal 2020 and beyond and that its quarterly net income or loss will continue to remain subject to significant volatility primarily due to the financial performance of its subsidiaries and joint ventures,</w:t>
      </w:r>
    </w:p>
    <w:p>
      <w:pPr>
        <w:ind w:right="520"/>
        <w:spacing w:after="0" w:line="228" w:lineRule="auto"/>
        <w:rPr>
          <w:sz w:val="20"/>
          <w:szCs w:val="20"/>
          <w:color w:val="auto"/>
        </w:rPr>
      </w:pPr>
      <w:r>
        <w:rPr>
          <w:rFonts w:ascii="Arial" w:cs="Arial" w:eastAsia="Arial" w:hAnsi="Arial"/>
          <w:sz w:val="18"/>
          <w:szCs w:val="18"/>
          <w:color w:val="auto"/>
        </w:rPr>
        <w:t>sales of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into the oil and gas industry, and sales of its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bioplastics products, which fluctuate more on a quarterly basis than the traditional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business.</w:t>
      </w:r>
    </w:p>
    <w:p>
      <w:pPr>
        <w:spacing w:after="0" w:line="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NTIC’s working capital, defined as current assets less current liabilities, was $29,431,014 at February 29, 2020, including $5,626,410 in cash and cash equivalents and $6,512,166 in available for sale securities, compared to $25,460,569 at August 31, 2019, including $5,856,758 in cash and cash equivalents and $3,565,258 in available for sale securities.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ind w:right="100"/>
        <w:spacing w:after="0" w:line="254" w:lineRule="auto"/>
        <w:rPr>
          <w:sz w:val="20"/>
          <w:szCs w:val="20"/>
          <w:color w:val="auto"/>
        </w:rPr>
      </w:pPr>
      <w:r>
        <w:rPr>
          <w:rFonts w:ascii="Arial" w:cs="Arial" w:eastAsia="Arial" w:hAnsi="Arial"/>
          <w:sz w:val="18"/>
          <w:szCs w:val="18"/>
          <w:color w:val="auto"/>
        </w:rPr>
        <w:t>On January 22, 2020, the Company’s Board of Directors declared a cash dividend of $0.065 per share of NTIC’s common stock, payable on February 19, 2020 to stockholders of record on February 5, 2020. On October 22, 2019, the Company’s Board of Directors declared a cash dividend of $0.065 per share of NTIC’s common stock, payable on November 20, 2019 to stockholders of record on November 6, 2019. During fiscal 2019, the Company’s Board of Directors declared four quarterly cash dividends of $0.06 per share each.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its business, operating results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three and six months ended February 29, 2020 and February 28,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91"/>
        </w:trPr>
        <w:tc>
          <w:tcPr>
            <w:tcW w:w="3840" w:type="dxa"/>
            <w:vAlign w:val="bottom"/>
          </w:tcPr>
          <w:p>
            <w:pPr>
              <w:spacing w:after="0"/>
              <w:rPr>
                <w:sz w:val="16"/>
                <w:szCs w:val="16"/>
                <w:color w:val="auto"/>
              </w:rPr>
            </w:pPr>
          </w:p>
        </w:tc>
        <w:tc>
          <w:tcPr>
            <w:tcW w:w="122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rPr>
              <w:t>February 29,</w:t>
            </w:r>
          </w:p>
        </w:tc>
        <w:tc>
          <w:tcPr>
            <w:tcW w:w="126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9"/>
              </w:rPr>
              <w:t>% of</w:t>
            </w:r>
          </w:p>
        </w:tc>
        <w:tc>
          <w:tcPr>
            <w:tcW w:w="122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rPr>
              <w:t>February 28,</w:t>
            </w:r>
          </w:p>
        </w:tc>
        <w:tc>
          <w:tcPr>
            <w:tcW w:w="126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4"/>
              </w:rPr>
              <w:t>% of</w:t>
            </w:r>
          </w:p>
        </w:tc>
        <w:tc>
          <w:tcPr>
            <w:tcW w:w="180" w:type="dxa"/>
            <w:vAlign w:val="bottom"/>
          </w:tcPr>
          <w:p>
            <w:pPr>
              <w:spacing w:after="0"/>
              <w:rPr>
                <w:sz w:val="16"/>
                <w:szCs w:val="16"/>
                <w:color w:val="auto"/>
              </w:rPr>
            </w:pPr>
          </w:p>
        </w:tc>
        <w:tc>
          <w:tcPr>
            <w:tcW w:w="940" w:type="dxa"/>
            <w:vAlign w:val="bottom"/>
          </w:tcPr>
          <w:p>
            <w:pPr>
              <w:jc w:val="right"/>
              <w:ind w:right="45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220" w:type="dxa"/>
            <w:vAlign w:val="bottom"/>
          </w:tcPr>
          <w:p>
            <w:pPr>
              <w:jc w:val="right"/>
              <w:ind w:right="45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Net Sales</w:t>
            </w: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Net Sales</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12,988,153</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12,606,449</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381,704</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245,630</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708,955</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(463,325)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8,687,301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9,284,099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(596,798)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1,360,804</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1,715,216</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(354,412)</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1,256,213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1,436,774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(180,561)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3,110,240</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2,505,081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605,159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2,345,113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1,963,537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381,576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1,006,395</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927,537</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78,858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91"/>
        </w:trPr>
        <w:tc>
          <w:tcPr>
            <w:tcW w:w="3840" w:type="dxa"/>
            <w:vAlign w:val="bottom"/>
          </w:tcPr>
          <w:p>
            <w:pPr>
              <w:spacing w:after="0"/>
              <w:rPr>
                <w:sz w:val="16"/>
                <w:szCs w:val="16"/>
                <w:color w:val="auto"/>
              </w:rPr>
            </w:pPr>
          </w:p>
        </w:tc>
        <w:tc>
          <w:tcPr>
            <w:tcW w:w="122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rPr>
              <w:t>February 29,</w:t>
            </w:r>
          </w:p>
        </w:tc>
        <w:tc>
          <w:tcPr>
            <w:tcW w:w="126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9"/>
              </w:rPr>
              <w:t>% of</w:t>
            </w:r>
          </w:p>
        </w:tc>
        <w:tc>
          <w:tcPr>
            <w:tcW w:w="122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rPr>
              <w:t>February 28,</w:t>
            </w:r>
          </w:p>
        </w:tc>
        <w:tc>
          <w:tcPr>
            <w:tcW w:w="126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c>
          <w:tcPr>
            <w:tcW w:w="960" w:type="dxa"/>
            <w:vAlign w:val="bottom"/>
          </w:tcPr>
          <w:p>
            <w:pPr>
              <w:jc w:val="right"/>
              <w:ind w:right="45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220" w:type="dxa"/>
            <w:vAlign w:val="bottom"/>
          </w:tcPr>
          <w:p>
            <w:pPr>
              <w:jc w:val="right"/>
              <w:ind w:right="45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Net Sales</w:t>
            </w: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Net Sales</w:t>
            </w:r>
          </w:p>
        </w:tc>
        <w:tc>
          <w:tcPr>
            <w:tcW w:w="16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27,033,937</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26,217,314</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816,623</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831,246</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1,192,142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(360,896)</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18,492,385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18,745,236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(252,851)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2,654,794</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3,719,378</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(1,064,584)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2,614,538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2,865,209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(250,671)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5,997,532</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5,316,175</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681,357</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4,394,800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4,459,334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1,968,036</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1,799,694</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168,342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r>
    </w:tbl>
    <w:p>
      <w:pPr>
        <w:spacing w:after="0" w:line="187"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decreased 0.6% and increased 1.7% to $13,233,783 and $27,865,183 during the three and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29, 2020, respectively, compared to the three and six months ended February 28, 2019. NTIC’s consolidated net sales for the three months ended February 29, 2020 were adversely affected by reduced demand in China and other parts of Asia as a result of the COVID-19 outbreak in China. The operations at NTIC China were suspended on January 18, 2020 and did not resume until February 28, 2020. NTIC’s consolidated net sales to unaffiliated customers excluding NTIC’s joint ventures increased 3.0% and 3.1% to $12,988,153 and $27,033,937 during the three and six months ended February 29, 2020, respectively, compared to the same respective periods in fiscal 2019. These increases were primarily a result of an increase in sales of Zerust oil &amp;</w:t>
      </w:r>
    </w:p>
    <w:p>
      <w:pPr>
        <w:spacing w:after="0" w:line="4"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gas and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Net sales to joint ventures decreased 65.4% and 30.3% to $245,630 and $831,246, during the three and six months ended February 29, 2020, respectively, compared to the same respective periods in fiscal 2019. These decreases were primarily a result of decreased demand and the timing of shipments compared to the prior fiscal year periods.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The following table sets forth NTIC’s net sales by product segment for the six months ended February 29, 2020 and February 28, 2019 by segment: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5"/>
          </w:tcPr>
          <w:p>
            <w:pPr>
              <w:ind w:left="7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0"/>
                <w:szCs w:val="20"/>
                <w:color w:val="auto"/>
              </w:rPr>
            </w:pPr>
          </w:p>
        </w:tc>
        <w:tc>
          <w:tcPr>
            <w:tcW w:w="28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46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February 29, 2020</w:t>
            </w:r>
          </w:p>
        </w:tc>
        <w:tc>
          <w:tcPr>
            <w:tcW w:w="120" w:type="dxa"/>
            <w:vAlign w:val="bottom"/>
            <w:tcBorders>
              <w:top w:val="single" w:sz="8" w:color="auto"/>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February 28, 2019</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February 29, 2020</w:t>
            </w:r>
          </w:p>
        </w:tc>
        <w:tc>
          <w:tcPr>
            <w:tcW w:w="10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February 28, 2019</w:t>
            </w:r>
          </w:p>
        </w:tc>
      </w:tr>
      <w:tr>
        <w:trPr>
          <w:trHeight w:val="237"/>
        </w:trPr>
        <w:tc>
          <w:tcPr>
            <w:tcW w:w="46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Total 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9,016,222</w:t>
            </w:r>
          </w:p>
        </w:tc>
        <w:tc>
          <w:tcPr>
            <w:tcW w:w="5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9,108,395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18,965,734</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19,173,569</w:t>
            </w:r>
          </w:p>
        </w:tc>
      </w:tr>
      <w:tr>
        <w:trPr>
          <w:trHeight w:val="270"/>
        </w:trPr>
        <w:tc>
          <w:tcPr>
            <w:tcW w:w="4620" w:type="dxa"/>
            <w:vAlign w:val="bottom"/>
            <w:tcBorders>
              <w:bottom w:val="single" w:sz="8" w:color="CCEEFF"/>
            </w:tcBorders>
          </w:tcPr>
          <w:p>
            <w:pPr>
              <w:spacing w:after="0" w:line="270" w:lineRule="exact"/>
              <w:rPr>
                <w:sz w:val="20"/>
                <w:szCs w:val="20"/>
                <w:color w:val="auto"/>
              </w:rPr>
            </w:pPr>
            <w:r>
              <w:rPr>
                <w:rFonts w:ascii="Arial" w:cs="Arial" w:eastAsia="Arial" w:hAnsi="Arial"/>
                <w:sz w:val="18"/>
                <w:szCs w:val="18"/>
                <w:color w:val="auto"/>
              </w:rPr>
              <w:t>Total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sales</w:t>
            </w: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4,217,561</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4,207,009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8,899,449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8,235,887</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13,233,783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13,315,404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27,865,183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27,409,456</w:t>
            </w:r>
          </w:p>
        </w:tc>
      </w:tr>
    </w:tbl>
    <w:p>
      <w:pPr>
        <w:spacing w:after="0" w:line="205"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During both the three and six months ended February 29, 2020, 68.1% of NTIC’s consolidated net sales were derived from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which decreased 1.0% and 1.1% to $9,106,222 and $18,965,734 during the three and six months ended February 29, 2020, respectively, compared to $9,108,395 and $19,173,569 during the three and six months ended February 28, 2019, respectively.</w:t>
      </w:r>
    </w:p>
    <w:p>
      <w:pPr>
        <w:spacing w:after="0" w:line="206" w:lineRule="exact"/>
        <w:rPr>
          <w:sz w:val="20"/>
          <w:szCs w:val="20"/>
          <w:color w:val="auto"/>
        </w:rPr>
      </w:pPr>
    </w:p>
    <w:p>
      <w:pPr>
        <w:ind w:right="80"/>
        <w:spacing w:after="0" w:line="227" w:lineRule="auto"/>
        <w:rPr>
          <w:sz w:val="20"/>
          <w:szCs w:val="20"/>
          <w:color w:val="auto"/>
        </w:rPr>
      </w:pPr>
      <w:r>
        <w:rPr>
          <w:rFonts w:ascii="Arial" w:cs="Arial" w:eastAsia="Arial" w:hAnsi="Arial"/>
          <w:sz w:val="16"/>
          <w:szCs w:val="16"/>
          <w:color w:val="auto"/>
        </w:rPr>
        <w:t>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 opportunities, including the oil and gas sector. Overall, 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depends heavily on the overall health of the market segments to which NTIC sells its products, including the automotive, oil and gas, agriculture, and mining markets in particular.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NTIC’s net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for the three and six months ended February 29, 2020 and February 28, 2019: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660" w:type="dxa"/>
            <w:vAlign w:val="bottom"/>
            <w:tcBorders>
              <w:bottom w:val="single" w:sz="8" w:color="auto"/>
            </w:tcBorders>
          </w:tcPr>
          <w:p>
            <w:pPr>
              <w:spacing w:after="0"/>
              <w:rPr>
                <w:sz w:val="20"/>
                <w:szCs w:val="20"/>
                <w:color w:val="auto"/>
              </w:rPr>
            </w:pPr>
          </w:p>
        </w:tc>
      </w:tr>
      <w:tr>
        <w:trPr>
          <w:trHeight w:val="191"/>
        </w:trPr>
        <w:tc>
          <w:tcPr>
            <w:tcW w:w="4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67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660" w:type="dxa"/>
            <w:vAlign w:val="bottom"/>
          </w:tcPr>
          <w:p>
            <w:pPr>
              <w:jc w:val="right"/>
              <w:ind w:right="67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46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February 29, 2020</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February 28, 2019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236"/>
        </w:trPr>
        <w:tc>
          <w:tcPr>
            <w:tcW w:w="46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industrial net sales</w:t>
            </w:r>
          </w:p>
        </w:tc>
        <w:tc>
          <w:tcPr>
            <w:tcW w:w="400" w:type="dxa"/>
            <w:vAlign w:val="bottom"/>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7,703,575</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8,042,154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(338,579)</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4600" w:type="dxa"/>
            <w:vAlign w:val="bottom"/>
          </w:tcPr>
          <w:p>
            <w:pPr>
              <w:spacing w:after="0" w:line="256" w:lineRule="exact"/>
              <w:rPr>
                <w:sz w:val="20"/>
                <w:szCs w:val="20"/>
                <w:color w:val="auto"/>
              </w:rPr>
            </w:pPr>
            <w:r>
              <w:rPr>
                <w:rFonts w:ascii="Arial" w:cs="Arial" w:eastAsia="Arial" w:hAnsi="Arial"/>
                <w:sz w:val="18"/>
                <w:szCs w:val="18"/>
                <w:color w:val="auto"/>
              </w:rPr>
              <w:t>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joint venture net sales</w:t>
            </w:r>
          </w:p>
        </w:tc>
        <w:tc>
          <w:tcPr>
            <w:tcW w:w="40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245,629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708,954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(463,325)</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70"/>
        </w:trPr>
        <w:tc>
          <w:tcPr>
            <w:tcW w:w="46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oil &amp; gas net sales</w:t>
            </w:r>
          </w:p>
        </w:tc>
        <w:tc>
          <w:tcPr>
            <w:tcW w:w="4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1,067,018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357,287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709,731</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r>
      <w:tr>
        <w:trPr>
          <w:trHeight w:val="370"/>
        </w:trPr>
        <w:tc>
          <w:tcPr>
            <w:tcW w:w="4600" w:type="dxa"/>
            <w:vAlign w:val="bottom"/>
          </w:tcPr>
          <w:p>
            <w:pPr>
              <w:ind w:left="220"/>
              <w:spacing w:after="0"/>
              <w:rPr>
                <w:sz w:val="20"/>
                <w:szCs w:val="20"/>
                <w:color w:val="auto"/>
              </w:rPr>
            </w:pPr>
            <w:r>
              <w:rPr>
                <w:rFonts w:ascii="Arial" w:cs="Arial" w:eastAsia="Arial" w:hAnsi="Arial"/>
                <w:sz w:val="18"/>
                <w:szCs w:val="18"/>
                <w:color w:val="auto"/>
              </w:rPr>
              <w:t>Total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net sales</w:t>
            </w:r>
          </w:p>
        </w:tc>
        <w:tc>
          <w:tcPr>
            <w:tcW w:w="400" w:type="dxa"/>
            <w:vAlign w:val="bottom"/>
          </w:tcPr>
          <w:p>
            <w:pPr>
              <w:jc w:val="right"/>
              <w:ind w:right="241"/>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9,016,222</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9,108,395</w:t>
            </w:r>
          </w:p>
        </w:tc>
        <w:tc>
          <w:tcPr>
            <w:tcW w:w="100" w:type="dxa"/>
            <w:vAlign w:val="bottom"/>
          </w:tcPr>
          <w:p>
            <w:pPr>
              <w:spacing w:after="0"/>
              <w:rPr>
                <w:sz w:val="24"/>
                <w:szCs w:val="24"/>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(92,173)</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rPr>
              <w:t>Six Months Ended</w:t>
            </w:r>
          </w:p>
        </w:tc>
        <w:tc>
          <w:tcPr>
            <w:tcW w:w="1660" w:type="dxa"/>
            <w:vAlign w:val="bottom"/>
            <w:tcBorders>
              <w:bottom w:val="single" w:sz="8" w:color="auto"/>
            </w:tcBorders>
          </w:tcPr>
          <w:p>
            <w:pPr>
              <w:spacing w:after="0"/>
              <w:rPr>
                <w:sz w:val="20"/>
                <w:szCs w:val="20"/>
                <w:color w:val="auto"/>
              </w:rPr>
            </w:pPr>
          </w:p>
        </w:tc>
      </w:tr>
      <w:tr>
        <w:trPr>
          <w:trHeight w:val="191"/>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67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660" w:type="dxa"/>
            <w:vAlign w:val="bottom"/>
          </w:tcPr>
          <w:p>
            <w:pPr>
              <w:jc w:val="right"/>
              <w:ind w:right="67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46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February 29, 2020</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February 28, 2019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236"/>
        </w:trPr>
        <w:tc>
          <w:tcPr>
            <w:tcW w:w="46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industrial net sales</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16,546,627</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16,637,968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(91,341)</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4600" w:type="dxa"/>
            <w:vAlign w:val="bottom"/>
          </w:tcPr>
          <w:p>
            <w:pPr>
              <w:spacing w:after="0" w:line="256" w:lineRule="exact"/>
              <w:rPr>
                <w:sz w:val="20"/>
                <w:szCs w:val="20"/>
                <w:color w:val="auto"/>
              </w:rPr>
            </w:pPr>
            <w:r>
              <w:rPr>
                <w:rFonts w:ascii="Arial" w:cs="Arial" w:eastAsia="Arial" w:hAnsi="Arial"/>
                <w:sz w:val="18"/>
                <w:szCs w:val="18"/>
                <w:color w:val="auto"/>
              </w:rPr>
              <w:t>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joint venture net sales</w:t>
            </w:r>
          </w:p>
        </w:tc>
        <w:tc>
          <w:tcPr>
            <w:tcW w:w="36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831,245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1,192,141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(360,896)</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0"/>
        </w:trPr>
        <w:tc>
          <w:tcPr>
            <w:tcW w:w="46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oil &amp; gas net sales</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1,587,862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1,343,460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244,402</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370"/>
        </w:trPr>
        <w:tc>
          <w:tcPr>
            <w:tcW w:w="4600" w:type="dxa"/>
            <w:vAlign w:val="bottom"/>
          </w:tcPr>
          <w:p>
            <w:pPr>
              <w:ind w:left="220"/>
              <w:spacing w:after="0"/>
              <w:rPr>
                <w:sz w:val="20"/>
                <w:szCs w:val="20"/>
                <w:color w:val="auto"/>
              </w:rPr>
            </w:pPr>
            <w:r>
              <w:rPr>
                <w:rFonts w:ascii="Arial" w:cs="Arial" w:eastAsia="Arial" w:hAnsi="Arial"/>
                <w:sz w:val="18"/>
                <w:szCs w:val="18"/>
                <w:color w:val="auto"/>
              </w:rPr>
              <w:t>Total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net sales</w:t>
            </w:r>
          </w:p>
        </w:tc>
        <w:tc>
          <w:tcPr>
            <w:tcW w:w="360" w:type="dxa"/>
            <w:vAlign w:val="bottom"/>
          </w:tcPr>
          <w:p>
            <w:pPr>
              <w:jc w:val="right"/>
              <w:ind w:right="201"/>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18,965,734</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19,173,569</w:t>
            </w:r>
          </w:p>
        </w:tc>
        <w:tc>
          <w:tcPr>
            <w:tcW w:w="100" w:type="dxa"/>
            <w:vAlign w:val="bottom"/>
          </w:tcPr>
          <w:p>
            <w:pPr>
              <w:spacing w:after="0"/>
              <w:rPr>
                <w:sz w:val="24"/>
                <w:szCs w:val="24"/>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(207,835)</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72" w:lineRule="exact"/>
        <w:rPr>
          <w:sz w:val="20"/>
          <w:szCs w:val="20"/>
          <w:color w:val="auto"/>
        </w:rPr>
      </w:pPr>
    </w:p>
    <w:p>
      <w:pPr>
        <w:ind w:right="260"/>
        <w:spacing w:after="0" w:line="210" w:lineRule="auto"/>
        <w:rPr>
          <w:sz w:val="20"/>
          <w:szCs w:val="20"/>
          <w:color w:val="auto"/>
        </w:rPr>
      </w:pPr>
      <w:r>
        <w:rPr>
          <w:rFonts w:ascii="Arial" w:cs="Arial" w:eastAsia="Arial" w:hAnsi="Arial"/>
          <w:sz w:val="16"/>
          <w:szCs w:val="16"/>
          <w:color w:val="auto"/>
        </w:rPr>
        <w:t>NTIC’s total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net sales decreased during the three months and six months ended February 29, 2020, compared to the prior fiscal year periods, primarily due to an overall decreased 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industrial products and services in North America, partially offset by increased demand for</w:t>
      </w:r>
    </w:p>
    <w:p>
      <w:pPr>
        <w:spacing w:after="0" w:line="2" w:lineRule="exact"/>
        <w:rPr>
          <w:sz w:val="20"/>
          <w:szCs w:val="20"/>
          <w:color w:val="auto"/>
        </w:rPr>
      </w:pPr>
    </w:p>
    <w:p>
      <w:pPr>
        <w:ind w:right="640"/>
        <w:spacing w:after="0" w:line="218" w:lineRule="auto"/>
        <w:rPr>
          <w:sz w:val="20"/>
          <w:szCs w:val="20"/>
          <w:color w:val="auto"/>
        </w:rPr>
      </w:pPr>
      <w:r>
        <w:rPr>
          <w:rFonts w:ascii="Arial" w:cs="Arial" w:eastAsia="Arial" w:hAnsi="Arial"/>
          <w:sz w:val="17"/>
          <w:szCs w:val="17"/>
          <w:color w:val="auto"/>
        </w:rPr>
        <w:t>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oil and gas products and services. NTIC’s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for the three months ended February 29, 2020 were adversely affected by reduced demand in China and other parts of Asia as a result of the COVID-19 outbreak in China.</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right="40"/>
        <w:spacing w:after="0" w:line="210" w:lineRule="auto"/>
        <w:rPr>
          <w:sz w:val="20"/>
          <w:szCs w:val="20"/>
          <w:color w:val="auto"/>
        </w:rPr>
      </w:pPr>
      <w:r>
        <w:rPr>
          <w:rFonts w:ascii="Arial" w:cs="Arial" w:eastAsia="Arial" w:hAnsi="Arial"/>
          <w:sz w:val="16"/>
          <w:szCs w:val="16"/>
          <w:color w:val="auto"/>
        </w:rPr>
        <w:t>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decreased significantly beginning in February 2020 largely as a result of the COVID-19 outbreak in China and may have a significant adverse effect on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in the third quarter of fiscal 2020 and beyond. NTIC also anticipates</w:t>
      </w:r>
    </w:p>
    <w:p>
      <w:pPr>
        <w:spacing w:after="0" w:line="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that its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94"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During both the three and six months ended February 29, 2020, 31.9% of NTIC’s consolidated net sales were derived from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which increased 0.3% and 8.1% to $4,217,561 and $8,899,449 during the three and six months ended February 29, 2020, respectively, compared to the three and six months ended February 28, 2019. These increases were primarily due to an increase in finished product sales in North America and finished product sales at NTIC’s majority-owned subsidiary in India, Natur-Tec India Private Limited (Natur-Tec India), partially offset by decreased demand in China and other parts of Asia as a result of the COVID-19 outbreak in China during the three months ended February 29, 2020. NTIC anticipates that the COVID-19 outbreak will continue to significantly adversely affect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in the third quarter of fiscal 2020 and beyond.</w:t>
      </w:r>
    </w:p>
    <w:p>
      <w:pPr>
        <w:spacing w:after="0" w:line="55"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decreased 6.4% and 1.3% for the three and six months ended February 29, 2020, respectively,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six months ended February 28, 2019. Cost of goods sold as a percentage of net sales decreased to 65.6% during the three months ended February 29, 2020, compared to 69.7% during the three months ended February 28, 2019, and decreased to 66.4% during the six months ended February 29, 2020, compared to 68.4% during the six months ended February 28, 2019. These increases were due primarily to an increased percentage of product sales from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and gas products that have higher gross margins than NTIC’s traditional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industrial products.</w:t>
      </w:r>
    </w:p>
    <w:p>
      <w:pPr>
        <w:spacing w:after="0" w:line="3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Equity in Income from Joint Ventures. </w:t>
      </w:r>
      <w:r>
        <w:rPr>
          <w:rFonts w:ascii="Arial" w:cs="Arial" w:eastAsia="Arial" w:hAnsi="Arial"/>
          <w:sz w:val="16"/>
          <w:szCs w:val="16"/>
          <w:color w:val="auto"/>
        </w:rPr>
        <w:t>NTIC’s equity in income from joint ventures decreased 20.7% to $1,360,804 and 28.6% to $2,654,794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six months ended February 29, 2020, respectively, compared to $1,715,216 and $3,719,378 during the three and six months ended February 28, 2019, respectively. These decreases were primarily a result of declining profitability of the joint ventures during the respective periods based on decreases in net sales. Of the total equity in income from joint ventures, NTIC had equity in income from joint ventures of $1,710,390 attributable to EXCOR during the six months ended February 29, 2020, compared to $2,740,907 during the six months ended February 28, 2019. NTIC had equity in income of all other joint ventures of $944,404 during the six months ended February 29, 2020, compared to $978,471 during the six months ended February 28, 2019.</w:t>
      </w:r>
    </w:p>
    <w:p>
      <w:pPr>
        <w:spacing w:after="0" w:line="16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Fees for Services Provided to Joint Ventures</w:t>
      </w:r>
      <w:r>
        <w:rPr>
          <w:rFonts w:ascii="Arial" w:cs="Arial" w:eastAsia="Arial" w:hAnsi="Arial"/>
          <w:sz w:val="16"/>
          <w:szCs w:val="16"/>
          <w:color w:val="auto"/>
        </w:rPr>
        <w:t>. NTIC recognized fee income for services provided to joint ventures of $1,256,213 and $2,614,538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six months ended February 29, 2020, respectively, compared to $1,436,774 and $2,865,209 during the three and six months ended February 28, 2019, respectively, representing decreases of 12.6% and 8.7%, respectively. Fee income for services provided to joint ventures is traditionally a function of the sales made by NTIC’s joint ventures. Total net sales of NTIC’s joint ventures decreased to $24,289,370 and $49,749,664 during the three and six months ended February 29, 2020, respectively, compared to $27,749,880 and $58,229,806 during the three and six months ended February 28, 2019, respectively, representing decreases of 12.5% and 14.6%, respectively. Net sales of NTIC’s joint ventures are not included in NTIC’s consolidated financial statements. Of the total fee income for services provided to joint ventures, fees of $420,229 were attributable to EXCOR during the six months ended February 29, 2020, compared to $430,328 attributable to EXCOR during the six months ended February 28, 2019. NTIC anticipates that net sales of its joint ventures may decrease significantly as a result of anticipated decreased demand as a result of the COVID-19 outbreak and is expected to have a significant adverse effect on NTIC’s equity in income from its joint ventures for the third quarter of fiscal 2020 and beyond.</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8"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24.2% and 12.8% for the three and six months ended February 29, 2020, respectively, compared to the</w:t>
      </w:r>
    </w:p>
    <w:p>
      <w:pPr>
        <w:spacing w:after="0" w:line="46"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same respective periods in fiscal 2019 due primarily to increases in operating expenses associated with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sales efforts, consisting primarily of selling and personnel expenses. Selling expenses as a percentage of net sales increased to 23.5% and 21.5% for the three and six months ended February 29, 2020, respectively, from 18.8% and 19.4% for the three and six months ended February 28, 2019, respectively, primarily due to the increases in personnel expenses as previously described, partially offset by the small increase in net sales.</w:t>
      </w:r>
    </w:p>
    <w:p>
      <w:pPr>
        <w:spacing w:after="0" w:line="20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19.4% and decreased 1.4% for the three and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February 29, 2020, respectively, compared to the same respective periods in fiscal 2019 primarily due to the timing of various expenses. As a percentage of net sales, general and administrative expenses were 17.7% and 15.8% for the three and six months ended February 29, 2020, respectively, from 14.7% and 16.3% for the same respective periods in fiscal 2019, respectively. The changes in general and administrative expenses as a percentage of net sales for the three and six-month comparisons were primarily due to the changes in net sales and expenses as previously described.</w:t>
      </w:r>
    </w:p>
    <w:p>
      <w:pPr>
        <w:spacing w:after="0" w:line="16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NTIC’s research and development expenses increased 8.5% and 9.4% for the three and six months ended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29, 2020, respectively, compared to the same respective periods in fiscal 2019 primarily due to increases in research and development efforts.</w:t>
      </w:r>
    </w:p>
    <w:p>
      <w:pPr>
        <w:spacing w:after="0" w:line="124"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NTIC’s interest income increased to $55,042 and $104,080 during the three and six months ended February 29, 2020,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$15,122 and $27,909 during the three and six months ended February 28, 2019, respectively, due to changing levels of invested cash.</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$9,377 and $14,821 during the three and six months ended February 29, 2020,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$3,835 and $6,192 during the three and six months ended February 28, 2019, respectively.</w:t>
      </w:r>
    </w:p>
    <w:p>
      <w:pPr>
        <w:spacing w:after="0" w:line="1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NTIC incurred income before income tax expense equal to $747,416 and $2,371,021 for the three and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February 29, 2020, respectively, compared to $1,798,427 and $3,695,321 for the three and six months ended February 28, 2019, respectively.</w:t>
      </w:r>
    </w:p>
    <w:p>
      <w:pPr>
        <w:spacing w:after="0" w:line="12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was $463,594 and $727,660 for the three and six months ended February 29, 2020,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$246,371 and $502,074 during the three and six months ended February 28, 2019, respectively. Income tax expense was calculated based on management’s estimate of NTIC’s annual effective income tax rate. The quarter-over-quarter increase in the Company’s effective income tax rate is primarily due to foreign withholding taxes paid on dividends received from NTIC’s joint ventures during the quarter. Dividends received from NTIC’s joint ventures do not represent a component of income before income tax expense. Therefore, to the extent dividends received from NTIC’s joint ventures exceed estimated amounts, foreign withholding taxes paid on such dividends result in an increase in the effective income tax rate in comparison to prior periods.</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bases of estimates that NTIC’s future domestic cash generation will be sufficient to meet future domestic cash needs. As a result, U.S. income and foreign withholding taxes have not been recognized on the cumulative undistributed earnings of $19,267,931 and $22,178,126 at February 29, 2020, and August 31, 2019, respectively. To the extent undistributed earnings of NTIC’s joint ventures are distributed in the future, they are not expected to result in any material additional income tax liability after the application of foreign tax credits.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2" w:name="page33"/>
    <w:bookmarkEnd w:id="32"/>
    <w:p>
      <w:pPr>
        <w:spacing w:after="0" w:line="293" w:lineRule="auto"/>
        <w:rPr>
          <w:sz w:val="20"/>
          <w:szCs w:val="20"/>
          <w:color w:val="auto"/>
        </w:rPr>
      </w:pPr>
      <w:r>
        <w:rPr>
          <w:rFonts w:ascii="Arial" w:cs="Arial" w:eastAsia="Arial" w:hAnsi="Arial"/>
          <w:sz w:val="16"/>
          <w:szCs w:val="16"/>
          <w:i w:val="1"/>
          <w:iCs w:val="1"/>
          <w:color w:val="auto"/>
        </w:rPr>
        <w:t>Net Income Attributable to NTIC</w:t>
      </w:r>
      <w:r>
        <w:rPr>
          <w:rFonts w:ascii="Arial" w:cs="Arial" w:eastAsia="Arial" w:hAnsi="Arial"/>
          <w:sz w:val="16"/>
          <w:szCs w:val="16"/>
          <w:color w:val="auto"/>
        </w:rPr>
        <w:t>. Net income attributable to NTIC decreased to $179,834, or $0.02 per diluted common share,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29, 2020, compared to $1,401,568, or $0.15 per diluted common share, for the three months ended February 28, 2019, a decrease of $1,221,734 or $0.13 per diluted common share. Net income attributable to NTIC decreased to $1,392,384, or $0.15 per diluted common share, for the six months ended February 29, 2020, compared to $2,898,627, or $0.31 per diluted common share, for the six months ended February 28, 2019, a decrease of $1,506,243 or $0.16 per diluted common share. These decreases were primarily the result of the increase in operating expenses and decreases in income from joint venture operations during the current fiscal year periods compared to the prior fiscal year periods, partially offset by increases in gross profit.</w:t>
      </w:r>
    </w:p>
    <w:p>
      <w:pPr>
        <w:spacing w:after="0" w:line="1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NTIC anticipates that its earnings will be significantly adversely affected by COVID-19 in the third quarter of fiscal 2020 and beyond and that its quarterly net income or loss will continue to remain subject to significant volatility primarily due to the financial performance of its subsidiaries and joint ventures,</w:t>
      </w:r>
    </w:p>
    <w:p>
      <w:pPr>
        <w:ind w:right="520"/>
        <w:spacing w:after="0" w:line="228" w:lineRule="auto"/>
        <w:rPr>
          <w:sz w:val="20"/>
          <w:szCs w:val="20"/>
          <w:color w:val="auto"/>
        </w:rPr>
      </w:pPr>
      <w:r>
        <w:rPr>
          <w:rFonts w:ascii="Arial" w:cs="Arial" w:eastAsia="Arial" w:hAnsi="Arial"/>
          <w:sz w:val="18"/>
          <w:szCs w:val="18"/>
          <w:color w:val="auto"/>
        </w:rPr>
        <w:t>sales of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into the oil and gas industry, and sales of its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bioplastics products, which fluctuate more on a quarterly basis than the traditional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business.</w:t>
      </w:r>
    </w:p>
    <w:p>
      <w:pPr>
        <w:spacing w:after="0" w:line="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changes in the foreign currency translations adjustment were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of the U.S. dollar compared to the Euro and other foreign currencies during the three and six months ended February 29, 2020 compared to the same periods in fiscal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NTIC’s working capital, defined as current assets less current liabilities, was $29,431,014 at February 29, 2020,</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$5,626,410 in cash and cash equivalents and $6,512,166 in available for sale securities, compared to $25,460,569 at August 31, 2019, including $5,856,758 in cash and cash equivalents and $3,565,258 in available for sale securities.</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of February 29, 2020, NTIC had a revolving line of credit with PNC Bank of $3,000,000 with no amounts outstanding.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On December 16, 2019, the Company and PNC Bank extended the maturity date of the line of credit from January 7, 2020 to January 7, 2021.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17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lines of credit issued by PNC Bank would decrease the availability under the revolving line of credit.</w:t>
      </w:r>
    </w:p>
    <w:p>
      <w:pPr>
        <w:spacing w:after="0" w:line="1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February 29, 2020, NTIC was in compliance with all debt covenants.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right="60"/>
        <w:spacing w:after="0" w:line="285" w:lineRule="auto"/>
        <w:rPr>
          <w:sz w:val="20"/>
          <w:szCs w:val="20"/>
          <w:color w:val="auto"/>
        </w:rPr>
      </w:pPr>
      <w:r>
        <w:rPr>
          <w:rFonts w:ascii="Arial" w:cs="Arial" w:eastAsia="Arial" w:hAnsi="Arial"/>
          <w:sz w:val="16"/>
          <w:szCs w:val="16"/>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2020, NTIC expects to continue to invest directly and through its use of working capital in NTIC China, Zerust Mexico, NTI Europe, research and development, marketing efforts,</w:t>
      </w:r>
    </w:p>
    <w:p>
      <w:pPr>
        <w:spacing w:after="0" w:line="2"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resources for the application of its corrosion prevention technology in the oil and gas industry, and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0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Uses of Cash and Cash Flows</w:t>
      </w:r>
      <w:r>
        <w:rPr>
          <w:rFonts w:ascii="Arial" w:cs="Arial" w:eastAsia="Arial" w:hAnsi="Arial"/>
          <w:sz w:val="17"/>
          <w:szCs w:val="17"/>
          <w:color w:val="auto"/>
        </w:rPr>
        <w:t>. Net cash provided by operating activities during the six months ended February 29, 2020 was $4,207,710, which resulted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from NTIC’s net income, dividends received from joint ventures, stock based compensation, depreciation, amortization, and an increase in accounts payable and accounts receivable, partially offset by NTIC’s equity in income from joint ventures, an increase in inventories and a decrease in accrued liabilities. Net cash provided by operating activities during the six months ended February 28, 2019, was $262,153, which resulted principally from NTIC’s net income, depreciation, amortization, and an increase in accounts payable and accounts receivable, partially offset by NTIC’s equity in income from joint ventures, an increase in inventory, a decrease in accrued liabilities, and an increase in income tax receivable.</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jc w:val="both"/>
        <w:ind w:right="220"/>
        <w:spacing w:after="0" w:line="263" w:lineRule="auto"/>
        <w:rPr>
          <w:sz w:val="20"/>
          <w:szCs w:val="20"/>
          <w:color w:val="auto"/>
        </w:rPr>
      </w:pPr>
      <w:r>
        <w:rPr>
          <w:rFonts w:ascii="Arial" w:cs="Arial" w:eastAsia="Arial" w:hAnsi="Arial"/>
          <w:sz w:val="18"/>
          <w:szCs w:val="18"/>
          <w:color w:val="auto"/>
        </w:rPr>
        <w:t>NTIC experienced an increase in trade receivables and increase in inventories as of February 29, 2020, compared to August 31, 2019. Trade receivables, excluding joint ventures, as of February 29, 2020, increased $31,027 compared to August 31, 2019, primarily related to the timing of collections and the increase in sales.</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Outstanding trade receivables, excluding joint ventures balances as of February 29, 2020 decreased to 66 days to an average of 67 days from balances outstanding from these customers as of August 31, 2019.</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Outstanding trade receivables from joint ventures as of February 29, 2020 decreased $285,298 compared to August 31, 2019, primarily due to the timing of payments. Outstanding balances from trade receivables from joint ventures increased an average of 3 days from an average of 115 days from balances outstanding from these customers compared to August 31, 2019. The average days outstanding of trade receivables from joint ventures as of February 29, 2020 were primarily due to the receivable balances at NTIC’s joint ventures in South Korea, India, and Thailand.</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Outstanding receivables for services provided to joint ventures as of February 29, 2020 decreased $72,781 compared to August 31, 2019, and the average days to pay increased an average of 2 days to an average of 83 days compared to August 31, 2019.</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cash used in investing activities for the six months ended February 29, 2020 was $3,289,108, which was primarily the result of proceeds from the sale of available for sale securities, additions to property and equipment, and additions to patents, partially offset by the purchase of available for sale securities. Net cash provided by investing activities for the six months ended February 28, 2019 was $1,575,542, which was primarily the result of proceeds from the sale of available for sale securities, partially offset by additions to property and equipment, and additions to patents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Net cash used in financing activities for the six months ended February 29, 2020 was $1,146,591, which resulted from dividends paid on NTIC common stock, partially offset by proceeds from NTIC’s employee stock purchase plan. Net cash used in financing activities for the six months ended February 28, 2019 was $1,138,409, which resulted from dividends paid on NTIC common stock and a dividend paid to a non-controlling interest, partially offset by an investment by a non-controlling interest and proceeds from NTIC’s employee stock purchase plan.</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Share Repurchase Plan</w:t>
      </w:r>
      <w:r>
        <w:rPr>
          <w:rFonts w:ascii="Arial" w:cs="Arial" w:eastAsia="Arial" w:hAnsi="Arial"/>
          <w:sz w:val="17"/>
          <w:szCs w:val="17"/>
          <w:color w:val="auto"/>
        </w:rPr>
        <w:t>. On January 15, 2015, NTIC’s Board of Directors authorized the repurchase of up to $3,000,000 in shares of NTIC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open market purchases or unsolicited or solicited privately negotiated transactions. This program has no expiration date but may be terminated by NTIC’s Board of Directors at any time. No repurchases occurred during the six months ended February 29, 2020. As of February 29, 2020, up to $2,640,548 in shares of NTIC common stock remained available for repurchase under NTIC’s stock repurchase program.</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Cash Dividends</w:t>
      </w:r>
      <w:r>
        <w:rPr>
          <w:rFonts w:ascii="Arial" w:cs="Arial" w:eastAsia="Arial" w:hAnsi="Arial"/>
          <w:sz w:val="18"/>
          <w:szCs w:val="18"/>
          <w:color w:val="auto"/>
        </w:rPr>
        <w:t>. On January 22, 2020, the Company’s Board of Directors declared a cash dividend of $0.065 per share of NTIC’s common stock,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February 19, 2020, to stockholders of record on February 5, 2020. This was an increase compared to the cash dividend of $0.06 per share of NTIC’s common stock declared and paid during the quarter ended February 28, 2019.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its business, operating results and financial condition.</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5" w:name="page36"/>
    <w:bookmarkEnd w:id="35"/>
    <w:p>
      <w:pPr>
        <w:ind w:right="100"/>
        <w:spacing w:after="0" w:line="255" w:lineRule="auto"/>
        <w:rPr>
          <w:sz w:val="20"/>
          <w:szCs w:val="20"/>
          <w:color w:val="auto"/>
        </w:rPr>
      </w:pPr>
      <w:r>
        <w:rPr>
          <w:rFonts w:ascii="Arial" w:cs="Arial" w:eastAsia="Arial" w:hAnsi="Arial"/>
          <w:sz w:val="18"/>
          <w:szCs w:val="18"/>
          <w:i w:val="1"/>
          <w:iCs w:val="1"/>
          <w:color w:val="auto"/>
        </w:rPr>
        <w:t>Stock Split</w:t>
      </w:r>
      <w:r>
        <w:rPr>
          <w:rFonts w:ascii="Arial" w:cs="Arial" w:eastAsia="Arial" w:hAnsi="Arial"/>
          <w:sz w:val="18"/>
          <w:szCs w:val="18"/>
          <w:color w:val="auto"/>
        </w:rPr>
        <w:t>. On June 3, 2019, NTIC’s Board of Directors declared a two-for-one stock split of NTIC’s common stock effected in the form of a 100%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distributed on June 28, 2019 to record holders as of June 17, 2019. As a result of this action, approximately 4.5 million shares were issued to stockholders of record as of June 17, 2019. The par value of the common stock remains at $0.02 per share, and, accordingly, approximately $90,900 was transferred from additional paid-in capital to common stock. Net income and dividends declared per share and weighted average shares outstanding presented in this report reflect the 100 percent stock dividend. The two-for-one stock split is reflected in the share amounts in all periods presented in this report.</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$296,786 on capital expenditures during the six months ended February 29, 2020, which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purchase of new equipment. NTIC expects to spend an aggregate of approximately $500,000 to $700,000 on capital expenditures during fiscal 2020, which it expects will relate primarily to the purchase of new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There has been no material change to NTIC’s contractual obligations as provided in “</w:t>
      </w:r>
      <w:r>
        <w:rPr>
          <w:rFonts w:ascii="Arial" w:cs="Arial" w:eastAsia="Arial" w:hAnsi="Arial"/>
          <w:sz w:val="18"/>
          <w:szCs w:val="18"/>
          <w:i w:val="1"/>
          <w:iCs w:val="1"/>
          <w:color w:val="auto"/>
        </w:rPr>
        <w:t>Part II. Item 7, 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Operations—Contractual Obligations</w:t>
      </w:r>
      <w:r>
        <w:rPr>
          <w:rFonts w:ascii="Arial" w:cs="Arial" w:eastAsia="Arial" w:hAnsi="Arial"/>
          <w:sz w:val="18"/>
          <w:szCs w:val="18"/>
          <w:color w:val="auto"/>
        </w:rPr>
        <w:t>,” included in NTIC’s annual report on Form 10-K for the fiscal year ended August 31,</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are established for the purpose of facilitating off-balance sheet financial arrangements. As such, NTIC is not materially exposed to any financing, liquidity, market, or credit risk that could arise if NTIC had engaged in such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Inflation in the United States and abroad historically has had little effect on NTIC. Although NTIC’s business historically has not been seasonal, NTIC believes there is some seasonality in its business. NTIC believes its net sales in the second fiscal quarter were adversely affected by the long Chinese New Year, which was extended in an effort to combat the spread of COVID-19, the North American holiday season, and overall less corrosion taking place at lower winter temperatures worldwide.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6" w:name="page37"/>
    <w:bookmarkEnd w:id="36"/>
    <w:p>
      <w:pPr>
        <w:ind w:right="48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29, 2020, NTIC had no borrowings under the line of credit.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w:t>
      </w:r>
      <w:r>
        <w:rPr>
          <w:rFonts w:ascii="Arial" w:cs="Arial" w:eastAsia="Arial" w:hAnsi="Arial"/>
          <w:sz w:val="18"/>
          <w:szCs w:val="18"/>
          <w:i w:val="1"/>
          <w:iCs w:val="1"/>
          <w:color w:val="auto"/>
        </w:rPr>
        <w:t>Part II. 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Operations—Critical Accounting Policies</w:t>
      </w:r>
      <w:r>
        <w:rPr>
          <w:rFonts w:ascii="Arial" w:cs="Arial" w:eastAsia="Arial" w:hAnsi="Arial"/>
          <w:sz w:val="18"/>
          <w:szCs w:val="18"/>
          <w:color w:val="auto"/>
        </w:rPr>
        <w:t>” included in NTIC’s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August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on NTIC’s business, operating results and financial condition,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Arial" w:cs="Arial" w:eastAsia="Arial" w:hAnsi="Arial"/>
          <w:sz w:val="17"/>
          <w:szCs w:val="17"/>
          <w:i w:val="1"/>
          <w:iCs w:val="1"/>
          <w:color w:val="auto"/>
        </w:rPr>
        <w:t>Management’s 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and Analysis of Financial Condition and Results of Operations</w:t>
      </w:r>
      <w:r>
        <w:rPr>
          <w:rFonts w:ascii="Arial" w:cs="Arial" w:eastAsia="Arial" w:hAnsi="Arial"/>
          <w:sz w:val="17"/>
          <w:szCs w:val="17"/>
          <w:color w:val="auto"/>
        </w:rPr>
        <w: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7" w:name="page38"/>
    <w:bookmarkEnd w:id="37"/>
    <w:p>
      <w:pPr>
        <w:ind w:right="2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80" w:right="2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the novel strain of coronavirus (COVID-19) on NTIC’s business, operating results and financial condition, including disruption to our customers, suppliers and subcontractors, as well as the global economy and financial markets;</w:t>
      </w:r>
    </w:p>
    <w:p>
      <w:pPr>
        <w:spacing w:after="0" w:line="173" w:lineRule="exact"/>
        <w:rPr>
          <w:rFonts w:ascii="Arial" w:cs="Arial" w:eastAsia="Arial" w:hAnsi="Arial"/>
          <w:sz w:val="18"/>
          <w:szCs w:val="18"/>
          <w:color w:val="auto"/>
        </w:rPr>
      </w:pPr>
    </w:p>
    <w:p>
      <w:pPr>
        <w:ind w:left="980" w:right="260" w:hanging="324"/>
        <w:spacing w:after="0" w:line="202" w:lineRule="auto"/>
        <w:tabs>
          <w:tab w:leader="none" w:pos="980" w:val="left"/>
        </w:tabs>
        <w:numPr>
          <w:ilvl w:val="0"/>
          <w:numId w:val="20"/>
        </w:numPr>
        <w:rPr>
          <w:rFonts w:ascii="Arial" w:cs="Arial" w:eastAsia="Arial" w:hAnsi="Arial"/>
          <w:sz w:val="36"/>
          <w:szCs w:val="36"/>
          <w:color w:val="auto"/>
          <w:vertAlign w:val="superscript"/>
        </w:rPr>
      </w:pPr>
      <w:r>
        <w:rPr>
          <w:rFonts w:ascii="Arial" w:cs="Arial" w:eastAsia="Arial" w:hAnsi="Arial"/>
          <w:sz w:val="18"/>
          <w:szCs w:val="18"/>
          <w:color w:val="auto"/>
        </w:rPr>
        <w:t>Variability in NTIC’s sales of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to the oil and gas industry and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NTIC’s equity income of joint ventures, which variability in sales and equity in income from joint ventures, in turn, subject NTIC’s earnings to quarterly fluctuations;</w:t>
      </w:r>
    </w:p>
    <w:p>
      <w:pPr>
        <w:spacing w:after="0" w:line="203" w:lineRule="exact"/>
        <w:rPr>
          <w:rFonts w:ascii="Arial" w:cs="Arial" w:eastAsia="Arial" w:hAnsi="Arial"/>
          <w:sz w:val="36"/>
          <w:szCs w:val="36"/>
          <w:color w:val="auto"/>
          <w:vertAlign w:val="superscript"/>
        </w:rPr>
      </w:pPr>
    </w:p>
    <w:p>
      <w:pPr>
        <w:ind w:left="980" w:right="14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import duties, taxes, and tariffs;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the United Kingdom’s process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the health of the U.S. automotive industry on NTIC’s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jc w:val="both"/>
        <w:ind w:left="980" w:right="100" w:hanging="324"/>
        <w:spacing w:after="0" w:line="19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to the oil and gas industry and Natur-Tec</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8" w:lineRule="exact"/>
        <w:rPr>
          <w:rFonts w:ascii="Arial" w:cs="Arial" w:eastAsia="Arial" w:hAnsi="Arial"/>
          <w:sz w:val="18"/>
          <w:szCs w:val="18"/>
          <w:color w:val="auto"/>
        </w:rPr>
      </w:pPr>
    </w:p>
    <w:p>
      <w:pPr>
        <w:ind w:left="980" w:right="80" w:hanging="324"/>
        <w:spacing w:after="0" w:line="186" w:lineRule="auto"/>
        <w:tabs>
          <w:tab w:leader="none" w:pos="980" w:val="left"/>
        </w:tabs>
        <w:numPr>
          <w:ilvl w:val="0"/>
          <w:numId w:val="20"/>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07" w:lineRule="exact"/>
        <w:rPr>
          <w:rFonts w:ascii="Arial" w:cs="Arial" w:eastAsia="Arial" w:hAnsi="Arial"/>
          <w:sz w:val="36"/>
          <w:szCs w:val="36"/>
          <w:color w:val="auto"/>
          <w:vertAlign w:val="superscript"/>
        </w:rPr>
      </w:pPr>
    </w:p>
    <w:p>
      <w:pPr>
        <w:ind w:left="980" w:hanging="324"/>
        <w:spacing w:after="0" w:line="186" w:lineRule="auto"/>
        <w:tabs>
          <w:tab w:leader="none" w:pos="980" w:val="left"/>
        </w:tabs>
        <w:numPr>
          <w:ilvl w:val="0"/>
          <w:numId w:val="20"/>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3" w:lineRule="exact"/>
        <w:rPr>
          <w:rFonts w:ascii="Arial" w:cs="Arial" w:eastAsia="Arial" w:hAnsi="Arial"/>
          <w:sz w:val="36"/>
          <w:szCs w:val="36"/>
          <w:color w:val="auto"/>
          <w:vertAlign w:val="superscript"/>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38" w:name="page39"/>
    <w:bookmarkEnd w:id="38"/>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04"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36"/>
          <w:szCs w:val="36"/>
          <w:color w:val="auto"/>
          <w:vertAlign w:val="superscript"/>
        </w:rPr>
      </w:pPr>
      <w:r>
        <w:rPr>
          <w:rFonts w:ascii="Arial" w:cs="Arial" w:eastAsia="Arial" w:hAnsi="Arial"/>
          <w:sz w:val="18"/>
          <w:szCs w:val="18"/>
          <w:color w:val="auto"/>
        </w:rPr>
        <w:t>Oil prices, which may affect sales of NTIC’s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to the oil and gas industry;</w:t>
      </w:r>
    </w:p>
    <w:p>
      <w:pPr>
        <w:spacing w:after="0" w:line="78" w:lineRule="exact"/>
        <w:rPr>
          <w:rFonts w:ascii="Arial" w:cs="Arial" w:eastAsia="Arial" w:hAnsi="Arial"/>
          <w:sz w:val="36"/>
          <w:szCs w:val="36"/>
          <w:color w:val="auto"/>
          <w:vertAlign w:val="superscript"/>
        </w:rPr>
      </w:pPr>
    </w:p>
    <w:p>
      <w:pPr>
        <w:ind w:left="980" w:right="240" w:hanging="324"/>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NTIC’s operations in China, and the risks associated therewith, the termination of the joint venture agreements with Tianjin Zerust, and the anticipated liquidation of Tianjin Zerust and the effect of all these events on NTIC’s business and future operating results;</w:t>
      </w:r>
    </w:p>
    <w:p>
      <w:pPr>
        <w:spacing w:after="0" w:line="146" w:lineRule="exact"/>
        <w:rPr>
          <w:rFonts w:ascii="Arial" w:cs="Arial" w:eastAsia="Arial" w:hAnsi="Arial"/>
          <w:sz w:val="17"/>
          <w:szCs w:val="17"/>
          <w:color w:val="auto"/>
        </w:rPr>
      </w:pPr>
    </w:p>
    <w:p>
      <w:pPr>
        <w:ind w:left="980" w:right="1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NTIC’s effective tax rate, including from the Tax Cuts and Jobs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extreme weather conditions on NTIC’s operating results;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2019, under the heading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9" w:name="page40"/>
    <w:bookmarkEnd w:id="39"/>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29, 2020, NTIC had no borrowings under the line of credit.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February 29, 2020 that has materially affected or is reasonably likely to materially affect NTIC’s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40"/>
          </w:cols>
          <w:pgMar w:left="320" w:top="580" w:right="8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March 23, 2015, NTIC and NTI Asean LLC (NTI Asean)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(Tianjin Zerust). The lawsuit alleges, among other things, that Mr. Tao Meng and Mr. Xu Hui have engaged in self-dealing, usurped business opportunities, and received economic benefits that were required to go to Tianjin Zerust. As of February 29, 2020, NTIC is not able to reasonably estimate the amount of any recovery to NTI Asean, if any.</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Although Item 1A is inapplicable to NTIC as a smaller reporting company, NTIC hereby discloses the following additional risk:</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outbreak and continuing rapid spread of a novel strain of the coronavirus (COVID-19) has already adversely impacted and will likely continue to adversely impact NTIC’s business, operating results and financial condition.</w:t>
      </w:r>
    </w:p>
    <w:p>
      <w:pPr>
        <w:spacing w:after="0" w:line="17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outbreak and continuing rapid spread of COVID-19 has resulted in a substantial curtailment of business activities worldwide and is causing weakened economic conditions, both in the United States and many countries abroad. As part of intensifying efforts to contain the spread of COVID-19, a growing number of state, local and foreign governments have imposed various restrictions on the conduct of business and travel. Government restrictions, such as stay-at-home orders, quarantines and worker absenteeism as a result of COVID-19 have led to a significant number of business closures and slowdowns. These business closures and slowdowns have already adversely impacted and will likely continue to adversely impact NTIC directly, as well as cause its customers and suppliers to slow or stop production, which will likely significantly disrupt NTIC’s sales, production and supply chain. For example, as a result of the COVID-19 outbreak in China in December 2019, NTIC experienced decreased demand for its products and services in China and other places in Asia during the three months ended February 29, 2020. The operations at NTIC China were suspended on January 18, 2020 and did not resume until February 28, 2020. In addition, NTIC’s location in India is currently under mandated governmental shutdown until April 15, 2020. NTIC anticipates significantly decreased global demand for its products and services during third quarter of fiscal 2020 and beyond. This significantly decreased demand will likely have a material adverse effect on NTIC’s business, operating results and financial condition beginning with third quarter of fiscal 2020. Due to the international reach of COVID-19, NTIC anticipates that its international joint ventures will also be adversely impacted by the causes listed above, as well as other local issues that may arise, which will likely have a material adverse effect on NTIC’s joint venture operations and equity in income from joint ventures in the third quarter of fiscal 2020 and beyond. It is currently not possible to predict the precise potential impact, as well as the extent of any impact, of the COVID-19 pandemic on NTIC’s business, and on the global economy as a whole. It is also currently not possible to predict how long the pandemic will last or the time that it will take for economic activity to return to prior levels. A prolonged situation could have a significant adverse effect on economies and financial markets globally, potentially leading to a significant worldwide economic downturn, which could have a significant adverse effect on NTIC’s business, operating results and financial condition.</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extent to which the COVID-19 pandemic impacts NTIC’s business will likely depend on numerous evolving factors that NTIC may not be able to accurately predict, including:</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duration and scope of the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pandemic on economic activity and actions taken in response;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on NTIC’s customers and demand for its products and services;</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NTIC’s ability to continue to manufacture and sell its products and services, including as a result of travel restrictions and people working from home;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NTIC’s customers to pay for its products and services;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closures of NTIC’s facilities and the facilities of its customers and suppliers.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of these events could materially adversely affect NTIC’s business, operating results and financial condition. In addition, the COVID-19 pandemic has already adversely affected and could continue to adversely affect NTIC’s stock price.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three months ended February 29, 2020,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second quarter of fiscal 2020 stock repurchase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4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of Shares (or Units)</w:t>
            </w:r>
          </w:p>
        </w:tc>
      </w:tr>
      <w:tr>
        <w:trPr>
          <w:trHeight w:val="216"/>
        </w:trPr>
        <w:tc>
          <w:tcPr>
            <w:tcW w:w="4100" w:type="dxa"/>
            <w:vAlign w:val="bottom"/>
          </w:tcPr>
          <w:p>
            <w:pPr>
              <w:spacing w:after="0"/>
              <w:rPr>
                <w:sz w:val="18"/>
                <w:szCs w:val="18"/>
                <w:color w:val="auto"/>
              </w:rPr>
            </w:pPr>
          </w:p>
        </w:tc>
        <w:tc>
          <w:tcPr>
            <w:tcW w:w="2100" w:type="dxa"/>
            <w:vAlign w:val="bottom"/>
          </w:tcPr>
          <w:p>
            <w:pPr>
              <w:jc w:val="center"/>
              <w:ind w:left="450"/>
              <w:spacing w:after="0"/>
              <w:rPr>
                <w:sz w:val="20"/>
                <w:szCs w:val="20"/>
                <w:color w:val="auto"/>
              </w:rPr>
            </w:pPr>
            <w:r>
              <w:rPr>
                <w:rFonts w:ascii="Arial" w:cs="Arial" w:eastAsia="Arial" w:hAnsi="Arial"/>
                <w:sz w:val="18"/>
                <w:szCs w:val="18"/>
                <w:b w:val="1"/>
                <w:bCs w:val="1"/>
                <w:color w:val="auto"/>
                <w:w w:val="92"/>
              </w:rPr>
              <w:t>Total Number of</w:t>
            </w:r>
          </w:p>
        </w:tc>
        <w:tc>
          <w:tcPr>
            <w:tcW w:w="17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4100" w:type="dxa"/>
            <w:vAlign w:val="bottom"/>
          </w:tcPr>
          <w:p>
            <w:pPr>
              <w:spacing w:after="0"/>
              <w:rPr>
                <w:sz w:val="18"/>
                <w:szCs w:val="18"/>
                <w:color w:val="auto"/>
              </w:rPr>
            </w:pPr>
          </w:p>
        </w:tc>
        <w:tc>
          <w:tcPr>
            <w:tcW w:w="2100" w:type="dxa"/>
            <w:vAlign w:val="bottom"/>
          </w:tcPr>
          <w:p>
            <w:pPr>
              <w:jc w:val="center"/>
              <w:ind w:left="410"/>
              <w:spacing w:after="0"/>
              <w:rPr>
                <w:sz w:val="20"/>
                <w:szCs w:val="20"/>
                <w:color w:val="auto"/>
              </w:rPr>
            </w:pPr>
            <w:r>
              <w:rPr>
                <w:rFonts w:ascii="Arial" w:cs="Arial" w:eastAsia="Arial" w:hAnsi="Arial"/>
                <w:sz w:val="18"/>
                <w:szCs w:val="18"/>
                <w:b w:val="1"/>
                <w:bCs w:val="1"/>
                <w:color w:val="auto"/>
                <w:w w:val="86"/>
              </w:rPr>
              <w:t>Shares</w:t>
            </w:r>
          </w:p>
        </w:tc>
        <w:tc>
          <w:tcPr>
            <w:tcW w:w="17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of Publicly</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4100" w:type="dxa"/>
            <w:vAlign w:val="bottom"/>
          </w:tcPr>
          <w:p>
            <w:pPr>
              <w:spacing w:after="0"/>
              <w:rPr>
                <w:sz w:val="18"/>
                <w:szCs w:val="18"/>
                <w:color w:val="auto"/>
              </w:rPr>
            </w:pPr>
          </w:p>
        </w:tc>
        <w:tc>
          <w:tcPr>
            <w:tcW w:w="2100" w:type="dxa"/>
            <w:vAlign w:val="bottom"/>
          </w:tcPr>
          <w:p>
            <w:pPr>
              <w:jc w:val="center"/>
              <w:ind w:left="430"/>
              <w:spacing w:after="0"/>
              <w:rPr>
                <w:sz w:val="20"/>
                <w:szCs w:val="20"/>
                <w:color w:val="auto"/>
              </w:rPr>
            </w:pPr>
            <w:r>
              <w:rPr>
                <w:rFonts w:ascii="Arial" w:cs="Arial" w:eastAsia="Arial" w:hAnsi="Arial"/>
                <w:sz w:val="18"/>
                <w:szCs w:val="18"/>
                <w:b w:val="1"/>
                <w:bCs w:val="1"/>
                <w:color w:val="auto"/>
                <w:w w:val="92"/>
              </w:rPr>
              <w:t>(or Units)</w:t>
            </w:r>
          </w:p>
        </w:tc>
        <w:tc>
          <w:tcPr>
            <w:tcW w:w="17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Average Price Paid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10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6"/>
              </w:rPr>
              <w:t>Purchased</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Per Share (or Unit)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December 1, 2019, through December 31, 2019</w:t>
            </w:r>
          </w:p>
        </w:tc>
        <w:tc>
          <w:tcPr>
            <w:tcW w:w="21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9"/>
              </w:rPr>
              <w:t>0</w:t>
            </w:r>
          </w:p>
        </w:tc>
        <w:tc>
          <w:tcPr>
            <w:tcW w:w="17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January 1, 2020, through January 31, 2020</w:t>
            </w:r>
          </w:p>
        </w:tc>
        <w:tc>
          <w:tcPr>
            <w:tcW w:w="210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c>
          <w:tcPr>
            <w:tcW w:w="1720" w:type="dxa"/>
            <w:vAlign w:val="bottom"/>
          </w:tcPr>
          <w:p>
            <w:pPr>
              <w:jc w:val="center"/>
              <w:ind w:left="10"/>
              <w:spacing w:after="0"/>
              <w:rPr>
                <w:sz w:val="20"/>
                <w:szCs w:val="20"/>
                <w:color w:val="auto"/>
              </w:rPr>
            </w:pPr>
            <w:r>
              <w:rPr>
                <w:rFonts w:ascii="Arial" w:cs="Arial" w:eastAsia="Arial" w:hAnsi="Arial"/>
                <w:sz w:val="18"/>
                <w:szCs w:val="18"/>
                <w:color w:val="auto"/>
                <w:w w:val="89"/>
              </w:rPr>
              <w:t>$0</w:t>
            </w:r>
          </w:p>
        </w:tc>
        <w:tc>
          <w:tcPr>
            <w:tcW w:w="17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February 1, 2020, through February 29, 2020</w:t>
            </w:r>
          </w:p>
        </w:tc>
        <w:tc>
          <w:tcPr>
            <w:tcW w:w="21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9"/>
              </w:rPr>
              <w:t>0</w:t>
            </w:r>
          </w:p>
        </w:tc>
        <w:tc>
          <w:tcPr>
            <w:tcW w:w="17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02"/>
        </w:trPr>
        <w:tc>
          <w:tcPr>
            <w:tcW w:w="410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2100" w:type="dxa"/>
            <w:vAlign w:val="bottom"/>
          </w:tcPr>
          <w:p>
            <w:pPr>
              <w:jc w:val="center"/>
              <w:ind w:left="430"/>
              <w:spacing w:after="0" w:line="201" w:lineRule="exact"/>
              <w:rPr>
                <w:sz w:val="20"/>
                <w:szCs w:val="20"/>
                <w:color w:val="auto"/>
              </w:rPr>
            </w:pPr>
            <w:r>
              <w:rPr>
                <w:rFonts w:ascii="Arial" w:cs="Arial" w:eastAsia="Arial" w:hAnsi="Arial"/>
                <w:sz w:val="18"/>
                <w:szCs w:val="18"/>
                <w:color w:val="auto"/>
                <w:w w:val="99"/>
              </w:rPr>
              <w:t>0</w:t>
            </w:r>
          </w:p>
        </w:tc>
        <w:tc>
          <w:tcPr>
            <w:tcW w:w="172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9"/>
              </w:rPr>
              <w:t>$0</w:t>
            </w:r>
          </w:p>
        </w:tc>
        <w:tc>
          <w:tcPr>
            <w:tcW w:w="172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5"/>
              </w:rPr>
              <w:t>(1)(2)</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ind w:left="340" w:right="240" w:hanging="332"/>
        <w:spacing w:after="0" w:line="255"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9" w:lineRule="exact"/>
        <w:rPr>
          <w:rFonts w:ascii="Arial" w:cs="Arial" w:eastAsia="Arial" w:hAnsi="Arial"/>
          <w:sz w:val="18"/>
          <w:szCs w:val="18"/>
          <w:color w:val="auto"/>
        </w:rPr>
      </w:pPr>
    </w:p>
    <w:p>
      <w:pPr>
        <w:ind w:left="340" w:right="6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February 29, 2020, up to $2,640,548 in shares of NTIC common stock remained available for repurchase under NTIC’s stock repurchase program.</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80"/>
        <w:spacing w:after="0"/>
        <w:tabs>
          <w:tab w:leader="none" w:pos="388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8602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60290" cy="8890"/>
                    </a:xfrm>
                    <a:prstGeom prst="rect">
                      <a:avLst/>
                    </a:prstGeom>
                    <a:noFill/>
                  </pic:spPr>
                </pic:pic>
              </a:graphicData>
            </a:graphic>
          </wp:anchor>
        </w:drawing>
      </w:r>
    </w:p>
    <w:p>
      <w:pPr>
        <w:spacing w:after="0" w:line="204" w:lineRule="exact"/>
        <w:rPr>
          <w:sz w:val="20"/>
          <w:szCs w:val="20"/>
          <w:color w:val="auto"/>
        </w:rPr>
      </w:pPr>
    </w:p>
    <w:p>
      <w:pPr>
        <w:ind w:left="1040" w:hanging="784"/>
        <w:spacing w:after="0" w:line="277" w:lineRule="auto"/>
        <w:tabs>
          <w:tab w:leader="none" w:pos="1020" w:val="left"/>
        </w:tabs>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r:id="rId67">
        <w:r>
          <w:rPr>
            <w:rFonts w:ascii="Arial" w:cs="Arial" w:eastAsia="Arial" w:hAnsi="Arial"/>
            <w:sz w:val="18"/>
            <w:szCs w:val="18"/>
            <w:u w:val="single" w:color="auto"/>
            <w:color w:val="0000EE"/>
          </w:rPr>
          <w:t>Letter Agreement dated as of December 16, 2019 between PNC Bank, National Association</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and Northern Technologies International Corporation</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2" w:lineRule="exact"/>
        <w:rPr>
          <w:rFonts w:ascii="Arial" w:cs="Arial" w:eastAsia="Arial" w:hAnsi="Arial"/>
          <w:sz w:val="18"/>
          <w:szCs w:val="18"/>
          <w:u w:val="single" w:color="auto"/>
          <w:color w:val="0000EE"/>
        </w:rPr>
      </w:pPr>
    </w:p>
    <w:p>
      <w:pPr>
        <w:ind w:left="240"/>
        <w:spacing w:after="0"/>
        <w:tabs>
          <w:tab w:leader="none" w:pos="1020" w:val="left"/>
        </w:tabs>
        <w:rPr>
          <w:rFonts w:ascii="Arial" w:cs="Arial" w:eastAsia="Arial" w:hAnsi="Arial"/>
          <w:sz w:val="16"/>
          <w:szCs w:val="16"/>
          <w:u w:val="single" w:color="auto"/>
          <w:color w:val="0000EE"/>
        </w:rPr>
      </w:pPr>
      <w:hyperlink w:anchor="page47">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47">
        <w:r>
          <w:rPr>
            <w:rFonts w:ascii="Arial" w:cs="Arial" w:eastAsia="Arial" w:hAnsi="Arial"/>
            <w:sz w:val="16"/>
            <w:szCs w:val="16"/>
            <w:u w:val="single" w:color="auto"/>
            <w:color w:val="0000EE"/>
          </w:rPr>
          <w:t>Certification of Chief Executive Officer Pursuant to Exchange Act Rules 13a-14(a)/15d-</w:t>
        </w:r>
      </w:hyperlink>
    </w:p>
    <w:p>
      <w:pPr>
        <w:spacing w:after="0" w:line="23" w:lineRule="exact"/>
        <w:rPr>
          <w:sz w:val="20"/>
          <w:szCs w:val="20"/>
          <w:color w:val="auto"/>
        </w:rPr>
      </w:pPr>
    </w:p>
    <w:p>
      <w:pPr>
        <w:jc w:val="center"/>
        <w:ind w:left="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14(a), as Adopted Pursuant to Section 302 of the Sarbanes-Oxley Act of 2002</w:t>
        </w:r>
      </w:hyperlink>
    </w:p>
    <w:p>
      <w:pPr>
        <w:spacing w:after="0" w:line="211" w:lineRule="exact"/>
        <w:rPr>
          <w:sz w:val="20"/>
          <w:szCs w:val="20"/>
          <w:color w:val="auto"/>
        </w:rPr>
      </w:pPr>
    </w:p>
    <w:p>
      <w:pPr>
        <w:jc w:val="center"/>
        <w:ind w:right="60"/>
        <w:spacing w:after="0" w:line="277" w:lineRule="auto"/>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31.2     Certification of Chief Financial Officer Pursuant to Exchange Act Rules 13a-14(a)/15d-</w:t>
        </w:r>
      </w:hyperlink>
      <w:hyperlink w:anchor="page48">
        <w:r>
          <w:rPr>
            <w:rFonts w:ascii="Arial" w:cs="Arial" w:eastAsia="Arial" w:hAnsi="Arial"/>
            <w:sz w:val="18"/>
            <w:szCs w:val="18"/>
            <w:u w:val="single" w:color="auto"/>
            <w:color w:val="0000EE"/>
          </w:rPr>
          <w:t>14(a), as Adopted Pursuant to Section 302 of the Sarbanes-Oxley Act of 2002</w:t>
        </w:r>
      </w:hyperlink>
    </w:p>
    <w:p>
      <w:pPr>
        <w:spacing w:after="0" w:line="170" w:lineRule="exact"/>
        <w:rPr>
          <w:sz w:val="20"/>
          <w:szCs w:val="20"/>
          <w:color w:val="auto"/>
        </w:rPr>
      </w:pPr>
    </w:p>
    <w:p>
      <w:pPr>
        <w:ind w:left="1040" w:right="240" w:hanging="784"/>
        <w:spacing w:after="0" w:line="277" w:lineRule="auto"/>
        <w:tabs>
          <w:tab w:leader="none" w:pos="1020" w:val="left"/>
        </w:tabs>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49">
        <w:r>
          <w:rPr>
            <w:rFonts w:ascii="Arial" w:cs="Arial" w:eastAsia="Arial" w:hAnsi="Arial"/>
            <w:sz w:val="18"/>
            <w:szCs w:val="18"/>
            <w:u w:val="single" w:color="auto"/>
            <w:color w:val="0000EE"/>
          </w:rPr>
          <w:t>Certification of Chief Executive Officer Pursuant to 18 U.S.C. Section 1350, as Adopted</w:t>
        </w:r>
      </w:hyperlink>
      <w:r>
        <w:rPr>
          <w:rFonts w:ascii="Arial" w:cs="Arial" w:eastAsia="Arial" w:hAnsi="Arial"/>
          <w:sz w:val="18"/>
          <w:szCs w:val="18"/>
          <w:u w:val="single" w:color="auto"/>
          <w:color w:val="0000EE"/>
        </w:rPr>
        <w:t xml:space="preserve"> </w:t>
      </w:r>
      <w:hyperlink w:anchor="page49">
        <w:r>
          <w:rPr>
            <w:rFonts w:ascii="Arial" w:cs="Arial" w:eastAsia="Arial" w:hAnsi="Arial"/>
            <w:sz w:val="18"/>
            <w:szCs w:val="18"/>
            <w:u w:val="single" w:color="auto"/>
            <w:color w:val="0000EE"/>
          </w:rPr>
          <w:t>Pursuant to Section 906 of the Sarbanes-Oxley Act of 2002</w:t>
        </w:r>
      </w:hyperlink>
    </w:p>
    <w:p>
      <w:pPr>
        <w:spacing w:after="0" w:line="170" w:lineRule="exact"/>
        <w:rPr>
          <w:rFonts w:ascii="Arial" w:cs="Arial" w:eastAsia="Arial" w:hAnsi="Arial"/>
          <w:sz w:val="18"/>
          <w:szCs w:val="18"/>
          <w:u w:val="single" w:color="auto"/>
          <w:color w:val="0000EE"/>
        </w:rPr>
      </w:pPr>
    </w:p>
    <w:p>
      <w:pPr>
        <w:ind w:left="1040" w:right="300" w:hanging="784"/>
        <w:spacing w:after="0" w:line="277" w:lineRule="auto"/>
        <w:tabs>
          <w:tab w:leader="none" w:pos="1020" w:val="left"/>
        </w:tabs>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50">
        <w:r>
          <w:rPr>
            <w:rFonts w:ascii="Arial" w:cs="Arial" w:eastAsia="Arial" w:hAnsi="Arial"/>
            <w:sz w:val="18"/>
            <w:szCs w:val="18"/>
            <w:u w:val="single" w:color="auto"/>
            <w:color w:val="0000EE"/>
          </w:rPr>
          <w:t>Certification of Chief Financial Officer Pursuant to 18 U.S.C. Section 1350, as Adopted</w:t>
        </w:r>
      </w:hyperlink>
      <w:r>
        <w:rPr>
          <w:rFonts w:ascii="Arial" w:cs="Arial" w:eastAsia="Arial" w:hAnsi="Arial"/>
          <w:sz w:val="18"/>
          <w:szCs w:val="18"/>
          <w:u w:val="single" w:color="auto"/>
          <w:color w:val="0000EE"/>
        </w:rPr>
        <w:t xml:space="preserve"> </w:t>
      </w:r>
      <w:hyperlink w:anchor="page50">
        <w:r>
          <w:rPr>
            <w:rFonts w:ascii="Arial" w:cs="Arial" w:eastAsia="Arial" w:hAnsi="Arial"/>
            <w:sz w:val="18"/>
            <w:szCs w:val="18"/>
            <w:u w:val="single" w:color="auto"/>
            <w:color w:val="0000EE"/>
          </w:rPr>
          <w:t>Pursuant to Section 906 of the Sarbanes-Oxley Act of 2002</w:t>
        </w:r>
      </w:hyperlink>
    </w:p>
    <w:p>
      <w:pPr>
        <w:spacing w:after="0" w:line="200" w:lineRule="exact"/>
        <w:rPr>
          <w:rFonts w:ascii="Arial" w:cs="Arial" w:eastAsia="Arial" w:hAnsi="Arial"/>
          <w:sz w:val="18"/>
          <w:szCs w:val="18"/>
          <w:u w:val="single" w:color="auto"/>
          <w:color w:val="0000EE"/>
        </w:rPr>
      </w:pPr>
    </w:p>
    <w:p>
      <w:pPr>
        <w:spacing w:after="0" w:line="314" w:lineRule="exact"/>
        <w:rPr>
          <w:rFonts w:ascii="Arial" w:cs="Arial" w:eastAsia="Arial" w:hAnsi="Arial"/>
          <w:sz w:val="18"/>
          <w:szCs w:val="18"/>
          <w:u w:val="single" w:color="auto"/>
          <w:color w:val="0000EE"/>
        </w:rPr>
      </w:pPr>
    </w:p>
    <w:p>
      <w:pPr>
        <w:ind w:left="5520"/>
        <w:spacing w:after="0"/>
        <w:rPr>
          <w:sz w:val="20"/>
          <w:szCs w:val="20"/>
          <w:color w:val="auto"/>
        </w:rPr>
      </w:pPr>
      <w:r>
        <w:rPr>
          <w:rFonts w:ascii="Arial" w:cs="Arial" w:eastAsia="Arial" w:hAnsi="Arial"/>
          <w:sz w:val="22"/>
          <w:szCs w:val="22"/>
          <w:color w:val="auto"/>
        </w:rPr>
        <w:t>41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2"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b w:val="1"/>
          <w:bCs w:val="1"/>
          <w:color w:val="auto"/>
        </w:rPr>
        <w:t>Method of Filing</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-64135</wp:posOffset>
            </wp:positionH>
            <wp:positionV relativeFrom="paragraph">
              <wp:posOffset>17145</wp:posOffset>
            </wp:positionV>
            <wp:extent cx="21342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23" w:lineRule="exact"/>
        <w:rPr>
          <w:rFonts w:ascii="Arial" w:cs="Arial" w:eastAsia="Arial" w:hAnsi="Arial"/>
          <w:sz w:val="18"/>
          <w:szCs w:val="18"/>
          <w:u w:val="single" w:color="auto"/>
          <w:color w:val="0000EE"/>
        </w:rPr>
      </w:pPr>
    </w:p>
    <w:p>
      <w:pPr>
        <w:jc w:val="center"/>
        <w:spacing w:after="0" w:line="279" w:lineRule="auto"/>
        <w:rPr>
          <w:sz w:val="20"/>
          <w:szCs w:val="20"/>
          <w:color w:val="auto"/>
        </w:rPr>
      </w:pPr>
      <w:r>
        <w:rPr>
          <w:rFonts w:ascii="Arial" w:cs="Arial" w:eastAsia="Arial" w:hAnsi="Arial"/>
          <w:sz w:val="17"/>
          <w:szCs w:val="17"/>
          <w:color w:val="auto"/>
        </w:rPr>
        <w:t>Incorporated by reference to Exhibit 10.1 to NTIC’s Quarterly Report on Form 10-Q for the fiscal quarter ended November 30, 2019 (File No. 001-11038)</w:t>
      </w:r>
    </w:p>
    <w:p>
      <w:pPr>
        <w:spacing w:after="0" w:line="171" w:lineRule="exact"/>
        <w:rPr>
          <w:rFonts w:ascii="Arial" w:cs="Arial" w:eastAsia="Arial" w:hAnsi="Arial"/>
          <w:sz w:val="18"/>
          <w:szCs w:val="18"/>
          <w:u w:val="single" w:color="auto"/>
          <w:color w:val="0000EE"/>
        </w:rPr>
      </w:pPr>
    </w:p>
    <w:p>
      <w:pPr>
        <w:ind w:left="1060"/>
        <w:spacing w:after="0"/>
        <w:rPr>
          <w:sz w:val="20"/>
          <w:szCs w:val="20"/>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1060"/>
        <w:spacing w:after="0"/>
        <w:rPr>
          <w:sz w:val="20"/>
          <w:szCs w:val="20"/>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880"/>
        <w:spacing w:after="0"/>
        <w:rPr>
          <w:sz w:val="20"/>
          <w:szCs w:val="20"/>
          <w:color w:val="auto"/>
        </w:rPr>
      </w:pPr>
      <w:r>
        <w:rPr>
          <w:rFonts w:ascii="Arial" w:cs="Arial" w:eastAsia="Arial" w:hAnsi="Arial"/>
          <w:sz w:val="18"/>
          <w:szCs w:val="18"/>
          <w:color w:val="auto"/>
        </w:rPr>
        <w:t>Furnished herewith</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880"/>
        <w:spacing w:after="0"/>
        <w:rPr>
          <w:sz w:val="20"/>
          <w:szCs w:val="20"/>
          <w:color w:val="auto"/>
        </w:rPr>
      </w:pPr>
      <w:r>
        <w:rPr>
          <w:rFonts w:ascii="Arial" w:cs="Arial" w:eastAsia="Arial" w:hAnsi="Arial"/>
          <w:sz w:val="18"/>
          <w:szCs w:val="18"/>
          <w:color w:val="auto"/>
        </w:rPr>
        <w:t>Furnished herewith</w:t>
      </w:r>
    </w:p>
    <w:p>
      <w:pPr>
        <w:sectPr>
          <w:pgSz w:w="11900" w:h="16838" w:orient="portrait"/>
          <w:cols w:equalWidth="0" w:num="2">
            <w:col w:w="7660" w:space="320"/>
            <w:col w:w="3160"/>
          </w:cols>
          <w:pgMar w:left="320" w:top="580" w:right="4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4"/>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240" w:type="dxa"/>
            <w:vAlign w:val="bottom"/>
          </w:tcPr>
          <w:p>
            <w:pPr>
              <w:spacing w:after="0"/>
              <w:rPr>
                <w:sz w:val="20"/>
                <w:szCs w:val="20"/>
                <w:color w:val="auto"/>
              </w:rPr>
            </w:pPr>
          </w:p>
        </w:tc>
        <w:tc>
          <w:tcPr>
            <w:tcW w:w="6620" w:type="dxa"/>
            <w:vAlign w:val="bottom"/>
            <w:tcBorders>
              <w:bottom w:val="single" w:sz="8" w:color="auto"/>
            </w:tcBorders>
          </w:tcPr>
          <w:p>
            <w:pPr>
              <w:ind w:left="2860"/>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Method of Filing</w:t>
            </w:r>
          </w:p>
        </w:tc>
      </w:tr>
      <w:tr>
        <w:trPr>
          <w:trHeight w:val="195"/>
        </w:trPr>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6"/>
              </w:rPr>
              <w:t>101</w:t>
            </w:r>
          </w:p>
        </w:tc>
        <w:tc>
          <w:tcPr>
            <w:tcW w:w="24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w w:val="93"/>
              </w:rPr>
              <w:t>The following materials from NTIC’s Quarterly Report on Form 10-Q for the fiscal quarter</w:t>
            </w:r>
          </w:p>
        </w:tc>
        <w:tc>
          <w:tcPr>
            <w:tcW w:w="220" w:type="dxa"/>
            <w:vAlign w:val="bottom"/>
          </w:tcPr>
          <w:p>
            <w:pPr>
              <w:spacing w:after="0"/>
              <w:rPr>
                <w:sz w:val="16"/>
                <w:szCs w:val="16"/>
                <w:color w:val="auto"/>
              </w:rPr>
            </w:pPr>
          </w:p>
        </w:tc>
        <w:tc>
          <w:tcPr>
            <w:tcW w:w="3360" w:type="dxa"/>
            <w:vAlign w:val="bottom"/>
          </w:tcPr>
          <w:p>
            <w:pPr>
              <w:jc w:val="center"/>
              <w:spacing w:after="0" w:line="195" w:lineRule="exact"/>
              <w:rPr>
                <w:sz w:val="20"/>
                <w:szCs w:val="20"/>
                <w:color w:val="auto"/>
              </w:rPr>
            </w:pPr>
            <w:r>
              <w:rPr>
                <w:rFonts w:ascii="Arial" w:cs="Arial" w:eastAsia="Arial" w:hAnsi="Arial"/>
                <w:sz w:val="18"/>
                <w:szCs w:val="18"/>
                <w:color w:val="auto"/>
                <w:w w:val="92"/>
              </w:rPr>
              <w:t>Filed herewith</w:t>
            </w: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2"/>
              </w:rPr>
              <w:t>ended February 29, 2020, formatted in XBRL (Extensible Business Reporting Language):</w:t>
            </w:r>
          </w:p>
        </w:tc>
        <w:tc>
          <w:tcPr>
            <w:tcW w:w="2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1"/>
              </w:rPr>
              <w:t>(i) the unaudited Consolidated Balance Sheets, (ii) the unaudited Consolidated Statements</w:t>
            </w:r>
          </w:p>
        </w:tc>
        <w:tc>
          <w:tcPr>
            <w:tcW w:w="2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2"/>
              </w:rPr>
              <w:t>of Operations, (iii) the unaudited Consolidated Statements of Comprehensive Income, (iv)</w:t>
            </w:r>
          </w:p>
        </w:tc>
        <w:tc>
          <w:tcPr>
            <w:tcW w:w="2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the unaudited Consolidated Statements of Equity, (v) the unaudited Consolidated</w:t>
            </w:r>
          </w:p>
        </w:tc>
        <w:tc>
          <w:tcPr>
            <w:tcW w:w="2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Statements of Cash Flows, and (vi) Notes to Consolidated Financial Statements</w:t>
            </w: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171450</wp:posOffset>
            </wp:positionV>
            <wp:extent cx="1183005" cy="7118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183005" cy="71183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Date: April 8,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Duly Authorized to Sign on Behalf of the Registrant)</w:t>
      </w:r>
    </w:p>
    <w:p>
      <w:pPr>
        <w:spacing w:after="0" w:line="200" w:lineRule="exact"/>
        <w:rPr>
          <w:sz w:val="20"/>
          <w:szCs w:val="20"/>
          <w:color w:val="auto"/>
        </w:rPr>
      </w:pPr>
    </w:p>
    <w:p>
      <w:pPr>
        <w:sectPr>
          <w:pgSz w:w="11900" w:h="16838" w:orient="portrait"/>
          <w:cols w:equalWidth="0" w:num="2">
            <w:col w:w="5020" w:space="720"/>
            <w:col w:w="5420"/>
          </w:cols>
          <w:pgMar w:left="320" w:top="58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31.1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40" w:hanging="512"/>
        <w:spacing w:after="0" w:line="263"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right="20" w:hanging="6"/>
        <w:spacing w:after="0" w:line="263" w:lineRule="auto"/>
        <w:tabs>
          <w:tab w:leader="none" w:pos="101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500" w:right="220" w:hanging="6"/>
        <w:spacing w:after="0" w:line="263" w:lineRule="auto"/>
        <w:tabs>
          <w:tab w:leader="none" w:pos="10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right="540" w:hanging="6"/>
        <w:spacing w:after="0" w:line="342" w:lineRule="auto"/>
        <w:tabs>
          <w:tab w:leader="none" w:pos="1015"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hanging="6"/>
        <w:spacing w:after="0" w:line="263" w:lineRule="auto"/>
        <w:tabs>
          <w:tab w:leader="none" w:pos="10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500" w:right="760" w:hanging="6"/>
        <w:spacing w:after="0" w:line="308" w:lineRule="auto"/>
        <w:tabs>
          <w:tab w:leader="none" w:pos="1005"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440" w:hanging="1"/>
        <w:spacing w:after="0" w:line="277"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ind w:left="5740" w:right="2800" w:hanging="5736"/>
        <w:spacing w:after="0"/>
        <w:rPr>
          <w:sz w:val="20"/>
          <w:szCs w:val="20"/>
          <w:color w:val="auto"/>
        </w:rPr>
      </w:pPr>
      <w:r>
        <w:rPr>
          <w:rFonts w:ascii="Arial" w:cs="Arial" w:eastAsia="Arial" w:hAnsi="Arial"/>
          <w:sz w:val="18"/>
          <w:szCs w:val="18"/>
          <w:color w:val="auto"/>
        </w:rPr>
        <w:t xml:space="preserve">Date: April 8, 2020 </w:t>
      </w:r>
      <w:r>
        <w:rPr>
          <w:sz w:val="1"/>
          <w:szCs w:val="1"/>
          <w:color w:val="auto"/>
        </w:rPr>
        <w:drawing>
          <wp:inline distT="0" distB="0" distL="0" distR="0">
            <wp:extent cx="1705610" cy="21463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705610" cy="214630"/>
                    </a:xfrm>
                    <a:prstGeom prst="rect">
                      <a:avLst/>
                    </a:prstGeom>
                    <a:noFill/>
                    <a:ln>
                      <a:noFill/>
                    </a:ln>
                  </pic:spPr>
                </pic:pic>
              </a:graphicData>
            </a:graphic>
          </wp:inline>
        </w:drawing>
      </w:r>
      <w:r>
        <w:rPr>
          <w:rFonts w:ascii="Arial" w:cs="Arial" w:eastAsia="Arial" w:hAnsi="Arial"/>
          <w:sz w:val="18"/>
          <w:szCs w:val="18"/>
          <w:color w:val="auto"/>
        </w:rPr>
        <w:t xml:space="preserve"> G. Patrick Lynch</w:t>
      </w:r>
    </w:p>
    <w:p>
      <w:pPr>
        <w:spacing w:after="0" w:line="19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31.2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40" w:hanging="512"/>
        <w:spacing w:after="0" w:line="263"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80" w:right="120" w:hanging="5"/>
        <w:spacing w:after="0" w:line="263" w:lineRule="auto"/>
        <w:tabs>
          <w:tab w:leader="none" w:pos="109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580" w:right="140" w:hanging="5"/>
        <w:spacing w:after="0" w:line="263" w:lineRule="auto"/>
        <w:tabs>
          <w:tab w:leader="none" w:pos="11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80" w:right="460" w:hanging="5"/>
        <w:spacing w:after="0" w:line="342" w:lineRule="auto"/>
        <w:tabs>
          <w:tab w:leader="none" w:pos="109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580" w:right="420" w:hanging="5"/>
        <w:spacing w:after="0" w:line="263" w:lineRule="auto"/>
        <w:tabs>
          <w:tab w:leader="none" w:pos="11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580" w:right="680" w:hanging="5"/>
        <w:spacing w:after="0" w:line="308" w:lineRule="auto"/>
        <w:tabs>
          <w:tab w:leader="none" w:pos="1085"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80" w:right="360" w:hanging="5"/>
        <w:spacing w:after="0" w:line="277" w:lineRule="auto"/>
        <w:tabs>
          <w:tab w:leader="none" w:pos="109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117475</wp:posOffset>
            </wp:positionV>
            <wp:extent cx="1183005" cy="7112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183005" cy="71120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Date: April 8,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Corporate Secretary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2">
            <w:col w:w="5020" w:space="720"/>
            <w:col w:w="5500"/>
          </w:cols>
          <w:pgMar w:left="320" w:top="112" w:right="3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February 29, 2020,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240" w:hanging="944"/>
        <w:spacing w:after="0" w:line="277" w:lineRule="auto"/>
        <w:tabs>
          <w:tab w:leader="none" w:pos="1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1705610"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705610" cy="2146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8, 2020</w:t>
      </w:r>
    </w:p>
    <w:p>
      <w:pPr>
        <w:sectPr>
          <w:pgSz w:w="11900" w:h="16838" w:orient="portrait"/>
          <w:cols w:equalWidth="0" w:num="1">
            <w:col w:w="11240"/>
          </w:cols>
          <w:pgMar w:left="320" w:top="11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77"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February 29, 2020,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240" w:hanging="944"/>
        <w:spacing w:after="0" w:line="277" w:lineRule="auto"/>
        <w:tabs>
          <w:tab w:leader="none" w:pos="1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183005" cy="7112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18300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right="5520"/>
        <w:spacing w:after="0" w:line="260" w:lineRule="auto"/>
        <w:rPr>
          <w:sz w:val="20"/>
          <w:szCs w:val="20"/>
          <w:color w:val="auto"/>
        </w:rPr>
      </w:pPr>
      <w:r>
        <w:rPr>
          <w:rFonts w:ascii="Arial" w:cs="Arial" w:eastAsia="Arial" w:hAnsi="Arial"/>
          <w:sz w:val="18"/>
          <w:szCs w:val="18"/>
          <w:color w:val="auto"/>
        </w:rPr>
        <w:t>Chief Financial Officer and Corporate Secretary (principal financial officer and principal accounting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8, 2020</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6"/>
    </w:lvl>
  </w:abstractNum>
  <w:abstractNum w:abstractNumId="7">
    <w:nsid w:val="431BD7B7"/>
    <w:multiLevelType w:val="hybridMultilevel"/>
    <w:lvl w:ilvl="0">
      <w:lvlJc w:val="left"/>
      <w:lvlText w:val="%1."/>
      <w:numFmt w:val="decimal"/>
      <w:start w:val="8"/>
    </w:lvl>
  </w:abstractNum>
  <w:abstractNum w:abstractNumId="8">
    <w:nsid w:val="3F2DBA31"/>
    <w:multiLevelType w:val="hybridMultilevel"/>
    <w:lvl w:ilvl="0">
      <w:lvlJc w:val="left"/>
      <w:lvlText w:val="%1."/>
      <w:numFmt w:val="decimal"/>
      <w:start w:val="9"/>
    </w:lvl>
  </w:abstractNum>
  <w:abstractNum w:abstractNumId="9">
    <w:nsid w:val="7C83E458"/>
    <w:multiLevelType w:val="hybridMultilevel"/>
    <w:lvl w:ilvl="0">
      <w:lvlJc w:val="left"/>
      <w:lvlText w:val="%1."/>
      <w:numFmt w:val="decimal"/>
      <w:start w:val="10"/>
    </w:lvl>
  </w:abstractNum>
  <w:abstractNum w:abstractNumId="10">
    <w:nsid w:val="257130A3"/>
    <w:multiLevelType w:val="hybridMultilevel"/>
    <w:lvl w:ilvl="0">
      <w:lvlJc w:val="left"/>
      <w:lvlText w:val="%1."/>
      <w:numFmt w:val="decimal"/>
      <w:start w:val="1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2"/>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3"/>
    </w:lvl>
  </w:abstractNum>
  <w:abstractNum w:abstractNumId="15">
    <w:nsid w:val="721DA317"/>
    <w:multiLevelType w:val="hybridMultilevel"/>
    <w:lvl w:ilvl="0">
      <w:lvlJc w:val="left"/>
      <w:lvlText w:val="%1."/>
      <w:numFmt w:val="decimal"/>
      <w:start w:val="14"/>
    </w:lvl>
  </w:abstractNum>
  <w:abstractNum w:abstractNumId="16">
    <w:nsid w:val="2443A858"/>
    <w:multiLevelType w:val="hybridMultilevel"/>
    <w:lvl w:ilvl="0">
      <w:lvlJc w:val="left"/>
      <w:lvlText w:val="%1."/>
      <w:numFmt w:val="decimal"/>
      <w:start w:val="15"/>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upperLetter"/>
      <w:start w:val="1"/>
    </w:lvl>
    <w:lvl w:ilvl="1">
      <w:lvlJc w:val="left"/>
      <w:lvlText w:val="(%2)"/>
      <w:numFmt w:val="decimal"/>
      <w:start w:val="1"/>
    </w:lvl>
  </w:abstractNum>
  <w:abstractNum w:abstractNumId="26">
    <w:nsid w:val="71F32454"/>
    <w:multiLevelType w:val="hybridMultilevel"/>
    <w:lvl w:ilvl="0">
      <w:lvlJc w:val="left"/>
      <w:lvlText w:val="%1."/>
      <w:numFmt w:val="upperLetter"/>
      <w:start w:val="7"/>
    </w:lvl>
    <w:lvl w:ilvl="1">
      <w:lvlJc w:val="left"/>
      <w:lvlText w:val="%2"/>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8.jpeg"/><Relationship Id="rId67" Type="http://schemas.openxmlformats.org/officeDocument/2006/relationships/hyperlink" Target="http://www.sec.gov/Archives/edgar/data/875582/000117184320000112/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2020-04-08T16:03:15Z</dcterms:created>
  <dcterms:modified xsi:type="dcterms:W3CDTF">2020-04-08T16:03:15Z</dcterms:modified>
</cp:coreProperties>
</file>