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00" w:right="1780" w:hanging="3692"/>
        <w:spacing w:after="0" w:line="493" w:lineRule="auto"/>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780" w:hanging="2872"/>
        <w:spacing w:after="0" w:line="500" w:lineRule="auto"/>
        <w:tabs>
          <w:tab w:leader="none" w:pos="29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4"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8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jc w:val="center"/>
              <w:ind w:right="75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jc w:val="center"/>
              <w:ind w:right="77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10, 2025, there were 9,474,363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8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780" w:type="dxa"/>
            <w:vAlign w:val="bottom"/>
            <w:gridSpan w:val="19"/>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752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February 28, 2025 (unaudited) and August 31, 2024 (audited)</w:t>
            </w:r>
          </w:p>
        </w:tc>
        <w:tc>
          <w:tcPr>
            <w:tcW w:w="3140" w:type="dxa"/>
            <w:vAlign w:val="bottom"/>
            <w:gridSpan w:val="5"/>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(unaudited) for the Three and Six Months Ended February 28, 2025 and February 29, 2024</w:t>
            </w:r>
          </w:p>
        </w:tc>
        <w:tc>
          <w:tcPr>
            <w:tcW w:w="700" w:type="dxa"/>
            <w:vAlign w:val="bottom"/>
            <w:gridSpan w:val="2"/>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(unaudited) for the Three and Six Months Ended February 28, 2025 and February 29,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Equity (unaudited) for the Three and Six Months Ended February 28, 2025 and February 29, 2024</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for the Six Months Ended February 28, 2025 and February 29, 2024</w:t>
            </w:r>
          </w:p>
        </w:tc>
        <w:tc>
          <w:tcPr>
            <w:tcW w:w="1020" w:type="dxa"/>
            <w:vAlign w:val="bottom"/>
            <w:gridSpan w:val="3"/>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4660" w:type="dxa"/>
            <w:vAlign w:val="bottom"/>
            <w:gridSpan w:val="4"/>
          </w:tcPr>
          <w:p>
            <w:pPr>
              <w:spacing w:after="0"/>
              <w:rPr>
                <w:sz w:val="17"/>
                <w:szCs w:val="17"/>
                <w:color w:val="auto"/>
              </w:rPr>
            </w:pPr>
          </w:p>
        </w:tc>
        <w:tc>
          <w:tcPr>
            <w:tcW w:w="1420" w:type="dxa"/>
            <w:vAlign w:val="bottom"/>
            <w:gridSpan w:val="4"/>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18</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760" w:type="dxa"/>
            <w:vAlign w:val="bottom"/>
            <w:tcBorders>
              <w:left w:val="single" w:sz="8" w:color="0000EE"/>
            </w:tcBorders>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1. Legal Proceedings</w:t>
            </w:r>
          </w:p>
        </w:tc>
        <w:tc>
          <w:tcPr>
            <w:tcW w:w="7820" w:type="dxa"/>
            <w:vAlign w:val="bottom"/>
            <w:gridSpan w:val="11"/>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196"/>
        </w:trPr>
        <w:tc>
          <w:tcPr>
            <w:tcW w:w="3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780" w:type="dxa"/>
            <w:vAlign w:val="bottom"/>
            <w:gridSpan w:val="14"/>
            <w:vMerge w:val="restart"/>
          </w:tcPr>
          <w:p>
            <w:pPr>
              <w:spacing w:after="0"/>
              <w:rPr>
                <w:sz w:val="17"/>
                <w:szCs w:val="17"/>
                <w:color w:val="auto"/>
              </w:rPr>
            </w:pPr>
          </w:p>
        </w:tc>
        <w:tc>
          <w:tcPr>
            <w:tcW w:w="380" w:type="dxa"/>
            <w:vAlign w:val="bottom"/>
            <w:gridSpan w:val="2"/>
            <w:vMerge w:val="restart"/>
          </w:tcPr>
          <w:p>
            <w:pPr>
              <w:spacing w:after="0"/>
              <w:rPr>
                <w:sz w:val="17"/>
                <w:szCs w:val="17"/>
                <w:color w:val="auto"/>
              </w:rPr>
            </w:pPr>
          </w:p>
        </w:tc>
        <w:tc>
          <w:tcPr>
            <w:tcW w:w="180" w:type="dxa"/>
            <w:vAlign w:val="bottom"/>
            <w:tcBorders>
              <w:top w:val="single" w:sz="8" w:color="0000EE"/>
              <w:bottom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1A.</w:t>
            </w:r>
          </w:p>
        </w:tc>
        <w:tc>
          <w:tcPr>
            <w:tcW w:w="240" w:type="dxa"/>
            <w:vAlign w:val="bottom"/>
            <w:gridSpan w:val="2"/>
            <w:vMerge w:val="restart"/>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8780" w:type="dxa"/>
            <w:vAlign w:val="bottom"/>
            <w:gridSpan w:val="14"/>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0000EE"/>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340" w:type="dxa"/>
            <w:vAlign w:val="bottom"/>
            <w:gridSpan w:val="1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520" w:type="dxa"/>
            <w:vAlign w:val="bottom"/>
            <w:tcBorders>
              <w:left w:val="single" w:sz="8" w:color="0000EE"/>
            </w:tcBorders>
            <w:gridSpan w:val="1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 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 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 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23"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FEBRUARY 28, 2025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AUGUST 31, 2024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20"/>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5,090,630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4,952,184</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less allowance for credit losses of $310,000 as of February 28, 2025 and August 31, 2024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15,418,555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19,187,079</w:t>
            </w: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1,235,016</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911,609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392,293</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14,985,166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14,390,844</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2,261,632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1,421,803</w:t>
            </w:r>
          </w:p>
        </w:tc>
      </w:tr>
      <w:tr>
        <w:trPr>
          <w:trHeight w:val="216"/>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39,624,812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41,579,219</w:t>
            </w:r>
          </w:p>
        </w:tc>
      </w:tr>
      <w:tr>
        <w:trPr>
          <w:trHeight w:val="210"/>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14,814,389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16,265,653</w:t>
            </w:r>
          </w:p>
        </w:tc>
      </w:tr>
      <w:tr>
        <w:trPr>
          <w:trHeight w:val="209"/>
        </w:trPr>
        <w:tc>
          <w:tcPr>
            <w:tcW w:w="7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25,041,302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25,397,287</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544,464</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8,666,639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5,682,945</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424,558</w:t>
            </w:r>
          </w:p>
        </w:tc>
      </w:tr>
      <w:tr>
        <w:trPr>
          <w:trHeight w:val="20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39,256,013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36,831,630</w:t>
            </w:r>
          </w:p>
        </w:tc>
      </w:tr>
      <w:tr>
        <w:trPr>
          <w:trHeight w:val="250"/>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93,695,214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94,676,502</w:t>
            </w:r>
          </w:p>
        </w:tc>
      </w:tr>
      <w:tr>
        <w:trPr>
          <w:trHeight w:val="197"/>
        </w:trPr>
        <w:tc>
          <w:tcPr>
            <w:tcW w:w="78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5,354,664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4,291,608</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loan</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2,746,121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2,820,835</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7,255,046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6,393,355</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327,781</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1,779,611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3,163,372</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686,809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574,876</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160,048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325,116</w:t>
            </w:r>
          </w:p>
        </w:tc>
      </w:tr>
      <w:tr>
        <w:trPr>
          <w:trHeight w:val="210"/>
        </w:trPr>
        <w:tc>
          <w:tcPr>
            <w:tcW w:w="7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18,208,386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17,896,943</w:t>
            </w:r>
          </w:p>
        </w:tc>
      </w:tr>
      <w:tr>
        <w:trPr>
          <w:trHeight w:val="210"/>
        </w:trPr>
        <w:tc>
          <w:tcPr>
            <w:tcW w:w="7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1,504,796</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 less current portion</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136,353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99,442</w:t>
            </w:r>
          </w:p>
        </w:tc>
      </w:tr>
      <w:tr>
        <w:trPr>
          <w:trHeight w:val="209"/>
        </w:trPr>
        <w:tc>
          <w:tcPr>
            <w:tcW w:w="7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1,641,149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1,604,238</w:t>
            </w:r>
          </w:p>
        </w:tc>
      </w:tr>
      <w:tr>
        <w:trPr>
          <w:trHeight w:val="210"/>
        </w:trPr>
        <w:tc>
          <w:tcPr>
            <w:tcW w:w="78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February 28, 2025 and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August 31, 2024; issued and outstanding 9,470,507 and 9,466,980, respectively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189,340</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24,334,299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23,615,564</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53,440,749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53,771,211</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(8,218,805)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(6,382,124)</w:t>
            </w:r>
          </w:p>
        </w:tc>
      </w:tr>
      <w:tr>
        <w:trPr>
          <w:trHeight w:val="20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69,745,653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71,193,991</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4,100,026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3,981,330</w:t>
            </w:r>
          </w:p>
        </w:tc>
      </w:tr>
      <w:tr>
        <w:trPr>
          <w:trHeight w:val="209"/>
        </w:trPr>
        <w:tc>
          <w:tcPr>
            <w:tcW w:w="78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73,845,679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75,175,321</w:t>
            </w:r>
          </w:p>
        </w:tc>
      </w:tr>
      <w:tr>
        <w:trPr>
          <w:trHeight w:val="210"/>
        </w:trPr>
        <w:tc>
          <w:tcPr>
            <w:tcW w:w="7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93,695,214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94,676,502</w:t>
            </w:r>
          </w:p>
        </w:tc>
      </w:tr>
      <w:tr>
        <w:trPr>
          <w:trHeight w:val="20"/>
        </w:trPr>
        <w:tc>
          <w:tcPr>
            <w:tcW w:w="7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2025 AND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19,072,066</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20,842,538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40,410,459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41,024,213</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12,276,482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12,503,374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25,451,922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25,350,775</w:t>
            </w: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6,795,584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8,339,164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14,958,537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15,673,438</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620,730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1,177,990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2,280,231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1,070,263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1,303,059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2,354,382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2,552,017</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1,690,993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2,481,049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4,104,705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4,832,248</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3,872,028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4,134,894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8,139,682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7,820,952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3,658,583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3,236,792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7,517,526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6,753,853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1,288,899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1,242,256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2,632,296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2,348,177</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8,819,510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8,613,942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18,289,504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16,922,982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2,206,271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3,582,704</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210,156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(188,896)</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1,139,756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1,139,756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877,824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2,157,723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1,889,842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3,469,460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275,197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289,195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493,068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515,991</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602,627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1,868,528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1,396,774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2,953,469</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168,308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167,359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401,364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356,779</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434,319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1,701,169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995,410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2,596,690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3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0.27</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9,470,507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9,427,598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9,474,034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9,427,588</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9,753,437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9,723,671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9,757,350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9,715,121</w:t>
            </w: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2025 AND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602,627</w:t>
            </w:r>
          </w:p>
        </w:tc>
        <w:tc>
          <w:tcPr>
            <w:tcW w:w="36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1,868,528</w:t>
            </w:r>
          </w:p>
        </w:tc>
        <w:tc>
          <w:tcPr>
            <w:tcW w:w="32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1,396,774</w:t>
            </w:r>
          </w:p>
        </w:tc>
        <w:tc>
          <w:tcPr>
            <w:tcW w:w="340" w:type="dxa"/>
            <w:vAlign w:val="bottom"/>
            <w:gridSpan w:val="2"/>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2,953,469</w:t>
            </w: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(LOSS) – FOREIGN CURRENCY</w:t>
            </w: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(635,506)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(345,605)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(2,019,349)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0" w:type="dxa"/>
            <w:vAlign w:val="bottom"/>
          </w:tcPr>
          <w:p>
            <w:pPr>
              <w:spacing w:after="0"/>
              <w:rPr>
                <w:sz w:val="1"/>
                <w:szCs w:val="1"/>
                <w:color w:val="auto"/>
              </w:rPr>
            </w:pPr>
          </w:p>
        </w:tc>
      </w:tr>
      <w:tr>
        <w:trPr>
          <w:trHeight w:val="221"/>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1,522,923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2,909,183</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(327,980)</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NTIC</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1,378,740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(841,271)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2,581,203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2025 AND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THREE MONTHS ENDED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28, 2025 AND FEBRUARY 29, 2024</w:t>
            </w:r>
          </w:p>
        </w:tc>
        <w:tc>
          <w:tcPr>
            <w:tcW w:w="9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9,427,598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$22,377,726</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$51,240,015</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(6,516,461)</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$ 3,726,321</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$71,016,153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343,941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343,941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1,701,169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167,359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1,868,528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(345,605)</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29,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9,427,598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$22,721,667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$52,281,250</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(6,838,890)</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$ 3,595,428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$71,948,007</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9,470,507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$23,999,854</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$53,669,366</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(7,645,298)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$ 4,093,717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$74,307,049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334,444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334,444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434,319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168,308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602,627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(573,507)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(635,506)</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9,470,507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$24,334,299</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$53,440,749</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(8,218,805)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$ 4,100,026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$73,845,679</w:t>
            </w:r>
          </w:p>
        </w:tc>
        <w:tc>
          <w:tcPr>
            <w:tcW w:w="0" w:type="dxa"/>
            <w:vAlign w:val="bottom"/>
          </w:tcPr>
          <w:p>
            <w:pPr>
              <w:spacing w:after="0"/>
              <w:rPr>
                <w:sz w:val="1"/>
                <w:szCs w:val="1"/>
                <w:color w:val="auto"/>
              </w:rPr>
            </w:pPr>
          </w:p>
        </w:tc>
      </w:tr>
      <w:tr>
        <w:trPr>
          <w:trHeight w:val="606"/>
        </w:trPr>
        <w:tc>
          <w:tcPr>
            <w:tcW w:w="3240" w:type="dxa"/>
            <w:vAlign w:val="bottom"/>
          </w:tcPr>
          <w:p>
            <w:pPr>
              <w:spacing w:after="0"/>
              <w:rPr>
                <w:sz w:val="24"/>
                <w:szCs w:val="24"/>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SIX MONTHS ENDED FEBRUARY 28,</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2025 AND FEBRUARY 29, 2024</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9,424,102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$21,986,767</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$51,004,426</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(6,823,403)</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$ 4,342,524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$70,698,796</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40,026</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40,096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694,874</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694,874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(1,319,866)</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(1,319,866)</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2,596,690</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356,779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2,953,469</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29, 2024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9,427,598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$22,721,667</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$52,281,250</w:t>
            </w: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(6,838,890)</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$ 3,595,428</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$71,948,007</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9,466,980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$23,615,564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$ 53,771,211</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(6,382,124)</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$ 3,981,330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42,401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42,471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676,334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676,334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(1,325,872)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(1,325,872)</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995,410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401,364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1,396,774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(1,836,681)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(2,019,349)</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9,470,507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$24,334,299</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$53,440,749</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(8,218,805)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$ 4,100,026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$73,845,679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FEBRUARY 28, 2025 AND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Borders>
              <w:bottom w:val="single" w:sz="8" w:color="auto"/>
            </w:tcBorders>
          </w:tcPr>
          <w:p>
            <w:pPr>
              <w:spacing w:after="0"/>
              <w:rPr>
                <w:sz w:val="20"/>
                <w:szCs w:val="20"/>
                <w:color w:val="auto"/>
              </w:rPr>
            </w:pP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2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 29, 2024</w:t>
            </w: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1,396,774</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2,953,469</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676,334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694,874</w:t>
            </w: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518,385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597,403</w:t>
            </w: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306,094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295,226</w:t>
            </w: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23,602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(1,750,323)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(2,280,231)</w:t>
            </w: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2,391,251</w:t>
            </w: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28,088</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3,388,789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196,110</w:t>
            </w: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277,795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68,883</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receivable from joint venture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1,986,027</w:t>
            </w: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(574,666)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(475,514)</w:t>
            </w: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(846,593)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568,467</w:t>
            </w: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(864,893)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(551,739)</w:t>
            </w: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940,604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417,650</w:t>
            </w: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(981,153)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(1,247,746)</w:t>
            </w:r>
          </w:p>
        </w:tc>
      </w:tr>
      <w:tr>
        <w:trPr>
          <w:trHeight w:val="209"/>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3,198,741</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5,643,007</w:t>
            </w: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(709,064)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(1,443,762)</w:t>
            </w:r>
          </w:p>
        </w:tc>
      </w:tr>
      <w:tr>
        <w:trPr>
          <w:trHeight w:val="216"/>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intangibles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(1,891,693)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w:t>
            </w:r>
          </w:p>
        </w:tc>
      </w:tr>
      <w:tr>
        <w:trPr>
          <w:trHeight w:val="209"/>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(2,580,757)</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(1,505,927)</w:t>
            </w: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borrowings (payments) on line of credit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1,063,056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(2,407,355)</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(1,319,866)</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(1,075,076)</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42,471</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40,096</w:t>
            </w:r>
          </w:p>
        </w:tc>
      </w:tr>
      <w:tr>
        <w:trPr>
          <w:trHeight w:val="210"/>
        </w:trPr>
        <w:tc>
          <w:tcPr>
            <w:tcW w:w="75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(320,345)</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(4,762,201)</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53,978</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138,446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(571,143)</w:t>
            </w: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4,952,184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5,406,174</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5,090,630</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4,835,031</w:t>
            </w:r>
          </w:p>
        </w:tc>
      </w:tr>
      <w:tr>
        <w:trPr>
          <w:trHeight w:val="412"/>
        </w:trPr>
        <w:tc>
          <w:tcPr>
            <w:tcW w:w="754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4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2025 and August 31, 2024 and the results of the Company’s operations for the three and six months ended February 28, 2025 and February 29, 2024, the changes in stockholders’ equity for the three and six months ended February 28, 2025 and February 29, 2024, and the Company’s cash flows for the six months ended February 28, 2025 and February 29, 2024, in conformity with accounting principles generally accepted in the United States of America (U.S. GAAP).</w:t>
      </w:r>
    </w:p>
    <w:p>
      <w:pPr>
        <w:spacing w:after="0" w:line="187"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2024.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28, 2025 are not necessarily indicative of the results that may be expected for the full fiscal year ending August 31, 2025.</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These reclassifications had no effect on the reported results of operations. An adjustment has been made to the Consolidated Balance Sheet as of August 31, 2024 and the Consolidated Statements of Cash Flows for the three and six months ended February 29, 2024 to reclassify joint venture trade receivables within trade receivables.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through the date the consolidated financial statements were available to be issued, requiring recording or disclosure in the consolidated financial statements.</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SIGNIFICANT ACCOUNTING POLICIES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February 28, 2025, there have been no new significant accounting policies from those disclosed in the Company’s annual report on Form 10-K for the fiscal year ended August 31, 2024.</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Segment Reporting (Topic 280):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ASU 2023-07 is intended to enhance financial reporting by requiring incremental disclosures for significant segment expenses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by public entities required to report segment information in accordance with Accounting Standards Codification Topic 280. The amendments in ASU 2023-07 are to be applied retrospectively to all periods presented in the financial statements and early adoption is permitted. This standard will be applicable to the Company for the 2025 annual period and quarterly periods thereafter. The Company is evaluating its disclosure approach for ASU 2023-07 and anticipates adopting the standard for the year ended August 31, 2025 and filings thereafter.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new guidance is expected to improve income tax disclosures primarily related to the rate reconciliation and income taxes paid information 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spacing w:after="0" w:line="183"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disaggregation of certain costs in a separate note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such as the amounts of employee compensation, depreciation and intangible asset amortization, included in each relevant expense caption in annual and interim consolidated financial statements. ASU 2024-03 is effective for annual periods beginning after December 15, 2026 and for interim periods beginning after December 15, 2027 on a retrospective or prospective basis, with early adoption permitted. The Company is evaluating the effect that ASU 2024-03 will have on its financial statement disclosures.</w:t>
      </w: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6,561,188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5,513,409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8,423,978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8,877,435</w:t>
            </w: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14,985,166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14,390,844</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900" w:type="dxa"/>
            <w:vAlign w:val="bottom"/>
            <w:gridSpan w:val="2"/>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209"/>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1,238,180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1,238,180</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16,527,616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14,760,250</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in process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3,086,479</w:t>
            </w:r>
          </w:p>
        </w:tc>
      </w:tr>
      <w:tr>
        <w:trPr>
          <w:trHeight w:val="216"/>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7,030,897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7,276,151</w:t>
            </w:r>
          </w:p>
        </w:tc>
      </w:tr>
      <w:tr>
        <w:trPr>
          <w:trHeight w:val="209"/>
        </w:trPr>
        <w:tc>
          <w:tcPr>
            <w:tcW w:w="4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25,273,845</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26,361,060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(10,459,456)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(10,095,407)</w:t>
            </w:r>
          </w:p>
        </w:tc>
      </w:tr>
      <w:tr>
        <w:trPr>
          <w:trHeight w:val="249"/>
        </w:trPr>
        <w:tc>
          <w:tcPr>
            <w:tcW w:w="440" w:type="dxa"/>
            <w:vAlign w:val="bottom"/>
            <w:shd w:val="clear" w:color="auto" w:fill="CCEEFF"/>
          </w:tcPr>
          <w:p>
            <w:pPr>
              <w:spacing w:after="0"/>
              <w:rPr>
                <w:sz w:val="21"/>
                <w:szCs w:val="21"/>
                <w:color w:val="auto"/>
              </w:rPr>
            </w:pPr>
          </w:p>
        </w:tc>
        <w:tc>
          <w:tcPr>
            <w:tcW w:w="7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14,814,389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r>
      <w:tr>
        <w:trPr>
          <w:trHeight w:val="413"/>
        </w:trPr>
        <w:tc>
          <w:tcPr>
            <w:tcW w:w="440" w:type="dxa"/>
            <w:vAlign w:val="bottom"/>
            <w:tcBorders>
              <w:top w:val="single" w:sz="8" w:color="CCEEFF"/>
            </w:tcBorders>
          </w:tcPr>
          <w:p>
            <w:pPr>
              <w:spacing w:after="0"/>
              <w:rPr>
                <w:sz w:val="24"/>
                <w:szCs w:val="24"/>
                <w:color w:val="auto"/>
              </w:rPr>
            </w:pPr>
          </w:p>
        </w:tc>
        <w:tc>
          <w:tcPr>
            <w:tcW w:w="7560" w:type="dxa"/>
            <w:vAlign w:val="bottom"/>
            <w:tcBorders>
              <w:top w:val="single" w:sz="8" w:color="CCEEFF"/>
            </w:tcBorders>
          </w:tcPr>
          <w:p>
            <w:pPr>
              <w:jc w:val="right"/>
              <w:ind w:right="22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10" w:name="page11"/>
    <w:bookmarkEnd w:id="10"/>
    <w:p>
      <w:pPr>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 was $251,230 and $518,385 for the three and six months ended February 28, 2025, respectively, compared to $290,393 and $597,403 for the three and six months ended February 29, 2024, respectively.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Assets in process includes capitalized software costs incurred until the capitalized software is placed in service. Once placed in service, these costs are reclassed to intangible assets, net in the consolidated balance sheet.</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As of February 28,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3,513,941</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(2,912,796)</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601,145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3,490,026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3,199,461</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(1,480,967)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4,866,033</w:t>
            </w:r>
          </w:p>
        </w:tc>
      </w:tr>
      <w:tr>
        <w:trPr>
          <w:trHeight w:val="209"/>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13,350,967</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(4,684,328)</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8,666,639</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-582295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-307975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As of August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3,459,877</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(2,854,532)</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605,345</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(1,269,400)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5,077,600</w:t>
            </w:r>
          </w:p>
        </w:tc>
      </w:tr>
      <w:tr>
        <w:trPr>
          <w:trHeight w:val="210"/>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9,806,877</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(4,123,932)</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5,682,945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580" w:right="339" w:bottom="1440" w:gutter="0" w:footer="0" w:header="0"/>
          <w:type w:val="continuous"/>
        </w:sect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$158,374 and $306,094 for the three and six months ended February 28, 2025, respectively, compared to $147,571 and $295,226 for the three and six months ended February 29,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2025, future amortization expense related to intangible assets for each of the next five fiscal years and thereafter is estimated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512,397</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805,760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770,685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770,685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770,685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5,036,427</w:t>
            </w:r>
          </w:p>
        </w:tc>
      </w:tr>
      <w:tr>
        <w:trPr>
          <w:trHeight w:val="250"/>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8,666,639</w:t>
            </w: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As of February 28, 2025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53,214,235</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24,676,444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28,537,791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62,156,803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31,200,159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30,956,644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11,098,084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1,910,547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9,187,537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464,499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50,594,220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29,289,612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21,304,608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25,041,302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14,644,808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10,396,494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24,096,958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14,613,903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9,483,055</w:t>
            </w:r>
          </w:p>
        </w:tc>
      </w:tr>
      <w:tr>
        <w:trPr>
          <w:trHeight w:val="432"/>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Three Months Ended February 28, 2025</w:t>
            </w:r>
          </w:p>
        </w:tc>
      </w:tr>
      <w:tr>
        <w:trPr>
          <w:trHeight w:val="209"/>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19,799,875</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6,904,045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12,895,830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8,241,116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3,598,163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4,642,953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520,787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699,183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352,479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680,737</w:t>
            </w:r>
          </w:p>
        </w:tc>
      </w:tr>
      <w:tr>
        <w:trPr>
          <w:trHeight w:val="432"/>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0"/>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 February 28, 2025</w:t>
            </w:r>
          </w:p>
        </w:tc>
      </w:tr>
      <w:tr>
        <w:trPr>
          <w:trHeight w:val="209"/>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43,636,885</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15,642,859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27,994,026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18,556,399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8,355,849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10,200,550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3,479,157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1,768,287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1,710,870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892,001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858,322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680,737</w:t>
            </w:r>
          </w:p>
        </w:tc>
      </w:tr>
      <w:tr>
        <w:trPr>
          <w:trHeight w:val="410"/>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August 31,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56,420,503</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26,234,664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30,185,839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64,183,071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31,513,288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32,669,783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12,553,716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2,221,726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10,331,990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323,199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29,291,562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22,014,594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25,397,287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14,645,783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10,751,504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23,645,685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14,614,878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9,030,807</w:t>
            </w:r>
          </w:p>
        </w:tc>
      </w:tr>
      <w:tr>
        <w:trPr>
          <w:trHeight w:val="432"/>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Three Months Ended February 29, 2024</w:t>
            </w:r>
          </w:p>
        </w:tc>
      </w:tr>
      <w:tr>
        <w:trPr>
          <w:trHeight w:val="210"/>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23,479,980</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9,163,636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14,316,344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10,139,080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4,829,931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5,309,149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2,353,152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1,378,844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974,308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690,882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487,109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2,020,147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1,624,950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395,197</w:t>
            </w:r>
          </w:p>
        </w:tc>
      </w:tr>
      <w:tr>
        <w:trPr>
          <w:trHeight w:val="432"/>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0"/>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Six Months Ended February 29, 2024</w:t>
            </w:r>
          </w:p>
        </w:tc>
      </w:tr>
      <w:tr>
        <w:trPr>
          <w:trHeight w:val="210"/>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47,040,641</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17,584,596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29,456,045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20,242,880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9,205,006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11,037,874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2,405,751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2,151,883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1,204,335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1,075,896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2,391,251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1,624,950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766,301</w:t>
            </w:r>
          </w:p>
        </w:tc>
      </w:tr>
      <w:tr>
        <w:trPr>
          <w:trHeight w:val="432"/>
        </w:trPr>
        <w:tc>
          <w:tcPr>
            <w:tcW w:w="4740" w:type="dxa"/>
            <w:vAlign w:val="bottom"/>
          </w:tcPr>
          <w:p>
            <w:pPr>
              <w:spacing w:after="0"/>
              <w:rPr>
                <w:sz w:val="24"/>
                <w:szCs w:val="24"/>
                <w:color w:val="auto"/>
              </w:rPr>
            </w:pPr>
          </w:p>
        </w:tc>
        <w:tc>
          <w:tcPr>
            <w:tcW w:w="15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provided the Company with a senior secured revolving line of credit (the Credit Facility) of up to $10.0 million, which included a $5.0 million sublimit for standby letters of credit. Borrowings of $5,354,664 and $4,291,608 were outstanding under the Credit Facility as of February 28, 2025 and August 31, 2024, respectively. The Company was in compliance with all covenants under the Credit Agreement as of February 28, 2025.</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6, 2025, the Company and JPM entered into an amendment to the Credit Agreement to extend the maturity date of the Credit Facility from January 6, 2025 to January 5, 2026, reduce the availability under the Credit Facility from $10.0 million to $8.0 million and increase the applicable margin for Adjusted SOFR Rate (as defined below) advances from 2.15% to 2.35%. All other material terms of the Credit Facility and the Credit Agreement remain the same.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amount under the Credit Facility, together with all accrued unpaid interest and other amounts owing thereunder, if any, will be payable in full on the January 5, 2026 maturity date, unless the Credit Facility is extended or renewed or terminated earlier.</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2.35% applied per annum. There is no applicable margin with respect to borrowings using a CB Floating Rate. The weighted average interest rate was 6.76% and 7.44% for the six months ended February 28, 2025 and February 29, 2024, respectively.</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 in collateral made up of the assets of the Company.</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13" w:name="page14"/>
    <w:bookmarkEnd w:id="13"/>
    <w:p>
      <w:pPr>
        <w:ind w:right="80"/>
        <w:spacing w:after="0" w:line="256" w:lineRule="auto"/>
        <w:rPr>
          <w:sz w:val="20"/>
          <w:szCs w:val="20"/>
          <w:color w:val="auto"/>
        </w:rPr>
      </w:pPr>
      <w:r>
        <w:rPr>
          <w:rFonts w:ascii="Times New Roman" w:cs="Times New Roman" w:eastAsia="Times New Roman" w:hAnsi="Times New Roman"/>
          <w:sz w:val="18"/>
          <w:szCs w:val="18"/>
          <w:color w:val="auto"/>
        </w:rPr>
        <w:t>On each of April 10, 2023 and May 30, 2023, the Company’s wholly owned subsidiary in China, NTIC China, entered into a loan agreement with China Construction Bank Corporation. Each term loan provided NTIC China with a RMB 10,000,000 (USD $1.45 million). The term loans mature in April 2025 and June 2025, respectively, unless extended. Both term loans have an annual interest rate of 3.25% with interest due monthly. Both term loans are secured by an office building owned by NTIC China and the loan agreements contain certain financial and other covenants. The Company was in compliance with the covenants as of February 28, 2025. The current outstanding balance for both term loans was USD $2,746,121 as of February 28, 2025 and USD $2,820,835 as of August 31, 2024.</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2025,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16, 2024</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30,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2024</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2025</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29, 2025</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2025</w:t>
            </w:r>
          </w:p>
        </w:tc>
      </w:tr>
    </w:tbl>
    <w:p>
      <w:pPr>
        <w:spacing w:after="0" w:line="179"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29, 2024,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February 28, 2025 and February 29, 2024, the Company repurchased no shares of its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3,527 and 3,496 shares of common stock on September 1, 2024 and 2023, respectively, under the Northern Technologies International Corporation Employee Stock Purchase Plan (ESPP). The ESPP is compensatory for financial reporting purposes. As of February 28, 2025, 51,727 shares of common stock remained available for sale under the ESPP.</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and the settlement of restricted stock units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six months ended February 28, 2025 and February 29,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434,319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1,701,169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995,410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2,596,690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9,470,507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9,427,598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9,474,034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9,427,588</w:t>
            </w:r>
          </w:p>
        </w:tc>
        <w:tc>
          <w:tcPr>
            <w:tcW w:w="0" w:type="dxa"/>
            <w:vAlign w:val="bottom"/>
          </w:tcPr>
          <w:p>
            <w:pPr>
              <w:spacing w:after="0"/>
              <w:rPr>
                <w:sz w:val="1"/>
                <w:szCs w:val="1"/>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shares assumed upon exercise of stock options and settlement of</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282,930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296,073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283,316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287,533</w:t>
            </w: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9,753,437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9,723,671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9,757,350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9,715,121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ind w:right="80"/>
        <w:spacing w:after="0" w:line="255"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and restricted stock units are included as equivalents using the treasury stock market method when computing the diluted net income per share. Excluded from the computation of diluted net income per share for the three and six months ended February 28, 2025 were options outstanding to purchase 756,661 shares of common stock. Excluded from the computation of diluted net income per share for the three and six months ended February 29, 2024, were options outstanding to purchase 580,869 shares of common stock.</w:t>
      </w:r>
    </w:p>
    <w:p>
      <w:pPr>
        <w:spacing w:after="0" w:line="200" w:lineRule="exact"/>
        <w:rPr>
          <w:sz w:val="20"/>
          <w:szCs w:val="20"/>
          <w:color w:val="auto"/>
        </w:rPr>
      </w:pPr>
    </w:p>
    <w:p>
      <w:pPr>
        <w:spacing w:after="0" w:line="228"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2024 Stock Incentive Plan (2024 Plan), the Northern Technologies International Corporation Amended and Restated 2019 Stock Incentive Plan and the Northern Technologies International Corporation Amended and Restated 2007 Stock Incentive Plan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5680" w:type="dxa"/>
            <w:vAlign w:val="bottom"/>
          </w:tcPr>
          <w:p>
            <w:pPr>
              <w:spacing w:after="0"/>
              <w:rPr>
                <w:sz w:val="20"/>
                <w:szCs w:val="20"/>
                <w:color w:val="auto"/>
              </w:rPr>
            </w:pPr>
          </w:p>
        </w:tc>
        <w:tc>
          <w:tcPr>
            <w:tcW w:w="1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February 28,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0"/>
        </w:trPr>
        <w:tc>
          <w:tcPr>
            <w:tcW w:w="5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six months ended February 28, 2025 and February 29, 2024 was $4.95 and $5.04, respectively. The weighted average remaining contractual life of the options outstanding as of February 28, 2025 and February 29, 2024 was 6.03 years and 6.31 years, respectively.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recognized stock option compensation expense of $602,821 and $694,874 during the six months ended February 28, 2025 and February 29, 2024, respectively. As of February 28, 2025, there was $1,618,997 of unrecognized stock option compensation expense. The amount is expected to be recognized over a period of 2.5 years.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Restricted stock units were granted under the 2024 Plan on September 1, 2024 to certain non-employee directors during the six months ended February 28, 2025 and vest in full on the one-year anniversary of the date of grant. A summary of restricted stock unit activity for the six months ended February 28, 2025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6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56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Vested/Settled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February 28,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bl>
    <w:p>
      <w:pPr>
        <w:spacing w:after="0" w:line="1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Restricted stock units are valued using the closing stock price on the grant date. The Company recognizes the grant date fair value of the restricted stock units over the vesting term, or one year. For the six months ended February 28, 2025, the Company recognized $73,513 in stock-based compensation expense. As of February 28, 2025, there is an unrecognized stock-based compensation expense of $75,138, which is expected to be recognized over 0.50 years.</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six months ended February 28, 2025 and February 29, 2024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14,112,017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15,218,095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29,587,820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30,623,840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4,960,049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5,624,443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10,822,639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10,400,373</w:t>
            </w:r>
          </w:p>
        </w:tc>
      </w:tr>
      <w:tr>
        <w:trPr>
          <w:trHeight w:val="250"/>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19,072,066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20,842,538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40,410,459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41,024,213</w:t>
            </w:r>
          </w:p>
        </w:tc>
      </w:tr>
      <w:tr>
        <w:trPr>
          <w:trHeight w:val="413"/>
        </w:trPr>
        <w:tc>
          <w:tcPr>
            <w:tcW w:w="354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six months ended February 28, 2025 and February 29, 2024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87"/>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February</w:t>
            </w:r>
          </w:p>
        </w:tc>
        <w:tc>
          <w:tcPr>
            <w:tcW w:w="120" w:type="dxa"/>
            <w:vAlign w:val="bottom"/>
          </w:tcPr>
          <w:p>
            <w:pPr>
              <w:spacing w:after="0"/>
              <w:rPr>
                <w:sz w:val="18"/>
                <w:szCs w:val="18"/>
                <w:color w:val="auto"/>
              </w:rPr>
            </w:pPr>
          </w:p>
        </w:tc>
        <w:tc>
          <w:tcPr>
            <w:tcW w:w="12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February</w:t>
            </w:r>
          </w:p>
        </w:tc>
        <w:tc>
          <w:tcPr>
            <w:tcW w:w="12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r>
      <w:tr>
        <w:trPr>
          <w:trHeight w:val="238"/>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28, 2025</w:t>
            </w:r>
          </w:p>
        </w:tc>
        <w:tc>
          <w:tcPr>
            <w:tcW w:w="120" w:type="dxa"/>
            <w:vAlign w:val="bottom"/>
          </w:tcPr>
          <w:p>
            <w:pPr>
              <w:spacing w:after="0"/>
              <w:rPr>
                <w:sz w:val="20"/>
                <w:szCs w:val="20"/>
                <w:color w:val="auto"/>
              </w:rPr>
            </w:pPr>
          </w:p>
        </w:tc>
        <w:tc>
          <w:tcPr>
            <w:tcW w:w="12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29, 2024</w:t>
            </w:r>
          </w:p>
        </w:tc>
        <w:tc>
          <w:tcPr>
            <w:tcW w:w="1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28, 2025</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29, 2024</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209"/>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8,096,177</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8,082,163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$16,774,883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$16,826,187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3,237,854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3,568,719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6,927,037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6,797,302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942,451</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852,492</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1,750,002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1,727,286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12,276,482</w:t>
            </w: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12,503,374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25,451,922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25,350,775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500" w:right="340" w:hanging="492"/>
        <w:spacing w:after="0" w:line="26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product sales is calculated by dividing the direct cost of goods sold for each individual segment category by the net sales for each segment category.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six months ended February 28, 2025 and February 29,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 to unaffiliated customers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6,668,183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6,840,855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14,150,801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14,073,236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 to:</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545,484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611,926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1,172,245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1,463,377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11,858,399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13,389,757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25,087,413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25,487,600</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19,072,066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20,842,538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40,410,459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41,024,213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right="1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six months ended February 28, 2025 and February 29,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87"/>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Services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r>
      <w:tr>
        <w:trPr>
          <w:trHeight w:val="238"/>
        </w:trPr>
        <w:tc>
          <w:tcPr>
            <w:tcW w:w="4600" w:type="dxa"/>
            <w:vAlign w:val="bottom"/>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20" w:type="dxa"/>
            <w:vAlign w:val="bottom"/>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201,728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206,740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185,499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217,786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122,548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111,995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96,133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102,984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86,721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90,264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70,040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195,176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69,923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95,748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68,804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61,340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84,789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27,320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63,381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80,207</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79,095</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8"/>
        </w:trPr>
        <w:tc>
          <w:tcPr>
            <w:tcW w:w="46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1,070,263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1,303,059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4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87"/>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Services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4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r>
      <w:tr>
        <w:trPr>
          <w:trHeight w:val="238"/>
        </w:trPr>
        <w:tc>
          <w:tcPr>
            <w:tcW w:w="4600" w:type="dxa"/>
            <w:vAlign w:val="bottom"/>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20" w:type="dxa"/>
            <w:vAlign w:val="bottom"/>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29, 2024</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408,056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412,383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405,510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415,803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271,086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248,076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201,382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185,029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118,251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180,886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169,702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163,061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213,520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149,104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317,142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133,972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162,601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95,021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138,338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161,275</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156,710</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8"/>
        </w:trPr>
        <w:tc>
          <w:tcPr>
            <w:tcW w:w="46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2,354,382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2,552,018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9"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31, 2024</w:t>
            </w:r>
          </w:p>
        </w:tc>
      </w:tr>
      <w:tr>
        <w:trPr>
          <w:trHeight w:val="191"/>
        </w:trPr>
        <w:tc>
          <w:tcPr>
            <w:tcW w:w="3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5,359,435</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5,627,202</w:t>
            </w:r>
          </w:p>
        </w:tc>
      </w:tr>
      <w:tr>
        <w:trPr>
          <w:trHeight w:val="216"/>
        </w:trPr>
        <w:tc>
          <w:tcPr>
            <w:tcW w:w="3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1,217,400</w:t>
            </w:r>
          </w:p>
        </w:tc>
      </w:tr>
      <w:tr>
        <w:trPr>
          <w:trHeight w:val="234"/>
        </w:trPr>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8,275,495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9,421,051</w:t>
            </w:r>
          </w:p>
        </w:tc>
      </w:tr>
      <w:tr>
        <w:trPr>
          <w:trHeight w:val="210"/>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14,814,389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16,265,653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20" w:space="360"/>
            <w:col w:w="4460"/>
          </w:cols>
          <w:pgMar w:left="320" w:top="796" w:right="339" w:bottom="1440" w:gutter="0" w:footer="0" w:header="0"/>
          <w:type w:val="continuous"/>
        </w:sectPr>
      </w:pPr>
    </w:p>
    <w:bookmarkStart w:id="18" w:name="page19"/>
    <w:bookmarkEnd w:id="18"/>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29, 2024</w:t>
            </w: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3,735,100</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3,455,846</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1,515,680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1,326,867</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4,870,068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5,406,404</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2,283,035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3,812,566</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6,668,183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6,840,855</w:t>
            </w:r>
          </w:p>
        </w:tc>
      </w:tr>
      <w:tr>
        <w:trPr>
          <w:trHeight w:val="210"/>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19,072,066</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20,842,538</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6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1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29, 2024</w:t>
            </w: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7,729,869</w:t>
            </w:r>
          </w:p>
        </w:tc>
        <w:tc>
          <w:tcPr>
            <w:tcW w:w="7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7,134,369</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2,900,874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2,856,490</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10,915,803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10,586,795</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4,713,112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6,373,323</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14,150,801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14,073,236</w:t>
            </w:r>
          </w:p>
        </w:tc>
      </w:tr>
      <w:tr>
        <w:trPr>
          <w:trHeight w:val="209"/>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40,410,459</w:t>
            </w:r>
          </w:p>
        </w:tc>
        <w:tc>
          <w:tcPr>
            <w:tcW w:w="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41,024,213</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2025,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3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3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139,155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77,758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259,375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188,896</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368,197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816,068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612,991</w:t>
            </w:r>
          </w:p>
        </w:tc>
      </w:tr>
      <w:tr>
        <w:trPr>
          <w:trHeight w:val="441"/>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six months ended February 28, 2025 was $275,197 and $493,068, respectively, compared to $289,195 and $515,991, respectively, for the three and six months ended February 29, 2024. The expense was largely due to foreign operations. The Company has federal and state tax credit carry forwards, net operating loss carry forwards and foreign tax carry forwards. The Company has recorded a full valuation allowance against the U.S. deferred tax assets as of February 28, 2025 and August 31, 2024.</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RETENTION CREDIT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three months ended February 28, 2025, the Company received $1,139,756 in cash as a result of Employee Retention Credits (ERC), which are refundable tax credits against certain employment taxes initially made available under the Coronavirus Aid, Relief, and Economic Security Act. The ERC was received in cash and was claimed under the suspension test criteria based on the Company’s determination that it met the eligibility requirements. In accordance with the Company’s accounting policy, the ERC payments have been recognized as Other Income in the period in which the cash was received, as the Company determined that all relevant criteria for recognition had been met. The ERC represents a one-time benefit and does not constitute recurring operational revenue.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the Company earned $181,529 in interest income related to the ERC payments, which was recorded as Interest Income for the period. The ERC payments of $1,139,756 are recorded as Other Income in the condensed consolidated statements of operations, while the interest income of $181,529 is recorded separately under Interest Income in the condensed consolidated statements of operations. The Company will continue to monitor any developments related to the ERC and its accounting treatment in accordance with applicable regulations and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0" w:name="page21"/>
    <w:bookmarkEnd w:id="2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 owned subsidiary in China, NTIC (Shanghai) Co., Ltd. (NTIC China), its wholly owned subsidiary in India, HNTI Limited (Zerust India), its majority-owned joint venture holding company for NTIC’s joint venture investments in the Association of Southeast Asian Nations (ASEAN) region, NTI Asean LLC (NTI Asean),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 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and six months ended February 28, 2025 include the following, with increases or decreases in each case as compared to the respective prior fiscal year period:</w:t>
      </w:r>
    </w:p>
    <w:p>
      <w:pPr>
        <w:spacing w:after="0" w:line="162" w:lineRule="exact"/>
        <w:rPr>
          <w:sz w:val="20"/>
          <w:szCs w:val="20"/>
          <w:color w:val="auto"/>
        </w:rPr>
      </w:pPr>
    </w:p>
    <w:p>
      <w:pPr>
        <w:ind w:left="500" w:right="60" w:hanging="330"/>
        <w:spacing w:after="0" w:line="258"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decreased 8.5% and 1.5% during the three and six months ended February 28, 2025, respectively, compared to the three and six months ended February 29, 2024 primarily due to decreased sales and demand for ZERUST® products, partially offset by an increase in sales of Natur-Tec® products during the six months ended February 28, 2025. During the six months ended February 28, 2025, 73.2% of NTIC’s consolidated net sales were derived from sales of ZERUST® products and services and 26.8% of NTIC’s consolidated net sales were derived from sales of Natur-Tec® products.</w:t>
      </w:r>
    </w:p>
    <w:p>
      <w:pPr>
        <w:spacing w:after="0" w:line="183" w:lineRule="exact"/>
        <w:rPr>
          <w:rFonts w:ascii="Times New Roman" w:cs="Times New Roman" w:eastAsia="Times New Roman" w:hAnsi="Times New Roman"/>
          <w:sz w:val="18"/>
          <w:szCs w:val="18"/>
          <w:color w:val="auto"/>
        </w:rPr>
      </w:pPr>
    </w:p>
    <w:p>
      <w:pPr>
        <w:jc w:val="both"/>
        <w:ind w:left="500" w:right="20" w:hanging="330"/>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increased to 64.4% during the three months ended February 28, 2025, compared to 60.0% during the three months ended February 29, 2024, and increased to 63.0% during the six months ended February 28, 2025, compared to 61.8% during the prior fiscal year period primarily as a result of higher raw material prices during the current fiscal year periods.</w:t>
      </w:r>
    </w:p>
    <w:p>
      <w:pPr>
        <w:spacing w:after="0" w:line="175" w:lineRule="exact"/>
        <w:rPr>
          <w:rFonts w:ascii="Times New Roman" w:cs="Times New Roman" w:eastAsia="Times New Roman" w:hAnsi="Times New Roman"/>
          <w:sz w:val="18"/>
          <w:szCs w:val="18"/>
          <w:color w:val="auto"/>
        </w:rPr>
      </w:pPr>
    </w:p>
    <w:p>
      <w:pPr>
        <w:ind w:left="500" w:hanging="330"/>
        <w:spacing w:after="0" w:line="270" w:lineRule="auto"/>
        <w:tabs>
          <w:tab w:leader="none" w:pos="5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total joint venture operations decreased 31.8% and 15.1% to $1,690,993 and $4,104,705 during the three and six months ended February 28, 2025, respectively, compared to $2,481,049 and $4,832,248 during the three and six months ended February 28, 2025, respectively. These decreases were primarily due to decreases in equity in income from joint ventures and fees for services provided to joint ventures, both of which were driven primarily by decreased sales at most joint ventures. Net sales at the joint ventures, which are not consolidated with NTIC’s net sales, decreased</w:t>
      </w:r>
    </w:p>
    <w:p>
      <w:pPr>
        <w:spacing w:after="0" w:line="2" w:lineRule="exact"/>
        <w:rPr>
          <w:rFonts w:ascii="Times New Roman" w:cs="Times New Roman" w:eastAsia="Times New Roman" w:hAnsi="Times New Roman"/>
          <w:sz w:val="17"/>
          <w:szCs w:val="17"/>
          <w:color w:val="auto"/>
        </w:rPr>
      </w:pPr>
    </w:p>
    <w:p>
      <w:pPr>
        <w:ind w:left="500"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15.7% and 7.2% to $19,799,875 and $43,636,885 during the three and six months ended February 28, 2025, respectively, compared to $23,479,980 and $47,040,641 during the three and six months ended February 29, 2024, respectively.</w:t>
      </w:r>
    </w:p>
    <w:p>
      <w:pPr>
        <w:spacing w:after="0" w:line="181" w:lineRule="exact"/>
        <w:rPr>
          <w:rFonts w:ascii="Times New Roman" w:cs="Times New Roman" w:eastAsia="Times New Roman" w:hAnsi="Times New Roman"/>
          <w:sz w:val="17"/>
          <w:szCs w:val="17"/>
          <w:color w:val="auto"/>
        </w:rPr>
      </w:pPr>
    </w:p>
    <w:p>
      <w:pPr>
        <w:ind w:left="500" w:hanging="330"/>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2.4% and 8.1% to $8,819,510 and $18,289,504 during the three and six months ended February 28, 2025, respectively, compared to $8,613,942 and $16,922,982 for the three and six months ended February 29, 2024, respectively. These increases were primarily due to strategic investments in ZERUST® oil and gas sales infrastructure and, to a lesser extent, increased personnel expenses, including as a result of new hires and increased benefits, and increased travel and professional fees.</w:t>
      </w:r>
    </w:p>
    <w:p>
      <w:pPr>
        <w:spacing w:after="0" w:line="179" w:lineRule="exact"/>
        <w:rPr>
          <w:rFonts w:ascii="Times New Roman" w:cs="Times New Roman" w:eastAsia="Times New Roman" w:hAnsi="Times New Roman"/>
          <w:sz w:val="18"/>
          <w:szCs w:val="18"/>
          <w:color w:val="auto"/>
        </w:rPr>
      </w:pPr>
    </w:p>
    <w:p>
      <w:pPr>
        <w:ind w:left="500" w:right="20" w:hanging="330"/>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earned net income attributable to NTIC of $434,319, or $0.04 per diluted common share, for the three months ended February 28, 2025, compared to $1,701,169, or $0.17 per diluted common share, for the three months ended February 29, 2024. NTIC earned net income attributable to NTIC of $995,410 or $0.10 per diluted common share, for the six months ended February 28, 2025, compared to $2,596,690, or $0.27 per diluted common share, for the six months ended February 29, 2024.</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six months ended February 28, 2025 and February 29,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19,072,066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20,842,538</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(1,770,472)</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12,276,482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12,503,374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(226,892)</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620,730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1,177,990</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(557,260)</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1,070,263</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1,303,059</w:t>
            </w:r>
          </w:p>
        </w:tc>
        <w:tc>
          <w:tcPr>
            <w:tcW w:w="1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(232,796)</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3,872,028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4,134,894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(262,866)</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3,658,583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3,236,792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1,288,899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1,242,256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46,643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40,410,459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41,024,213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(613,754)</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25,451,922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25,350,775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1,750,323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2,280,231</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(529,908)</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2,354,382</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2,552,017</w:t>
            </w:r>
          </w:p>
        </w:tc>
        <w:tc>
          <w:tcPr>
            <w:tcW w:w="1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(197,635)</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8,139,682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7,820,952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318,730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7,517,526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6,753,853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763,673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2,632,296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2,348,177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284,119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9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decreased 8.5% and 1.5% to $19,072,066 and $40,410,459 during the three and six months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compared to the three and six months ended February 29, 2024. These decreases were primarily due to decreased sales and demand for ZERUST® products, partially offset by an increase in sales of Natur-Tec® products during the six months ended February 28,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six months ended February 28, 2025 and February 29,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2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14,112,017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15,218,095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29,587,820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30,623,840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4,960,049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5,624,443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10,822,639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10,400,373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19,072,066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20,842,538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40,410,459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41,024,213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February 28, 2025, 74.0% and 73.2% of NTIC’s consolidated net sales, respectively, were derived from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products and services, which decreased 7.3% and 3.4% to $14,112,017 and $29,587,820, respectively, compared to $15,218,095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$30,623,840 during the three and six months ended February 29, 2024, respectively. These decreases were primarily a result of decreased demand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oil and gas products, and to a lesser extent, ZERUST® industrial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six months ended February 28, 2025 and February 29,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jc w:val="center"/>
              <w:ind w:right="3690"/>
              <w:spacing w:after="0"/>
              <w:rPr>
                <w:sz w:val="20"/>
                <w:szCs w:val="20"/>
                <w:color w:val="auto"/>
              </w:rPr>
            </w:pPr>
            <w:r>
              <w:rPr>
                <w:rFonts w:ascii="Times New Roman" w:cs="Times New Roman" w:eastAsia="Times New Roman" w:hAnsi="Times New Roman"/>
                <w:sz w:val="18"/>
                <w:szCs w:val="18"/>
                <w:color w:val="auto"/>
                <w:w w:val="99"/>
              </w:rPr>
              <w:t>ZERUST® industrial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12,562,853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13,050,767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98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ZERUST® oil &amp; gas net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1,549,164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2,167,328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5980" w:type="dxa"/>
            <w:vAlign w:val="bottom"/>
            <w:shd w:val="clear" w:color="auto" w:fill="CCEEFF"/>
          </w:tcPr>
          <w:p>
            <w:pPr>
              <w:jc w:val="center"/>
              <w:ind w:right="3650"/>
              <w:spacing w:after="0"/>
              <w:rPr>
                <w:sz w:val="20"/>
                <w:szCs w:val="20"/>
                <w:color w:val="auto"/>
              </w:rPr>
            </w:pPr>
            <w:r>
              <w:rPr>
                <w:rFonts w:ascii="Times New Roman" w:cs="Times New Roman" w:eastAsia="Times New Roman" w:hAnsi="Times New Roman"/>
                <w:sz w:val="18"/>
                <w:szCs w:val="18"/>
                <w:color w:val="auto"/>
                <w:w w:val="98"/>
              </w:rPr>
              <w:t>Total 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14,112,017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15,218,095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(1,106,078)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jc w:val="center"/>
              <w:ind w:right="3690"/>
              <w:spacing w:after="0"/>
              <w:rPr>
                <w:sz w:val="20"/>
                <w:szCs w:val="20"/>
                <w:color w:val="auto"/>
              </w:rPr>
            </w:pPr>
            <w:r>
              <w:rPr>
                <w:rFonts w:ascii="Times New Roman" w:cs="Times New Roman" w:eastAsia="Times New Roman" w:hAnsi="Times New Roman"/>
                <w:sz w:val="18"/>
                <w:szCs w:val="18"/>
                <w:color w:val="auto"/>
                <w:w w:val="99"/>
              </w:rPr>
              <w:t>ZERUST® industrial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26,525,105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26,954,198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ZERUST® oil &amp; gas net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3,062,715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3,669,642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980" w:type="dxa"/>
            <w:vAlign w:val="bottom"/>
            <w:shd w:val="clear" w:color="auto" w:fill="CCEEFF"/>
          </w:tcPr>
          <w:p>
            <w:pPr>
              <w:jc w:val="center"/>
              <w:ind w:right="3650"/>
              <w:spacing w:after="0"/>
              <w:rPr>
                <w:sz w:val="20"/>
                <w:szCs w:val="20"/>
                <w:color w:val="auto"/>
              </w:rPr>
            </w:pPr>
            <w:r>
              <w:rPr>
                <w:rFonts w:ascii="Times New Roman" w:cs="Times New Roman" w:eastAsia="Times New Roman" w:hAnsi="Times New Roman"/>
                <w:sz w:val="18"/>
                <w:szCs w:val="18"/>
                <w:color w:val="auto"/>
                <w:w w:val="98"/>
              </w:rPr>
              <w:t>Total 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29,587,820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30,623,840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ZERUST® industrial net sales decreased 3.7% and 1.6% during the three and six months ended February 28, 2025, respectively compared to the same prior fiscal year periods, primarily due to decreased demand for North American ZERUST® industrial products. Overall, demand for ZERUST® products and services depends heavily on the overall health of the markets in which NTIC sells its products, including the automotive, construction, agriculture, and mining markets in particular.</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ZERUST® oil and gas net sales decreased 28.5% and 16.5% during the three and six months ended February 28, 2025, respectively, compared to the same prior fiscal year periods primarily due to decreased demand.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February 28, 2025, 26.0% and 26.8% of NTIC’s consolidated net sales, respectively, were derived from sales of Natur-Tec® products, compared to 27.0% and 25.4% during the three and six months ended February 29, 2024, respectively. Sales of Natur-Tec® products decreased 11.8% to $4,960,049 during the three months ended February 28, 2025 compared to $5,624,443 during the three months ended February 29, 2024. Sales of Natur-Tec® products increased 4.1% to $10,822,639 during the six months ended February 28, 2025 compared to $10,400,373 during the six months ended February 29, 2024. The decrease for the three-month comparison was primarily due to a combination of timing and seasonal variations in demand in Asia, and a temporary reduction in shipments to a major resin customer due to onetime tooling changes. The increase for the six-month comparison was primarily due to higher demand for apparel packaging from major brands in India, and the launch of new customer applications.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decreased 1.8% and increased 0.4% for the three and six months ended February 28, 2025, respectively,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and six months ended February 29, 2024 primarily as a result of the fluctuations in corresponding sales. Cost of goods sold as a percentage of net sales increased to 64.4% and 63.0% for the three and six months ended February 28, 2025, respectively, compared to 60.0% and 61.8% for the three and six months ended February 29, 2024, respectively, primarily due to higher raw material prices overall.</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decreased 47.3% and 23.2% to $620,730 and $1,750,323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2025, respectively, compared to $1,177,990 and $2,280,231 during the three and six months ended February 29, 2024, respectively. NTIC’s equity in income from joint ventures fluctuates based on the net sales and profitability of its joint ventures during the respective periods. Of the total equity in income from joint ventures, NTIC had equity in income from joint ventures of $892,001 attributable to EXCOR during the six months ended February 28, 2025, compared to $1,204,335 attributable to EXCOR during the six months ended February 29, 2024. This decrease was due to a decrease in net sales by EXCOR compared to the same prior year fiscal period. NTIC had equity in income from all other joint ventures of $858,322 during the six months ended February 28, 2025, compared to $1,075,896 during the six months ended February 29, 2024.</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$1,070,263 and $2,354,382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2025, respectively, compared to $1,303,059 and $2,552,017 during the three and six months ended February 29, 2024, respectively, representing decreases of 17.9% and 7.7%, respectively.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during the three and six months ended February 28, 2025, specifically EXCOR. Net sales at the joint ventures decreased 15.7% and 7.2% to $19,799,875 and $43,636,885 during the three and six months ended February 28, 2025, respectively, compared to $23,479,980 and $47,040,641 during the three and six months ended February 29, 2024, respectively. These decreases were primarily a result of decreased demand during the current fiscal year periods at NTIC’s joint venture in Germany primarily, as described above. Net sales of NTIC’s joint ventures are not included in NTIC’s product sales and are not included in NTIC’s consolidated financial statements. Of the total fee income for services provided to joint ventures, fees of $408,056 were attributable to EXCOR during the six months ended February 28, 2025, compared to fees of $412,383 attributable to EXCOR during the six months ended February 29, 2024.</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 w:name="page26"/>
    <w:bookmarkEnd w:id="25"/>
    <w:p>
      <w:pPr>
        <w:spacing w:after="0" w:line="275" w:lineRule="auto"/>
        <w:rPr>
          <w:sz w:val="20"/>
          <w:szCs w:val="20"/>
          <w:color w:val="auto"/>
        </w:rPr>
      </w:pPr>
      <w:r>
        <w:rPr>
          <w:rFonts w:ascii="Times New Roman" w:cs="Times New Roman" w:eastAsia="Times New Roman" w:hAnsi="Times New Roman"/>
          <w:sz w:val="17"/>
          <w:szCs w:val="17"/>
          <w:i w:val="1"/>
          <w:iCs w:val="1"/>
          <w:color w:val="auto"/>
        </w:rPr>
        <w:t>Selling Expenses</w:t>
      </w:r>
      <w:r>
        <w:rPr>
          <w:rFonts w:ascii="Times New Roman" w:cs="Times New Roman" w:eastAsia="Times New Roman" w:hAnsi="Times New Roman"/>
          <w:sz w:val="17"/>
          <w:szCs w:val="17"/>
          <w:color w:val="auto"/>
        </w:rPr>
        <w:t>. NTIC’s selling expenses decreased 6.4% during the three months ended February 28, 2025 compared to the same prior fiscal year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increased 4.1% during the six months ended February 28, 2025 compared to the same prior fiscal year period. The decrease for the three-month comparison was due primarily to cost savings initiatives put in place in North America and at various subsidiaries. The increase for the six-month comparison was due primarily to increased personnel expense in the current fiscal year period as a result of an expansion in the ZERUST® oil and gas sales team. As a percentage of net sales, selling expenses increased to 20.3% and 20.1% for the three and six months ended February 28, 2025, respectively, from 19.7% and 19.1% for the three and six months ended February 29, 2024, respectively, due primarily to decreased net sales, as described above.</w:t>
      </w:r>
    </w:p>
    <w:p>
      <w:pPr>
        <w:spacing w:after="0" w:line="1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13.0% and 11.3%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2025, respectively, compared to the same respective periods in fiscal 2024 due primarily to increased professional services and travel and personnel expenses during the current fiscal year periods compared to the same prior fiscal year periods. As a percentage of net sales, general and administrative expenses increased to 19.2% and 18.6% for the three and six months ended February 28, 2025, respectively, from 15.5% and 16.5% for the same respective periods in fiscal 2024 primarily due to increased general and administrative expenses and decreased net sales, as described above.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3.8% and 12.1%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2025, respectively, compared to the same respective periods in fiscal 2024 primarily due to continued investment in new product development. As these initiatives transition into commercialization, the costs will shift from research and development expenses to selling expenses, reflecting our advancement toward bringing these innovations to market.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$210,156 and $235,723 during the three and six months ended February 28, 2025,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$29,210 and $75,652 during the three and six months ended February 29, 2024, respectively, primarily due to $181,529 in interest income earned on delayed IRS payments related to Employee Retention Credit (ERC) claims, as described in Note 16 to NTIC’s consolidated financial statements, and changes in the invested cash balances and rate of return at various subsidiaries.</w:t>
      </w:r>
    </w:p>
    <w:p>
      <w:pPr>
        <w:spacing w:after="0" w:line="18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$139,155 and $259,375 during the three and six months ended February 28, 2025,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$77,758 and $188,896 during the three and six months ended February 29, 2024, respectively, due primarily to increased average outstanding borrowings during the current fiscal year periods.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NTIC recognized $1,139,756 in other income during the three and six months ended February 28, 2025 due to the receipt of an ERC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No other income was recognized during the prior year periods. The ERC income was recognized upon receipt of a cash payment in accordance with applicable accounting guidance and was claimed under the suspension test criteria, as described in Note 16 to NTIC’s consolidated financial statements. The ERC payment is a one-time event and does not represent recurring operational revenue.</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$877,824 and $1,889,842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2025, respectively, compared to $2,157,723 and $3,469,460 for the three and six months ended February 29, 2024,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$275,197 and $493,068 for the three and six months ended February 28, 2025, respectively, compared to</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$289,195 and $515,991 during the three and six months ended February 29, 2024, respectively. Income tax expense was calculated based on management’s estimate of NTIC’s annual effective income tax rate.</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$24,096,958 and $23,465,685 as of February 28, 2025, and August 31, 2024,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$434,319, or $0.04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2025, compared to $1,701,169, or $0.17 per diluted common share, for the three months ended February 29, 2024. Net income attributable to NTIC decreased to $995,410, or $0.10 per diluted common share, for the six months ended February 28, 2025, compared to $2,596,690, or $0.27 per diluted common share, for the six months ended February 29, 2024. These decreases were primarily due to the decrease in gross profit as a result of a decrease in sales and decreases in income from our joint venture operations, partially offset by the one-time ERC payment.</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six months ended February 28, 2025 compared to the same respective periods in fiscal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$21,416,426 as of February 28,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$5,090,630 in cash and cash equivalents, $5,354,664 outstanding under NTIC’s line of credit, and $2,746,121 outstanding under NTIC China’s term loans, compared to $23,682,276 as of August 31, 2024, including $4,952,184 in cash and cash equivalents, $4,291,608 outstanding under NTIC’s line of credit, and $2,820,835 outstanding under NTIC China’s term loans.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7" w:name="page28"/>
    <w:bookmarkEnd w:id="27"/>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2025,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NTIC also expects to use some of its capital resources to acquire the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On January 6, 2023, NTIC entered into a Credit Agreement (the Credit Agreement) with JPMorgan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Chase Bank, N.A. (JPM), which provided NTIC with a senior secured revolving line of credit (the Credit Facility) of up to $10.0 million, and replaced NTIC’s prior loan agreement. The Credit Facility included a $5.0 million sublimit for standby letters of credit.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6, 2025, the Company and JPM entered into an amendment to the Credit Agreement to extend the maturity date of the Credit Facility from January 6, 2025 to January 5, 2026, reduce the availability under the Credit Facility from $10.0 million to $8.0 million, and increase the applicable margin for Adjusted SOFR Rate (as defined below) advances from 2.15% to 2.35%. All other material terms of the Credit Facility and the Credit Agreement remain the same.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Borrowings of $5,354,664 were outstanding under the Credit Facility as of February 28, 2025. The Company was in compliance with all covenants under the Credit Agreement as of February 28, 2025.</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principal amount under the Credit Facility, together with all accrued unpaid interest and other amounts owing thereunder, if any, will be payable in full on the January 5, 2026 maturity date, unless the Credit Facility is extended or renewed or terminated earlier. It is anticipated that the Credit Facility will be renewed each year for one additional year for the immediate foreseeable future.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 The weighted average interest rate was 6.76% and 7.44% for the six months ended February 28, 2025 and February 29, 2024.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8" w:name="page29"/>
    <w:bookmarkEnd w:id="28"/>
    <w:p>
      <w:pPr>
        <w:ind w:right="6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to JPM a continuing security interest in all of its right, title and interest in collateral made up of the assets of the Company.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7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Other Credit Arrangements</w:t>
      </w:r>
      <w:r>
        <w:rPr>
          <w:rFonts w:ascii="Times New Roman" w:cs="Times New Roman" w:eastAsia="Times New Roman" w:hAnsi="Times New Roman"/>
          <w:sz w:val="18"/>
          <w:szCs w:val="18"/>
          <w:color w:val="auto"/>
        </w:rPr>
        <w:t>. On each of April 10, 2023 and May 30, 2023, the Company’s wholly owned subsidiary in China, NTIC China,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agreement with China Construction Bank Corporation. Each term loan provided NTIC China with a RMB 10,000,000 (USD $1.45 million). The term loans mature in April 2025 and June 2025, respectively, unless extended. Both term loans have an annual interest rate of 3.25% with interest due monthly. Both term loans are secured by an office building owned by NTIC China and the loan agreements contain certain financial and other covenants. NTIC was in compliance with the covenants as of February 28, 2025. The current outstanding balance as of February 28, 2025 for both term loans is a total of USD $2,746,121.</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six months ended February 28, 2025 was $3,198,741,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changes in assets and liabilities and NTIC’s net income, dividends received from joint ventures, depreciation and amortization expense, and stock-based compensation, partially offset by equity in income from joint ventures. Net cash provided by operating activities during the six months ended February 29, 2024 was $5,643,007, which resulted principally from changes in assets and liabilities and NTIC’s net income, dividends received from joint ventures, dividend receivables from joint ventures, depreciation and amortization expense, and stock-based compensation, partially offset by equity in income from joint ventures.</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right="520"/>
        <w:spacing w:after="0" w:line="282" w:lineRule="auto"/>
        <w:rPr>
          <w:sz w:val="20"/>
          <w:szCs w:val="20"/>
          <w:color w:val="auto"/>
        </w:rPr>
      </w:pPr>
      <w:r>
        <w:rPr>
          <w:rFonts w:ascii="Times New Roman" w:cs="Times New Roman" w:eastAsia="Times New Roman" w:hAnsi="Times New Roman"/>
          <w:sz w:val="18"/>
          <w:szCs w:val="18"/>
          <w:color w:val="auto"/>
        </w:rPr>
        <w:t>NTIC experienced a decrease in trade receivables as of February 28, 2025, compared to August 31, 2024. Trade receivables as of February 28, 2025, decreased $3,768,524 compared to August 31, 2024, primarily related to timing differences of sales.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Outstanding trade receivables decreased an average of 3 days to an average of 72 days from balances outstanding from these customers as of February 28, 2025 from an average of 75 days as of August 31,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28, 2025 decreased $277,796 compared to August 31, 2024, and the average days to pay increased an average of 4 days to an average of 80 days from an average of 76 days as of August 31, 2024.</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February 28, 2025 was $2,580,757, which was primarily the result of investments in intangibles and purchases of property and equipment. Net cash used in investing activities for the six months ended February 29, 2024 was $1,505,927, which was primarily the result of the purchases of property and equipment and investments in patents.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used in financing activities for the six months ended February 28, 2025 was $320,345, which resulted from dividends paid to shareholders and dividends received by non-controlling interests, partially offset by borrowings under the line of credit and proceeds from NTIC’s employee stock purchase plan. Net used in financing activities for the six months ended February 29, 2024 was $4,762,201, which resulted from dividends paid to shareholders, the repayment of borrowings under the line of credit, and dividends received by non-controlling interests, partially offset by proceeds from NTIC’s employee stock purchase plan.</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As of February 28, 2025, up to $2,640,548 in shares of NTIC common stock remained available for repurchase under NTIC’s stock repurchase program. No repurchases occurred during the six months ended February 28, 2025.</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the six months ended February 28, 2025, NTIC’s Board of Directors declared cash dividends on the following dates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to the following holders of NTIC’s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16, 2024</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30,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2024</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2025</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29, 2025</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2025</w:t>
            </w:r>
          </w:p>
        </w:tc>
      </w:tr>
      <w:tr>
        <w:trPr>
          <w:trHeight w:val="41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0" w:name="page31"/>
    <w:bookmarkEnd w:id="30"/>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29, 2024, NTIC’s Board of Directors declared cash dividends on the following dates in the following amounts to the following holders of NTIC’s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bl>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On April 10, 2025, NTIC announced that it has determined to temporarily adjust its quarterly dividend to $0.01 per share effective with its fiscal 2025 third quarter dividend in light of the current global environment.</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$2,600,757 on capital expenditures during the six months ended February 28, 2025,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facility improvements to the warehouse facility NTIC purchased during fiscal 2023 and the installation of a new Enterprise Resource Planning (ERP) software system and associated equipment. NTIC expects to spend an aggregate of approximately $600,000 to $800,000 on capital expenditures during the remainder of fiscal 2025, which it expects will relate primarily to final implementation of the ERP software and the purchase of new equipment and facility improvements.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Inflation in the United States and abroad historically has had minimal effect on NTIC and did not adversely affect NTIC’s gross margins during the first half of fiscal 2025. 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$5,354,664 were outstanding under the Credit Facility as of February 28,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February 28, 2025 for both term loans is a total of USD $2,746,121.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2" w:name="page33"/>
    <w:bookmarkEnd w:id="32"/>
    <w:p>
      <w:pPr>
        <w:ind w:right="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trade regulation, quotas, duties, or tariffs, caused by the changing U.S. and geopolitical environments or otherwise;</w:t>
      </w:r>
    </w:p>
    <w:p>
      <w:pPr>
        <w:spacing w:after="0" w:line="252"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including in particular in the United States, Europe, India and China, and in the automotive industry, and the effect of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9"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slowdowns within the automotive industry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to distribution channels for NTIC’s products and disruptions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ongoing wars and sanctions against Russia by U.S. and European governments on commodity price fluctuations, which have decreased our margins and the margins of our joint ventures and resulted in decreased joint venture profitability, which will likely continue through the end of fiscal 2025;</w:t>
      </w:r>
    </w:p>
    <w:p>
      <w:pPr>
        <w:spacing w:after="0" w:line="17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 including the implementation of higher tariffs;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980" w:right="600" w:hanging="324"/>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39" w:lineRule="exact"/>
        <w:rPr>
          <w:rFonts w:ascii="Times New Roman" w:cs="Times New Roman" w:eastAsia="Times New Roman" w:hAnsi="Times New Roman"/>
          <w:sz w:val="17"/>
          <w:szCs w:val="17"/>
          <w:color w:val="auto"/>
        </w:rPr>
      </w:pPr>
    </w:p>
    <w:p>
      <w:pPr>
        <w:ind w:left="980" w:right="3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due to supply chain disruptions and the impact of government sanctions;</w:t>
      </w:r>
    </w:p>
    <w:p>
      <w:pPr>
        <w:spacing w:after="0" w:line="16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3" w:name="page34"/>
    <w:bookmarkEnd w:id="33"/>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or lack thereof of rules and regulations favorable to the market for biodegradable plastics;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ongoing wars, including the war between Russia and Ukraine;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advancements in artificial intelligence (AI) technologies, which may disrupt our industry at an accelerated pace and adversely affect our competitive position, customer expectations, and operational performance if we fail to adapt or implement AI innovations efficiently or if competitors leverage AI more effectively or quickly;Loss of or changes in executive management or key employees and the need to hire and train local support in a timely manner in order to support customer needs;</w:t>
      </w:r>
    </w:p>
    <w:p>
      <w:pPr>
        <w:spacing w:after="0" w:line="179"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 and risks associated with its recent implementation of a new Enterprise Resource Planning system.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2024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tariffs, commodity prices and interest rates.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interest rate risk, any outstanding advances under NTIC’s Credit Facility with JPM bear interest at a floating rate, at the option of NTIC, equal to either the CB Floating Rate or the Adjusted SOFR Rate, as defined above. Borrowings of $5,354,664 were outstanding under the Credit Facility as of February 28, 2025. Both term loans undertaken by NTIC China with China Construction Bank Corporation have an annual interest rate of 3.25% with interest due monthly. The current outstanding balance as of February 28, 2025 for both term loans is a total of USD $2,746,121.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5" w:name="page36"/>
    <w:bookmarkEnd w:id="3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28, 2025 that has materially affected or is reasonably likely to materially affect NTIC’s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13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2025,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second quarter of fiscal 2025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2025, through January 31, 2025</w:t>
            </w:r>
          </w:p>
        </w:tc>
        <w:tc>
          <w:tcPr>
            <w:tcW w:w="1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2025, through February 28, 2025</w:t>
            </w: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79" w:lineRule="exact"/>
        <w:rPr>
          <w:sz w:val="20"/>
          <w:szCs w:val="20"/>
          <w:color w:val="auto"/>
        </w:rPr>
      </w:pPr>
    </w:p>
    <w:p>
      <w:pPr>
        <w:ind w:left="500" w:right="6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500" w:right="46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2025,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2025, none of our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14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60" w:right="140" w:hanging="831"/>
        <w:spacing w:after="0" w:line="266" w:lineRule="auto"/>
        <w:tabs>
          <w:tab w:leader="none" w:pos="1240" w:val="left"/>
        </w:tabs>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52">
        <w:r>
          <w:rPr>
            <w:rFonts w:ascii="Times New Roman" w:cs="Times New Roman" w:eastAsia="Times New Roman" w:hAnsi="Times New Roman"/>
            <w:sz w:val="18"/>
            <w:szCs w:val="18"/>
            <w:u w:val="single" w:color="auto"/>
            <w:color w:val="0000EE"/>
          </w:rPr>
          <w:t>Second Amendment to Credit Agreement, dated as of January 6, 2025, between JPMorgan Chase Bank, N.A. and Northern Technologies</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International Corporation (Incorporated by reference to Exhibit 10.1 to NTIC’s Quarterly Report on Form 10-Q for the fiscal quarter</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ended November 30, 2024 (File No. 001-11038))</w:t>
        </w:r>
      </w:hyperlink>
    </w:p>
    <w:p>
      <w:pPr>
        <w:spacing w:after="0" w:line="176" w:lineRule="exact"/>
        <w:rPr>
          <w:rFonts w:ascii="Times New Roman" w:cs="Times New Roman" w:eastAsia="Times New Roman" w:hAnsi="Times New Roman"/>
          <w:sz w:val="18"/>
          <w:szCs w:val="18"/>
          <w:u w:val="single" w:color="auto"/>
          <w:color w:val="0000EE"/>
        </w:rPr>
      </w:pPr>
    </w:p>
    <w:p>
      <w:pPr>
        <w:ind w:left="1260" w:right="200" w:hanging="831"/>
        <w:spacing w:after="0" w:line="266" w:lineRule="auto"/>
        <w:tabs>
          <w:tab w:leader="none" w:pos="1240" w:val="left"/>
        </w:tabs>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53">
        <w:r>
          <w:rPr>
            <w:rFonts w:ascii="Times New Roman" w:cs="Times New Roman" w:eastAsia="Times New Roman" w:hAnsi="Times New Roman"/>
            <w:sz w:val="18"/>
            <w:szCs w:val="18"/>
            <w:u w:val="single" w:color="auto"/>
            <w:color w:val="0000EE"/>
          </w:rPr>
          <w:t>Line of Credit Note, dated January 6, 2025, between Northern Technologies International Corporation and JPMorgan Chase Bank, N.A.</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(Incorporated by reference to Exhibit 10.1 to NTIC’s Quarterly Report on Form 10-Q for the fiscal quarter ended November 30, 2024</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(File No. 001-11038))</w:t>
        </w:r>
      </w:hyperlink>
    </w:p>
    <w:p>
      <w:pPr>
        <w:spacing w:after="0" w:line="176" w:lineRule="exact"/>
        <w:rPr>
          <w:rFonts w:ascii="Times New Roman" w:cs="Times New Roman" w:eastAsia="Times New Roman" w:hAnsi="Times New Roman"/>
          <w:sz w:val="18"/>
          <w:szCs w:val="18"/>
          <w:u w:val="single" w:color="auto"/>
          <w:color w:val="0000EE"/>
        </w:rPr>
      </w:pPr>
    </w:p>
    <w:p>
      <w:pPr>
        <w:ind w:left="1260" w:right="680" w:hanging="831"/>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 Sarbanes-Oxley Act of 2002 (filed herewith)</w:t>
      </w:r>
    </w:p>
    <w:p>
      <w:pPr>
        <w:spacing w:after="0" w:line="162" w:lineRule="exact"/>
        <w:rPr>
          <w:rFonts w:ascii="Times New Roman" w:cs="Times New Roman" w:eastAsia="Times New Roman" w:hAnsi="Times New Roman"/>
          <w:sz w:val="18"/>
          <w:szCs w:val="18"/>
          <w:u w:val="single" w:color="auto"/>
          <w:color w:val="0000EE"/>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 Rule 13a-14(a), as adopted pursuant to Section 302 of the Sarbanes-Oxley Act of</w:t>
      </w:r>
    </w:p>
    <w:p>
      <w:pPr>
        <w:spacing w:after="0" w:line="27" w:lineRule="exact"/>
        <w:rPr>
          <w:rFonts w:ascii="Times New Roman" w:cs="Times New Roman" w:eastAsia="Times New Roman" w:hAnsi="Times New Roman"/>
          <w:sz w:val="18"/>
          <w:szCs w:val="18"/>
          <w:u w:val="single" w:color="auto"/>
          <w:color w:val="0000EE"/>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2002 (filed herewith)</w:t>
      </w:r>
    </w:p>
    <w:p>
      <w:pPr>
        <w:spacing w:after="0" w:line="207" w:lineRule="exact"/>
        <w:rPr>
          <w:rFonts w:ascii="Times New Roman" w:cs="Times New Roman" w:eastAsia="Times New Roman" w:hAnsi="Times New Roman"/>
          <w:sz w:val="18"/>
          <w:szCs w:val="18"/>
          <w:u w:val="single" w:color="auto"/>
          <w:color w:val="0000EE"/>
        </w:rPr>
      </w:pPr>
    </w:p>
    <w:p>
      <w:pPr>
        <w:ind w:left="1260" w:right="440" w:hanging="831"/>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 (furnished herewith)</w:t>
      </w:r>
    </w:p>
    <w:p>
      <w:pPr>
        <w:spacing w:after="0" w:line="162" w:lineRule="exact"/>
        <w:rPr>
          <w:rFonts w:ascii="Times New Roman" w:cs="Times New Roman" w:eastAsia="Times New Roman" w:hAnsi="Times New Roman"/>
          <w:sz w:val="18"/>
          <w:szCs w:val="18"/>
          <w:u w:val="single" w:color="auto"/>
          <w:color w:val="0000EE"/>
        </w:rPr>
      </w:pPr>
    </w:p>
    <w:p>
      <w:pPr>
        <w:ind w:left="1260" w:hanging="831"/>
        <w:spacing w:after="0" w:line="282"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 (furnished herewith)</w:t>
      </w:r>
    </w:p>
    <w:p>
      <w:pPr>
        <w:spacing w:after="0" w:line="162" w:lineRule="exact"/>
        <w:rPr>
          <w:rFonts w:ascii="Times New Roman" w:cs="Times New Roman" w:eastAsia="Times New Roman" w:hAnsi="Times New Roman"/>
          <w:sz w:val="18"/>
          <w:szCs w:val="18"/>
          <w:u w:val="single" w:color="auto"/>
          <w:color w:val="0000EE"/>
        </w:rPr>
      </w:pPr>
    </w:p>
    <w:p>
      <w:pPr>
        <w:ind w:left="1260" w:right="140" w:hanging="820"/>
        <w:spacing w:after="0" w:line="258"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February 28, 2025, formatted in Inline XBRL (Extensible Business Reporting Language): (i) the unaudited Consolidated Balance Sheets, (ii) the unaudited Consolidated Statements of Operations, (iii) the unaudited Consolidated Statements of Comprehensive Income, (iv) the unaudited Consolidated Statements of Equity, (v) the unaudited Consolidated Statements of Cash Flows, and (vi) Notes to Consolidated Financial Statements (filed herewith)</w:t>
      </w:r>
    </w:p>
    <w:p>
      <w:pPr>
        <w:spacing w:after="0" w:line="183" w:lineRule="exact"/>
        <w:rPr>
          <w:rFonts w:ascii="Times New Roman" w:cs="Times New Roman" w:eastAsia="Times New Roman" w:hAnsi="Times New Roman"/>
          <w:sz w:val="18"/>
          <w:szCs w:val="18"/>
          <w:u w:val="single" w:color="auto"/>
          <w:color w:val="0000EE"/>
        </w:rPr>
      </w:pPr>
    </w:p>
    <w:p>
      <w:pPr>
        <w:ind w:left="5540" w:right="3460" w:hanging="5100"/>
        <w:spacing w:after="0" w:line="532" w:lineRule="auto"/>
        <w:tabs>
          <w:tab w:leader="none" w:pos="1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8" w:name="page39"/>
    <w:bookmarkEnd w:id="3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NORTHERN TECHNOLOGIES INTERNATIONAL CORPORATION</w:t>
            </w:r>
          </w:p>
        </w:tc>
      </w:tr>
      <w:tr>
        <w:trPr>
          <w:trHeight w:val="39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2025</w:t>
            </w: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c>
          <w:tcPr>
            <w:tcW w:w="3720" w:type="dxa"/>
            <w:vAlign w:val="bottom"/>
          </w:tcPr>
          <w:p>
            <w:pPr>
              <w:spacing w:after="0"/>
              <w:rPr>
                <w:sz w:val="24"/>
                <w:szCs w:val="24"/>
                <w:color w:val="auto"/>
              </w:rPr>
            </w:pPr>
          </w:p>
        </w:tc>
      </w:tr>
      <w:tr>
        <w:trPr>
          <w:trHeight w:val="218"/>
        </w:trPr>
        <w:tc>
          <w:tcPr>
            <w:tcW w:w="56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6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tc>
      </w:tr>
      <w:tr>
        <w:trPr>
          <w:trHeight w:val="234"/>
        </w:trPr>
        <w:tc>
          <w:tcPr>
            <w:tcW w:w="56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576"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ectPr>
          <w:pgSz w:w="11900" w:h="16838" w:orient="portrait"/>
          <w:cols w:equalWidth="0" w:num="1">
            <w:col w:w="11240"/>
          </w:cols>
          <w:pgMar w:left="320" w:top="117"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2025,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3"/>
    </w:lvl>
  </w:abstractNum>
  <w:abstractNum w:abstractNumId="15">
    <w:nsid w:val="628C895D"/>
    <w:multiLevelType w:val="hybridMultilevel"/>
    <w:lvl w:ilvl="0">
      <w:lvlJc w:val="left"/>
      <w:lvlText w:val="%1."/>
      <w:numFmt w:val="decimal"/>
      <w:start w:val="16"/>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2" Type="http://schemas.openxmlformats.org/officeDocument/2006/relationships/hyperlink" Target="http://www.sec.gov/Archives/edgar/data/875582/000117184325000165/ex_761711.htm" TargetMode="External"/><Relationship Id="rId53" Type="http://schemas.openxmlformats.org/officeDocument/2006/relationships/hyperlink" Target="http://www.sec.gov/Archives/edgar/data/875582/000117184325000165/ex_7617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2025-04-10T07:12:04Z</dcterms:created>
  <dcterms:modified xsi:type="dcterms:W3CDTF">2025-04-10T07:12:04Z</dcterms:modified>
</cp:coreProperties>
</file>