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447675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464185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420"/>
          </w:cols>
          <w:pgMar w:left="240" w:top="959" w:right="239" w:bottom="1440" w:gutter="0" w:footer="0" w:header="0"/>
        </w:sect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62"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For the quarterly period ended May 31, 2012</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38" w:orient="portrait"/>
          <w:cols w:equalWidth="0" w:num="2">
            <w:col w:w="1300" w:space="720"/>
            <w:col w:w="9400"/>
          </w:cols>
          <w:pgMar w:left="240" w:top="959" w:right="239" w:bottom="1440" w:gutter="0" w:footer="0" w:header="0"/>
          <w:type w:val="continuous"/>
        </w:sectPr>
      </w:pPr>
    </w:p>
    <w:p>
      <w:pPr>
        <w:spacing w:after="0" w:line="5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59" w:right="239" w:bottom="1440" w:gutter="0" w:footer="0" w:header="0"/>
          <w:type w:val="continuous"/>
        </w:sectPr>
      </w:pPr>
    </w:p>
    <w:p>
      <w:pPr>
        <w:spacing w:after="0" w:line="230"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959" w:right="239" w:bottom="1440" w:gutter="0" w:footer="0" w:header="0"/>
          <w:type w:val="continuous"/>
        </w:sectPr>
      </w:pP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5" w:lineRule="exact"/>
        <w:rPr>
          <w:sz w:val="24"/>
          <w:szCs w:val="24"/>
          <w:color w:val="auto"/>
        </w:rPr>
      </w:pPr>
    </w:p>
    <w:p>
      <w:pPr>
        <w:ind w:right="200" w:firstLine="323"/>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40"/>
        <w:spacing w:after="0"/>
        <w:rPr>
          <w:sz w:val="20"/>
          <w:szCs w:val="20"/>
          <w:color w:val="auto"/>
        </w:rPr>
      </w:pPr>
      <w:r>
        <w:rPr>
          <w:rFonts w:ascii="Arial" w:cs="Arial" w:eastAsia="Arial" w:hAnsi="Arial"/>
          <w:sz w:val="18"/>
          <w:szCs w:val="18"/>
          <w:color w:val="auto"/>
        </w:rPr>
        <w:t>YES [ x ]  NO [ ]</w:t>
      </w:r>
    </w:p>
    <w:p>
      <w:pPr>
        <w:spacing w:after="0" w:line="235" w:lineRule="exact"/>
        <w:rPr>
          <w:sz w:val="24"/>
          <w:szCs w:val="24"/>
          <w:color w:val="auto"/>
        </w:rPr>
      </w:pPr>
    </w:p>
    <w:p>
      <w:pPr>
        <w:ind w:right="100" w:firstLine="323"/>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 NO [ ]</w:t>
      </w:r>
    </w:p>
    <w:p>
      <w:pPr>
        <w:spacing w:after="0" w:line="182" w:lineRule="exact"/>
        <w:rPr>
          <w:sz w:val="24"/>
          <w:szCs w:val="24"/>
          <w:color w:val="auto"/>
        </w:rPr>
      </w:pPr>
    </w:p>
    <w:p>
      <w:pPr>
        <w:ind w:right="120" w:firstLine="323"/>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Large accelerated filer [ ]</w:t>
            </w:r>
          </w:p>
        </w:tc>
        <w:tc>
          <w:tcPr>
            <w:tcW w:w="1660" w:type="dxa"/>
            <w:vAlign w:val="bottom"/>
          </w:tcPr>
          <w:p>
            <w:pPr>
              <w:ind w:left="280"/>
              <w:spacing w:after="0"/>
              <w:rPr>
                <w:sz w:val="20"/>
                <w:szCs w:val="20"/>
                <w:color w:val="auto"/>
              </w:rPr>
            </w:pPr>
            <w:r>
              <w:rPr>
                <w:rFonts w:ascii="Arial" w:cs="Arial" w:eastAsia="Arial" w:hAnsi="Arial"/>
                <w:sz w:val="18"/>
                <w:szCs w:val="18"/>
                <w:color w:val="auto"/>
                <w:w w:val="97"/>
              </w:rPr>
              <w:t>Accelerated filer [</w:t>
            </w:r>
          </w:p>
        </w:tc>
        <w:tc>
          <w:tcPr>
            <w:tcW w:w="22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Non-accelerated filer (Do not check if a smaller reporting company) [ ]</w:t>
            </w:r>
          </w:p>
        </w:tc>
        <w:tc>
          <w:tcPr>
            <w:tcW w:w="3940" w:type="dxa"/>
            <w:vAlign w:val="bottom"/>
            <w:gridSpan w:val="2"/>
          </w:tcPr>
          <w:p>
            <w:pPr>
              <w:ind w:left="280"/>
              <w:spacing w:after="0"/>
              <w:rPr>
                <w:sz w:val="20"/>
                <w:szCs w:val="20"/>
                <w:color w:val="auto"/>
              </w:rPr>
            </w:pPr>
            <w:r>
              <w:rPr>
                <w:rFonts w:ascii="Arial" w:cs="Arial" w:eastAsia="Arial" w:hAnsi="Arial"/>
                <w:sz w:val="18"/>
                <w:szCs w:val="18"/>
                <w:color w:val="auto"/>
              </w:rPr>
              <w:t>Smaller reporting company [x]</w:t>
            </w:r>
          </w:p>
        </w:tc>
      </w:tr>
      <w:tr>
        <w:trPr>
          <w:trHeight w:val="430"/>
        </w:trPr>
        <w:tc>
          <w:tcPr>
            <w:tcW w:w="9140" w:type="dxa"/>
            <w:vAlign w:val="bottom"/>
            <w:gridSpan w:val="2"/>
          </w:tcPr>
          <w:p>
            <w:pPr>
              <w:ind w:left="34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2280" w:type="dxa"/>
            <w:vAlign w:val="bottom"/>
          </w:tcPr>
          <w:p>
            <w:pPr>
              <w:ind w:left="40"/>
              <w:spacing w:after="0"/>
              <w:rPr>
                <w:sz w:val="20"/>
                <w:szCs w:val="20"/>
                <w:color w:val="auto"/>
              </w:rPr>
            </w:pPr>
            <w:r>
              <w:rPr>
                <w:rFonts w:ascii="Arial" w:cs="Arial" w:eastAsia="Arial" w:hAnsi="Arial"/>
                <w:sz w:val="18"/>
                <w:szCs w:val="18"/>
                <w:color w:val="auto"/>
              </w:rPr>
              <w:t>]  NO [ x ]</w:t>
            </w:r>
          </w:p>
        </w:tc>
      </w:tr>
      <w:tr>
        <w:trPr>
          <w:trHeight w:val="430"/>
        </w:trPr>
        <w:tc>
          <w:tcPr>
            <w:tcW w:w="7480" w:type="dxa"/>
            <w:vAlign w:val="bottom"/>
          </w:tcPr>
          <w:p>
            <w:pPr>
              <w:ind w:left="340"/>
              <w:spacing w:after="0"/>
              <w:rPr>
                <w:sz w:val="20"/>
                <w:szCs w:val="20"/>
                <w:color w:val="auto"/>
              </w:rPr>
            </w:pPr>
            <w:r>
              <w:rPr>
                <w:rFonts w:ascii="Arial" w:cs="Arial" w:eastAsia="Arial" w:hAnsi="Arial"/>
                <w:sz w:val="18"/>
                <w:szCs w:val="18"/>
                <w:color w:val="auto"/>
                <w:w w:val="92"/>
              </w:rPr>
              <w:t>As of July 13, 2012, there were 4,401,656 shares of common stock of the registrant outstanding.</w:t>
            </w: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42"/>
        </w:trPr>
        <w:tc>
          <w:tcPr>
            <w:tcW w:w="7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0"/>
        </w:trPr>
        <w:tc>
          <w:tcPr>
            <w:tcW w:w="74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95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20" w:type="dxa"/>
            <w:vAlign w:val="bottom"/>
            <w:gridSpan w:val="8"/>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18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gridSpan w:val="6"/>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5"/>
        </w:trPr>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080" w:type="dxa"/>
            <w:vAlign w:val="bottom"/>
            <w:gridSpan w:val="16"/>
            <w:shd w:val="clear" w:color="auto" w:fill="CCEEFF"/>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line="175"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300" w:type="dxa"/>
            <w:vAlign w:val="bottom"/>
            <w:gridSpan w:val="5"/>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40" w:type="dxa"/>
            <w:vAlign w:val="bottom"/>
            <w:gridSpan w:val="15"/>
            <w:shd w:val="clear" w:color="auto" w:fill="CCEEFF"/>
          </w:tcPr>
          <w:p>
            <w:pPr>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40" w:type="dxa"/>
            <w:vAlign w:val="bottom"/>
            <w:gridSpan w:val="15"/>
          </w:tcPr>
          <w:p>
            <w:pPr>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2012 (unaudited) and August 31, 2011</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0" w:type="dxa"/>
            <w:vAlign w:val="bottom"/>
            <w:gridSpan w:val="14"/>
            <w:shd w:val="clear" w:color="auto" w:fill="CCEEFF"/>
          </w:tcPr>
          <w:p>
            <w:pPr>
              <w:spacing w:after="0" w:line="175"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and Nine Months Ended May 31, 2012 and 2011</w:t>
              </w:r>
            </w:hyperlink>
          </w:p>
        </w:tc>
        <w:tc>
          <w:tcPr>
            <w:tcW w:w="640" w:type="dxa"/>
            <w:vAlign w:val="bottom"/>
            <w:shd w:val="clear" w:color="auto" w:fill="CCEEFF"/>
          </w:tcPr>
          <w:p>
            <w:pPr>
              <w:spacing w:after="0"/>
              <w:rPr>
                <w:sz w:val="15"/>
                <w:szCs w:val="15"/>
                <w:color w:val="auto"/>
              </w:rPr>
            </w:pPr>
          </w:p>
        </w:tc>
        <w:tc>
          <w:tcPr>
            <w:tcW w:w="520" w:type="dxa"/>
            <w:vAlign w:val="bottom"/>
            <w:gridSpan w:val="5"/>
            <w:shd w:val="clear" w:color="auto" w:fill="CCEEFF"/>
          </w:tcPr>
          <w:p>
            <w:pPr>
              <w:jc w:val="right"/>
              <w:spacing w:after="0" w:line="175"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0" w:type="dxa"/>
            <w:vAlign w:val="bottom"/>
            <w:gridSpan w:val="14"/>
          </w:tcPr>
          <w:p>
            <w:pPr>
              <w:spacing w:after="0" w:line="175"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(unaudited) for the Nine Months Ended May 31, 2012 and 2011</w:t>
              </w:r>
            </w:hyperlink>
          </w:p>
        </w:tc>
        <w:tc>
          <w:tcPr>
            <w:tcW w:w="640" w:type="dxa"/>
            <w:vAlign w:val="bottom"/>
          </w:tcPr>
          <w:p>
            <w:pPr>
              <w:spacing w:after="0"/>
              <w:rPr>
                <w:sz w:val="15"/>
                <w:szCs w:val="15"/>
                <w:color w:val="auto"/>
              </w:rPr>
            </w:pPr>
          </w:p>
        </w:tc>
        <w:tc>
          <w:tcPr>
            <w:tcW w:w="520" w:type="dxa"/>
            <w:vAlign w:val="bottom"/>
            <w:gridSpan w:val="5"/>
          </w:tcPr>
          <w:p>
            <w:pPr>
              <w:jc w:val="right"/>
              <w:spacing w:after="0" w:line="175"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40" w:type="dxa"/>
            <w:vAlign w:val="bottom"/>
            <w:gridSpan w:val="15"/>
            <w:shd w:val="clear" w:color="auto" w:fill="CCEEFF"/>
          </w:tcPr>
          <w:p>
            <w:pPr>
              <w:spacing w:after="0" w:line="175"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520" w:type="dxa"/>
            <w:vAlign w:val="bottom"/>
            <w:gridSpan w:val="5"/>
            <w:shd w:val="clear" w:color="auto" w:fill="CCEEFF"/>
          </w:tcPr>
          <w:p>
            <w:pPr>
              <w:jc w:val="right"/>
              <w:spacing w:after="0" w:line="175" w:lineRule="exact"/>
              <w:rPr>
                <w:rFonts w:ascii="Arial" w:cs="Arial" w:eastAsia="Arial" w:hAnsi="Arial"/>
                <w:sz w:val="18"/>
                <w:szCs w:val="18"/>
                <w:color w:val="0000EE"/>
              </w:rPr>
            </w:pPr>
            <w:hyperlink w:anchor="page7">
              <w:r>
                <w:rPr>
                  <w:rFonts w:ascii="Arial" w:cs="Arial" w:eastAsia="Arial" w:hAnsi="Arial"/>
                  <w:sz w:val="18"/>
                  <w:szCs w:val="18"/>
                  <w:color w:val="0000EE"/>
                </w:rPr>
                <w:t>16-24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240" w:type="dxa"/>
            <w:vAlign w:val="bottom"/>
          </w:tcPr>
          <w:p>
            <w:pPr>
              <w:spacing w:after="0"/>
              <w:rPr>
                <w:sz w:val="15"/>
                <w:szCs w:val="15"/>
                <w:color w:val="auto"/>
              </w:rPr>
            </w:pPr>
          </w:p>
        </w:tc>
        <w:tc>
          <w:tcPr>
            <w:tcW w:w="8840" w:type="dxa"/>
            <w:vAlign w:val="bottom"/>
            <w:gridSpan w:val="15"/>
          </w:tcPr>
          <w:p>
            <w:pPr>
              <w:spacing w:after="0" w:line="175"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16">
              <w:r>
                <w:rPr>
                  <w:rFonts w:ascii="Arial" w:cs="Arial" w:eastAsia="Arial" w:hAnsi="Arial"/>
                  <w:sz w:val="18"/>
                  <w:szCs w:val="18"/>
                  <w:color w:val="0000EE"/>
                </w:rPr>
                <w:t>15-28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tcBorders>
              <w:bottom w:val="single" w:sz="8" w:color="0000EE"/>
            </w:tcBorders>
            <w:shd w:val="clear" w:color="auto" w:fill="CCEEFF"/>
          </w:tcPr>
          <w:p>
            <w:pPr>
              <w:spacing w:after="0" w:line="175"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1300" w:type="dxa"/>
            <w:vAlign w:val="bottom"/>
            <w:tcBorders>
              <w:bottom w:val="single" w:sz="8" w:color="CCEEFF"/>
            </w:tcBorders>
            <w:gridSpan w:val="5"/>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300" w:type="dxa"/>
            <w:vAlign w:val="bottom"/>
            <w:tcBorders>
              <w:bottom w:val="single" w:sz="8" w:color="0000EE"/>
            </w:tcBorders>
            <w:gridSpan w:val="9"/>
            <w:shd w:val="clear" w:color="auto" w:fill="CCEEFF"/>
          </w:tcPr>
          <w:p>
            <w:pPr>
              <w:spacing w:after="0" w:line="175"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4540" w:type="dxa"/>
            <w:vAlign w:val="bottom"/>
            <w:tcBorders>
              <w:bottom w:val="single" w:sz="8" w:color="CCEEFF"/>
            </w:tcBorders>
            <w:gridSpan w:val="6"/>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3"/>
            <w:shd w:val="clear" w:color="auto" w:fill="CCEEFF"/>
          </w:tcPr>
          <w:p>
            <w:pPr>
              <w:jc w:val="right"/>
              <w:spacing w:after="0" w:line="175"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080" w:type="dxa"/>
            <w:vAlign w:val="bottom"/>
            <w:gridSpan w:val="16"/>
          </w:tcPr>
          <w:p>
            <w:pPr>
              <w:ind w:left="240"/>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9080" w:type="dxa"/>
            <w:vAlign w:val="bottom"/>
            <w:gridSpan w:val="16"/>
          </w:tcPr>
          <w:p>
            <w:pPr>
              <w:ind w:left="24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080" w:type="dxa"/>
            <w:vAlign w:val="bottom"/>
            <w:gridSpan w:val="16"/>
          </w:tcPr>
          <w:p>
            <w:pPr>
              <w:ind w:left="240"/>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gridSpan w:val="6"/>
            <w:shd w:val="clear" w:color="auto" w:fill="CCEEFF"/>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080" w:type="dxa"/>
            <w:vAlign w:val="bottom"/>
            <w:gridSpan w:val="16"/>
            <w:shd w:val="clear" w:color="auto" w:fill="CCEEFF"/>
          </w:tcPr>
          <w:p>
            <w:pPr>
              <w:ind w:left="240"/>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20" w:type="dxa"/>
            <w:vAlign w:val="bottom"/>
            <w:gridSpan w:val="5"/>
            <w:shd w:val="clear" w:color="auto" w:fill="CCEEFF"/>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 w:type="dxa"/>
            <w:vAlign w:val="bottom"/>
            <w:gridSpan w:val="2"/>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118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8840" w:type="dxa"/>
            <w:vAlign w:val="bottom"/>
            <w:gridSpan w:val="15"/>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tcBorders>
              <w:bottom w:val="single" w:sz="8" w:color="0000EE"/>
            </w:tcBorders>
            <w:shd w:val="clear" w:color="auto" w:fill="CCEEFF"/>
          </w:tcPr>
          <w:p>
            <w:pPr>
              <w:spacing w:after="0" w:line="17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1300" w:type="dxa"/>
            <w:vAlign w:val="bottom"/>
            <w:tcBorders>
              <w:bottom w:val="single" w:sz="8" w:color="CCEEFF"/>
            </w:tcBorders>
            <w:gridSpan w:val="5"/>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7"/>
            <w:shd w:val="clear" w:color="auto" w:fill="CCEEFF"/>
          </w:tcPr>
          <w:p>
            <w:pPr>
              <w:spacing w:after="0" w:line="17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6520" w:type="dxa"/>
            <w:vAlign w:val="bottom"/>
            <w:tcBorders>
              <w:bottom w:val="single" w:sz="8" w:color="CCEEFF"/>
            </w:tcBorders>
            <w:gridSpan w:val="8"/>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3"/>
            <w:shd w:val="clear" w:color="auto" w:fill="CCEEFF"/>
          </w:tcPr>
          <w:p>
            <w:pPr>
              <w:jc w:val="right"/>
              <w:spacing w:after="0" w:line="175"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080" w:type="dxa"/>
            <w:vAlign w:val="bottom"/>
            <w:gridSpan w:val="16"/>
          </w:tcPr>
          <w:p>
            <w:pPr>
              <w:ind w:left="240"/>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tcBorders>
              <w:bottom w:val="single" w:sz="8" w:color="0000EE"/>
            </w:tcBorders>
            <w:shd w:val="clear" w:color="auto" w:fill="CCEEFF"/>
          </w:tcPr>
          <w:p>
            <w:pPr>
              <w:spacing w:after="0" w:line="17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1300" w:type="dxa"/>
            <w:vAlign w:val="bottom"/>
            <w:tcBorders>
              <w:bottom w:val="single" w:sz="8" w:color="CCEEFF"/>
            </w:tcBorders>
            <w:gridSpan w:val="5"/>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0000EE"/>
            </w:tcBorders>
            <w:gridSpan w:val="3"/>
            <w:shd w:val="clear" w:color="auto" w:fill="CCEEFF"/>
          </w:tcPr>
          <w:p>
            <w:pPr>
              <w:spacing w:after="0" w:line="175"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Other Information</w:t>
              </w:r>
            </w:hyperlink>
          </w:p>
        </w:tc>
        <w:tc>
          <w:tcPr>
            <w:tcW w:w="7520" w:type="dxa"/>
            <w:vAlign w:val="bottom"/>
            <w:tcBorders>
              <w:bottom w:val="single" w:sz="8" w:color="CCEEFF"/>
            </w:tcBorders>
            <w:gridSpan w:val="12"/>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3"/>
            <w:shd w:val="clear" w:color="auto" w:fill="CCEEFF"/>
          </w:tcPr>
          <w:p>
            <w:pPr>
              <w:jc w:val="right"/>
              <w:spacing w:after="0" w:line="175"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080" w:type="dxa"/>
            <w:vAlign w:val="bottom"/>
            <w:gridSpan w:val="16"/>
          </w:tcPr>
          <w:p>
            <w:pPr>
              <w:ind w:left="240"/>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20" w:type="dxa"/>
            <w:vAlign w:val="bottom"/>
            <w:gridSpan w:val="5"/>
          </w:tcPr>
          <w:p>
            <w:pPr>
              <w:jc w:val="right"/>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20" w:type="dxa"/>
            <w:vAlign w:val="bottom"/>
            <w:gridSpan w:val="6"/>
          </w:tcPr>
          <w:p>
            <w:pPr>
              <w:spacing w:after="0" w:line="175"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 PAGE</w:t>
              </w:r>
            </w:hyperlink>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gridSpan w:val="5"/>
          </w:tcPr>
          <w:p>
            <w:pPr>
              <w:jc w:val="right"/>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0" w:type="dxa"/>
            <w:vAlign w:val="bottom"/>
            <w:tcBorders>
              <w:bottom w:val="single" w:sz="8" w:color="0000EE"/>
            </w:tcBorders>
            <w:gridSpan w:val="4"/>
            <w:shd w:val="clear" w:color="auto" w:fill="CCEEFF"/>
          </w:tcPr>
          <w:p>
            <w:pPr>
              <w:spacing w:after="0" w:line="175"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42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gridSpan w:val="3"/>
            <w:shd w:val="clear" w:color="auto" w:fill="CCEEFF"/>
          </w:tcPr>
          <w:p>
            <w:pPr>
              <w:jc w:val="right"/>
              <w:spacing w:after="0" w:line="175"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gridSpan w:val="5"/>
          </w:tcPr>
          <w:p>
            <w:pPr>
              <w:spacing w:after="0"/>
              <w:rPr>
                <w:sz w:val="20"/>
                <w:szCs w:val="20"/>
                <w:color w:val="auto"/>
              </w:rPr>
            </w:pPr>
            <w:r>
              <w:rPr>
                <w:rFonts w:ascii="Arial" w:cs="Arial" w:eastAsia="Arial" w:hAnsi="Arial"/>
                <w:sz w:val="18"/>
                <w:szCs w:val="18"/>
                <w:color w:val="auto"/>
                <w:w w:val="91"/>
              </w:rPr>
              <w:t>_________________</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1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subsidiary, Zerust Prevenção de Corrosão S.A., all of which are consolidated on NTIC’s consolidated financial statements. NTIC’s consolidated financial statements do not include the accounts of any of its joint ventures.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 w:name="page3"/>
    <w:bookmarkEnd w:id="2"/>
    <w:p>
      <w:pPr>
        <w:spacing w:after="0" w:line="274" w:lineRule="auto"/>
        <w:rPr>
          <w:sz w:val="20"/>
          <w:szCs w:val="20"/>
          <w:color w:val="auto"/>
        </w:rPr>
      </w:pPr>
      <w:r>
        <w:rPr>
          <w:rFonts w:ascii="Arial" w:cs="Arial" w:eastAsia="Arial" w:hAnsi="Arial"/>
          <w:sz w:val="17"/>
          <w:szCs w:val="17"/>
          <w:i w:val="1"/>
          <w:iCs w:val="1"/>
          <w:color w:val="auto"/>
        </w:rPr>
        <w:t>References in this report to NTIC’s joint ventures do not include NTIC’s majority owned Brazilian subsidiary, Zerust Prevenção de Corrosão S.A. As used in this report, references to “Zerust Brazil” refer to NTIC’s majority owned Brazilian subsidiary, Zerust Prevenção de Corrosão S.A. As used in this report, references to “EXCOR” refer to NTIC’s primary joint venture in Germany, Excor Korrosionsschutz – Technologien und Produkte GmbH, references to “NTI ASEAN” refer to NTIC’s joint venture holding company for NTIC’s joint venture investments in the Association of Southeast Asian Nations (ASEAN) region, NTI ASEAN, LLC, and references to “HNTI” refer to NTIC’s joint venture in India, Harita NTI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240"/>
          </w:cols>
          <w:pgMar w:left="240" w:top="273"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MAY 31, 2012 (UNAUDITED)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AND AUGUST 31, 2011 (AUDITED)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94"/>
              </w:rPr>
              <w:t>ASSETS</w:t>
            </w:r>
          </w:p>
        </w:tc>
        <w:tc>
          <w:tcPr>
            <w:tcW w:w="820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8"/>
              </w:rPr>
              <w:t>May 31, 2012</w:t>
            </w: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0" w:type="dxa"/>
            <w:vAlign w:val="bottom"/>
          </w:tcPr>
          <w:p>
            <w:pPr>
              <w:spacing w:after="0"/>
              <w:rPr>
                <w:sz w:val="1"/>
                <w:szCs w:val="1"/>
                <w:color w:val="auto"/>
              </w:rPr>
            </w:pPr>
          </w:p>
        </w:tc>
      </w:tr>
      <w:tr>
        <w:trPr>
          <w:trHeight w:val="194"/>
        </w:trPr>
        <w:tc>
          <w:tcPr>
            <w:tcW w:w="700" w:type="dxa"/>
            <w:vAlign w:val="bottom"/>
            <w:vMerge w:val="continue"/>
          </w:tcPr>
          <w:p>
            <w:pPr>
              <w:spacing w:after="0"/>
              <w:rPr>
                <w:sz w:val="16"/>
                <w:szCs w:val="16"/>
                <w:color w:val="auto"/>
              </w:rPr>
            </w:pPr>
          </w:p>
        </w:tc>
        <w:tc>
          <w:tcPr>
            <w:tcW w:w="8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4,465,898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900" w:type="dxa"/>
            <w:vAlign w:val="bottom"/>
            <w:tcBorders>
              <w:right w:val="single" w:sz="8" w:color="CCEEFF"/>
            </w:tcBorders>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$20,000 at May 31, 2012 and August 31,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8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2,726,522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2,515,316</w:t>
            </w:r>
          </w:p>
        </w:tc>
        <w:tc>
          <w:tcPr>
            <w:tcW w:w="0" w:type="dxa"/>
            <w:vAlign w:val="bottom"/>
          </w:tcPr>
          <w:p>
            <w:pPr>
              <w:spacing w:after="0"/>
              <w:rPr>
                <w:sz w:val="1"/>
                <w:szCs w:val="1"/>
                <w:color w:val="auto"/>
              </w:rPr>
            </w:pPr>
          </w:p>
        </w:tc>
      </w:tr>
      <w:tr>
        <w:trPr>
          <w:trHeight w:val="215"/>
        </w:trPr>
        <w:tc>
          <w:tcPr>
            <w:tcW w:w="8900" w:type="dxa"/>
            <w:vAlign w:val="bottom"/>
            <w:gridSpan w:val="2"/>
          </w:tcPr>
          <w:p>
            <w:pPr>
              <w:ind w:left="400"/>
              <w:spacing w:after="0"/>
              <w:rPr>
                <w:sz w:val="20"/>
                <w:szCs w:val="20"/>
                <w:color w:val="auto"/>
              </w:rPr>
            </w:pPr>
            <w:r>
              <w:rPr>
                <w:rFonts w:ascii="Arial" w:cs="Arial" w:eastAsia="Arial" w:hAnsi="Arial"/>
                <w:sz w:val="18"/>
                <w:szCs w:val="18"/>
                <w:color w:val="auto"/>
              </w:rPr>
              <w:t>Trade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1,108,104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1,149,666</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1,930,040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2,129,911</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3,884,604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3,842,854</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364,805</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221,600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09"/>
        </w:trPr>
        <w:tc>
          <w:tcPr>
            <w:tcW w:w="700" w:type="dxa"/>
            <w:vAlign w:val="bottom"/>
            <w:tcBorders>
              <w:bottom w:val="single" w:sz="8" w:color="CCEEFF"/>
            </w:tcBorders>
            <w:shd w:val="clear" w:color="auto" w:fill="CCEEFF"/>
          </w:tcPr>
          <w:p>
            <w:pPr>
              <w:spacing w:after="0"/>
              <w:rPr>
                <w:sz w:val="18"/>
                <w:szCs w:val="18"/>
                <w:color w:val="auto"/>
              </w:rPr>
            </w:pPr>
          </w:p>
        </w:tc>
        <w:tc>
          <w:tcPr>
            <w:tcW w:w="8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15,234,171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13,490,514</w:t>
            </w:r>
          </w:p>
        </w:tc>
        <w:tc>
          <w:tcPr>
            <w:tcW w:w="0" w:type="dxa"/>
            <w:vAlign w:val="bottom"/>
          </w:tcPr>
          <w:p>
            <w:pPr>
              <w:spacing w:after="0"/>
              <w:rPr>
                <w:sz w:val="1"/>
                <w:szCs w:val="1"/>
                <w:color w:val="auto"/>
              </w:rPr>
            </w:pPr>
          </w:p>
        </w:tc>
      </w:tr>
      <w:tr>
        <w:trPr>
          <w:trHeight w:val="209"/>
        </w:trPr>
        <w:tc>
          <w:tcPr>
            <w:tcW w:w="8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bottom w:val="single" w:sz="8" w:color="CCEEFF"/>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3,753,015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3,636,335</w:t>
            </w:r>
          </w:p>
        </w:tc>
        <w:tc>
          <w:tcPr>
            <w:tcW w:w="0" w:type="dxa"/>
            <w:vAlign w:val="bottom"/>
          </w:tcPr>
          <w:p>
            <w:pPr>
              <w:spacing w:after="0"/>
              <w:rPr>
                <w:sz w:val="1"/>
                <w:szCs w:val="1"/>
                <w:color w:val="auto"/>
              </w:rPr>
            </w:pPr>
          </w:p>
        </w:tc>
      </w:tr>
      <w:tr>
        <w:trPr>
          <w:trHeight w:val="209"/>
        </w:trPr>
        <w:tc>
          <w:tcPr>
            <w:tcW w:w="8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Investments in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19,568,795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20,559,509</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1,410,700</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Patents and trademarks, net</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914,969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903,038</w:t>
            </w:r>
          </w:p>
        </w:tc>
        <w:tc>
          <w:tcPr>
            <w:tcW w:w="0" w:type="dxa"/>
            <w:vAlign w:val="bottom"/>
          </w:tcPr>
          <w:p>
            <w:pPr>
              <w:spacing w:after="0"/>
              <w:rPr>
                <w:sz w:val="1"/>
                <w:szCs w:val="1"/>
                <w:color w:val="auto"/>
              </w:rPr>
            </w:pPr>
          </w:p>
        </w:tc>
      </w:tr>
      <w:tr>
        <w:trPr>
          <w:trHeight w:val="215"/>
        </w:trPr>
        <w:tc>
          <w:tcPr>
            <w:tcW w:w="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Other</w:t>
            </w:r>
          </w:p>
        </w:tc>
        <w:tc>
          <w:tcPr>
            <w:tcW w:w="8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39,646</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21,940,410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22,912,893</w:t>
            </w:r>
          </w:p>
        </w:tc>
        <w:tc>
          <w:tcPr>
            <w:tcW w:w="0" w:type="dxa"/>
            <w:vAlign w:val="bottom"/>
          </w:tcPr>
          <w:p>
            <w:pPr>
              <w:spacing w:after="0"/>
              <w:rPr>
                <w:sz w:val="1"/>
                <w:szCs w:val="1"/>
                <w:color w:val="auto"/>
              </w:rPr>
            </w:pPr>
          </w:p>
        </w:tc>
      </w:tr>
      <w:tr>
        <w:trPr>
          <w:trHeight w:val="249"/>
        </w:trPr>
        <w:tc>
          <w:tcPr>
            <w:tcW w:w="700" w:type="dxa"/>
            <w:vAlign w:val="bottom"/>
            <w:shd w:val="clear" w:color="auto" w:fill="CCEEFF"/>
          </w:tcPr>
          <w:p>
            <w:pPr>
              <w:spacing w:after="0"/>
              <w:rPr>
                <w:sz w:val="21"/>
                <w:szCs w:val="21"/>
                <w:color w:val="auto"/>
              </w:rPr>
            </w:pPr>
          </w:p>
        </w:tc>
        <w:tc>
          <w:tcPr>
            <w:tcW w:w="82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40,927,596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r>
        <w:trPr>
          <w:trHeight w:val="195"/>
        </w:trPr>
        <w:tc>
          <w:tcPr>
            <w:tcW w:w="8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 of note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1,464,212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2,032,614</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195,762</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Payroll and related benefits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1,487,790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1,629,355</w:t>
            </w:r>
          </w:p>
        </w:tc>
        <w:tc>
          <w:tcPr>
            <w:tcW w:w="0" w:type="dxa"/>
            <w:vAlign w:val="bottom"/>
          </w:tcPr>
          <w:p>
            <w:pPr>
              <w:spacing w:after="0"/>
              <w:rPr>
                <w:sz w:val="1"/>
                <w:szCs w:val="1"/>
                <w:color w:val="auto"/>
              </w:rPr>
            </w:pPr>
          </w:p>
        </w:tc>
      </w:tr>
      <w:tr>
        <w:trPr>
          <w:trHeight w:val="215"/>
        </w:trPr>
        <w:tc>
          <w:tcPr>
            <w:tcW w:w="8900" w:type="dxa"/>
            <w:vAlign w:val="bottom"/>
            <w:gridSpan w:val="2"/>
          </w:tcPr>
          <w:p>
            <w:pPr>
              <w:ind w:left="400"/>
              <w:spacing w:after="0"/>
              <w:rPr>
                <w:sz w:val="20"/>
                <w:szCs w:val="20"/>
                <w:color w:val="auto"/>
              </w:rPr>
            </w:pPr>
            <w:r>
              <w:rPr>
                <w:rFonts w:ascii="Arial" w:cs="Arial" w:eastAsia="Arial" w:hAnsi="Arial"/>
                <w:sz w:val="18"/>
                <w:szCs w:val="18"/>
                <w:color w:val="auto"/>
              </w:rPr>
              <w:t>Deferred joint venture royalties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5"/>
        </w:trPr>
        <w:tc>
          <w:tcPr>
            <w:tcW w:w="8900" w:type="dxa"/>
            <w:vAlign w:val="bottom"/>
            <w:tcBorders>
              <w:bottom w:val="single" w:sz="8" w:color="CCEEFF"/>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258,251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182,916</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3,866,778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4,404,766</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NOTE PAYABLE, NET OF CURRENT PORTION (Note 6)</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952,444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1,009,533</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13)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gridSpan w:val="2"/>
          </w:tcPr>
          <w:p>
            <w:pPr>
              <w:ind w:left="14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89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5"/>
              </w:rPr>
              <w:t>Common stock, $0.02 par value per share; authorized 10,000,000 shares; issued and outstanding 4,401,656 and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4,353,058, respectively</w:t>
            </w: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88,033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15"/>
        </w:trPr>
        <w:tc>
          <w:tcPr>
            <w:tcW w:w="89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11,039,831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10,137,809</w:t>
            </w:r>
          </w:p>
        </w:tc>
        <w:tc>
          <w:tcPr>
            <w:tcW w:w="0" w:type="dxa"/>
            <w:vAlign w:val="bottom"/>
          </w:tcPr>
          <w:p>
            <w:pPr>
              <w:spacing w:after="0"/>
              <w:rPr>
                <w:sz w:val="1"/>
                <w:szCs w:val="1"/>
                <w:color w:val="auto"/>
              </w:rPr>
            </w:pPr>
          </w:p>
        </w:tc>
      </w:tr>
      <w:tr>
        <w:trPr>
          <w:trHeight w:val="215"/>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24,830,824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21,811,838</w:t>
            </w:r>
          </w:p>
        </w:tc>
        <w:tc>
          <w:tcPr>
            <w:tcW w:w="0" w:type="dxa"/>
            <w:vAlign w:val="bottom"/>
          </w:tcPr>
          <w:p>
            <w:pPr>
              <w:spacing w:after="0"/>
              <w:rPr>
                <w:sz w:val="1"/>
                <w:szCs w:val="1"/>
                <w:color w:val="auto"/>
              </w:rPr>
            </w:pPr>
          </w:p>
        </w:tc>
      </w:tr>
      <w:tr>
        <w:trPr>
          <w:trHeight w:val="215"/>
        </w:trPr>
        <w:tc>
          <w:tcPr>
            <w:tcW w:w="8900" w:type="dxa"/>
            <w:vAlign w:val="bottom"/>
            <w:tcBorders>
              <w:bottom w:val="single" w:sz="8" w:color="CCEEFF"/>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2,496,940</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35,892,970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34,533,648</w:t>
            </w:r>
          </w:p>
        </w:tc>
        <w:tc>
          <w:tcPr>
            <w:tcW w:w="0" w:type="dxa"/>
            <w:vAlign w:val="bottom"/>
          </w:tcPr>
          <w:p>
            <w:pPr>
              <w:spacing w:after="0"/>
              <w:rPr>
                <w:sz w:val="1"/>
                <w:szCs w:val="1"/>
                <w:color w:val="auto"/>
              </w:rPr>
            </w:pPr>
          </w:p>
        </w:tc>
      </w:tr>
      <w:tr>
        <w:trPr>
          <w:trHeight w:val="215"/>
        </w:trPr>
        <w:tc>
          <w:tcPr>
            <w:tcW w:w="8900" w:type="dxa"/>
            <w:vAlign w:val="bottom"/>
            <w:tcBorders>
              <w:bottom w:val="single" w:sz="8" w:color="CCEEFF"/>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36,108,374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34,625,443</w:t>
            </w:r>
          </w:p>
        </w:tc>
        <w:tc>
          <w:tcPr>
            <w:tcW w:w="0" w:type="dxa"/>
            <w:vAlign w:val="bottom"/>
          </w:tcPr>
          <w:p>
            <w:pPr>
              <w:spacing w:after="0"/>
              <w:rPr>
                <w:sz w:val="1"/>
                <w:szCs w:val="1"/>
                <w:color w:val="auto"/>
              </w:rPr>
            </w:pPr>
          </w:p>
        </w:tc>
      </w:tr>
      <w:tr>
        <w:trPr>
          <w:trHeight w:val="229"/>
        </w:trPr>
        <w:tc>
          <w:tcPr>
            <w:tcW w:w="700" w:type="dxa"/>
            <w:vAlign w:val="bottom"/>
            <w:shd w:val="clear" w:color="auto" w:fill="CCEEFF"/>
          </w:tcPr>
          <w:p>
            <w:pPr>
              <w:spacing w:after="0"/>
              <w:rPr>
                <w:sz w:val="19"/>
                <w:szCs w:val="19"/>
                <w:color w:val="auto"/>
              </w:rPr>
            </w:pPr>
          </w:p>
        </w:tc>
        <w:tc>
          <w:tcPr>
            <w:tcW w:w="8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40,927,596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MAY 31, 2012 AND 2011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2"/>
        </w:trPr>
        <w:tc>
          <w:tcPr>
            <w:tcW w:w="62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May 31, 2012</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0" w:type="dxa"/>
            <w:vAlign w:val="bottom"/>
          </w:tcPr>
          <w:p>
            <w:pPr>
              <w:spacing w:after="0"/>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sales, excluding joint ventures</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7,175,825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4,367,589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15,579,086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11,906,999</w:t>
            </w:r>
          </w:p>
        </w:tc>
        <w:tc>
          <w:tcPr>
            <w:tcW w:w="0" w:type="dxa"/>
            <w:vAlign w:val="bottom"/>
          </w:tcPr>
          <w:p>
            <w:pPr>
              <w:spacing w:after="0"/>
              <w:rPr>
                <w:sz w:val="1"/>
                <w:szCs w:val="1"/>
                <w:color w:val="auto"/>
              </w:rPr>
            </w:pPr>
          </w:p>
        </w:tc>
      </w:tr>
      <w:tr>
        <w:trPr>
          <w:trHeight w:val="215"/>
        </w:trPr>
        <w:tc>
          <w:tcPr>
            <w:tcW w:w="628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629,079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733,189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2,032,260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2,070,338</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7,804,904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5,100,778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17,611,346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13,977,337</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4,143,514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3,458,851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10,833,072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9,155,788</w:t>
            </w:r>
          </w:p>
        </w:tc>
        <w:tc>
          <w:tcPr>
            <w:tcW w:w="0" w:type="dxa"/>
            <w:vAlign w:val="bottom"/>
          </w:tcPr>
          <w:p>
            <w:pPr>
              <w:spacing w:after="0"/>
              <w:rPr>
                <w:sz w:val="1"/>
                <w:szCs w:val="1"/>
                <w:color w:val="auto"/>
              </w:rPr>
            </w:pPr>
          </w:p>
        </w:tc>
      </w:tr>
      <w:tr>
        <w:trPr>
          <w:trHeight w:val="209"/>
        </w:trPr>
        <w:tc>
          <w:tcPr>
            <w:tcW w:w="628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3,661,390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1,641,927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6,778,274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4,821,549</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income of joint ventures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1,822,972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1,724,477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4,405,327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4,549,267</w:t>
            </w:r>
          </w:p>
        </w:tc>
        <w:tc>
          <w:tcPr>
            <w:tcW w:w="0" w:type="dxa"/>
            <w:vAlign w:val="bottom"/>
          </w:tcPr>
          <w:p>
            <w:pPr>
              <w:spacing w:after="0"/>
              <w:rPr>
                <w:sz w:val="1"/>
                <w:szCs w:val="1"/>
                <w:color w:val="auto"/>
              </w:rPr>
            </w:pPr>
          </w:p>
        </w:tc>
      </w:tr>
      <w:tr>
        <w:trPr>
          <w:trHeight w:val="215"/>
        </w:trPr>
        <w:tc>
          <w:tcPr>
            <w:tcW w:w="6280" w:type="dxa"/>
            <w:vAlign w:val="bottom"/>
          </w:tcPr>
          <w:p>
            <w:pPr>
              <w:ind w:left="280"/>
              <w:spacing w:after="0"/>
              <w:rPr>
                <w:sz w:val="20"/>
                <w:szCs w:val="20"/>
                <w:color w:val="auto"/>
              </w:rPr>
            </w:pPr>
            <w:r>
              <w:rPr>
                <w:rFonts w:ascii="Arial" w:cs="Arial" w:eastAsia="Arial" w:hAnsi="Arial"/>
                <w:sz w:val="18"/>
                <w:szCs w:val="18"/>
                <w:color w:val="auto"/>
              </w:rPr>
              <w:t>Fees for services provided to joint ventures</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734,337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1,623,585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3,477,715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4,477,514</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joint venture operations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2,557,309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3,348,062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7,883,042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9,026,781</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1,270,996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1,167,630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3,088,237</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1,147,744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1,126,823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3,300,626</w:t>
            </w:r>
          </w:p>
        </w:tc>
        <w:tc>
          <w:tcPr>
            <w:tcW w:w="0" w:type="dxa"/>
            <w:vAlign w:val="bottom"/>
          </w:tcPr>
          <w:p>
            <w:pPr>
              <w:spacing w:after="0"/>
              <w:rPr>
                <w:sz w:val="1"/>
                <w:szCs w:val="1"/>
                <w:color w:val="auto"/>
              </w:rPr>
            </w:pPr>
          </w:p>
        </w:tc>
      </w:tr>
      <w:tr>
        <w:trPr>
          <w:trHeight w:val="215"/>
        </w:trPr>
        <w:tc>
          <w:tcPr>
            <w:tcW w:w="6280" w:type="dxa"/>
            <w:vAlign w:val="bottom"/>
          </w:tcPr>
          <w:p>
            <w:pPr>
              <w:ind w:left="280"/>
              <w:spacing w:after="0"/>
              <w:rPr>
                <w:sz w:val="20"/>
                <w:szCs w:val="20"/>
                <w:color w:val="auto"/>
              </w:rPr>
            </w:pPr>
            <w:r>
              <w:rPr>
                <w:rFonts w:ascii="Arial" w:cs="Arial" w:eastAsia="Arial" w:hAnsi="Arial"/>
                <w:sz w:val="18"/>
                <w:szCs w:val="18"/>
                <w:color w:val="auto"/>
              </w:rPr>
              <w:t>Expenses incurred in support of joint ventures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729,990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722,955</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1,067,454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1,207,889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2,856,536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3,308,515</w:t>
            </w:r>
          </w:p>
        </w:tc>
        <w:tc>
          <w:tcPr>
            <w:tcW w:w="0" w:type="dxa"/>
            <w:vAlign w:val="bottom"/>
          </w:tcPr>
          <w:p>
            <w:pPr>
              <w:spacing w:after="0"/>
              <w:rPr>
                <w:sz w:val="1"/>
                <w:szCs w:val="1"/>
                <w:color w:val="auto"/>
              </w:rPr>
            </w:pPr>
          </w:p>
        </w:tc>
      </w:tr>
      <w:tr>
        <w:trPr>
          <w:trHeight w:val="209"/>
        </w:trPr>
        <w:tc>
          <w:tcPr>
            <w:tcW w:w="628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3,780,363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3,747,301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10,498,659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10,420,333</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2,438,336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1,242,688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4,162,657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3,427,997</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2,454,623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1,250,155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4,200,035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3,408,248</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228,000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1,020,000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1,640,623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1,022,155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3,180,035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2,918,248</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NET INCOME (LOSS) ATTRIBUTABLE TO NON CONTROLLING INTEREST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186,586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45,879</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1,454,037</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1,023,549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3,018,987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2,872,369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tcPr>
          <w:p>
            <w:pPr>
              <w:ind w:left="980"/>
              <w:spacing w:after="0" w:line="195"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0.33</w:t>
            </w:r>
          </w:p>
        </w:tc>
        <w:tc>
          <w:tcPr>
            <w:tcW w:w="3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0.23</w:t>
            </w:r>
          </w:p>
        </w:tc>
        <w:tc>
          <w:tcPr>
            <w:tcW w:w="2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0.68</w:t>
            </w:r>
          </w:p>
        </w:tc>
        <w:tc>
          <w:tcPr>
            <w:tcW w:w="2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4,399,290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4,343,601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4,379,175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4,303,892</w:t>
            </w:r>
          </w:p>
        </w:tc>
        <w:tc>
          <w:tcPr>
            <w:tcW w:w="0" w:type="dxa"/>
            <w:vAlign w:val="bottom"/>
          </w:tcPr>
          <w:p>
            <w:pPr>
              <w:spacing w:after="0"/>
              <w:rPr>
                <w:sz w:val="1"/>
                <w:szCs w:val="1"/>
                <w:color w:val="auto"/>
              </w:rPr>
            </w:pPr>
          </w:p>
        </w:tc>
      </w:tr>
      <w:tr>
        <w:trPr>
          <w:trHeight w:val="195"/>
        </w:trPr>
        <w:tc>
          <w:tcPr>
            <w:tcW w:w="6280" w:type="dxa"/>
            <w:vAlign w:val="bottom"/>
          </w:tcPr>
          <w:p>
            <w:pPr>
              <w:ind w:left="980"/>
              <w:spacing w:after="0" w:line="195"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9"/>
              </w:rPr>
              <w:t>4,461,044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99"/>
              </w:rPr>
              <w:t>4,427,097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4,448,472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4,378,242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ind w:right="4180"/>
        <w:spacing w:after="0" w:line="264"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NINE MONTHS ENDED MAY 31, 2012 AND 2011</w:t>
      </w:r>
    </w:p>
    <w:tbl>
      <w:tblPr>
        <w:tblLayout w:type="fixed"/>
        <w:tblInd w:w="0" w:type="dxa"/>
        <w:tblCellMar>
          <w:top w:w="0" w:type="dxa"/>
          <w:left w:w="0" w:type="dxa"/>
          <w:bottom w:w="0" w:type="dxa"/>
          <w:right w:w="0" w:type="dxa"/>
        </w:tblCellMar>
      </w:tblPr>
      <w:tr>
        <w:trPr>
          <w:trHeight w:val="189"/>
        </w:trPr>
        <w:tc>
          <w:tcPr>
            <w:tcW w:w="75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180" w:type="dxa"/>
            <w:vAlign w:val="bottom"/>
            <w:tcBorders>
              <w:top w:val="single" w:sz="8" w:color="auto"/>
              <w:bottom w:val="single" w:sz="8" w:color="auto"/>
            </w:tcBorders>
            <w:gridSpan w:val="4"/>
          </w:tcPr>
          <w:p>
            <w:pPr>
              <w:jc w:val="right"/>
              <w:ind w:right="370"/>
              <w:spacing w:after="0" w:line="189"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9"/>
        </w:trPr>
        <w:tc>
          <w:tcPr>
            <w:tcW w:w="75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0" w:type="dxa"/>
            <w:vAlign w:val="bottom"/>
          </w:tcPr>
          <w:p>
            <w:pPr>
              <w:spacing w:after="0"/>
              <w:rPr>
                <w:sz w:val="1"/>
                <w:szCs w:val="1"/>
                <w:color w:val="auto"/>
              </w:rPr>
            </w:pPr>
          </w:p>
        </w:tc>
      </w:tr>
      <w:tr>
        <w:trPr>
          <w:trHeight w:val="209"/>
        </w:trPr>
        <w:tc>
          <w:tcPr>
            <w:tcW w:w="75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3,180,035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2,918,248</w:t>
            </w: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Expensing of fair value of stock options vested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150,109</w:t>
            </w:r>
          </w:p>
        </w:tc>
        <w:tc>
          <w:tcPr>
            <w:tcW w:w="0" w:type="dxa"/>
            <w:vAlign w:val="bottom"/>
          </w:tcPr>
          <w:p>
            <w:pPr>
              <w:spacing w:after="0"/>
              <w:rPr>
                <w:sz w:val="1"/>
                <w:szCs w:val="1"/>
                <w:color w:val="auto"/>
              </w:rPr>
            </w:pPr>
          </w:p>
        </w:tc>
      </w:tr>
      <w:tr>
        <w:trPr>
          <w:trHeight w:val="215"/>
        </w:trPr>
        <w:tc>
          <w:tcPr>
            <w:tcW w:w="7500" w:type="dxa"/>
            <w:vAlign w:val="bottom"/>
          </w:tcPr>
          <w:p>
            <w:pPr>
              <w:ind w:left="620"/>
              <w:spacing w:after="0"/>
              <w:rPr>
                <w:sz w:val="20"/>
                <w:szCs w:val="20"/>
                <w:color w:val="auto"/>
              </w:rPr>
            </w:pPr>
            <w:r>
              <w:rPr>
                <w:rFonts w:ascii="Arial" w:cs="Arial" w:eastAsia="Arial" w:hAnsi="Arial"/>
                <w:sz w:val="18"/>
                <w:szCs w:val="18"/>
                <w:color w:val="auto"/>
              </w:rPr>
              <w:t>Depreciation expense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255,641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250,076</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Amortization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113,624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118,670</w:t>
            </w:r>
          </w:p>
        </w:tc>
        <w:tc>
          <w:tcPr>
            <w:tcW w:w="0" w:type="dxa"/>
            <w:vAlign w:val="bottom"/>
          </w:tcPr>
          <w:p>
            <w:pPr>
              <w:spacing w:after="0"/>
              <w:rPr>
                <w:sz w:val="1"/>
                <w:szCs w:val="1"/>
                <w:color w:val="auto"/>
              </w:rPr>
            </w:pPr>
          </w:p>
        </w:tc>
      </w:tr>
      <w:tr>
        <w:trPr>
          <w:trHeight w:val="215"/>
        </w:trPr>
        <w:tc>
          <w:tcPr>
            <w:tcW w:w="7500" w:type="dxa"/>
            <w:vAlign w:val="bottom"/>
          </w:tcPr>
          <w:p>
            <w:pPr>
              <w:ind w:left="620"/>
              <w:spacing w:after="0"/>
              <w:rPr>
                <w:sz w:val="20"/>
                <w:szCs w:val="20"/>
                <w:color w:val="auto"/>
              </w:rPr>
            </w:pPr>
            <w:r>
              <w:rPr>
                <w:rFonts w:ascii="Arial" w:cs="Arial" w:eastAsia="Arial" w:hAnsi="Arial"/>
                <w:sz w:val="18"/>
                <w:szCs w:val="18"/>
                <w:color w:val="auto"/>
              </w:rPr>
              <w:t>Equity in income from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(4,405,327)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(4,549,267)</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on sale of property and equipment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Changes in current assets and liabilities: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Receivables: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940"/>
              <w:spacing w:after="0"/>
              <w:rPr>
                <w:sz w:val="20"/>
                <w:szCs w:val="20"/>
                <w:color w:val="auto"/>
              </w:rPr>
            </w:pPr>
            <w:r>
              <w:rPr>
                <w:rFonts w:ascii="Arial" w:cs="Arial" w:eastAsia="Arial" w:hAnsi="Arial"/>
                <w:sz w:val="18"/>
                <w:szCs w:val="18"/>
                <w:color w:val="auto"/>
              </w:rPr>
              <w:t>Trade, excluding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(101,866)</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Trade, joint ventures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226,269</w:t>
            </w:r>
          </w:p>
        </w:tc>
        <w:tc>
          <w:tcPr>
            <w:tcW w:w="0" w:type="dxa"/>
            <w:vAlign w:val="bottom"/>
          </w:tcPr>
          <w:p>
            <w:pPr>
              <w:spacing w:after="0"/>
              <w:rPr>
                <w:sz w:val="1"/>
                <w:szCs w:val="1"/>
                <w:color w:val="auto"/>
              </w:rPr>
            </w:pPr>
          </w:p>
        </w:tc>
      </w:tr>
      <w:tr>
        <w:trPr>
          <w:trHeight w:val="215"/>
        </w:trPr>
        <w:tc>
          <w:tcPr>
            <w:tcW w:w="7500" w:type="dxa"/>
            <w:vAlign w:val="bottom"/>
          </w:tcPr>
          <w:p>
            <w:pPr>
              <w:ind w:left="940"/>
              <w:spacing w:after="0"/>
              <w:rPr>
                <w:sz w:val="20"/>
                <w:szCs w:val="20"/>
                <w:color w:val="auto"/>
              </w:rPr>
            </w:pPr>
            <w:r>
              <w:rPr>
                <w:rFonts w:ascii="Arial" w:cs="Arial" w:eastAsia="Arial" w:hAnsi="Arial"/>
                <w:sz w:val="18"/>
                <w:szCs w:val="18"/>
                <w:color w:val="auto"/>
              </w:rPr>
              <w:t>Fees for services receivables,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(666,807)</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(763,834)</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(132,879)</w:t>
            </w:r>
          </w:p>
        </w:tc>
        <w:tc>
          <w:tcPr>
            <w:tcW w:w="0" w:type="dxa"/>
            <w:vAlign w:val="bottom"/>
          </w:tcPr>
          <w:p>
            <w:pPr>
              <w:spacing w:after="0"/>
              <w:rPr>
                <w:sz w:val="1"/>
                <w:szCs w:val="1"/>
                <w:color w:val="auto"/>
              </w:rPr>
            </w:pPr>
          </w:p>
        </w:tc>
      </w:tr>
      <w:tr>
        <w:trPr>
          <w:trHeight w:val="215"/>
        </w:trPr>
        <w:tc>
          <w:tcPr>
            <w:tcW w:w="750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(92,502)</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 payable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202,312</w:t>
            </w:r>
          </w:p>
        </w:tc>
        <w:tc>
          <w:tcPr>
            <w:tcW w:w="0" w:type="dxa"/>
            <w:vAlign w:val="bottom"/>
          </w:tcPr>
          <w:p>
            <w:pPr>
              <w:spacing w:after="0"/>
              <w:rPr>
                <w:sz w:val="1"/>
                <w:szCs w:val="1"/>
                <w:color w:val="auto"/>
              </w:rPr>
            </w:pPr>
          </w:p>
        </w:tc>
      </w:tr>
      <w:tr>
        <w:trPr>
          <w:trHeight w:val="215"/>
        </w:trPr>
        <w:tc>
          <w:tcPr>
            <w:tcW w:w="7500" w:type="dxa"/>
            <w:vAlign w:val="bottom"/>
          </w:tcPr>
          <w:p>
            <w:pPr>
              <w:ind w:left="800"/>
              <w:spacing w:after="0"/>
              <w:rPr>
                <w:sz w:val="20"/>
                <w:szCs w:val="20"/>
                <w:color w:val="auto"/>
              </w:rPr>
            </w:pPr>
            <w:r>
              <w:rPr>
                <w:rFonts w:ascii="Arial" w:cs="Arial" w:eastAsia="Arial" w:hAnsi="Arial"/>
                <w:sz w:val="18"/>
                <w:szCs w:val="18"/>
                <w:color w:val="auto"/>
              </w:rPr>
              <w:t>Accrued liabilities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571,824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680,515</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(1,172,924)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(1,813,381)</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Investment in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received from joint ventures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3,045,544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2,767,977</w:t>
            </w: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Additions to property and equipment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(437,613)</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Additions to patents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(104,562)</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Net cash provided by investing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2,287,585</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Repayment of note payable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(40,240)</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employee stock purchase plan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36,726</w:t>
            </w:r>
          </w:p>
        </w:tc>
        <w:tc>
          <w:tcPr>
            <w:tcW w:w="0" w:type="dxa"/>
            <w:vAlign w:val="bottom"/>
          </w:tcPr>
          <w:p>
            <w:pPr>
              <w:spacing w:after="0"/>
              <w:rPr>
                <w:sz w:val="1"/>
                <w:szCs w:val="1"/>
                <w:color w:val="auto"/>
              </w:rPr>
            </w:pPr>
          </w:p>
        </w:tc>
      </w:tr>
      <w:tr>
        <w:trPr>
          <w:trHeight w:val="215"/>
        </w:trPr>
        <w:tc>
          <w:tcPr>
            <w:tcW w:w="7500" w:type="dxa"/>
            <w:vAlign w:val="bottom"/>
          </w:tcPr>
          <w:p>
            <w:pPr>
              <w:ind w:left="460"/>
              <w:spacing w:after="0"/>
              <w:rPr>
                <w:sz w:val="20"/>
                <w:szCs w:val="20"/>
                <w:color w:val="auto"/>
              </w:rPr>
            </w:pPr>
            <w:r>
              <w:rPr>
                <w:rFonts w:ascii="Arial" w:cs="Arial" w:eastAsia="Arial" w:hAnsi="Arial"/>
                <w:sz w:val="18"/>
                <w:szCs w:val="18"/>
                <w:color w:val="auto"/>
              </w:rPr>
              <w:t>Proceeds from exercise of stock options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406,431</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402,917</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23,638</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1,199,536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900,759</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3,266,362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1,776,162</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4,465,898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2,676,921</w:t>
            </w:r>
          </w:p>
        </w:tc>
        <w:tc>
          <w:tcPr>
            <w:tcW w:w="0" w:type="dxa"/>
            <w:vAlign w:val="bottom"/>
          </w:tcPr>
          <w:p>
            <w:pPr>
              <w:spacing w:after="0"/>
              <w:rPr>
                <w:sz w:val="1"/>
                <w:szCs w:val="1"/>
                <w:color w:val="auto"/>
              </w:rPr>
            </w:pPr>
          </w:p>
        </w:tc>
      </w:tr>
      <w:tr>
        <w:trPr>
          <w:trHeight w:val="438"/>
        </w:trPr>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financial statements.</w:t>
            </w:r>
          </w:p>
        </w:tc>
        <w:tc>
          <w:tcPr>
            <w:tcW w:w="15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500" w:type="dxa"/>
            <w:vAlign w:val="bottom"/>
          </w:tcPr>
          <w:p>
            <w:pPr>
              <w:ind w:left="5660"/>
              <w:spacing w:after="0"/>
              <w:rPr>
                <w:sz w:val="20"/>
                <w:szCs w:val="20"/>
                <w:color w:val="auto"/>
              </w:rPr>
            </w:pPr>
            <w:r>
              <w:rPr>
                <w:rFonts w:ascii="Arial" w:cs="Arial" w:eastAsia="Arial" w:hAnsi="Arial"/>
                <w:sz w:val="18"/>
                <w:szCs w:val="18"/>
                <w:color w:val="auto"/>
              </w:rPr>
              <w:t>5</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750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6" w:name="page7"/>
    <w:bookmarkEnd w:id="6"/>
    <w:p>
      <w:pPr>
        <w:ind w:right="4180"/>
        <w:spacing w:after="0" w:line="280"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89"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4"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2012 and August 31, 2011 and the results of their operations for the three and nine months ended May 31, 2012 and 2011 and their cash flows for the nine months ended May 31, 2012 and 2011, in conformity with accounting principles generally accepted in the United States of America (U.S. GAAP).</w:t>
      </w:r>
    </w:p>
    <w:p>
      <w:pPr>
        <w:spacing w:after="0" w:line="18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2011. These consolidated financial statements also should be read in conjunction with the “Management’s Discussion and Analysis of Financial Condition and Results of Operations” section appearing in this report.</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Operating results for the three and nine months ended May 31, 2012 are not necessarily indicative of the results that may be expected for the full fiscal year ending August 31, 2012.</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5460" w:type="dxa"/>
            <w:vAlign w:val="bottom"/>
          </w:tcPr>
          <w:p>
            <w:pPr>
              <w:ind w:left="260"/>
              <w:spacing w:after="0"/>
              <w:rPr>
                <w:sz w:val="20"/>
                <w:szCs w:val="20"/>
                <w:color w:val="auto"/>
              </w:rPr>
            </w:pPr>
            <w:r>
              <w:rPr>
                <w:rFonts w:ascii="Arial" w:cs="Arial" w:eastAsia="Arial" w:hAnsi="Arial"/>
                <w:sz w:val="18"/>
                <w:szCs w:val="18"/>
                <w:b w:val="1"/>
                <w:bCs w:val="1"/>
                <w:color w:val="auto"/>
              </w:rPr>
              <w:t>INVENTORIES</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7"/>
        </w:trPr>
        <w:tc>
          <w:tcPr>
            <w:tcW w:w="58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7"/>
        </w:trPr>
        <w:tc>
          <w:tcPr>
            <w:tcW w:w="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160" w:type="dxa"/>
            <w:vAlign w:val="bottom"/>
            <w:gridSpan w:val="3"/>
          </w:tcPr>
          <w:p>
            <w:pPr>
              <w:ind w:left="3060"/>
              <w:spacing w:after="0"/>
              <w:rPr>
                <w:sz w:val="20"/>
                <w:szCs w:val="20"/>
                <w:color w:val="auto"/>
              </w:rPr>
            </w:pPr>
            <w:r>
              <w:rPr>
                <w:rFonts w:ascii="Arial" w:cs="Arial" w:eastAsia="Arial" w:hAnsi="Arial"/>
                <w:sz w:val="18"/>
                <w:szCs w:val="18"/>
                <w:b w:val="1"/>
                <w:bCs w:val="1"/>
                <w:color w:val="auto"/>
                <w:w w:val="98"/>
              </w:rPr>
              <w:t>May 31, 2012</w:t>
            </w: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r>
      <w:tr>
        <w:trPr>
          <w:trHeight w:val="20"/>
        </w:trPr>
        <w:tc>
          <w:tcPr>
            <w:tcW w:w="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1,189,455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1,320,082</w:t>
            </w:r>
          </w:p>
        </w:tc>
      </w:tr>
      <w:tr>
        <w:trPr>
          <w:trHeight w:val="215"/>
        </w:trPr>
        <w:tc>
          <w:tcPr>
            <w:tcW w:w="58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2,695,149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2,522,772</w:t>
            </w:r>
          </w:p>
        </w:tc>
      </w:tr>
      <w:tr>
        <w:trPr>
          <w:trHeight w:val="229"/>
        </w:trPr>
        <w:tc>
          <w:tcPr>
            <w:tcW w:w="38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3,884,604</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3,842,854</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5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906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00" w:type="dxa"/>
            <w:vAlign w:val="bottom"/>
          </w:tcPr>
          <w:p>
            <w:pPr>
              <w:spacing w:after="0"/>
              <w:rPr>
                <w:sz w:val="24"/>
                <w:szCs w:val="24"/>
                <w:color w:val="auto"/>
              </w:rPr>
            </w:pPr>
          </w:p>
        </w:tc>
        <w:tc>
          <w:tcPr>
            <w:tcW w:w="9500" w:type="dxa"/>
            <w:vAlign w:val="bottom"/>
            <w:gridSpan w:val="3"/>
          </w:tcPr>
          <w:p>
            <w:pPr>
              <w:ind w:left="8400"/>
              <w:spacing w:after="0"/>
              <w:rPr>
                <w:sz w:val="20"/>
                <w:szCs w:val="20"/>
                <w:color w:val="auto"/>
              </w:rPr>
            </w:pPr>
            <w:r>
              <w:rPr>
                <w:rFonts w:ascii="Arial" w:cs="Arial" w:eastAsia="Arial" w:hAnsi="Arial"/>
                <w:sz w:val="18"/>
                <w:szCs w:val="18"/>
                <w:b w:val="1"/>
                <w:bCs w:val="1"/>
                <w:color w:val="auto"/>
                <w:w w:val="98"/>
              </w:rPr>
              <w:t>May 31, 2012</w:t>
            </w: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560" w:type="dxa"/>
            <w:vAlign w:val="bottom"/>
            <w:gridSpan w:val="2"/>
            <w:shd w:val="clear" w:color="auto" w:fill="CCEEFF"/>
          </w:tcPr>
          <w:p>
            <w:pPr>
              <w:ind w:left="8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5"/>
        </w:trPr>
        <w:tc>
          <w:tcPr>
            <w:tcW w:w="906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3,114,367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3,110,867</w:t>
            </w:r>
          </w:p>
        </w:tc>
        <w:tc>
          <w:tcPr>
            <w:tcW w:w="0" w:type="dxa"/>
            <w:vAlign w:val="bottom"/>
          </w:tcPr>
          <w:p>
            <w:pPr>
              <w:spacing w:after="0"/>
              <w:rPr>
                <w:sz w:val="1"/>
                <w:szCs w:val="1"/>
                <w:color w:val="auto"/>
              </w:rPr>
            </w:pPr>
          </w:p>
        </w:tc>
      </w:tr>
      <w:tr>
        <w:trPr>
          <w:trHeight w:val="215"/>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2,572,630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2,213,269</w:t>
            </w:r>
          </w:p>
        </w:tc>
        <w:tc>
          <w:tcPr>
            <w:tcW w:w="0" w:type="dxa"/>
            <w:vAlign w:val="bottom"/>
          </w:tcPr>
          <w:p>
            <w:pPr>
              <w:spacing w:after="0"/>
              <w:rPr>
                <w:sz w:val="1"/>
                <w:szCs w:val="1"/>
                <w:color w:val="auto"/>
              </w:rPr>
            </w:pPr>
          </w:p>
        </w:tc>
      </w:tr>
      <w:tr>
        <w:trPr>
          <w:trHeight w:val="209"/>
        </w:trPr>
        <w:tc>
          <w:tcPr>
            <w:tcW w:w="5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5,997,362</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5,634,501</w:t>
            </w:r>
          </w:p>
        </w:tc>
        <w:tc>
          <w:tcPr>
            <w:tcW w:w="0" w:type="dxa"/>
            <w:vAlign w:val="bottom"/>
          </w:tcPr>
          <w:p>
            <w:pPr>
              <w:spacing w:after="0"/>
              <w:rPr>
                <w:sz w:val="1"/>
                <w:szCs w:val="1"/>
                <w:color w:val="auto"/>
              </w:rPr>
            </w:pPr>
          </w:p>
        </w:tc>
      </w:tr>
      <w:tr>
        <w:trPr>
          <w:trHeight w:val="215"/>
        </w:trPr>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(2,244,347)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(1,998,166)</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8560" w:type="dxa"/>
            <w:vAlign w:val="bottom"/>
            <w:gridSpan w:val="2"/>
          </w:tcPr>
          <w:p>
            <w:pPr>
              <w:ind w:left="84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3,753,015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3,636,335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00" w:type="dxa"/>
            <w:vAlign w:val="bottom"/>
            <w:vMerge w:val="restart"/>
          </w:tcPr>
          <w:p>
            <w:pPr>
              <w:ind w:left="516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50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00" w:type="dxa"/>
            <w:vAlign w:val="bottom"/>
          </w:tcPr>
          <w:p>
            <w:pPr>
              <w:spacing w:after="0"/>
              <w:rPr>
                <w:sz w:val="9"/>
                <w:szCs w:val="9"/>
                <w:color w:val="auto"/>
              </w:rPr>
            </w:pPr>
          </w:p>
        </w:tc>
        <w:tc>
          <w:tcPr>
            <w:tcW w:w="8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500" w:type="dxa"/>
            <w:vAlign w:val="bottom"/>
            <w:shd w:val="clear" w:color="auto" w:fill="808080"/>
          </w:tcPr>
          <w:p>
            <w:pPr>
              <w:spacing w:after="0"/>
              <w:rPr>
                <w:sz w:val="5"/>
                <w:szCs w:val="5"/>
                <w:color w:val="auto"/>
              </w:rPr>
            </w:pPr>
          </w:p>
        </w:tc>
        <w:tc>
          <w:tcPr>
            <w:tcW w:w="8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040" w:type="dxa"/>
            <w:vAlign w:val="bottom"/>
          </w:tcPr>
          <w:p>
            <w:pPr>
              <w:ind w:left="260"/>
              <w:spacing w:after="0"/>
              <w:rPr>
                <w:sz w:val="20"/>
                <w:szCs w:val="20"/>
                <w:color w:val="auto"/>
              </w:rPr>
            </w:pPr>
            <w:r>
              <w:rPr>
                <w:rFonts w:ascii="Arial" w:cs="Arial" w:eastAsia="Arial" w:hAnsi="Arial"/>
                <w:sz w:val="18"/>
                <w:szCs w:val="18"/>
                <w:b w:val="1"/>
                <w:bCs w:val="1"/>
                <w:color w:val="auto"/>
              </w:rPr>
              <w:t>PATENTS AND TRADEMARKS, NET</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7"/>
        </w:trPr>
        <w:tc>
          <w:tcPr>
            <w:tcW w:w="64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7"/>
        </w:trPr>
        <w:tc>
          <w:tcPr>
            <w:tcW w:w="3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580" w:type="dxa"/>
            <w:vAlign w:val="bottom"/>
            <w:gridSpan w:val="3"/>
          </w:tcPr>
          <w:p>
            <w:pPr>
              <w:ind w:left="2480"/>
              <w:spacing w:after="0"/>
              <w:rPr>
                <w:sz w:val="20"/>
                <w:szCs w:val="20"/>
                <w:color w:val="auto"/>
              </w:rPr>
            </w:pPr>
            <w:r>
              <w:rPr>
                <w:rFonts w:ascii="Arial" w:cs="Arial" w:eastAsia="Arial" w:hAnsi="Arial"/>
                <w:sz w:val="18"/>
                <w:szCs w:val="18"/>
                <w:b w:val="1"/>
                <w:bCs w:val="1"/>
                <w:color w:val="auto"/>
                <w:w w:val="98"/>
              </w:rPr>
              <w:t>May 31, 2012</w:t>
            </w: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3"/>
              </w:rPr>
              <w:t>August 31, 2011</w:t>
            </w:r>
          </w:p>
        </w:tc>
      </w:tr>
      <w:tr>
        <w:trPr>
          <w:trHeight w:val="20"/>
        </w:trPr>
        <w:tc>
          <w:tcPr>
            <w:tcW w:w="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1,884,277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1,758,722</w:t>
            </w:r>
          </w:p>
        </w:tc>
      </w:tr>
      <w:tr>
        <w:trPr>
          <w:trHeight w:val="215"/>
        </w:trPr>
        <w:tc>
          <w:tcPr>
            <w:tcW w:w="64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(969,308)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(855,684)</w:t>
            </w:r>
          </w:p>
        </w:tc>
      </w:tr>
      <w:tr>
        <w:trPr>
          <w:trHeight w:val="229"/>
        </w:trPr>
        <w:tc>
          <w:tcPr>
            <w:tcW w:w="38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914,969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903,038</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05"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97" w:lineRule="exact"/>
        <w:rPr>
          <w:sz w:val="20"/>
          <w:szCs w:val="20"/>
          <w:color w:val="auto"/>
        </w:rPr>
      </w:pPr>
    </w:p>
    <w:p>
      <w:pPr>
        <w:ind w:right="440"/>
        <w:spacing w:after="0" w:line="285"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(EXCOR), the Company’s joint venture holding company in the Association of Southeast Asian Nations, or ASEAN, region, NTI ASEAN, LLC (NTI ASEAN), and all of the Company’s other joint ventures,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May 31, 2012</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9"/>
        </w:trPr>
        <w:tc>
          <w:tcPr>
            <w:tcW w:w="69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0"/>
        </w:trPr>
        <w:tc>
          <w:tcPr>
            <w:tcW w:w="6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$59,125,651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20,895,752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14,699,407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23,530,492</w:t>
            </w: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65,526,514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23,359,024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14,835,666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27,331,824</w:t>
            </w:r>
          </w:p>
        </w:tc>
      </w:tr>
      <w:tr>
        <w:trPr>
          <w:trHeight w:val="21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19,144,766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3,652,576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5,515,678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9,976,512</w:t>
            </w: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4,608,886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1,027,686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3,581,200</w:t>
            </w:r>
          </w:p>
        </w:tc>
      </w:tr>
      <w:tr>
        <w:trPr>
          <w:trHeight w:val="21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$41,772,862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19,706,448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8,292,302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13,774,112</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87"/>
              </w:rPr>
              <w:t>$19,568,795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9,853,226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3,331,153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6,383,771</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August 31, 2011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9"/>
        </w:trPr>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0"/>
        </w:trPr>
        <w:tc>
          <w:tcPr>
            <w:tcW w:w="6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$66,956,061</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$ 24,411,880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14,565,219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27,978,962</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73,155,916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27,093,874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14,759,582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31,302,460</w:t>
            </w:r>
          </w:p>
        </w:tc>
      </w:tr>
      <w:tr>
        <w:trPr>
          <w:trHeight w:val="215"/>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24,712,555</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5,145,239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6,123,684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13,443,632</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4,605,837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1,020,034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3,585,803</w:t>
            </w:r>
          </w:p>
        </w:tc>
      </w:tr>
      <w:tr>
        <w:trPr>
          <w:trHeight w:val="215"/>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$43,837,524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$21,948,635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7,615,864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14,273,025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$20,559,509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$10,931,819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2,803,194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6,824,496</w:t>
            </w:r>
          </w:p>
        </w:tc>
      </w:tr>
      <w:tr>
        <w:trPr>
          <w:trHeight w:val="591"/>
        </w:trPr>
        <w:tc>
          <w:tcPr>
            <w:tcW w:w="6400" w:type="dxa"/>
            <w:vAlign w:val="bottom"/>
          </w:tcPr>
          <w:p>
            <w:pPr>
              <w:ind w:left="56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4"/>
        </w:trPr>
        <w:tc>
          <w:tcPr>
            <w:tcW w:w="6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0"/>
        </w:trPr>
        <w:tc>
          <w:tcPr>
            <w:tcW w:w="64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9"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Nine Months Ended May 31, 2012</w:t>
            </w:r>
          </w:p>
        </w:tc>
        <w:tc>
          <w:tcPr>
            <w:tcW w:w="940" w:type="dxa"/>
            <w:vAlign w:val="bottom"/>
            <w:tcBorders>
              <w:bottom w:val="single" w:sz="8" w:color="auto"/>
            </w:tcBorders>
          </w:tcPr>
          <w:p>
            <w:pPr>
              <w:spacing w:after="0"/>
              <w:rPr>
                <w:sz w:val="20"/>
                <w:szCs w:val="20"/>
                <w:color w:val="auto"/>
              </w:rPr>
            </w:pPr>
          </w:p>
        </w:tc>
      </w:tr>
      <w:tr>
        <w:trPr>
          <w:trHeight w:val="209"/>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83,746,872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25,785,840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16,366,258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41,594,775</w:t>
            </w:r>
          </w:p>
        </w:tc>
      </w:tr>
      <w:tr>
        <w:trPr>
          <w:trHeight w:val="215"/>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40,201,265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13,423,067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7,183,786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19,594,413</w:t>
            </w:r>
          </w:p>
        </w:tc>
      </w:tr>
      <w:tr>
        <w:trPr>
          <w:trHeight w:val="215"/>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8,165,791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4,830,477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1,941,417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1,393,897</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4,405,327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2,396,596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1,076,230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932,501</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Nine Months Ended May 31, 2011</w:t>
            </w:r>
          </w:p>
        </w:tc>
        <w:tc>
          <w:tcPr>
            <w:tcW w:w="940" w:type="dxa"/>
            <w:vAlign w:val="bottom"/>
            <w:tcBorders>
              <w:bottom w:val="single" w:sz="8" w:color="auto"/>
            </w:tcBorders>
          </w:tcPr>
          <w:p>
            <w:pPr>
              <w:spacing w:after="0"/>
              <w:rPr>
                <w:sz w:val="20"/>
                <w:szCs w:val="20"/>
                <w:color w:val="auto"/>
              </w:rPr>
            </w:pPr>
          </w:p>
        </w:tc>
      </w:tr>
      <w:tr>
        <w:trPr>
          <w:trHeight w:val="209"/>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86,744,626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28,036,295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13,549,082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45,159,249</w:t>
            </w:r>
          </w:p>
        </w:tc>
      </w:tr>
      <w:tr>
        <w:trPr>
          <w:trHeight w:val="215"/>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40,134,048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14,027,762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6,477,234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19,629,052</w:t>
            </w:r>
          </w:p>
        </w:tc>
      </w:tr>
      <w:tr>
        <w:trPr>
          <w:trHeight w:val="215"/>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8,781,500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5,311,273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1,160,579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2,309,648</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4,549,267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2,550,188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912,449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1,086,630</w:t>
            </w:r>
          </w:p>
        </w:tc>
      </w:tr>
    </w:tbl>
    <w:p>
      <w:pPr>
        <w:spacing w:after="0" w:line="213"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nine months ended May 31, 2012 and 2011, except as set forth below.</w:t>
      </w:r>
    </w:p>
    <w:p>
      <w:pPr>
        <w:spacing w:after="0" w:line="25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In December 2010, the Company invested $38,217 in its joint venture in Russia to specifically engage in the oil and gas industry. The Company has a 50% ownership interest in such joint venture.</w:t>
      </w:r>
    </w:p>
    <w:p>
      <w:pPr>
        <w:spacing w:after="0" w:line="194"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As of May 31, 2012, Northern Technologies Holding Company, LLC (NTI LLC) had a term loan with a principal amount of $1,028,563 outstanding that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a revolving line of credit with PNC Bank of $3,000,000 that expires on January 9, 2013. No amounts were outstanding under the line of credit as of May 31, 2012 and August 31, 2011. It is anticipated that the Company will renew the line of credit prior to the January 9, 2013 expiration date.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May 31, 2012, the interest rate was 3.20% and the weighted average rate was 3.16% for the nine months ended May 31, 2012. As of May 31, 2011, the interest rate was 2.50% and the weighted average rate was 2.43% for the nine months ended May 31, 2011. The revolving line of credit is secured by cash, receivables and inventory.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May 31, 2012 the Company is in compliance with all debt covenants.</w:t>
      </w:r>
    </w:p>
    <w:p>
      <w:pPr>
        <w:spacing w:after="0" w:line="21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January 10, 2012, the Company and PNC Bank entered into a Waiver and First Amendment to Loan Documents pursuant to which the Company and PNC Bank amended the loan agreement and other documents evidencing the Company’s $3,000,000 line of credit with PNC Bank effective as of January 11, 2012 to extend the maturity date of the line of credit from January 10, 2012 to January 9, 2013, and waive a technical covenant default by the Company to deliver a compliance certificate for the period ended November 30, 2011. All other terms of the line of credit and the loan agreement and other documents evidencing the line of credit remain the same.</w:t>
      </w:r>
    </w:p>
    <w:p>
      <w:pPr>
        <w:spacing w:after="0" w:line="21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4"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During the nine months ended May 31, 2012, the Company did not purchase or retire any shares of its common stock. The following stock options to purchase shares of common stock were exercised during the nine months ended May 31, 2012:</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29"/>
        </w:trPr>
        <w:tc>
          <w:tcPr>
            <w:tcW w:w="2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Options Exercised</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Exercise Price</w:t>
            </w:r>
          </w:p>
        </w:tc>
      </w:tr>
      <w:tr>
        <w:trPr>
          <w:trHeight w:val="209"/>
        </w:trPr>
        <w:tc>
          <w:tcPr>
            <w:tcW w:w="28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1,966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7.65</w:t>
            </w:r>
          </w:p>
        </w:tc>
      </w:tr>
    </w:tbl>
    <w:p>
      <w:pPr>
        <w:spacing w:after="0" w:line="228"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Company granted stock options under the Northern Technologies International Corporation Amended and Restated 2007 Stock Incentive Plan (the 2007 Plan) to purchase an aggregate of 26,000 shares of its common stock to directors during the nine months ended May 31, 2012. The per share exercise price of the stock options is $16.45, which is equal to the fair market value of the Company’s common stock on the date of grant.</w:t>
      </w:r>
    </w:p>
    <w:p>
      <w:pPr>
        <w:spacing w:after="0" w:line="19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During the nine months ended May 31, 2012, the Company granted stock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bonuses granted during the nine months ended May 31, 2012 was based on fiscal 2011 performance and was included in accrued liabilities at August 31, 2011.</w:t>
      </w:r>
    </w:p>
    <w:p>
      <w:pPr>
        <w:spacing w:after="0" w:line="18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During the nine months ended May 31, 2011, the Company did not purchase or retire any shares of its common stock. The following stock options to purchase shares of common stock were exercised during the nine months ended May 31, 2011:</w:t>
      </w:r>
    </w:p>
    <w:p>
      <w:pPr>
        <w:spacing w:after="0" w:line="211" w:lineRule="exact"/>
        <w:rPr>
          <w:sz w:val="20"/>
          <w:szCs w:val="20"/>
          <w:color w:val="auto"/>
        </w:rPr>
      </w:pPr>
    </w:p>
    <w:tbl>
      <w:tblPr>
        <w:tblLayout w:type="fixed"/>
        <w:tblInd w:w="2880" w:type="dxa"/>
        <w:tblCellMar>
          <w:top w:w="0" w:type="dxa"/>
          <w:left w:w="0" w:type="dxa"/>
          <w:bottom w:w="0" w:type="dxa"/>
          <w:right w:w="0" w:type="dxa"/>
        </w:tblCellMar>
      </w:tblPr>
      <w:tr>
        <w:trPr>
          <w:trHeight w:val="229"/>
        </w:trPr>
        <w:tc>
          <w:tcPr>
            <w:tcW w:w="2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Options Exercised</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Exercise Price</w:t>
            </w:r>
          </w:p>
        </w:tc>
      </w:tr>
      <w:tr>
        <w:trPr>
          <w:trHeight w:val="209"/>
        </w:trPr>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5.38</w:t>
            </w:r>
          </w:p>
        </w:tc>
      </w:tr>
      <w:tr>
        <w:trPr>
          <w:trHeight w:val="215"/>
        </w:trPr>
        <w:tc>
          <w:tcPr>
            <w:tcW w:w="284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7.65</w:t>
            </w:r>
          </w:p>
        </w:tc>
      </w:tr>
      <w:tr>
        <w:trPr>
          <w:trHeight w:val="215"/>
        </w:trPr>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7.75</w:t>
            </w:r>
          </w:p>
        </w:tc>
      </w:tr>
      <w:tr>
        <w:trPr>
          <w:trHeight w:val="215"/>
        </w:trPr>
        <w:tc>
          <w:tcPr>
            <w:tcW w:w="284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8.01</w:t>
            </w:r>
          </w:p>
        </w:tc>
      </w:tr>
      <w:tr>
        <w:trPr>
          <w:trHeight w:val="215"/>
        </w:trPr>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8.57</w:t>
            </w:r>
          </w:p>
        </w:tc>
      </w:tr>
      <w:tr>
        <w:trPr>
          <w:trHeight w:val="215"/>
        </w:trPr>
        <w:tc>
          <w:tcPr>
            <w:tcW w:w="2840" w:type="dxa"/>
            <w:vAlign w:val="bottom"/>
          </w:tcPr>
          <w:p>
            <w:pPr>
              <w:jc w:val="right"/>
              <w:ind w:right="130"/>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9.75</w:t>
            </w:r>
          </w:p>
        </w:tc>
      </w:tr>
      <w:tr>
        <w:trPr>
          <w:trHeight w:val="215"/>
        </w:trPr>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9.76</w:t>
            </w:r>
          </w:p>
        </w:tc>
      </w:tr>
      <w:tr>
        <w:trPr>
          <w:trHeight w:val="230"/>
        </w:trPr>
        <w:tc>
          <w:tcPr>
            <w:tcW w:w="2840" w:type="dxa"/>
            <w:vAlign w:val="bottom"/>
          </w:tcPr>
          <w:p>
            <w:pPr>
              <w:jc w:val="right"/>
              <w:ind w:right="130"/>
              <w:spacing w:after="0"/>
              <w:rPr>
                <w:sz w:val="20"/>
                <w:szCs w:val="20"/>
                <w:color w:val="auto"/>
              </w:rPr>
            </w:pPr>
            <w:r>
              <w:rPr>
                <w:rFonts w:ascii="Arial" w:cs="Arial" w:eastAsia="Arial" w:hAnsi="Arial"/>
                <w:sz w:val="18"/>
                <w:szCs w:val="18"/>
                <w:color w:val="auto"/>
              </w:rPr>
              <w:t>5,333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12.84</w:t>
            </w:r>
          </w:p>
        </w:tc>
      </w:tr>
    </w:tbl>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granted stock options under the 2007 Plan to purchase an aggregate of 30,000 shares of its common stock to various employees and directors during the nine months ended May 31, 2011. During the nine months ended May 31, 2011, the Company granted stock bonuses under the 2007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bonuses granted during the nine months ended May 31, 2011 was based on fiscal 2010 performance and was included in accrued liabilities at August 31, 2010.</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0" w:name="page11"/>
    <w:bookmarkEnd w:id="10"/>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(loss) was as follows: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7"/>
        </w:trPr>
        <w:tc>
          <w:tcPr>
            <w:tcW w:w="3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3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0"/>
              </w:rPr>
              <w:t>May 31, 2011</w:t>
            </w:r>
          </w:p>
        </w:tc>
      </w:tr>
      <w:tr>
        <w:trPr>
          <w:trHeight w:val="209"/>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1,454,037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1,023,549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3,018,987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2,872,369</w:t>
            </w:r>
          </w:p>
        </w:tc>
      </w:tr>
      <w:tr>
        <w:trPr>
          <w:trHeight w:val="215"/>
        </w:trPr>
        <w:tc>
          <w:tcPr>
            <w:tcW w:w="6140" w:type="dxa"/>
            <w:vAlign w:val="bottom"/>
            <w:gridSpan w:val="2"/>
          </w:tcPr>
          <w:p>
            <w:pPr>
              <w:spacing w:after="0"/>
              <w:rPr>
                <w:sz w:val="20"/>
                <w:szCs w:val="20"/>
                <w:color w:val="auto"/>
              </w:rPr>
            </w:pPr>
            <w:r>
              <w:rPr>
                <w:rFonts w:ascii="Arial" w:cs="Arial" w:eastAsia="Arial" w:hAnsi="Arial"/>
                <w:sz w:val="18"/>
                <w:szCs w:val="18"/>
                <w:color w:val="auto"/>
                <w:w w:val="99"/>
              </w:rPr>
              <w:t>Other comprehensive income (loss) – foreign currency translation adjustment</w:t>
            </w: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(1,316,086)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576,937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(2,562,658)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1,735,139</w:t>
            </w:r>
          </w:p>
        </w:tc>
      </w:tr>
      <w:tr>
        <w:trPr>
          <w:trHeight w:val="249"/>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 attributable to NTIC</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138,951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1,600,486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456,329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4,607,508</w:t>
            </w:r>
          </w:p>
        </w:tc>
      </w:tr>
      <w:tr>
        <w:trPr>
          <w:trHeight w:val="438"/>
        </w:trPr>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9.</w:t>
            </w:r>
          </w:p>
        </w:tc>
        <w:tc>
          <w:tcPr>
            <w:tcW w:w="5760" w:type="dxa"/>
            <w:vAlign w:val="bottom"/>
            <w:tcBorders>
              <w:top w:val="single" w:sz="8" w:color="CCEEFF"/>
            </w:tcBorders>
          </w:tcPr>
          <w:p>
            <w:pPr>
              <w:ind w:left="260"/>
              <w:spacing w:after="0"/>
              <w:rPr>
                <w:sz w:val="20"/>
                <w:szCs w:val="20"/>
                <w:color w:val="auto"/>
              </w:rPr>
            </w:pPr>
            <w:r>
              <w:rPr>
                <w:rFonts w:ascii="Arial" w:cs="Arial" w:eastAsia="Arial" w:hAnsi="Arial"/>
                <w:sz w:val="18"/>
                <w:szCs w:val="18"/>
                <w:b w:val="1"/>
                <w:bCs w:val="1"/>
                <w:color w:val="auto"/>
              </w:rPr>
              <w:t>NET INCOME PER COMMON SHARE</w:t>
            </w: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pacing w:after="0" w:line="22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8"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Options to purchase shares of common stock of 26,000 were excluded from the computation of common share equivalents for the three and nine months ended May 31, 2012, as the exercise prices of such options were greater than market price of a share of common stock. No options to purchase shares of common stock were excluded from the computation of common share equivalents for both the three and nine months ended May 31,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and nine months ended May 31, 2012 and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7"/>
              </w:rPr>
              <w:t>Nine Months Ended</w:t>
            </w: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90"/>
              <w:spacing w:after="0" w:line="204" w:lineRule="exact"/>
              <w:rPr>
                <w:sz w:val="20"/>
                <w:szCs w:val="20"/>
                <w:color w:val="auto"/>
              </w:rPr>
            </w:pPr>
            <w:r>
              <w:rPr>
                <w:rFonts w:ascii="Arial" w:cs="Arial" w:eastAsia="Arial" w:hAnsi="Arial"/>
                <w:sz w:val="18"/>
                <w:szCs w:val="18"/>
                <w:b w:val="1"/>
                <w:bCs w:val="1"/>
                <w:color w:val="auto"/>
                <w:w w:val="98"/>
              </w:rPr>
              <w:t>May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w w:val="95"/>
              </w:rPr>
              <w:t>May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50"/>
              <w:spacing w:after="0" w:line="204" w:lineRule="exact"/>
              <w:rPr>
                <w:sz w:val="20"/>
                <w:szCs w:val="20"/>
                <w:color w:val="auto"/>
              </w:rPr>
            </w:pPr>
            <w:r>
              <w:rPr>
                <w:rFonts w:ascii="Arial" w:cs="Arial" w:eastAsia="Arial" w:hAnsi="Arial"/>
                <w:sz w:val="18"/>
                <w:szCs w:val="18"/>
                <w:b w:val="1"/>
                <w:bCs w:val="1"/>
                <w:color w:val="auto"/>
                <w:w w:val="95"/>
              </w:rPr>
              <w:t>May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0"/>
              <w:spacing w:after="0" w:line="204" w:lineRule="exact"/>
              <w:rPr>
                <w:sz w:val="20"/>
                <w:szCs w:val="20"/>
                <w:color w:val="auto"/>
              </w:rPr>
            </w:pPr>
            <w:r>
              <w:rPr>
                <w:rFonts w:ascii="Arial" w:cs="Arial" w:eastAsia="Arial" w:hAnsi="Arial"/>
                <w:sz w:val="18"/>
                <w:szCs w:val="18"/>
                <w:b w:val="1"/>
                <w:bCs w:val="1"/>
                <w:color w:val="auto"/>
                <w:w w:val="98"/>
              </w:rPr>
              <w:t>May 31,</w:t>
            </w:r>
          </w:p>
        </w:tc>
      </w:tr>
      <w:tr>
        <w:trPr>
          <w:trHeight w:val="233"/>
        </w:trPr>
        <w:tc>
          <w:tcPr>
            <w:tcW w:w="698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1,454,037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1,023,549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3,018,987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2,872,369</w:t>
            </w:r>
          </w:p>
        </w:tc>
      </w:tr>
      <w:tr>
        <w:trPr>
          <w:trHeight w:val="215"/>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4,399,290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4,343,601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4,379,175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4,303,892</w:t>
            </w:r>
          </w:p>
        </w:tc>
      </w:tr>
      <w:tr>
        <w:trPr>
          <w:trHeight w:val="215"/>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74,350</w:t>
            </w: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4,461,044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4,427,097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4,448,472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4,378,242</w:t>
            </w: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0.66</w:t>
            </w:r>
          </w:p>
        </w:tc>
      </w:tr>
    </w:tbl>
    <w:p>
      <w:pPr>
        <w:spacing w:after="0" w:line="21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08"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ind w:right="40"/>
        <w:spacing w:after="0" w:line="271" w:lineRule="auto"/>
        <w:rPr>
          <w:sz w:val="20"/>
          <w:szCs w:val="20"/>
          <w:color w:val="auto"/>
        </w:rPr>
      </w:pPr>
      <w:r>
        <w:rPr>
          <w:rFonts w:ascii="Arial" w:cs="Arial" w:eastAsia="Arial" w:hAnsi="Arial"/>
          <w:sz w:val="17"/>
          <w:szCs w:val="17"/>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granted options to purchase an aggregate of 26,000 and 30,000 shares of its common stock during the nine months ended May 31, 2012 and 2011, respectively. The fair value of option grants is determined at date of grant, using the Black-Scholes option pricing model with the assumptions listed below. Based on these valuations, the Company recognized compensation expense of $216,712 and $150,109 during the nine months ended May 31, 2012 and 2011, respectively, related to the options that vested during such time period. The stock-based expense recorded reduced after-tax net income per share by $0.05 and $0.03 for each of the nine months ended May 31, 2012 and 2011, respectively. As of May 31, 2012, the total compensation cost for non-vested options not yet recognized in the Company’s consolidated statements of operations was $9,752 net of estimated forfeitures. Additional stock-based compensation expense of $71,675 is expected through the remainder of fiscal year 2012, and expense of $28,076 and $0 is expected to be recognized during fiscal 2013 and fiscal 2014, respectively. Future option grants will impact the compensation expense recognized.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8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8"/>
              </w:rPr>
              <w:t>May 31,</w:t>
            </w:r>
          </w:p>
        </w:tc>
        <w:tc>
          <w:tcPr>
            <w:tcW w:w="840" w:type="dxa"/>
            <w:vAlign w:val="bottom"/>
            <w:tcBorders>
              <w:bottom w:val="single" w:sz="8" w:color="auto"/>
            </w:tcBorders>
          </w:tcPr>
          <w:p>
            <w:pPr>
              <w:spacing w:after="0"/>
              <w:rPr>
                <w:sz w:val="20"/>
                <w:szCs w:val="20"/>
                <w:color w:val="auto"/>
              </w:rPr>
            </w:pPr>
          </w:p>
        </w:tc>
      </w:tr>
      <w:tr>
        <w:trPr>
          <w:trHeight w:val="209"/>
        </w:trPr>
        <w:tc>
          <w:tcPr>
            <w:tcW w:w="9180" w:type="dxa"/>
            <w:vAlign w:val="bottom"/>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2011</w:t>
            </w: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5"/>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5"/>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5 years</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 years</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213" w:lineRule="exact"/>
        <w:rPr>
          <w:sz w:val="20"/>
          <w:szCs w:val="20"/>
          <w:color w:val="auto"/>
        </w:rPr>
      </w:pPr>
    </w:p>
    <w:p>
      <w:pPr>
        <w:ind w:right="260"/>
        <w:spacing w:after="0" w:line="340" w:lineRule="auto"/>
        <w:rPr>
          <w:sz w:val="20"/>
          <w:szCs w:val="20"/>
          <w:color w:val="auto"/>
        </w:rPr>
      </w:pPr>
      <w:r>
        <w:rPr>
          <w:rFonts w:ascii="Arial" w:cs="Arial" w:eastAsia="Arial" w:hAnsi="Arial"/>
          <w:sz w:val="16"/>
          <w:szCs w:val="16"/>
          <w:color w:val="auto"/>
        </w:rPr>
        <w:t>The weighted average per share fair value of options granted during the nine months ended May 31, 2012 and 2011 was $7.14 and $3.60, respectively. The weighted average remaining contractual life of the options outstanding as of May 31, 2012 and 2011 was 1.82 years and 2.94 years, respectively.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2" w:name="page13"/>
    <w:bookmarkEnd w:id="12"/>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and nine months ended May 31, 2012 and 2011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2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64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May 31, 2012</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May 31, 2011</w:t>
            </w: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May 31, 2012</w:t>
            </w: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May 31, 2011</w:t>
            </w: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15"/>
        </w:trPr>
        <w:tc>
          <w:tcPr>
            <w:tcW w:w="6420" w:type="dxa"/>
            <w:vAlign w:val="bottom"/>
          </w:tcPr>
          <w:p>
            <w:pPr>
              <w:spacing w:after="0"/>
              <w:rPr>
                <w:sz w:val="20"/>
                <w:szCs w:val="20"/>
                <w:color w:val="auto"/>
              </w:rPr>
            </w:pPr>
            <w:r>
              <w:rPr>
                <w:rFonts w:ascii="Arial" w:cs="Arial" w:eastAsia="Arial" w:hAnsi="Arial"/>
                <w:sz w:val="18"/>
                <w:szCs w:val="18"/>
                <w:color w:val="auto"/>
              </w:rPr>
              <w:t>Outside the U.S.A. to:</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r>
      <w:tr>
        <w:trPr>
          <w:trHeight w:val="215"/>
        </w:trPr>
        <w:tc>
          <w:tcPr>
            <w:tcW w:w="642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21.0</w:t>
            </w:r>
          </w:p>
        </w:tc>
      </w:tr>
      <w:tr>
        <w:trPr>
          <w:trHeight w:val="209"/>
        </w:trPr>
        <w:tc>
          <w:tcPr>
            <w:tcW w:w="6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nine months ended May 31, 2012 and 2011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0"/>
          </w:tcPr>
          <w:p>
            <w:pPr>
              <w:jc w:val="right"/>
              <w:ind w:right="150"/>
              <w:spacing w:after="0"/>
              <w:rPr>
                <w:sz w:val="20"/>
                <w:szCs w:val="20"/>
                <w:color w:val="auto"/>
              </w:rPr>
            </w:pPr>
            <w:r>
              <w:rPr>
                <w:rFonts w:ascii="Arial" w:cs="Arial" w:eastAsia="Arial" w:hAnsi="Arial"/>
                <w:sz w:val="18"/>
                <w:szCs w:val="18"/>
                <w:b w:val="1"/>
                <w:bCs w:val="1"/>
                <w:color w:val="auto"/>
                <w:w w:val="95"/>
              </w:rPr>
              <w:t>Three Months Ended May 31,</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5"/>
          </w:tcPr>
          <w:p>
            <w:pPr>
              <w:jc w:val="center"/>
              <w:ind w:right="180"/>
              <w:spacing w:after="0" w:line="190" w:lineRule="exact"/>
              <w:rPr>
                <w:sz w:val="20"/>
                <w:szCs w:val="20"/>
                <w:color w:val="auto"/>
              </w:rPr>
            </w:pPr>
            <w:r>
              <w:rPr>
                <w:rFonts w:ascii="Arial" w:cs="Arial" w:eastAsia="Arial" w:hAnsi="Arial"/>
                <w:sz w:val="18"/>
                <w:szCs w:val="18"/>
                <w:b w:val="1"/>
                <w:bCs w:val="1"/>
                <w:color w:val="auto"/>
                <w:w w:val="89"/>
              </w:rPr>
              <w:t>% of Total Fees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7"/>
              </w:rPr>
              <w:t>for Services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 of Total Fees</w:t>
            </w:r>
          </w:p>
        </w:tc>
      </w:t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Provided to</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for Services Provided</w:t>
            </w:r>
          </w:p>
        </w:tc>
      </w:tr>
      <w:tr>
        <w:trPr>
          <w:trHeight w:val="233"/>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72"/>
              </w:rPr>
              <w:t>2011</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88"/>
              </w:rPr>
              <w:t>to Joint Ventures</w:t>
            </w: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260,026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2"/>
              </w:rPr>
              <w:t>324,185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241,338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82"/>
              </w:rPr>
              <w:t>279,125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141,257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2"/>
              </w:rPr>
              <w:t>131,450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128,480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82"/>
              </w:rPr>
              <w:t>181,764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127,344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2"/>
              </w:rPr>
              <w:t>147,791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83,879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84,573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(492,602)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2"/>
              </w:rPr>
              <w:t>250,116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244,615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2"/>
              </w:rPr>
              <w:t>224,581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r>
      <w:tr>
        <w:trPr>
          <w:trHeight w:val="209"/>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734,337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w w:val="94"/>
              </w:rPr>
              <w:t>$ 1,623,585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57"/>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Nine Months Ended May 31,</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5"/>
          </w:tcPr>
          <w:p>
            <w:pPr>
              <w:jc w:val="center"/>
              <w:ind w:right="100"/>
              <w:spacing w:after="0" w:line="190"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89"/>
              </w:rPr>
              <w:t>% of Total Fees</w:t>
            </w:r>
          </w:p>
        </w:tc>
      </w:t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7"/>
              </w:rPr>
              <w:t>for Services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Provided to</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r>
      <w:tr>
        <w:trPr>
          <w:trHeight w:val="233"/>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2012</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Joint Ventures</w:t>
            </w: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763,548</w:t>
            </w:r>
          </w:p>
        </w:tc>
        <w:tc>
          <w:tcPr>
            <w:tcW w:w="152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833,354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742,171</w:t>
            </w:r>
          </w:p>
        </w:tc>
        <w:tc>
          <w:tcPr>
            <w:tcW w:w="1520" w:type="dxa"/>
            <w:vAlign w:val="bottom"/>
            <w:gridSpan w:val="5"/>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800,877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17.9%</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446,191</w:t>
            </w:r>
          </w:p>
        </w:tc>
        <w:tc>
          <w:tcPr>
            <w:tcW w:w="152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425,561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397,123</w:t>
            </w:r>
          </w:p>
        </w:tc>
        <w:tc>
          <w:tcPr>
            <w:tcW w:w="1520" w:type="dxa"/>
            <w:vAlign w:val="bottom"/>
            <w:gridSpan w:val="5"/>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505,354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378,751</w:t>
            </w:r>
          </w:p>
        </w:tc>
        <w:tc>
          <w:tcPr>
            <w:tcW w:w="152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414,567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244,017</w:t>
            </w:r>
          </w:p>
        </w:tc>
        <w:tc>
          <w:tcPr>
            <w:tcW w:w="1520" w:type="dxa"/>
            <w:vAlign w:val="bottom"/>
            <w:gridSpan w:val="5"/>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243,917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(192,758)</w:t>
            </w:r>
          </w:p>
        </w:tc>
        <w:tc>
          <w:tcPr>
            <w:tcW w:w="152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611,985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698,672</w:t>
            </w:r>
          </w:p>
        </w:tc>
        <w:tc>
          <w:tcPr>
            <w:tcW w:w="120" w:type="dxa"/>
            <w:vAlign w:val="bottom"/>
          </w:tcPr>
          <w:p>
            <w:pPr>
              <w:spacing w:after="0"/>
              <w:rPr>
                <w:sz w:val="18"/>
                <w:szCs w:val="18"/>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641,899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9"/>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$ 3,477,715</w:t>
            </w:r>
          </w:p>
        </w:tc>
        <w:tc>
          <w:tcPr>
            <w:tcW w:w="152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4,477,514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1" w:lineRule="exact"/>
        <w:rPr>
          <w:sz w:val="20"/>
          <w:szCs w:val="20"/>
          <w:color w:val="auto"/>
        </w:rPr>
      </w:pPr>
    </w:p>
    <w:p>
      <w:pPr>
        <w:ind w:firstLine="8"/>
        <w:spacing w:after="0" w:line="275" w:lineRule="auto"/>
        <w:tabs>
          <w:tab w:leader="none" w:pos="13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the Financial Overview section of the Management’s Discussion and Analysis of Financial Condition and Results of Operations for an explanation of the fees for services provided to joint ventures as they relate to the Company’s joint venture in India, Harita NTI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2012 and 2011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8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7,220,258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4,855,535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16,243,683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13,307,276</w:t>
            </w: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Natur-Tec® sales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584,646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245,243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1,367,663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670,061</w:t>
            </w:r>
          </w:p>
        </w:tc>
      </w:tr>
      <w:tr>
        <w:trPr>
          <w:trHeight w:val="215"/>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8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7,804,904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5,100,778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17,611,346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13,977,337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2012 and 2011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90"/>
        </w:trPr>
        <w:tc>
          <w:tcPr>
            <w:tcW w:w="2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0"/>
              <w:spacing w:after="0" w:line="190"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ind w:left="200"/>
              <w:spacing w:after="0" w:line="190"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r>
      <w:tr>
        <w:trPr>
          <w:trHeight w:val="215"/>
        </w:trPr>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Product</w:t>
            </w: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Product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May 31,</w:t>
            </w:r>
          </w:p>
        </w:tc>
        <w:tc>
          <w:tcPr>
            <w:tcW w:w="1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r>
      <w:tr>
        <w:trPr>
          <w:trHeight w:val="233"/>
        </w:trPr>
        <w:tc>
          <w:tcPr>
            <w:tcW w:w="2520" w:type="dxa"/>
            <w:vAlign w:val="bottom"/>
          </w:tcPr>
          <w:p>
            <w:pPr>
              <w:spacing w:after="0"/>
              <w:rPr>
                <w:sz w:val="20"/>
                <w:szCs w:val="20"/>
                <w:color w:val="auto"/>
              </w:rPr>
            </w:pPr>
          </w:p>
        </w:tc>
        <w:tc>
          <w:tcPr>
            <w:tcW w:w="14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Sales*</w:t>
            </w: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Sales*</w:t>
            </w: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Sales*</w:t>
            </w: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Sales*</w:t>
            </w: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ZERUST®</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$ 3,046,644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$ 2,758,270</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56.8%  $</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8,074,031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$ 7,288,098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54.8%</w:t>
            </w:r>
          </w:p>
        </w:tc>
      </w:tr>
      <w:tr>
        <w:trPr>
          <w:trHeight w:val="215"/>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Natur-Tec®</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501,749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216,880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1,160,014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574,315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54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595,121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483,701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1,599,027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1,293,375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$ 4,143,514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$ 3,458,851</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10,833,072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$ 9,155,788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228" w:lineRule="exact"/>
        <w:rPr>
          <w:sz w:val="20"/>
          <w:szCs w:val="20"/>
          <w:color w:val="auto"/>
        </w:rPr>
      </w:pPr>
    </w:p>
    <w:p>
      <w:pPr>
        <w:ind w:right="220" w:firstLine="8"/>
        <w:spacing w:after="0" w:line="275" w:lineRule="auto"/>
        <w:tabs>
          <w:tab w:leader="none" w:pos="1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8"/>
        </w:trPr>
        <w:tc>
          <w:tcPr>
            <w:tcW w:w="2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May 31,</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August 31,</w:t>
            </w:r>
          </w:p>
        </w:tc>
      </w:tr>
      <w:tr>
        <w:trPr>
          <w:trHeight w:val="233"/>
        </w:trPr>
        <w:tc>
          <w:tcPr>
            <w:tcW w:w="2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09"/>
        </w:trPr>
        <w:tc>
          <w:tcPr>
            <w:tcW w:w="2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$3,635,139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$ 3,499,518</w:t>
            </w:r>
          </w:p>
        </w:tc>
      </w:tr>
      <w:tr>
        <w:trPr>
          <w:trHeight w:val="215"/>
        </w:trPr>
        <w:tc>
          <w:tcPr>
            <w:tcW w:w="28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w:t>
            </w:r>
          </w:p>
        </w:tc>
        <w:tc>
          <w:tcPr>
            <w:tcW w:w="76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117,876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136,817</w:t>
            </w:r>
          </w:p>
        </w:tc>
      </w:tr>
      <w:tr>
        <w:trPr>
          <w:trHeight w:val="229"/>
        </w:trPr>
        <w:tc>
          <w:tcPr>
            <w:tcW w:w="288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3,753,015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$ 3,636,335</w:t>
            </w:r>
          </w:p>
        </w:tc>
      </w:tr>
      <w:tr>
        <w:trPr>
          <w:trHeight w:val="20"/>
        </w:trPr>
        <w:tc>
          <w:tcPr>
            <w:tcW w:w="288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94"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$2,856,536 and $3,308,515 of expense during the nine months ended May 31, 2012 and 2011, respectively, in connection with its research and development activities. These costs related to product research and development are net of reimbursements related to certain research and development contracts of $297,258 and $219,175 for the nine months ended May 31, 2012 and 2011, respectively. The net fees are accounted for in the “Research and Development Expenses” section of the consolidated statements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4" w:name="page15"/>
    <w:bookmarkEnd w:id="14"/>
    <w:p>
      <w:pPr>
        <w:spacing w:after="0" w:line="300" w:lineRule="auto"/>
        <w:rPr>
          <w:sz w:val="20"/>
          <w:szCs w:val="20"/>
          <w:color w:val="auto"/>
        </w:rPr>
      </w:pPr>
      <w:r>
        <w:rPr>
          <w:rFonts w:ascii="Arial" w:cs="Arial" w:eastAsia="Arial" w:hAnsi="Arial"/>
          <w:sz w:val="16"/>
          <w:szCs w:val="16"/>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May 31, 2012, the Company had deferred amounts in other accrued liabilities of $109,594 as the Company had received payment, but not yet performed under the obligations of the contract at that time. As of August 31, 2011, the Company did not have any deferred amounts in other accrued liabilities at that time.</w:t>
      </w:r>
    </w:p>
    <w:p>
      <w:pPr>
        <w:spacing w:after="0" w:line="178"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September 27, 2011, the Compensation Committee of the Board of Directors of the Company approved the material terms of an annual bonus plan for the Company’s executive officers and certain officers and employees for the fiscal year ending August 31, 2012. For fiscal 2012 as in past years, the total amount available under the bonus plan will be up to 25% of the Company’s earnings before interest, taxes and other income (EBITOI) and will be $0 if EBITOI is below 70% of a pre-established target EBITOI for fiscal 2012.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2012 compared to the pre-established target EBITOI for fiscal 2012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of which will be determined by the Company’s Board of Directors, upon recommendation of the Compensation Committee, after the completion of the Company’s consolidated financial statements for fiscal 2012.</w:t>
      </w:r>
    </w:p>
    <w:p>
      <w:pPr>
        <w:spacing w:after="0" w:line="20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There was $1,058,045 for management bonuses accrued for nine months ended May 31, 2012 compared to a management bonus accrual of $1,186,705 for the nine months ended May 31, 2011.</w:t>
      </w:r>
    </w:p>
    <w:p>
      <w:pPr>
        <w:spacing w:after="0" w:line="19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2012 - $59,625; fiscal 2013 - $238,500; fiscal 2014 - $59,500 and thereafter - $0.</w:t>
      </w:r>
    </w:p>
    <w:p>
      <w:pPr>
        <w:spacing w:after="0" w:line="19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Three joint ventures accounted for 64.1% of the Company’s trade joint venture receivables at May 31, 2012. One joint venture accounted for 49.4% of the Company’s trade joint venture receivables at August 31, 2011.</w:t>
      </w:r>
    </w:p>
    <w:p>
      <w:pPr>
        <w:spacing w:after="0" w:line="198"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47"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In June 2012, both the Company and the other 50% owner in Harita NTI Limited agreed to receive additional equity interest in consideration for outstanding fees for services receivable of $484,000 due to each party.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 brand. NTIC has been selling its proprietary ZERUST®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disposal options.</w:t>
      </w:r>
    </w:p>
    <w:p>
      <w:pPr>
        <w:spacing w:after="0" w:line="2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Brazilian subsidiary, Zerust Prevenção de Corrosão S.A. (Zerust Brazil), and joint venture arrangements in North America, Europe and Asia.</w:t>
      </w:r>
    </w:p>
    <w:p>
      <w:pPr>
        <w:spacing w:after="0" w:line="220"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Petroleo Brasileiro S.A. (Petrobras), an oil company located in Brazil, has conducted extensive multi-year product field trials of NTIC’s ZERUST® rust and corrosion inhibiting products against competitive alternatives. During fiscal 2010, Zerust Brazil received a Phase 1 contract for an initial implementation of $1.4 million (BRL$ 2.5 million) in ZERUST® products which was delivered in fiscal 2010 and fiscal 2011. During fiscal 2011, Zerust Brazil signed a Phase 2 contract with Petrobras to supply $2.4 million (BRL$ 4.21 million) in ZERUST® products. During fiscal 2012, Petrobras expanded this Phase 2 contract to supply an additional $657,000 (BRL$ 1.15 million) in ZERUST® products, bringing the total Phase 2 contract value to $3.1 million (BRL$ 5.36 million) in ZERUST® products. Zerust Brazil delivered the entire balance of $2.45 million (BRL$ 4.38 million) of remaining product for the Phase 2 contracts to Petrobras in March 2012; and this revenue is reflected in NTIC’s net sales, excluding joint ventures, for the three and nine months ended May 31, 2012 and 2011.</w:t>
      </w:r>
    </w:p>
    <w:p>
      <w:pPr>
        <w:spacing w:after="0" w:line="2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NTIC is also pursuing opportunities to market its ZERUST® rust and corrosion prevention solutions to other targeted potential customers in the oil and gas industry across several countries through NTIC’s joint venture partners and other strategic partners. NTIC believes the sale of its ZERUST® corrosion prevention solutions to customers in the oil and gas industry will involve a long sales cycle, likely including a one- to two-year trial period with each customer and a slow integration process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ind w:right="100"/>
        <w:spacing w:after="0" w:line="269" w:lineRule="auto"/>
        <w:rPr>
          <w:sz w:val="20"/>
          <w:szCs w:val="20"/>
          <w:color w:val="auto"/>
        </w:rPr>
      </w:pPr>
      <w:r>
        <w:rPr>
          <w:rFonts w:ascii="Arial" w:cs="Arial" w:eastAsia="Arial" w:hAnsi="Arial"/>
          <w:sz w:val="17"/>
          <w:szCs w:val="17"/>
          <w:color w:val="auto"/>
        </w:rPr>
        <w:t>Natur-Tec® bio-based and biodegradable plastics are manufactured using NTIC’s patented and/or proprietary technologies and are intended to replace conventional petroleum-based plastics. The Natur-Tec®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North America, NTIC markets its Natur-Tec® resin compounds and finished products primarily through a network of national and regional distributors and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 arrangements, including in particular its joint venture in India, Harita NTI Limited (HNTI).</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fiscal 2011, NTIC and HNTI signed a memorandum of understanding with the Indian conglomerate ITC Limited to jointly develop and commercialize biopolymer extrusion coated paper products targeted at the consumer goods packaging market in India. The two companies will jointly develop solutions in the Indian market towards providing biodegradable/compostable products such as food service ware, food packaging, personal care product packaging and other fast-moving consumer goods packaging. In 2011, the Indian government enacted legislation banning the use of certain non-biodegradable plastics for laminate packaging for tobacco and food segments. As a result, HNTI has experienced significant demand for Natur-Tec® compostable resins in this potentially large market for laminate packaging. In addition, during fiscal 2011, NTIC entered into an agreement with Italy-based Naturfuels s.r.l. to distribute its Natur-Tec® bioplastic materials and products in the Italian market. Under the terms of the distribution agreement, NTIC will supply Naturfuels with NTIC’s patented high-strength Natur-Tec® compostable film grade resin compounds to be used for the production of bio-plastic shopping and garbage bags on conventional plastic film production equipment. In 2011, the Italian government passed legislation banning the use of non-biodegradable plastic shopping bags. However, enforcement of this law has recently been delayed until late 2012 to allow Italian bag manufacturers to exhaust their current supply of conventional polyolefinic resins before completely changing to certified compostable resins. As a result, resin sales to Naturfuels are not expected to have a material effect on NTIC’s operating results until late in fiscal 2012 or 2013.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NTIC participates, either directly or indirectly, in 24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historically has funded its joint venture investments with cash generated from operations.</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With respect to NTIC’s ASEAN joint venture holding company (NTI ASEAN), NTIC does not receive a fee for such services, but rather receives a bi-annual dividend based on available cash.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7" w:name="page18"/>
    <w:bookmarkEnd w:id="17"/>
    <w:p>
      <w:pPr>
        <w:ind w:right="140"/>
        <w:spacing w:after="0" w:line="258" w:lineRule="auto"/>
        <w:rPr>
          <w:sz w:val="20"/>
          <w:szCs w:val="20"/>
          <w:color w:val="auto"/>
        </w:rPr>
      </w:pPr>
      <w:r>
        <w:rPr>
          <w:rFonts w:ascii="Arial" w:cs="Arial" w:eastAsia="Arial" w:hAnsi="Arial"/>
          <w:sz w:val="18"/>
          <w:szCs w:val="18"/>
          <w:color w:val="auto"/>
        </w:rPr>
        <w:t>NTIC does not consolidate the results of its joint ventures in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in NTIC’s consolidated financial statements. NTIC holds 85% of the equity and 85% of the voting rights of Zerust Brazil.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Although NTIC owns a 62.5% ownership interest in Polymer Energy LLC, NTIC has not consolidated the Polymer Energy LLC joint venture in NTIC’s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for the three and nine months ended May 31, 2012 or any prior period since Polymer Energy LLC has had limited activity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since its inception in 2003 and NTIC believes that the impact of not consolidating this entity on NTIC’s consolidated financial statement has been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immaterial. No license fees were received by Polymer Energy LLC and no other financial activity took place during the three and nine months ended May 31,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2012, and accordingly, during such period, NTIC received and recorded no fees for services provided to joint ventures in its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its ownership interest in Polymer Energy LLC.</w:t>
      </w:r>
    </w:p>
    <w:p>
      <w:pPr>
        <w:spacing w:after="0" w:line="23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NTIC considers EXCOR and NTI ASEAN to be individually significant to NTIC’s consolidated assets and income; and therefore, provides certain additional information regarding these entities in the notes to NTIC’s consolidated financial statements and in this section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4" w:lineRule="exact"/>
        <w:rPr>
          <w:sz w:val="20"/>
          <w:szCs w:val="20"/>
          <w:color w:val="auto"/>
        </w:rPr>
      </w:pPr>
    </w:p>
    <w:p>
      <w:pPr>
        <w:ind w:right="380"/>
        <w:spacing w:after="0" w:line="340"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NTIC’s consolidated net sales increased 53.0% and 26.0% during the three and nine months ended May 31, 2012 compared to the three and nine months ended May 31, 2011. These increases were primarily a result of increased sales made by Zerust Brazil and increased sales of Natur-Tec® products and ZERUST® rust and corrosion inhibiting packaging products and services. During the three and nine months ended May 31, 2012, 92.5% and 92.2% of NTIC’s consolidated net sales, respectively, were derived from sales of ZERUST® products and services, which increased 48.7% to $7,220,258 and 22.1% to $16,243,683 during the three and nine months ended May 31, 2012, respectively, compared to the same respective prior fiscal year periods due to increased demand from existing customers and the addition of new customers.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and nine months ended May 31, 2012 included $2,787,867 and $4,004,399, respectively, of sales made by Zerust Brazil, and of those sales, $2,300,139 and $2,451,000, respectively, in sales were made to the oil and gas industry sector in Brazil. Overall demand for ZERUST® products and services depends heavily on the overall health of the markets in which NTIC sells its products, including in particular the automotive market.</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and nine months ended May 31, 2012, 7.5% and 7.8%, respectively, of NTIC’s consolidated net sales were derived from sales of Natur-Tec® products compared to 4.8% during the three and nine months ended May 31, 2011. Net sales of Natur-Tec® products increased 138.4% and 104.1% during the three and nine months ended May 31, 2012, respectively, compared to the three and nine months ended May 31, 2011. These increases were due to increased sales to Natur-Tec®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 products depends primarily on market acceptance and the extent of NTIC’s distribution network.</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18" w:name="page19"/>
    <w:bookmarkEnd w:id="18"/>
    <w:p>
      <w:pPr>
        <w:ind w:right="120"/>
        <w:spacing w:after="0" w:line="262" w:lineRule="auto"/>
        <w:rPr>
          <w:sz w:val="20"/>
          <w:szCs w:val="20"/>
          <w:color w:val="auto"/>
        </w:rPr>
      </w:pPr>
      <w:r>
        <w:rPr>
          <w:rFonts w:ascii="Arial" w:cs="Arial" w:eastAsia="Arial" w:hAnsi="Arial"/>
          <w:sz w:val="18"/>
          <w:szCs w:val="18"/>
          <w:color w:val="auto"/>
        </w:rPr>
        <w:t>Cost of goods sold as a percentage of net sales decreased to 53.1% and 61.5% during the three and nine months ended May 31, 2012 compared to 67.8% and 65.5% during the three and nine months ended May 31, 2011, respectively, primarily as a result of increased sales by Zerust Brazil of higher average gross margin products.</w:t>
      </w:r>
    </w:p>
    <w:p>
      <w:pPr>
        <w:spacing w:after="0" w:line="20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NTIC’s equity in income of joint ventures increased 5.7% and decreased 3.2% to $1,822,972 and $4,405,327, respectively, during the three and nine months ended May 31, 2012 compared $1,724,477 and $4,549,267 during the three and nine months ended May 31, 2011.</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three months ended May 31, 2012, the shareholders of NTIC’s joint venture in India, Harita NTI Limited, waived past due fees for services from both fiscal 2011 and fiscal 2012 in the aggregate amount of $985,204. Since the waiver of fees was taken by all shareholders mutually, such action did not directly impact the earnings of either NTIC or HNTI. However, as a result of such action, NTIC recognized a reversal of fees for services provided to joint ventures of $492,602 and a corresponding increase in equity in income of joint ventures during the three months ended May 31, 2012. The primary purpose of the waiver of fees was to strengthen HNTI’s working capital going forward. In addition, in fiscal 2012, HNTI experienced write downs of an aggregate of USD$605,000 related to the write down to market value of a Polymer Energy unit that HNTI was previously attempting to sell. As a result, during the nine months ended May 31, 2012, NTIC absorbed 50% of this loss and, accordingly, recognized a decrease in equity in income of $302,500 during the nine months ended May 31, 2012.</w:t>
      </w:r>
    </w:p>
    <w:p>
      <w:pPr>
        <w:spacing w:after="0" w:line="1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NTIC recognized a 54.8% and 22.3% decrease in fees for services provided to joint ventures during the three and nine months ended May 31, 2012 compared to the three and nine months ended May 31, 2011, respectively. These decreases were primarily a result of the waiver of fees by the shareholders of HNTI as described previously and a 13.2% and 3.5% decrease in total net sales of NTIC’s joint ventures to $28,954,210 and $83,746,872 during the three and nine months ended May 31, 2012, respectively, compared to $33,339,304 and $86,744,626 for the three and nine months ended May 31, 2011, respectively. Total net sales of NTIC’s joint ventures were adversely affected in part by the European sovereign debt crises, which NTIC believes adversely affected the net sales of NTIC’s European joint ventures as well as certain of NTIC’s other non-European joint ventures, and the weakening of the EURO and other currencies compared to the U.S. dollar.</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NTIC’s total operating expenses increased slightly to $3,780,363 during the three months ended May 31, 2012 compared to $3,747,301 for the three months ended May 31, 2011 and increased slightly to $10,498,659 during the nine months ended May 31, 2012 compared to $10,420,333 for the nine months ended May 31, 2011. These slight increases were primarily the result of increases in selling expenses, general and administrative expenses and expenses incurred in support of joint ventures, partially offset by decreases in research and development expenses, and reflected NTIC’s efforts to hold expenses stable given the uncertainties in the global economy.</w:t>
      </w:r>
    </w:p>
    <w:p>
      <w:pPr>
        <w:spacing w:after="0" w:line="218"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NTIC expenses all costs related to product research and development as incurred. NTIC incurred $1,067,454 and $2,856,536 of expense during the three and nine months ended May 31, 2012 and 2011, respectively, in connection with its research and development activities. These represent net amounts after being reduced by reimbursements related to certain research and development contracts. NTIC anticipates that it will spend between $3,900,000 and $4,100,000 in total during fiscal 2012 on research and development activities related to its new technologies. This estimate is a net range after being reduced by anticipated reimbursements related to certain research and development contracts.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19" w:name="page20"/>
    <w:bookmarkEnd w:id="19"/>
    <w:p>
      <w:pPr>
        <w:spacing w:after="0" w:line="253" w:lineRule="auto"/>
        <w:rPr>
          <w:sz w:val="20"/>
          <w:szCs w:val="20"/>
          <w:color w:val="auto"/>
        </w:rPr>
      </w:pPr>
      <w:r>
        <w:rPr>
          <w:rFonts w:ascii="Arial" w:cs="Arial" w:eastAsia="Arial" w:hAnsi="Arial"/>
          <w:sz w:val="18"/>
          <w:szCs w:val="18"/>
          <w:color w:val="auto"/>
        </w:rPr>
        <w:t>Net income attributable to NTIC increased 42.1% to $1,454,037, or $0.33 per diluted common share, for the three months ended May 31, 2012 compared to $1,023,549, or $0.23 per diluted common share, for the three months ended May 31, 2011. Net income attributable to NTIC increased 5.1% to $3,018,987, or $0.68 per diluted common share, for the nine months ended May 31, 2012 compared to $2,872,369, or $0.66 per diluted common share, for the nine months ended May 31, 2011. These increases were primarily the result of increases in sales and earnings of NTIC’s North American businesses as well as the increase in sales and earnings of NTIC’s subsidiary in Brazil, partially offset by decreases in income from NTIC’s joint ventures. NTIC anticipates that its quarterly net income will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21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NTIC’s working capital was $11,367,393 at May 31, 2012, including $4,465,898 in cash and cash equivalents compared to $9,085,748 at August 31, 2011, including $3,266,362 in 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nine months ended May 31, 2012 and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0"/>
        </w:trPr>
        <w:tc>
          <w:tcPr>
            <w:tcW w:w="4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10"/>
              <w:spacing w:after="0" w:line="190"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10"/>
              <w:spacing w:after="0" w:line="190"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10"/>
              <w:spacing w:after="0" w:line="190"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70"/>
              <w:spacing w:after="0" w:line="190" w:lineRule="exact"/>
              <w:rPr>
                <w:sz w:val="20"/>
                <w:szCs w:val="20"/>
                <w:color w:val="auto"/>
              </w:rPr>
            </w:pPr>
            <w:r>
              <w:rPr>
                <w:rFonts w:ascii="Arial" w:cs="Arial" w:eastAsia="Arial" w:hAnsi="Arial"/>
                <w:sz w:val="18"/>
                <w:szCs w:val="18"/>
                <w:b w:val="1"/>
                <w:bCs w:val="1"/>
                <w:color w:val="auto"/>
              </w:rPr>
              <w:t>%</w:t>
            </w:r>
          </w:p>
        </w:tc>
      </w:tr>
      <w:tr>
        <w:trPr>
          <w:trHeight w:val="233"/>
        </w:trPr>
        <w:tc>
          <w:tcPr>
            <w:tcW w:w="446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Net Sales</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May 31, 2011</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0"/>
        </w:trPr>
        <w:tc>
          <w:tcPr>
            <w:tcW w:w="4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7,175,825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4,367,589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2,808,236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Net sales, to joint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ventures</w:t>
            </w: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629,079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733,189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4,143,514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3,458,851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684,663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Equity in income of joint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ventures</w:t>
            </w: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1,822,972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1,724,477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98,495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734,337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1,623,585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1,270,996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1,167,630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103,366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1,147,744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1,126,823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294,169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244,959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49,210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1,067,454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1,207,889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5"/>
              </w:rPr>
              <w:t>Nine Months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0"/>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10"/>
              <w:spacing w:after="0" w:line="190"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10"/>
              <w:spacing w:after="0" w:line="190"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10"/>
              <w:spacing w:after="0" w:line="190"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70"/>
              <w:spacing w:after="0" w:line="190" w:lineRule="exact"/>
              <w:rPr>
                <w:sz w:val="20"/>
                <w:szCs w:val="20"/>
                <w:color w:val="auto"/>
              </w:rPr>
            </w:pPr>
            <w:r>
              <w:rPr>
                <w:rFonts w:ascii="Arial" w:cs="Arial" w:eastAsia="Arial" w:hAnsi="Arial"/>
                <w:sz w:val="18"/>
                <w:szCs w:val="18"/>
                <w:b w:val="1"/>
                <w:bCs w:val="1"/>
                <w:color w:val="auto"/>
              </w:rPr>
              <w:t>%</w:t>
            </w:r>
          </w:p>
        </w:tc>
      </w:tr>
      <w:tr>
        <w:trPr>
          <w:trHeight w:val="233"/>
        </w:trPr>
        <w:tc>
          <w:tcPr>
            <w:tcW w:w="446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Net Sales</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May 31, 2011</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0"/>
        </w:trPr>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15,579,086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11,906,999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3,672,087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Net sales, to joint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ventures</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2,032,260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2,070,338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10,833,072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9,155,788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1,677,284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Equity in income of joint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ventures</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4,405,327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4,549,267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(143,940)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3,477,715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4,477,514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3,393,564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3,088,237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305,327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3,518,569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3,300,626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729,990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722,955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2,856,536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3,308,515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53.0% and 26.0% to $7,804,904 and $17,611,346, respectively, during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2012 compared to the three and nine months ended May 31, 2011. NTIC’s consolidated net sales to unaffiliated customers excluding NTIC’s joint ventures increased 64.3% and 30.8% to $7,175,825 and $15,579,086, respectively, during the three and nine months ended May 31, 2012 compared to the same respective prior year periods. These increases were primarily a result of increased sales made by Zerust Brazil and increased sales of Natur-Tec® products and ZERUST® rust and corrosion inhibiting packaging products and services. Net sales to joint ventures decreased 14.2% and 1.8% to $629,079 and $2,032,260 during the three and nine months ended May 31, 2012, respectively, compared to the same respective prior year periods. These decreases correlated with the 13.2% and 3.5% decrease in total net sales of NTIC’s joint ventures for the three and nine months ended May 31, 2011.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sets forth NTIC’s net sales by product category for the three and nine months ended May 31, 2012 and 2011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09"/>
        </w:trPr>
        <w:tc>
          <w:tcPr>
            <w:tcW w:w="4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2011</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7,220,258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4,855,535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16,243,683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13,307,276</w:t>
            </w: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Natur-Tec® sales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584,646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245,243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1,367,663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670,061</w:t>
            </w:r>
          </w:p>
        </w:tc>
      </w:tr>
      <w:tr>
        <w:trPr>
          <w:trHeight w:val="215"/>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7,804,904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5,100,778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17,611,346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13,977,337</w:t>
            </w: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__________________</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ind w:left="340" w:right="120" w:hanging="332"/>
        <w:spacing w:after="0" w:line="25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net sales by NTIC’s joint ventures which are not combined with NTIC’s sales in NTIC’s consolidated financial statements or in any description of NTIC’s sales.</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During the three and nine months ended May 31, 2012, 92.5% and 92.2% of NTIC’s consolidated net sales, respectively,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 increased 48.7% and 22.1% to $7,220,258 and $16,243,683 during the three and nine months ended May 31, 2012, respectively, compared to $4,855,535 and $13,307,276 during the same respective prior year periods, due primarily from increased demand from existing customers and the addition of new customers. NTIC has focused its sales efforts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w:t>
      </w:r>
    </w:p>
    <w:p>
      <w:pPr>
        <w:spacing w:after="0" w:line="211" w:lineRule="exact"/>
        <w:rPr>
          <w:sz w:val="20"/>
          <w:szCs w:val="20"/>
          <w:color w:val="auto"/>
        </w:rPr>
      </w:pPr>
    </w:p>
    <w:p>
      <w:pPr>
        <w:ind w:right="440"/>
        <w:spacing w:after="0" w:line="340" w:lineRule="auto"/>
        <w:rPr>
          <w:sz w:val="20"/>
          <w:szCs w:val="20"/>
          <w:color w:val="auto"/>
        </w:rPr>
      </w:pPr>
      <w:r>
        <w:rPr>
          <w:rFonts w:ascii="Arial" w:cs="Arial" w:eastAsia="Arial" w:hAnsi="Arial"/>
          <w:sz w:val="16"/>
          <w:szCs w:val="16"/>
          <w:color w:val="auto"/>
        </w:rPr>
        <w:t>NTIC’s consolidated net sales during the three and nine months ended May 31, 2012 included $2,787,867 and $4,004,399, respectively, of sales made by Zerust Brazil, and of those sales, $2,300,139 and $2,451,000, respectively, in sales were made to the oil and gas industry sector in Brazil.</w:t>
      </w:r>
    </w:p>
    <w:p>
      <w:pPr>
        <w:spacing w:after="0" w:line="151"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During the three and nine months ended May 31, 2012, 7.4% and 7.8% of NTIC’s consolidated net sales, respectively, were derived from sales of Natur-Tec® products, which increased 138.4% and 104.1% to $584,646 and $1,367,663 during the three and nine months ended May 31, 2012, respectively, compared to the three and nine months ended May 31, 2011. These increases were due to increased sales to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23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19.8% and 18.3% for the three and nine months ended May 31, 2012, respectively,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May 31, 2011 primarily as a result of increased net sales as described above. Cost of goods sold as a percentage of net sales decreased to 53.1% and 61.5% for the three and nine months ended May 31, 2012, respectively, compared to 67.8% and 65.5% for the three and nine months ended May 31, 2011, respectively, primarily as a result of increased sales by Zerust Brazil of higher average gross margin products.</w:t>
      </w:r>
    </w:p>
    <w:p>
      <w:pPr>
        <w:spacing w:after="0" w:line="19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increased 5.7% and decreased 3.2% to $1,822,972 and $4,405,327,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and nine months ended May 31, 2012 compared $1,724,477 and $4,549,267 during the three and nine months ended May 31, 2011. Of the total equity in income of joint ventures, NTIC had equity in income of joint ventures of $2,396,596 attributable to EXCOR during the nine months ended May 31, 2012 compared to $2,550,188 attributable to EXCOR during the nine months ended May 31, 2011. Of the total equity in income of joint ventures, NTIC had equity in income of joint ventures of $1,076,230 attributable to NTI ASEAN during the nine months ended May 31, 2012 compared to $912,449 attributable to NTI ASEAN during the nine months ended May 31, 2011. NTIC had equity in income of all other joint ventures of $932,501 during the nine months ended May 31, 2012 compared to $1,086,630 during the nine months ended May 31, 2011. As previously described, NTIC’s equity in income of joint ventures was positively affected by the waiver of fees for services by the shareholders of NTIC’s joint venture in India, but negatively affected by the loss associated with the write down by HNTI of a Polymer Energy unit.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$734,337 and $3,477,715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May 31, 2012, respectively, compared to $1,623,585 and $4,477,514 during the three and nine months ended May 31, 2011, respectively, representing a decrease of 54.8% and 22.3%, respectively. These decreases were primarily a result of the waiver of fees by the shareholders of HNTI as described previously and a 13.2% and 3.5% decrease in total net sales of NTIC’s joint ventures to $28,954,210 and $83,746,872 during the three and nine months ended May 31, 2012, respectively, compared to $33,339,304 and $86,744,626 for the three and nine months ended May 31, 2011, respectively. Total net sales of NTIC’s joint ventures were adversely affected in part by the European sovereign debt crises,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20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Of the total fee income for services provided to its joint ventures, fees of $742,170 were attributable to EXCOR during the nine months ended May 31, 2012 compared to $800,877 attributable to EXCOR during the nine months ended May 31, 2011. This decrease was the result of foreign currency exchange rate fluctuations. NTIC does not receive fees attributable to NTI ASEAN. NTIC receives dividend payments based on fees paid from the joint ventures that comprise the NTI ASEAN investments.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sponsors a worldwide joint venture conference periodically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summer 2013. No additional income during the three and nine months ended May 31, 2012 and 2011 was deferred related to this future conference since $288,000 had been accrued prior to such time, which represents the amount that NTIC expects to spend to hold the next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p>
    <w:p>
      <w:pPr>
        <w:spacing w:after="0" w:line="20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increased 8.9% and 9.9% for the three and nine months ended May 31, 2012 compared to the same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fiscal 2011 due to increases in compensation and employee benefits, lab testing related expenses, commission expenses, travel and related expenses, and consulting expenses and selling expenses incurred at Zerust Brazil. Selling expenses as a percentage of net sales decreased to 16.3% and 19.3% for the three and nine months ended May 31, 2012, from 22.9% and 22.1%, respectively, during the three and nine months ended May 31, 2011, due primarily to the increase in net sales, partially offset by the increase in selling expenses as previously described.</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1.9% and 6.6%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compared to the same respective periods in fiscal 2011 due to an increase in compensation and benefits expenses associated with an increase in headcount and annual performance raises, partially offset by a decrease in consulting expenses. As a percentage of net sales, general and administrative expenses decreased to 14.7% and 20.0% for the three and nine months ended May 31, 2012 from 22.1% and 23.6% for the three and nine months ended May 31, 2011, respectively.</w:t>
      </w:r>
    </w:p>
    <w:p>
      <w:pPr>
        <w:spacing w:after="0" w:line="21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$294,169 and $729,990 during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May 31, 2012, respectively, compared to $244,959 and $722,955 during the three and nine months ended May 31, 2011, representing an increase of 20.1% and 1.0%, respectively. These increases were due primarily to increased compensation and benefits expenses associated with increased headcount.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2" w:name="page23"/>
    <w:bookmarkEnd w:id="22"/>
    <w:p>
      <w:pPr>
        <w:ind w:right="120"/>
        <w:spacing w:after="0" w:line="26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11.6% and 13.7%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compared to the same respective periods in fiscal 2011. The decreases were primarily due to decreases in consulting expenses partially offset by reimbursements related to certain research and development contracts.</w:t>
      </w:r>
    </w:p>
    <w:p>
      <w:pPr>
        <w:spacing w:after="0" w:line="20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$15,726 and $36,417 during the three and nine months ended May 31, 2012,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$8,522 and $13,131 during the three and nine months ended May 31, 2011, respectively, primarily due to increased cash balances earning interest during the most recent periods.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$6,264 and $19,514 during the three and nine months ended May 31, 2012,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$7,880 and $53,355 during the three and nine months ended May 31, 2011, respectively, primarily due to lower average outstanding debt levels during the most recent periods.</w:t>
      </w:r>
    </w:p>
    <w:p>
      <w:pPr>
        <w:spacing w:after="0" w:line="209"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i w:val="1"/>
          <w:iCs w:val="1"/>
          <w:color w:val="auto"/>
        </w:rPr>
        <w:t>Income Before Income Tax Expense</w:t>
      </w:r>
      <w:r>
        <w:rPr>
          <w:rFonts w:ascii="Arial" w:cs="Arial" w:eastAsia="Arial" w:hAnsi="Arial"/>
          <w:sz w:val="17"/>
          <w:szCs w:val="17"/>
          <w:color w:val="auto"/>
        </w:rPr>
        <w:t>. Income before income tax expense increased to $2,454,623 and $4,200,035 for the three and nine months ended May 31,</w:t>
      </w:r>
      <w:r>
        <w:rPr>
          <w:rFonts w:ascii="Arial" w:cs="Arial" w:eastAsia="Arial" w:hAnsi="Arial"/>
          <w:sz w:val="17"/>
          <w:szCs w:val="17"/>
          <w:i w:val="1"/>
          <w:iCs w:val="1"/>
          <w:color w:val="auto"/>
        </w:rPr>
        <w:t xml:space="preserve"> </w:t>
      </w:r>
      <w:r>
        <w:rPr>
          <w:rFonts w:ascii="Arial" w:cs="Arial" w:eastAsia="Arial" w:hAnsi="Arial"/>
          <w:sz w:val="17"/>
          <w:szCs w:val="17"/>
          <w:color w:val="auto"/>
        </w:rPr>
        <w:t>2012, respectively, compared to $1,250,155 and $3,408,248 for the three and nine months ended May 31, 2011, respectively.</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$814,000 and $1,020,000 during the three and nine months ended May 31, 2012, respectively,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$228,000 and $490,000 during the three and nine months ended May 31, 2011, respectively. Income tax expense was calculated based on management’s estimate of NTIC’s annual effective income tax rate. NTIC’s annual effective income tax rate during the three months ended May 31, 2012 and 2011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strengthening of the U.S. Dollar compared to the Euro and other foreign currencies during the three and nine months ended May 31, 2012 compared to the same respective periods in fiscal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2012, NTIC’s working capital was $11,367,393, including $4,465,898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$9,085,748, including $3,266,362 in cash and cash equivalents, at August 31, 2011.</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May 31, 2012, NTIC had a term loan with a principal amount of $1,028,563 outstanding that Northern Technologies Holding Company, LLC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NTIC and is guaranteed by NTIC.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3" w:name="page24"/>
    <w:bookmarkEnd w:id="23"/>
    <w:p>
      <w:pPr>
        <w:spacing w:after="0" w:line="252" w:lineRule="auto"/>
        <w:rPr>
          <w:sz w:val="20"/>
          <w:szCs w:val="20"/>
          <w:color w:val="auto"/>
        </w:rPr>
      </w:pPr>
      <w:r>
        <w:rPr>
          <w:rFonts w:ascii="Arial" w:cs="Arial" w:eastAsia="Arial" w:hAnsi="Arial"/>
          <w:sz w:val="18"/>
          <w:szCs w:val="18"/>
          <w:color w:val="auto"/>
        </w:rPr>
        <w:t>As of May 31, 2012,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May 31, 2012, the interest rate on the line of credit was 3.20%.</w:t>
      </w:r>
    </w:p>
    <w:p>
      <w:pPr>
        <w:spacing w:after="0" w:line="22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9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On January 10, 2012, NTIC and PNC Bank entered into a Waiver and First Amendment to Loan Documents pursuant to which NTIC and PNC Bank amended the loan agreement and other documents evidencing NTIC’s $3,000,000 line of credit with PNC Bank effective as of January 11, 2012 to extend the maturity date of the line of credit from January 10, 2012 to January 9, 2013, and waive a technical covenant default by NTIC to deliver a compliance certificate for the period ended November 30, 2011. All other terms of the line of credit and the loan agreement and other documents evidencing the line of credit remain the same. NTIC expects to remain in compliance with all loan agreement covenants during the remainder of fiscal 2012.</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2012,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24" w:name="page25"/>
    <w:bookmarkEnd w:id="24"/>
    <w:p>
      <w:pPr>
        <w:ind w:right="20"/>
        <w:spacing w:after="0" w:line="254"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nine months ended May 31, 2012 was $1,172,924, which resulted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NTIC’s equity in income from joint ventures and increases in receivables, inventories and prepaid expenses and a decrease in accounts payables, accrued liabilities and income taxes payable, partially offset by NTIC’s net income, depreciation and amortization. Net cash used in operating activities during the nine months ended May 31, 2011 was $1,813,381 which resulted principally from NTIC’s equity in income from joint ventures and increases in receivables, inventories and prepaid expenses and a decrease in accounts payables, partially offset by NTIC’s net income and increases in income taxes payable and accrued liabilities.</w:t>
      </w:r>
    </w:p>
    <w:p>
      <w:pPr>
        <w:spacing w:after="0" w:line="21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NTIC experienced a slight increase in receivables and inventory as of May 31, 2012 compared to August 31, 2011 due to the increase in net sales and a desire to stock more products to shorten lead times and anticipate customer demand. Trade receivables excluding joint ventures as of May 31, 2012 increased $211,206 compared to August 31, 2011, primarily related to the increase in NTIC’s net sales.</w:t>
      </w:r>
    </w:p>
    <w:p>
      <w:pPr>
        <w:spacing w:after="0" w:line="20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Outstanding trade receivables excluding joint ventures balances as of May 31, 2012 decreased 14 days to an average of 35 days from balances outstanding from these customers as of August 31, 2011.</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Outstanding trade receivables from joint ventures as of May 31, 2012 decreased $41,562 compared to August 31, 2011, primarily due to the timing of payments, which resulted in an increase of outstanding balances from trade receivables from joint ventures as of May 31, 2012 of 162 days from an average of 123 days from balances outstanding from these customers compared to August 31, 2011. The significant average days outstanding of trade receivables from joint ventures as of May 31, 2012 were primarily due to the then receivable balance at NTIC’s joint venture in India and to a lesser extent NTIC’s joint venture in China.</w:t>
      </w:r>
    </w:p>
    <w:p>
      <w:pPr>
        <w:spacing w:after="0" w:line="21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Outstanding receivables for services provided to joint ventures as of May 31, 2012 decreased $199,871 compared to August 31, 2011, primarily resulting from reduced amounts receivable from NTIC’s joint venture in India which resulted in an increase of 124 days of fees receivable outstanding as of May 31, 2012 to an average of 242 days compared to August 31, 2011.</w:t>
      </w:r>
    </w:p>
    <w:p>
      <w:pPr>
        <w:spacing w:after="0" w:line="20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Net cash provided by investing activities for the nine months ended May 31, 2012 was $2,517,369, which was comprised of dividends received from joint ventures partially offset by additions to property and equipment and additions to patents. Net cash provided by investing activities for the nine months ended May 31, 2011 was $2,287,585, which was comprised of dividends received from joint ventures and proceeds from sale of property and equipment partially offset by additions to property and equipment, additions to patents and investments in joint ventures.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5" w:name="page26"/>
    <w:bookmarkEnd w:id="25"/>
    <w:p>
      <w:pPr>
        <w:ind w:right="200"/>
        <w:spacing w:after="0" w:line="255" w:lineRule="auto"/>
        <w:rPr>
          <w:sz w:val="20"/>
          <w:szCs w:val="20"/>
          <w:color w:val="auto"/>
        </w:rPr>
      </w:pPr>
      <w:r>
        <w:rPr>
          <w:rFonts w:ascii="Arial" w:cs="Arial" w:eastAsia="Arial" w:hAnsi="Arial"/>
          <w:sz w:val="18"/>
          <w:szCs w:val="18"/>
          <w:color w:val="auto"/>
        </w:rPr>
        <w:t>Net cash provided by financing activities for the nine months ended May 31, 2012 was $13,361, which resulted from proceeds from NTIC’s employee stock purchase plan and, to a lesser extent, option exercises and, partially offset by principal payments on the bank loan for NTIC’s corporate headquarters buildings. Net cash provided by financing activities for the nine months ended May 31, 2011 was $402,917, which resulted from proceeds from option exercises and, to a lesser extent, NTIC’s employee stock purchase plan, partially offset by principal payments on the bank loan for NTIC’s corporate headquarters buildings.</w:t>
      </w:r>
    </w:p>
    <w:p>
      <w:pPr>
        <w:spacing w:after="0" w:line="218" w:lineRule="exact"/>
        <w:rPr>
          <w:sz w:val="20"/>
          <w:szCs w:val="20"/>
          <w:color w:val="auto"/>
        </w:rPr>
      </w:pPr>
    </w:p>
    <w:p>
      <w:pPr>
        <w:jc w:val="both"/>
        <w:ind w:right="360"/>
        <w:spacing w:after="0" w:line="310"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or other material capital commitments as of May 31, 2011, except a lease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NTI Facilities, Inc., a subsidiary of NTIC, for 16,994 square feet of office, manufacturing, laboratory and warehouse space in Beachwood, Ohio, requiring monthly payments of $17,500, which are adjusted annually according to the annual consumer price index, through November 2014.</w:t>
      </w:r>
    </w:p>
    <w:p>
      <w:pPr>
        <w:spacing w:after="0" w:line="17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NTIC spent approximately $402,620 on capital expenditures during the nine months ended May 31, 2012 and expects to spend an aggregate of approximately $1,200,000 on capital expenditures during fiscal 2012. Such anticipated capital expenditures for fiscal 2012 relate primarily to the expansion of its laboratory facilities in Circle Pines, Minnesota and the purchase of new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4" w:lineRule="exact"/>
        <w:rPr>
          <w:sz w:val="20"/>
          <w:szCs w:val="20"/>
          <w:color w:val="auto"/>
        </w:rPr>
      </w:pPr>
    </w:p>
    <w:p>
      <w:pPr>
        <w:jc w:val="both"/>
        <w:ind w:right="140"/>
        <w:spacing w:after="0" w:line="285"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6" w:name="page27"/>
    <w:bookmarkEnd w:id="26"/>
    <w:p>
      <w:pPr>
        <w:jc w:val="both"/>
        <w:ind w:right="120"/>
        <w:spacing w:after="0" w:line="31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2012,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0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2" w:lineRule="exact"/>
        <w:rPr>
          <w:sz w:val="20"/>
          <w:szCs w:val="20"/>
          <w:color w:val="auto"/>
        </w:rPr>
      </w:pPr>
    </w:p>
    <w:p>
      <w:pPr>
        <w:ind w:left="980" w:hanging="139"/>
        <w:spacing w:after="0" w:line="27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980" w:hanging="13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0" w:lineRule="exact"/>
        <w:rPr>
          <w:rFonts w:ascii="Arial" w:cs="Arial" w:eastAsia="Arial" w:hAnsi="Arial"/>
          <w:sz w:val="18"/>
          <w:szCs w:val="18"/>
          <w:color w:val="auto"/>
        </w:rPr>
      </w:pPr>
    </w:p>
    <w:p>
      <w:pPr>
        <w:ind w:left="980" w:right="20" w:hanging="139"/>
        <w:spacing w:after="0" w:line="27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980" w:hanging="13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variability in NTIC’s equity income of joint ventures, which in turn, subjects NTIC’s earnings to quarterly fluctuations;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7" w:name="page28"/>
    <w:bookmarkEnd w:id="27"/>
    <w:p>
      <w:pPr>
        <w:ind w:left="980" w:hanging="139"/>
        <w:spacing w:after="0" w:line="27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0" w:lineRule="exact"/>
        <w:rPr>
          <w:rFonts w:ascii="Arial" w:cs="Arial" w:eastAsia="Arial" w:hAnsi="Arial"/>
          <w:sz w:val="18"/>
          <w:szCs w:val="18"/>
          <w:color w:val="auto"/>
        </w:rPr>
      </w:pPr>
    </w:p>
    <w:p>
      <w:pPr>
        <w:jc w:val="both"/>
        <w:ind w:left="980" w:hanging="139"/>
        <w:spacing w:after="0" w:line="23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28"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0" w:lineRule="exact"/>
        <w:rPr>
          <w:rFonts w:ascii="Arial" w:cs="Arial" w:eastAsia="Arial" w:hAnsi="Arial"/>
          <w:sz w:val="18"/>
          <w:szCs w:val="18"/>
          <w:color w:val="auto"/>
        </w:rPr>
      </w:pPr>
    </w:p>
    <w:p>
      <w:pPr>
        <w:ind w:left="980" w:hanging="139"/>
        <w:spacing w:after="0" w:line="22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28" w:lineRule="exact"/>
        <w:rPr>
          <w:rFonts w:ascii="Arial" w:cs="Arial" w:eastAsia="Arial" w:hAnsi="Arial"/>
          <w:sz w:val="18"/>
          <w:szCs w:val="18"/>
          <w:color w:val="auto"/>
        </w:rPr>
      </w:pPr>
    </w:p>
    <w:p>
      <w:pPr>
        <w:ind w:left="980" w:hanging="139"/>
        <w:spacing w:after="0" w:line="22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28"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0" w:lineRule="exact"/>
        <w:rPr>
          <w:rFonts w:ascii="Arial" w:cs="Arial" w:eastAsia="Arial" w:hAnsi="Arial"/>
          <w:sz w:val="18"/>
          <w:szCs w:val="18"/>
          <w:color w:val="auto"/>
        </w:rPr>
      </w:pPr>
    </w:p>
    <w:p>
      <w:pPr>
        <w:ind w:left="980" w:hanging="139"/>
        <w:spacing w:after="0" w:line="27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980" w:hanging="139"/>
        <w:spacing w:after="0" w:line="22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28"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0"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2011 under the heading “Part I. Item 1A. Risk Factors.”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8" w:name="page29"/>
    <w:bookmarkEnd w:id="28"/>
    <w:p>
      <w:pPr>
        <w:ind w:right="40"/>
        <w:spacing w:after="0" w:line="267"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0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2012 that has materially affected, or is reasonably likely to materially affect NTIC’s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9" w:name="page30"/>
    <w:bookmarkEnd w:id="29"/>
    <w:p>
      <w:pPr>
        <w:spacing w:after="0"/>
        <w:tabs>
          <w:tab w:leader="none" w:pos="13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During the three months ended May 31, 2012, NTIC did not issue any shares of its common stock or other equity securities of NTIC that were not registered under the Securities Act of 1933,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2012, NTIC did not purchase any shares of its common stock or other equity securities of NTIC.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101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31.1</w:t>
            </w:r>
          </w:p>
        </w:tc>
        <w:tc>
          <w:tcPr>
            <w:tcW w:w="10180" w:type="dxa"/>
            <w:vAlign w:val="bottom"/>
          </w:tcPr>
          <w:p>
            <w:pPr>
              <w:ind w:left="320"/>
              <w:spacing w:after="0" w:line="195" w:lineRule="exact"/>
              <w:rPr>
                <w:sz w:val="20"/>
                <w:szCs w:val="20"/>
                <w:color w:val="auto"/>
              </w:rPr>
            </w:pPr>
            <w:r>
              <w:rPr>
                <w:rFonts w:ascii="Arial" w:cs="Arial" w:eastAsia="Arial" w:hAnsi="Arial"/>
                <w:sz w:val="18"/>
                <w:szCs w:val="18"/>
                <w:color w:val="auto"/>
                <w:w w:val="90"/>
              </w:rPr>
              <w:t>Certification of Chief Executive Officer Pursuant to Exchange Act Rules 13a-14(a)/15d-14(a), as Adopted Pursuant to Section 302 of the</w:t>
            </w:r>
          </w:p>
        </w:tc>
      </w:tr>
      <w:tr>
        <w:trPr>
          <w:trHeight w:val="230"/>
        </w:trPr>
        <w:tc>
          <w:tcPr>
            <w:tcW w:w="12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Sarbanes-Oxley Act of 2002 (filed herewith)</w:t>
            </w:r>
          </w:p>
        </w:tc>
      </w:tr>
      <w:tr>
        <w:trPr>
          <w:trHeight w:val="4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Certification of Chief Financial Officer Pursuant to Exchange Act Rules 13a-14(a)/15d-14(a), as Adopted Pursuant to Section 302 of the</w:t>
            </w:r>
          </w:p>
        </w:tc>
      </w:tr>
      <w:tr>
        <w:trPr>
          <w:trHeight w:val="230"/>
        </w:trPr>
        <w:tc>
          <w:tcPr>
            <w:tcW w:w="12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Sarbanes-Oxley Act of 2002 (filed herewith)</w:t>
            </w:r>
          </w:p>
        </w:tc>
      </w:tr>
      <w:tr>
        <w:trPr>
          <w:trHeight w:val="4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r>
      <w:tr>
        <w:trPr>
          <w:trHeight w:val="230"/>
        </w:trPr>
        <w:tc>
          <w:tcPr>
            <w:tcW w:w="12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Act of 2002 (furnished herewith)</w:t>
            </w:r>
          </w:p>
        </w:tc>
      </w:tr>
      <w:tr>
        <w:trPr>
          <w:trHeight w:val="4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30"/>
        </w:trPr>
        <w:tc>
          <w:tcPr>
            <w:tcW w:w="12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Act of 2002 (furnished herewith)</w:t>
            </w:r>
          </w:p>
        </w:tc>
      </w:tr>
    </w:tbl>
    <w:p>
      <w:pPr>
        <w:spacing w:after="0" w:line="201" w:lineRule="exact"/>
        <w:rPr>
          <w:sz w:val="20"/>
          <w:szCs w:val="20"/>
          <w:color w:val="auto"/>
        </w:rPr>
      </w:pPr>
    </w:p>
    <w:p>
      <w:pPr>
        <w:ind w:left="1560" w:right="80" w:hanging="914"/>
        <w:spacing w:after="0" w:line="258" w:lineRule="auto"/>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materials from Northern Technologies International Corporation’s Quarterly Report on Form 10-Q for the fiscal quarter ended May 31, 2012, formatted in XBRL (Extensible Business Reporting Language): (i) the unaudited Consolidated Balance Sheets, (ii) the unaudited Consolidated Statements of Operations, (iii) the unaudited Consolidated Statements of Cash Flows, and (iv) Notes to Condensed Financial Statements (furnished herewith)*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0" w:name="page31"/>
    <w:bookmarkEnd w:id="30"/>
    <w:p>
      <w:pPr>
        <w:ind w:left="652"/>
        <w:spacing w:after="0"/>
        <w:rPr>
          <w:sz w:val="20"/>
          <w:szCs w:val="20"/>
          <w:color w:val="auto"/>
        </w:rPr>
      </w:pPr>
      <w:r>
        <w:rPr>
          <w:rFonts w:ascii="Arial" w:cs="Arial" w:eastAsia="Arial" w:hAnsi="Arial"/>
          <w:sz w:val="18"/>
          <w:szCs w:val="18"/>
          <w:color w:val="auto"/>
        </w:rPr>
        <w:t>_____________________</w:t>
      </w:r>
    </w:p>
    <w:p>
      <w:pPr>
        <w:spacing w:after="0" w:line="250" w:lineRule="exact"/>
        <w:rPr>
          <w:sz w:val="20"/>
          <w:szCs w:val="20"/>
          <w:color w:val="auto"/>
        </w:rPr>
      </w:pPr>
    </w:p>
    <w:p>
      <w:pPr>
        <w:ind w:left="652" w:hanging="652"/>
        <w:spacing w:after="0" w:line="300"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0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38100"/>
                    </a:xfrm>
                    <a:prstGeom prst="rect">
                      <a:avLst/>
                    </a:prstGeom>
                    <a:noFill/>
                  </pic:spPr>
                </pic:pic>
              </a:graphicData>
            </a:graphic>
          </wp:anchor>
        </w:drawing>
      </w:r>
    </w:p>
    <w:p>
      <w:pPr>
        <w:sectPr>
          <w:pgSz w:w="11900" w:h="16838" w:orient="portrait"/>
          <w:cols w:equalWidth="0" w:num="1">
            <w:col w:w="11292"/>
          </w:cols>
          <w:pgMar w:left="248" w:top="273"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170180</wp:posOffset>
            </wp:positionV>
            <wp:extent cx="1340485" cy="63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04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Date: July 12, 2012</w:t>
            </w:r>
          </w:p>
        </w:tc>
        <w:tc>
          <w:tcPr>
            <w:tcW w:w="8420" w:type="dxa"/>
            <w:vAlign w:val="bottom"/>
          </w:tcPr>
          <w:p>
            <w:pPr>
              <w:ind w:left="1940"/>
              <w:spacing w:after="0"/>
              <w:rPr>
                <w:sz w:val="20"/>
                <w:szCs w:val="20"/>
                <w:color w:val="auto"/>
              </w:rPr>
            </w:pPr>
            <w:r>
              <w:rPr>
                <w:rFonts w:ascii="Arial" w:cs="Arial" w:eastAsia="Arial" w:hAnsi="Arial"/>
                <w:sz w:val="18"/>
                <w:szCs w:val="18"/>
                <w:color w:val="auto"/>
              </w:rPr>
              <w:t>Matthew C. Wolsfeld, CPA</w:t>
            </w:r>
          </w:p>
        </w:tc>
      </w:tr>
      <w:tr>
        <w:trPr>
          <w:trHeight w:val="215"/>
        </w:trPr>
        <w:tc>
          <w:tcPr>
            <w:tcW w:w="3000" w:type="dxa"/>
            <w:vAlign w:val="bottom"/>
          </w:tcPr>
          <w:p>
            <w:pPr>
              <w:spacing w:after="0"/>
              <w:rPr>
                <w:sz w:val="18"/>
                <w:szCs w:val="18"/>
                <w:color w:val="auto"/>
              </w:rPr>
            </w:pPr>
          </w:p>
        </w:tc>
        <w:tc>
          <w:tcPr>
            <w:tcW w:w="8420" w:type="dxa"/>
            <w:vAlign w:val="bottom"/>
          </w:tcPr>
          <w:p>
            <w:pPr>
              <w:ind w:left="1520"/>
              <w:spacing w:after="0"/>
              <w:rPr>
                <w:sz w:val="20"/>
                <w:szCs w:val="20"/>
                <w:color w:val="auto"/>
              </w:rPr>
            </w:pPr>
            <w:r>
              <w:rPr>
                <w:rFonts w:ascii="Arial" w:cs="Arial" w:eastAsia="Arial" w:hAnsi="Arial"/>
                <w:sz w:val="18"/>
                <w:szCs w:val="18"/>
                <w:color w:val="auto"/>
              </w:rPr>
              <w:t>Chief Financial Officer</w:t>
            </w:r>
          </w:p>
        </w:tc>
      </w:tr>
      <w:tr>
        <w:trPr>
          <w:trHeight w:val="215"/>
        </w:trPr>
        <w:tc>
          <w:tcPr>
            <w:tcW w:w="3000" w:type="dxa"/>
            <w:vAlign w:val="bottom"/>
          </w:tcPr>
          <w:p>
            <w:pPr>
              <w:spacing w:after="0"/>
              <w:rPr>
                <w:sz w:val="18"/>
                <w:szCs w:val="18"/>
                <w:color w:val="auto"/>
              </w:rPr>
            </w:pPr>
          </w:p>
        </w:tc>
        <w:tc>
          <w:tcPr>
            <w:tcW w:w="8420" w:type="dxa"/>
            <w:vAlign w:val="bottom"/>
          </w:tcPr>
          <w:p>
            <w:pPr>
              <w:ind w:left="1520"/>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3000" w:type="dxa"/>
            <w:vAlign w:val="bottom"/>
          </w:tcPr>
          <w:p>
            <w:pPr>
              <w:spacing w:after="0"/>
              <w:rPr>
                <w:sz w:val="19"/>
                <w:szCs w:val="19"/>
                <w:color w:val="auto"/>
              </w:rPr>
            </w:pPr>
          </w:p>
        </w:tc>
        <w:tc>
          <w:tcPr>
            <w:tcW w:w="8420" w:type="dxa"/>
            <w:vAlign w:val="bottom"/>
          </w:tcPr>
          <w:p>
            <w:pPr>
              <w:ind w:left="1520"/>
              <w:spacing w:after="0"/>
              <w:rPr>
                <w:sz w:val="20"/>
                <w:szCs w:val="20"/>
                <w:color w:val="auto"/>
              </w:rPr>
            </w:pPr>
            <w:r>
              <w:rPr>
                <w:rFonts w:ascii="Arial" w:cs="Arial" w:eastAsia="Arial" w:hAnsi="Arial"/>
                <w:sz w:val="18"/>
                <w:szCs w:val="18"/>
                <w:color w:val="auto"/>
              </w:rPr>
              <w:t>Duly Authorized to Sign on Behalf of the Registrant)</w:t>
            </w:r>
          </w:p>
        </w:tc>
      </w:tr>
      <w:tr>
        <w:trPr>
          <w:trHeight w:val="847"/>
        </w:trPr>
        <w:tc>
          <w:tcPr>
            <w:tcW w:w="3000" w:type="dxa"/>
            <w:vAlign w:val="bottom"/>
          </w:tcPr>
          <w:p>
            <w:pPr>
              <w:spacing w:after="0"/>
              <w:rPr>
                <w:sz w:val="24"/>
                <w:szCs w:val="24"/>
                <w:color w:val="auto"/>
              </w:rPr>
            </w:pPr>
          </w:p>
        </w:tc>
        <w:tc>
          <w:tcPr>
            <w:tcW w:w="8420" w:type="dxa"/>
            <w:vAlign w:val="bottom"/>
          </w:tcPr>
          <w:p>
            <w:pPr>
              <w:jc w:val="right"/>
              <w:ind w:right="5530"/>
              <w:spacing w:after="0"/>
              <w:rPr>
                <w:sz w:val="20"/>
                <w:szCs w:val="20"/>
                <w:color w:val="auto"/>
              </w:rPr>
            </w:pPr>
            <w:r>
              <w:rPr>
                <w:rFonts w:ascii="Arial" w:cs="Arial" w:eastAsia="Arial" w:hAnsi="Arial"/>
                <w:sz w:val="18"/>
                <w:szCs w:val="18"/>
                <w:color w:val="auto"/>
              </w:rPr>
              <w:t>31</w:t>
            </w:r>
          </w:p>
        </w:tc>
      </w:tr>
      <w:tr>
        <w:trPr>
          <w:trHeight w:val="104"/>
        </w:trPr>
        <w:tc>
          <w:tcPr>
            <w:tcW w:w="3000" w:type="dxa"/>
            <w:vAlign w:val="bottom"/>
          </w:tcPr>
          <w:p>
            <w:pPr>
              <w:spacing w:after="0"/>
              <w:rPr>
                <w:sz w:val="9"/>
                <w:szCs w:val="9"/>
                <w:color w:val="auto"/>
              </w:rPr>
            </w:pPr>
          </w:p>
        </w:tc>
        <w:tc>
          <w:tcPr>
            <w:tcW w:w="8420" w:type="dxa"/>
            <w:vAlign w:val="bottom"/>
          </w:tcPr>
          <w:p>
            <w:pPr>
              <w:spacing w:after="0"/>
              <w:rPr>
                <w:sz w:val="9"/>
                <w:szCs w:val="9"/>
                <w:color w:val="auto"/>
              </w:rPr>
            </w:pPr>
          </w:p>
        </w:tc>
      </w:tr>
      <w:tr>
        <w:trPr>
          <w:trHeight w:val="60"/>
        </w:trPr>
        <w:tc>
          <w:tcPr>
            <w:tcW w:w="3000" w:type="dxa"/>
            <w:vAlign w:val="bottom"/>
            <w:shd w:val="clear" w:color="auto" w:fill="808080"/>
          </w:tcPr>
          <w:p>
            <w:pPr>
              <w:spacing w:after="0"/>
              <w:rPr>
                <w:sz w:val="5"/>
                <w:szCs w:val="5"/>
                <w:color w:val="auto"/>
              </w:rPr>
            </w:pPr>
          </w:p>
        </w:tc>
        <w:tc>
          <w:tcPr>
            <w:tcW w:w="84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9"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1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2820" w:type="dxa"/>
            <w:vAlign w:val="bottom"/>
          </w:tcPr>
          <w:p>
            <w:pPr>
              <w:spacing w:after="0"/>
              <w:rPr>
                <w:sz w:val="20"/>
                <w:szCs w:val="20"/>
                <w:color w:val="auto"/>
              </w:rPr>
            </w:pPr>
          </w:p>
        </w:tc>
      </w:tr>
      <w:tr>
        <w:trPr>
          <w:trHeight w:val="457"/>
        </w:trPr>
        <w:tc>
          <w:tcPr>
            <w:tcW w:w="1440" w:type="dxa"/>
            <w:vAlign w:val="bottom"/>
          </w:tcPr>
          <w:p>
            <w:pPr>
              <w:spacing w:after="0"/>
              <w:rPr>
                <w:sz w:val="24"/>
                <w:szCs w:val="24"/>
                <w:color w:val="auto"/>
              </w:rPr>
            </w:pPr>
          </w:p>
        </w:tc>
        <w:tc>
          <w:tcPr>
            <w:tcW w:w="71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9"/>
              </w:rPr>
              <w:t>QUARTERLY REPORT ON FORM 10-Q</w:t>
            </w:r>
          </w:p>
        </w:tc>
        <w:tc>
          <w:tcPr>
            <w:tcW w:w="2820" w:type="dxa"/>
            <w:vAlign w:val="bottom"/>
          </w:tcPr>
          <w:p>
            <w:pPr>
              <w:spacing w:after="0"/>
              <w:rPr>
                <w:sz w:val="24"/>
                <w:szCs w:val="24"/>
                <w:color w:val="auto"/>
              </w:rPr>
            </w:pPr>
          </w:p>
        </w:tc>
      </w:tr>
      <w:tr>
        <w:trPr>
          <w:trHeight w:val="457"/>
        </w:trPr>
        <w:tc>
          <w:tcPr>
            <w:tcW w:w="1440" w:type="dxa"/>
            <w:vAlign w:val="bottom"/>
          </w:tcPr>
          <w:p>
            <w:pPr>
              <w:spacing w:after="0"/>
              <w:rPr>
                <w:sz w:val="24"/>
                <w:szCs w:val="24"/>
                <w:color w:val="auto"/>
              </w:rPr>
            </w:pPr>
          </w:p>
        </w:tc>
        <w:tc>
          <w:tcPr>
            <w:tcW w:w="71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rPr>
              <w:t>EXHIBIT INDEX</w:t>
            </w:r>
          </w:p>
        </w:tc>
        <w:tc>
          <w:tcPr>
            <w:tcW w:w="2820" w:type="dxa"/>
            <w:vAlign w:val="bottom"/>
          </w:tcPr>
          <w:p>
            <w:pPr>
              <w:spacing w:after="0"/>
              <w:rPr>
                <w:sz w:val="24"/>
                <w:szCs w:val="24"/>
                <w:color w:val="auto"/>
              </w:rPr>
            </w:pPr>
          </w:p>
        </w:tc>
      </w:tr>
      <w:tr>
        <w:trPr>
          <w:trHeight w:val="258"/>
        </w:trPr>
        <w:tc>
          <w:tcPr>
            <w:tcW w:w="1440" w:type="dxa"/>
            <w:vAlign w:val="bottom"/>
            <w:tcBorders>
              <w:bottom w:val="single" w:sz="8" w:color="auto"/>
            </w:tcBorders>
          </w:tcPr>
          <w:p>
            <w:pPr>
              <w:spacing w:after="0"/>
              <w:rPr>
                <w:sz w:val="22"/>
                <w:szCs w:val="22"/>
                <w:color w:val="auto"/>
              </w:rPr>
            </w:pPr>
          </w:p>
        </w:tc>
        <w:tc>
          <w:tcPr>
            <w:tcW w:w="6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r>
      <w:tr>
        <w:trPr>
          <w:trHeight w:val="219"/>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Exhibit No.</w:t>
            </w:r>
          </w:p>
        </w:tc>
        <w:tc>
          <w:tcPr>
            <w:tcW w:w="61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42"/>
        </w:trPr>
        <w:tc>
          <w:tcPr>
            <w:tcW w:w="1440" w:type="dxa"/>
            <w:vAlign w:val="bottom"/>
            <w:tcBorders>
              <w:left w:val="single" w:sz="8" w:color="auto"/>
              <w:right w:val="single" w:sz="8" w:color="auto"/>
            </w:tcBorders>
          </w:tcPr>
          <w:p>
            <w:pPr>
              <w:spacing w:after="0"/>
              <w:rPr>
                <w:sz w:val="21"/>
                <w:szCs w:val="21"/>
                <w:color w:val="auto"/>
              </w:rPr>
            </w:pPr>
          </w:p>
        </w:tc>
        <w:tc>
          <w:tcPr>
            <w:tcW w:w="618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spacing w:after="0"/>
              <w:rPr>
                <w:sz w:val="21"/>
                <w:szCs w:val="21"/>
                <w:color w:val="auto"/>
              </w:rPr>
            </w:pPr>
          </w:p>
        </w:tc>
        <w:tc>
          <w:tcPr>
            <w:tcW w:w="282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b w:val="1"/>
                <w:bCs w:val="1"/>
                <w:color w:val="auto"/>
                <w:w w:val="93"/>
              </w:rPr>
              <w:t>Method of Filing</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2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Exchange Act Rules 13a-</w:t>
            </w:r>
          </w:p>
        </w:tc>
        <w:tc>
          <w:tcPr>
            <w:tcW w:w="1000" w:type="dxa"/>
            <w:vAlign w:val="bottom"/>
          </w:tcPr>
          <w:p>
            <w:pPr>
              <w:spacing w:after="0"/>
              <w:rPr>
                <w:sz w:val="19"/>
                <w:szCs w:val="19"/>
                <w:color w:val="auto"/>
              </w:rPr>
            </w:pPr>
          </w:p>
        </w:tc>
        <w:tc>
          <w:tcPr>
            <w:tcW w:w="282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2"/>
              </w:rPr>
              <w:t>Filed herewith</w:t>
            </w: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2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Financial Officer Pursuant to Exchange Act Rules 13a-</w:t>
            </w:r>
          </w:p>
        </w:tc>
        <w:tc>
          <w:tcPr>
            <w:tcW w:w="1000" w:type="dxa"/>
            <w:vAlign w:val="bottom"/>
          </w:tcPr>
          <w:p>
            <w:pPr>
              <w:spacing w:after="0"/>
              <w:rPr>
                <w:sz w:val="19"/>
                <w:szCs w:val="19"/>
                <w:color w:val="auto"/>
              </w:rPr>
            </w:pPr>
          </w:p>
        </w:tc>
        <w:tc>
          <w:tcPr>
            <w:tcW w:w="282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2"/>
              </w:rPr>
              <w:t>Filed herewith</w:t>
            </w: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2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Executive Officer Pursuant to 18 U.S.C. Section 1350, as</w:t>
            </w:r>
          </w:p>
        </w:tc>
        <w:tc>
          <w:tcPr>
            <w:tcW w:w="1000" w:type="dxa"/>
            <w:vAlign w:val="bottom"/>
          </w:tcPr>
          <w:p>
            <w:pPr>
              <w:spacing w:after="0"/>
              <w:rPr>
                <w:sz w:val="19"/>
                <w:szCs w:val="19"/>
                <w:color w:val="auto"/>
              </w:rPr>
            </w:pPr>
          </w:p>
        </w:tc>
        <w:tc>
          <w:tcPr>
            <w:tcW w:w="282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2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Certification of Chief Financial Officer Pursuant to 18 U.S.C. Section 1350, as</w:t>
            </w:r>
          </w:p>
        </w:tc>
        <w:tc>
          <w:tcPr>
            <w:tcW w:w="1000" w:type="dxa"/>
            <w:vAlign w:val="bottom"/>
          </w:tcPr>
          <w:p>
            <w:pPr>
              <w:spacing w:after="0"/>
              <w:rPr>
                <w:sz w:val="19"/>
                <w:szCs w:val="19"/>
                <w:color w:val="auto"/>
              </w:rPr>
            </w:pPr>
          </w:p>
        </w:tc>
        <w:tc>
          <w:tcPr>
            <w:tcW w:w="282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2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following materials from Northern Technologies International Corporation’s</w:t>
            </w:r>
          </w:p>
        </w:tc>
        <w:tc>
          <w:tcPr>
            <w:tcW w:w="1000" w:type="dxa"/>
            <w:vAlign w:val="bottom"/>
          </w:tcPr>
          <w:p>
            <w:pPr>
              <w:spacing w:after="0"/>
              <w:rPr>
                <w:sz w:val="19"/>
                <w:szCs w:val="19"/>
                <w:color w:val="auto"/>
              </w:rPr>
            </w:pPr>
          </w:p>
        </w:tc>
        <w:tc>
          <w:tcPr>
            <w:tcW w:w="2820" w:type="dxa"/>
            <w:vAlign w:val="bottom"/>
            <w:tcBorders>
              <w:right w:val="single" w:sz="8" w:color="auto"/>
            </w:tcBorders>
          </w:tcPr>
          <w:p>
            <w:pPr>
              <w:jc w:val="center"/>
              <w:ind w:right="990"/>
              <w:spacing w:after="0"/>
              <w:rPr>
                <w:sz w:val="20"/>
                <w:szCs w:val="20"/>
                <w:color w:val="auto"/>
              </w:rPr>
            </w:pPr>
            <w:r>
              <w:rPr>
                <w:rFonts w:ascii="Arial" w:cs="Arial" w:eastAsia="Arial" w:hAnsi="Arial"/>
                <w:sz w:val="18"/>
                <w:szCs w:val="18"/>
                <w:color w:val="auto"/>
                <w:w w:val="90"/>
              </w:rPr>
              <w:t>Furnished herewith</w:t>
            </w: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Quarterly Report on Form 10-Q for the fiscal quarter ended May 31, 2012,</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formatted in XBRL (Extensible Business Reporting Language): (i) the unaudited</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Balance Sheets, (ii) the unaudited Consolidated Statements of</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15"/>
        </w:trPr>
        <w:tc>
          <w:tcPr>
            <w:tcW w:w="144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Operations, (iii) the unaudited Consolidated Statements of Cash Flows, and (iv)</w:t>
            </w:r>
          </w:p>
        </w:tc>
        <w:tc>
          <w:tcPr>
            <w:tcW w:w="10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to Condensed Financial Statements*</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120" w:hanging="652"/>
        <w:spacing w:after="0" w:line="30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ectPr>
          <w:pgSz w:w="11900" w:h="16838" w:orient="portrait"/>
          <w:cols w:equalWidth="0" w:num="1">
            <w:col w:w="11420"/>
          </w:cols>
          <w:pgMar w:left="240" w:top="26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0" w:lineRule="exact"/>
        <w:rPr>
          <w:rFonts w:ascii="Arial" w:cs="Arial" w:eastAsia="Arial" w:hAnsi="Arial"/>
          <w:sz w:val="18"/>
          <w:szCs w:val="18"/>
          <w:color w:val="auto"/>
        </w:rPr>
      </w:pPr>
    </w:p>
    <w:p>
      <w:pPr>
        <w:jc w:val="both"/>
        <w:ind w:left="660" w:right="340" w:hanging="652"/>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right="300" w:hanging="652"/>
        <w:spacing w:after="0" w:line="30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340" w:hanging="652"/>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1140" w:right="20" w:hanging="3"/>
        <w:spacing w:after="0" w:line="285" w:lineRule="auto"/>
        <w:tabs>
          <w:tab w:leader="none" w:pos="2011"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7"/>
          <w:szCs w:val="17"/>
          <w:color w:val="auto"/>
        </w:rPr>
      </w:pPr>
    </w:p>
    <w:p>
      <w:pPr>
        <w:ind w:left="1140" w:right="360" w:hanging="3"/>
        <w:spacing w:after="0" w:line="285" w:lineRule="auto"/>
        <w:tabs>
          <w:tab w:leader="none" w:pos="2021"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0" w:lineRule="exact"/>
        <w:rPr>
          <w:rFonts w:ascii="Arial" w:cs="Arial" w:eastAsia="Arial" w:hAnsi="Arial"/>
          <w:sz w:val="17"/>
          <w:szCs w:val="17"/>
          <w:color w:val="auto"/>
        </w:rPr>
      </w:pPr>
    </w:p>
    <w:p>
      <w:pPr>
        <w:ind w:left="1140" w:right="20" w:hanging="3"/>
        <w:spacing w:after="0" w:line="340" w:lineRule="auto"/>
        <w:tabs>
          <w:tab w:leader="none" w:pos="201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00" w:hanging="3"/>
        <w:spacing w:after="0" w:line="262" w:lineRule="auto"/>
        <w:tabs>
          <w:tab w:leader="none" w:pos="202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right="240" w:hanging="652"/>
        <w:spacing w:after="0" w:line="34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120" w:hanging="3"/>
        <w:spacing w:after="0" w:line="340" w:lineRule="auto"/>
        <w:tabs>
          <w:tab w:leader="none" w:pos="20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200" w:hanging="3"/>
        <w:spacing w:after="0" w:line="275" w:lineRule="auto"/>
        <w:tabs>
          <w:tab w:leader="none" w:pos="20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ind w:left="4520" w:right="3880" w:hanging="4516"/>
        <w:spacing w:after="0"/>
        <w:rPr>
          <w:sz w:val="20"/>
          <w:szCs w:val="20"/>
          <w:color w:val="auto"/>
        </w:rPr>
      </w:pPr>
      <w:r>
        <w:rPr>
          <w:rFonts w:ascii="Arial" w:cs="Arial" w:eastAsia="Arial" w:hAnsi="Arial"/>
          <w:sz w:val="18"/>
          <w:szCs w:val="18"/>
          <w:color w:val="auto"/>
        </w:rPr>
        <w:t xml:space="preserve">Date: July 12, 2012 </w:t>
      </w:r>
      <w:r>
        <w:rPr>
          <w:sz w:val="1"/>
          <w:szCs w:val="1"/>
          <w:color w:val="auto"/>
        </w:rPr>
        <w:drawing>
          <wp:inline distT="0" distB="0" distL="0" distR="0">
            <wp:extent cx="1724025" cy="3752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4025" cy="375285"/>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0" w:lineRule="exact"/>
        <w:rPr>
          <w:rFonts w:ascii="Arial" w:cs="Arial" w:eastAsia="Arial" w:hAnsi="Arial"/>
          <w:sz w:val="18"/>
          <w:szCs w:val="18"/>
          <w:color w:val="auto"/>
        </w:rPr>
      </w:pPr>
    </w:p>
    <w:p>
      <w:pPr>
        <w:jc w:val="both"/>
        <w:ind w:left="660" w:right="340" w:hanging="652"/>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right="300" w:hanging="652"/>
        <w:spacing w:after="0" w:line="30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340" w:hanging="652"/>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1140" w:right="20" w:hanging="3"/>
        <w:spacing w:after="0" w:line="285" w:lineRule="auto"/>
        <w:tabs>
          <w:tab w:leader="none" w:pos="2011"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7"/>
          <w:szCs w:val="17"/>
          <w:color w:val="auto"/>
        </w:rPr>
      </w:pPr>
    </w:p>
    <w:p>
      <w:pPr>
        <w:ind w:left="1140" w:right="360" w:hanging="3"/>
        <w:spacing w:after="0" w:line="285" w:lineRule="auto"/>
        <w:tabs>
          <w:tab w:leader="none" w:pos="2021"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0" w:lineRule="exact"/>
        <w:rPr>
          <w:rFonts w:ascii="Arial" w:cs="Arial" w:eastAsia="Arial" w:hAnsi="Arial"/>
          <w:sz w:val="17"/>
          <w:szCs w:val="17"/>
          <w:color w:val="auto"/>
        </w:rPr>
      </w:pPr>
    </w:p>
    <w:p>
      <w:pPr>
        <w:ind w:left="1140" w:right="20" w:hanging="3"/>
        <w:spacing w:after="0" w:line="340" w:lineRule="auto"/>
        <w:tabs>
          <w:tab w:leader="none" w:pos="20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00" w:hanging="3"/>
        <w:spacing w:after="0" w:line="262" w:lineRule="auto"/>
        <w:tabs>
          <w:tab w:leader="none" w:pos="202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right="240" w:hanging="652"/>
        <w:spacing w:after="0" w:line="34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120" w:hanging="3"/>
        <w:spacing w:after="0" w:line="340" w:lineRule="auto"/>
        <w:tabs>
          <w:tab w:leader="none" w:pos="2046"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200" w:hanging="3"/>
        <w:spacing w:after="0" w:line="275" w:lineRule="auto"/>
        <w:tabs>
          <w:tab w:leader="none" w:pos="205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117475</wp:posOffset>
            </wp:positionV>
            <wp:extent cx="1340485" cy="63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0485" cy="63182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Date: July 12,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3480" w:space="720"/>
            <w:col w:w="7220"/>
          </w:cols>
          <w:pgMar w:left="240" w:top="121"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2" w:lineRule="exact"/>
        <w:rPr>
          <w:sz w:val="20"/>
          <w:szCs w:val="20"/>
          <w:color w:val="auto"/>
        </w:rPr>
      </w:pPr>
    </w:p>
    <w:p>
      <w:pPr>
        <w:ind w:left="1620" w:hanging="967"/>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1620" w:right="180" w:hanging="967"/>
        <w:spacing w:after="0" w:line="275"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24025" cy="375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4025"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2012</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2" w:lineRule="exact"/>
        <w:rPr>
          <w:sz w:val="20"/>
          <w:szCs w:val="20"/>
          <w:color w:val="auto"/>
        </w:rPr>
      </w:pPr>
    </w:p>
    <w:p>
      <w:pPr>
        <w:ind w:left="1620" w:hanging="967"/>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1620" w:right="180" w:hanging="967"/>
        <w:spacing w:after="0" w:line="275"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340485" cy="631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04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 financial officer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5"/>
    </w:lvl>
  </w:abstractNum>
  <w:abstractNum w:abstractNumId="2">
    <w:nsid w:val="140E0F76"/>
    <w:multiLevelType w:val="hybridMultilevel"/>
    <w:lvl w:ilvl="0">
      <w:lvlJc w:val="left"/>
      <w:lvlText w:val="%1."/>
      <w:numFmt w:val="decimal"/>
      <w:start w:val="6"/>
    </w:lvl>
  </w:abstractNum>
  <w:abstractNum w:abstractNumId="3">
    <w:nsid w:val="3352255A"/>
    <w:multiLevelType w:val="hybridMultilevel"/>
    <w:lvl w:ilvl="0">
      <w:lvlJc w:val="left"/>
      <w:lvlText w:val="%1."/>
      <w:numFmt w:val="decimal"/>
      <w:start w:val="7"/>
    </w:lvl>
  </w:abstractNum>
  <w:abstractNum w:abstractNumId="4">
    <w:nsid w:val="109CF92E"/>
    <w:multiLevelType w:val="hybridMultilevel"/>
    <w:lvl w:ilvl="0">
      <w:lvlJc w:val="left"/>
      <w:lvlText w:val="%1."/>
      <w:numFmt w:val="decimal"/>
      <w:start w:val="8"/>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2019-12-09T10:12:37Z</dcterms:created>
  <dcterms:modified xsi:type="dcterms:W3CDTF">2019-12-09T10:12:37Z</dcterms:modified>
</cp:coreProperties>
</file>