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1080" w:hanging="1072"/>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February 29, 2016</w:t>
      </w:r>
    </w:p>
    <w:p>
      <w:pPr>
        <w:spacing w:after="0" w:line="225" w:lineRule="exact"/>
        <w:rPr>
          <w:sz w:val="24"/>
          <w:szCs w:val="24"/>
          <w:color w:val="auto"/>
        </w:rPr>
      </w:pPr>
    </w:p>
    <w:p>
      <w:pPr>
        <w:ind w:left="1080" w:hanging="1072"/>
        <w:spacing w:after="0"/>
        <w:tabs>
          <w:tab w:leader="none" w:pos="10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7"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color w:val="auto"/>
        </w:rPr>
        <w:t>For the transition period from ________________ to __________________.</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001-11038</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w:t>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NORTHERN TECHNOLOGIES INTERNATIONAL CORPORATION</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80"/>
          </w:cols>
          <w:pgMar w:left="240" w:top="225" w:right="279" w:bottom="1440" w:gutter="0" w:footer="0" w:header="0"/>
        </w:sectPr>
      </w:pPr>
    </w:p>
    <w:p>
      <w:pPr>
        <w:spacing w:after="0" w:line="20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41-0857886</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20"/>
          </w:cols>
          <w:pgMar w:left="240" w:top="225" w:right="279" w:bottom="1440" w:gutter="0" w:footer="0" w:header="0"/>
          <w:type w:val="continuous"/>
        </w:sectPr>
      </w:pP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 Box 69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Circle Pines, Minnesota </w:t>
      </w:r>
      <w:r>
        <w:rPr>
          <w:rFonts w:ascii="Times New Roman" w:cs="Times New Roman" w:eastAsia="Times New Roman" w:hAnsi="Times New Roman"/>
          <w:sz w:val="18"/>
          <w:szCs w:val="18"/>
          <w:color w:val="auto"/>
        </w:rPr>
        <w:t>55014</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10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25" w:right="279" w:bottom="1440" w:gutter="0" w:footer="0" w:header="0"/>
          <w:type w:val="continuous"/>
        </w:sectPr>
      </w:pP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(Do not check if a 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8" w:lineRule="exact"/>
        <w:rPr>
          <w:sz w:val="24"/>
          <w:szCs w:val="24"/>
          <w:color w:val="auto"/>
        </w:rPr>
      </w:pPr>
    </w:p>
    <w:p>
      <w:pPr>
        <w:sectPr>
          <w:pgSz w:w="11900" w:h="16838" w:orient="portrait"/>
          <w:cols w:equalWidth="0" w:num="2">
            <w:col w:w="7060" w:space="720"/>
            <w:col w:w="3600"/>
          </w:cols>
          <w:pgMar w:left="240" w:top="225" w:right="279" w:bottom="1440" w:gutter="0" w:footer="0" w:header="0"/>
          <w:type w:val="continuous"/>
        </w:sectPr>
      </w:pPr>
    </w:p>
    <w:p>
      <w:pPr>
        <w:ind w:left="34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6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April 8, 2016, there were 4,536,022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type w:val="continuous"/>
        </w:sectPr>
      </w:pPr>
    </w:p>
    <w:bookmarkStart w:id="1" w:name="page2"/>
    <w:bookmarkEnd w:id="1"/>
    <w:p>
      <w:pPr>
        <w:jc w:val="center"/>
        <w:ind w:left="1140"/>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8"/>
          <w:szCs w:val="18"/>
          <w:b w:val="1"/>
          <w:bCs w:val="1"/>
          <w:color w:val="auto"/>
        </w:rPr>
        <w:t>February 29, 2016</w:t>
      </w:r>
    </w:p>
    <w:p>
      <w:pPr>
        <w:spacing w:after="0" w:line="203"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w:t>
      </w:r>
    </w:p>
    <w:p>
      <w:pPr>
        <w:spacing w:after="0" w:line="225" w:lineRule="exact"/>
        <w:rPr>
          <w:sz w:val="20"/>
          <w:szCs w:val="20"/>
          <w:color w:val="auto"/>
        </w:rPr>
      </w:pPr>
    </w:p>
    <w:p>
      <w:pPr>
        <w:spacing w:after="0"/>
        <w:tabs>
          <w:tab w:leader="none" w:pos="1140" w:val="left"/>
        </w:tabs>
        <w:rPr>
          <w:rFonts w:ascii="Times New Roman" w:cs="Times New Roman" w:eastAsia="Times New Roman" w:hAnsi="Times New Roman"/>
          <w:sz w:val="17"/>
          <w:szCs w:val="17"/>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PART I.</w:t>
        </w:r>
      </w:hyperlink>
      <w:r>
        <w:rPr>
          <w:rFonts w:ascii="Times New Roman" w:cs="Times New Roman" w:eastAsia="Times New Roman" w:hAnsi="Times New Roman"/>
          <w:sz w:val="18"/>
          <w:szCs w:val="18"/>
          <w:b w:val="1"/>
          <w:bCs w:val="1"/>
          <w:u w:val="single" w:color="auto"/>
          <w:color w:val="0000EE"/>
        </w:rPr>
        <w:tab/>
      </w:r>
      <w:hyperlink w:anchor="page4">
        <w:r>
          <w:rPr>
            <w:rFonts w:ascii="Times New Roman" w:cs="Times New Roman" w:eastAsia="Times New Roman" w:hAnsi="Times New Roman"/>
            <w:sz w:val="17"/>
            <w:szCs w:val="17"/>
            <w:b w:val="1"/>
            <w:bCs w:val="1"/>
            <w:u w:val="single" w:color="auto"/>
            <w:color w:val="0000EE"/>
          </w:rPr>
          <w:t>FINANCIAL INFORMATION</w:t>
        </w:r>
      </w:hyperlink>
    </w:p>
    <w:p>
      <w:pPr>
        <w:spacing w:after="0" w:line="229" w:lineRule="exact"/>
        <w:rPr>
          <w:sz w:val="20"/>
          <w:szCs w:val="20"/>
          <w:color w:val="auto"/>
        </w:rPr>
      </w:pPr>
    </w:p>
    <w:p>
      <w:pPr>
        <w:spacing w:after="0"/>
        <w:tabs>
          <w:tab w:leader="none" w:pos="1140" w:val="left"/>
        </w:tabs>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8"/>
            <w:szCs w:val="18"/>
            <w:u w:val="single" w:color="auto"/>
            <w:color w:val="0000EE"/>
          </w:rPr>
          <w:t>Item 1.</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7"/>
            <w:szCs w:val="17"/>
            <w:u w:val="single" w:color="auto"/>
            <w:color w:val="0000EE"/>
          </w:rPr>
          <w:t>Financial Statements</w:t>
        </w:r>
      </w:hyperlink>
    </w:p>
    <w:p>
      <w:pPr>
        <w:spacing w:after="0" w:line="225" w:lineRule="exact"/>
        <w:rPr>
          <w:sz w:val="20"/>
          <w:szCs w:val="20"/>
          <w:color w:val="auto"/>
        </w:rPr>
      </w:pPr>
    </w:p>
    <w:p>
      <w:pPr>
        <w:ind w:left="11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Consolidated Balance Sheets as of February 29, 2016 (unaudited) and August 31, 2015</w:t>
        </w:r>
      </w:hyperlink>
    </w:p>
    <w:p>
      <w:pPr>
        <w:spacing w:after="0" w:line="225" w:lineRule="exact"/>
        <w:rPr>
          <w:sz w:val="20"/>
          <w:szCs w:val="20"/>
          <w:color w:val="auto"/>
        </w:rPr>
      </w:pPr>
    </w:p>
    <w:p>
      <w:pPr>
        <w:ind w:left="1160" w:right="120"/>
        <w:spacing w:after="0" w:line="282" w:lineRule="auto"/>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Consolidated Statements of Operations (unaudited) for the Three and Six Months Ended February 29, 2016 and February 28,</w:t>
        </w:r>
      </w:hyperlink>
      <w:r>
        <w:rPr>
          <w:rFonts w:ascii="Times New Roman" w:cs="Times New Roman" w:eastAsia="Times New Roman" w:hAnsi="Times New Roman"/>
          <w:sz w:val="18"/>
          <w:szCs w:val="18"/>
          <w:u w:val="single" w:color="auto"/>
          <w:color w:val="0000EE"/>
        </w:rPr>
        <w:t xml:space="preserve"> </w:t>
      </w:r>
      <w:hyperlink w:anchor="page5">
        <w:r>
          <w:rPr>
            <w:rFonts w:ascii="Times New Roman" w:cs="Times New Roman" w:eastAsia="Times New Roman" w:hAnsi="Times New Roman"/>
            <w:sz w:val="18"/>
            <w:szCs w:val="18"/>
            <w:u w:val="single" w:color="auto"/>
            <w:color w:val="0000EE"/>
          </w:rPr>
          <w:t>2015</w:t>
        </w:r>
      </w:hyperlink>
    </w:p>
    <w:p>
      <w:pPr>
        <w:spacing w:after="0" w:line="162" w:lineRule="exact"/>
        <w:rPr>
          <w:sz w:val="20"/>
          <w:szCs w:val="20"/>
          <w:color w:val="auto"/>
        </w:rPr>
      </w:pPr>
    </w:p>
    <w:p>
      <w:pPr>
        <w:ind w:left="1160" w:right="320"/>
        <w:spacing w:after="0" w:line="282" w:lineRule="auto"/>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Consolidated Statements of Comprehensive (Loss) Income (unaudited) for the Three and Six Months Ended February 29,</w:t>
        </w:r>
      </w:hyperlink>
      <w:r>
        <w:rPr>
          <w:rFonts w:ascii="Times New Roman" w:cs="Times New Roman" w:eastAsia="Times New Roman" w:hAnsi="Times New Roman"/>
          <w:sz w:val="18"/>
          <w:szCs w:val="18"/>
          <w:u w:val="single" w:color="auto"/>
          <w:color w:val="0000EE"/>
        </w:rPr>
        <w:t xml:space="preserve"> </w:t>
      </w:r>
      <w:hyperlink w:anchor="page6">
        <w:r>
          <w:rPr>
            <w:rFonts w:ascii="Times New Roman" w:cs="Times New Roman" w:eastAsia="Times New Roman" w:hAnsi="Times New Roman"/>
            <w:sz w:val="18"/>
            <w:szCs w:val="18"/>
            <w:u w:val="single" w:color="auto"/>
            <w:color w:val="0000EE"/>
          </w:rPr>
          <w:t>2016 and February 28, 2015</w:t>
        </w:r>
      </w:hyperlink>
    </w:p>
    <w:p>
      <w:pPr>
        <w:spacing w:after="0" w:line="162" w:lineRule="exact"/>
        <w:rPr>
          <w:sz w:val="20"/>
          <w:szCs w:val="20"/>
          <w:color w:val="auto"/>
        </w:rPr>
      </w:pPr>
    </w:p>
    <w:p>
      <w:pPr>
        <w:ind w:left="116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Consolidated Statements of Cash Flows (unaudited) for the Six Months Ended February 29, 2016 and February 28, 2015</w:t>
        </w:r>
      </w:hyperlink>
    </w:p>
    <w:p>
      <w:pPr>
        <w:spacing w:after="0" w:line="225" w:lineRule="exact"/>
        <w:rPr>
          <w:sz w:val="20"/>
          <w:szCs w:val="20"/>
          <w:color w:val="auto"/>
        </w:rPr>
      </w:pPr>
    </w:p>
    <w:p>
      <w:pPr>
        <w:ind w:left="11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Consolidated Financial Statements (unaudited)</w:t>
        </w:r>
      </w:hyperlink>
    </w:p>
    <w:p>
      <w:pPr>
        <w:spacing w:after="0" w:line="225" w:lineRule="exact"/>
        <w:rPr>
          <w:sz w:val="20"/>
          <w:szCs w:val="20"/>
          <w:color w:val="auto"/>
        </w:rPr>
      </w:pPr>
    </w:p>
    <w:p>
      <w:pPr>
        <w:spacing w:after="0"/>
        <w:tabs>
          <w:tab w:leader="none" w:pos="1140" w:val="left"/>
        </w:tabs>
        <w:rPr>
          <w:rFonts w:ascii="Times New Roman" w:cs="Times New Roman" w:eastAsia="Times New Roman" w:hAnsi="Times New Roman"/>
          <w:sz w:val="17"/>
          <w:szCs w:val="17"/>
          <w:u w:val="single" w:color="auto"/>
          <w:color w:val="0000EE"/>
        </w:rPr>
      </w:pPr>
      <w:hyperlink w:anchor="page19">
        <w:r>
          <w:rPr>
            <w:rFonts w:ascii="Times New Roman" w:cs="Times New Roman" w:eastAsia="Times New Roman" w:hAnsi="Times New Roman"/>
            <w:sz w:val="18"/>
            <w:szCs w:val="18"/>
            <w:u w:val="single" w:color="auto"/>
            <w:color w:val="0000EE"/>
          </w:rPr>
          <w:t>Item 2.</w:t>
        </w:r>
      </w:hyperlink>
      <w:r>
        <w:rPr>
          <w:rFonts w:ascii="Times New Roman" w:cs="Times New Roman" w:eastAsia="Times New Roman" w:hAnsi="Times New Roman"/>
          <w:sz w:val="18"/>
          <w:szCs w:val="18"/>
          <w:u w:val="single" w:color="auto"/>
          <w:color w:val="0000EE"/>
        </w:rPr>
        <w:tab/>
      </w:r>
      <w:hyperlink w:anchor="page19">
        <w:r>
          <w:rPr>
            <w:rFonts w:ascii="Times New Roman" w:cs="Times New Roman" w:eastAsia="Times New Roman" w:hAnsi="Times New Roman"/>
            <w:sz w:val="17"/>
            <w:szCs w:val="17"/>
            <w:u w:val="single" w:color="auto"/>
            <w:color w:val="0000EE"/>
          </w:rPr>
          <w:t>Management’s Discussion and Analysis of Financial Condition and Results of Operations</w:t>
        </w:r>
      </w:hyperlink>
    </w:p>
    <w:p>
      <w:pPr>
        <w:spacing w:after="0" w:line="225" w:lineRule="exact"/>
        <w:rPr>
          <w:sz w:val="20"/>
          <w:szCs w:val="20"/>
          <w:color w:val="auto"/>
        </w:rPr>
      </w:pPr>
    </w:p>
    <w:p>
      <w:pPr>
        <w:spacing w:after="0"/>
        <w:tabs>
          <w:tab w:leader="none" w:pos="1140" w:val="left"/>
        </w:tabs>
        <w:rPr>
          <w:rFonts w:ascii="Times New Roman" w:cs="Times New Roman" w:eastAsia="Times New Roman" w:hAnsi="Times New Roman"/>
          <w:sz w:val="17"/>
          <w:szCs w:val="17"/>
          <w:u w:val="single" w:color="auto"/>
          <w:color w:val="0000EE"/>
        </w:rPr>
      </w:pPr>
      <w:hyperlink w:anchor="page32">
        <w:r>
          <w:rPr>
            <w:rFonts w:ascii="Times New Roman" w:cs="Times New Roman" w:eastAsia="Times New Roman" w:hAnsi="Times New Roman"/>
            <w:sz w:val="18"/>
            <w:szCs w:val="18"/>
            <w:u w:val="single" w:color="auto"/>
            <w:color w:val="0000EE"/>
          </w:rPr>
          <w:t>Item 3.</w:t>
        </w:r>
      </w:hyperlink>
      <w:r>
        <w:rPr>
          <w:rFonts w:ascii="Times New Roman" w:cs="Times New Roman" w:eastAsia="Times New Roman" w:hAnsi="Times New Roman"/>
          <w:sz w:val="18"/>
          <w:szCs w:val="18"/>
          <w:u w:val="single" w:color="auto"/>
          <w:color w:val="0000EE"/>
        </w:rPr>
        <w:tab/>
      </w:r>
      <w:hyperlink w:anchor="page32">
        <w:r>
          <w:rPr>
            <w:rFonts w:ascii="Times New Roman" w:cs="Times New Roman" w:eastAsia="Times New Roman" w:hAnsi="Times New Roman"/>
            <w:sz w:val="17"/>
            <w:szCs w:val="17"/>
            <w:u w:val="single" w:color="auto"/>
            <w:color w:val="0000EE"/>
          </w:rPr>
          <w:t>Quantitative and Qualitative Disclosures about Market Risk</w:t>
        </w:r>
      </w:hyperlink>
    </w:p>
    <w:p>
      <w:pPr>
        <w:spacing w:after="0" w:line="225" w:lineRule="exact"/>
        <w:rPr>
          <w:sz w:val="20"/>
          <w:szCs w:val="20"/>
          <w:color w:val="auto"/>
        </w:rPr>
      </w:pPr>
    </w:p>
    <w:p>
      <w:pPr>
        <w:spacing w:after="0"/>
        <w:tabs>
          <w:tab w:leader="none" w:pos="1140" w:val="left"/>
        </w:tabs>
        <w:rPr>
          <w:rFonts w:ascii="Times New Roman" w:cs="Times New Roman" w:eastAsia="Times New Roman" w:hAnsi="Times New Roman"/>
          <w:sz w:val="17"/>
          <w:szCs w:val="17"/>
          <w:u w:val="single" w:color="auto"/>
          <w:color w:val="0000EE"/>
        </w:rPr>
      </w:pPr>
      <w:hyperlink w:anchor="page33">
        <w:r>
          <w:rPr>
            <w:rFonts w:ascii="Times New Roman" w:cs="Times New Roman" w:eastAsia="Times New Roman" w:hAnsi="Times New Roman"/>
            <w:sz w:val="18"/>
            <w:szCs w:val="18"/>
            <w:u w:val="single" w:color="auto"/>
            <w:color w:val="0000EE"/>
          </w:rPr>
          <w:t>Item 4.</w:t>
        </w:r>
      </w:hyperlink>
      <w:r>
        <w:rPr>
          <w:rFonts w:ascii="Times New Roman" w:cs="Times New Roman" w:eastAsia="Times New Roman" w:hAnsi="Times New Roman"/>
          <w:sz w:val="18"/>
          <w:szCs w:val="18"/>
          <w:u w:val="single" w:color="auto"/>
          <w:color w:val="0000EE"/>
        </w:rPr>
        <w:tab/>
      </w:r>
      <w:hyperlink w:anchor="page33">
        <w:r>
          <w:rPr>
            <w:rFonts w:ascii="Times New Roman" w:cs="Times New Roman" w:eastAsia="Times New Roman" w:hAnsi="Times New Roman"/>
            <w:sz w:val="17"/>
            <w:szCs w:val="17"/>
            <w:u w:val="single" w:color="auto"/>
            <w:color w:val="0000EE"/>
          </w:rPr>
          <w:t>Controls and Procedures</w:t>
        </w:r>
      </w:hyperlink>
    </w:p>
    <w:p>
      <w:pPr>
        <w:spacing w:after="0" w:line="221" w:lineRule="exact"/>
        <w:rPr>
          <w:sz w:val="20"/>
          <w:szCs w:val="20"/>
          <w:color w:val="auto"/>
        </w:rPr>
      </w:pPr>
    </w:p>
    <w:p>
      <w:pPr>
        <w:spacing w:after="0"/>
        <w:tabs>
          <w:tab w:leader="none" w:pos="1140" w:val="left"/>
        </w:tabs>
        <w:rPr>
          <w:rFonts w:ascii="Times New Roman" w:cs="Times New Roman" w:eastAsia="Times New Roman" w:hAnsi="Times New Roman"/>
          <w:sz w:val="17"/>
          <w:szCs w:val="17"/>
          <w:b w:val="1"/>
          <w:bCs w:val="1"/>
          <w:u w:val="single" w:color="auto"/>
          <w:color w:val="0000EE"/>
        </w:rPr>
      </w:pPr>
      <w:hyperlink w:anchor="page34">
        <w:r>
          <w:rPr>
            <w:rFonts w:ascii="Times New Roman" w:cs="Times New Roman" w:eastAsia="Times New Roman" w:hAnsi="Times New Roman"/>
            <w:sz w:val="18"/>
            <w:szCs w:val="18"/>
            <w:b w:val="1"/>
            <w:bCs w:val="1"/>
            <w:u w:val="single" w:color="auto"/>
            <w:color w:val="0000EE"/>
          </w:rPr>
          <w:t>PART II.</w:t>
        </w:r>
      </w:hyperlink>
      <w:r>
        <w:rPr>
          <w:rFonts w:ascii="Times New Roman" w:cs="Times New Roman" w:eastAsia="Times New Roman" w:hAnsi="Times New Roman"/>
          <w:sz w:val="18"/>
          <w:szCs w:val="18"/>
          <w:b w:val="1"/>
          <w:bCs w:val="1"/>
          <w:u w:val="single" w:color="auto"/>
          <w:color w:val="0000EE"/>
        </w:rPr>
        <w:tab/>
      </w:r>
      <w:hyperlink w:anchor="page34">
        <w:r>
          <w:rPr>
            <w:rFonts w:ascii="Times New Roman" w:cs="Times New Roman" w:eastAsia="Times New Roman" w:hAnsi="Times New Roman"/>
            <w:sz w:val="17"/>
            <w:szCs w:val="17"/>
            <w:b w:val="1"/>
            <w:bCs w:val="1"/>
            <w:u w:val="single" w:color="auto"/>
            <w:color w:val="0000EE"/>
          </w:rPr>
          <w:t>OTHER INFORMATION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0"/>
        <w:spacing w:after="0"/>
        <w:rPr>
          <w:rFonts w:ascii="Times New Roman" w:cs="Times New Roman" w:eastAsia="Times New Roman" w:hAnsi="Times New Roman"/>
          <w:sz w:val="15"/>
          <w:szCs w:val="15"/>
          <w:u w:val="single" w:color="auto"/>
          <w:color w:val="0000EE"/>
        </w:rPr>
      </w:pPr>
      <w:hyperlink w:anchor="page4">
        <w:r>
          <w:rPr>
            <w:rFonts w:ascii="Times New Roman" w:cs="Times New Roman" w:eastAsia="Times New Roman" w:hAnsi="Times New Roman"/>
            <w:sz w:val="15"/>
            <w:szCs w:val="15"/>
            <w:u w:val="single" w:color="auto"/>
            <w:color w:val="0000EE"/>
          </w:rPr>
          <w:t>3</w:t>
        </w:r>
      </w:hyperlink>
    </w:p>
    <w:p>
      <w:pPr>
        <w:spacing w:after="0" w:line="368" w:lineRule="exact"/>
        <w:rPr>
          <w:sz w:val="20"/>
          <w:szCs w:val="20"/>
          <w:color w:val="auto"/>
        </w:rPr>
      </w:pPr>
    </w:p>
    <w:p>
      <w:pPr>
        <w:ind w:left="340"/>
        <w:spacing w:after="0"/>
        <w:rPr>
          <w:rFonts w:ascii="Times New Roman" w:cs="Times New Roman" w:eastAsia="Times New Roman" w:hAnsi="Times New Roman"/>
          <w:sz w:val="15"/>
          <w:szCs w:val="15"/>
          <w:u w:val="single" w:color="auto"/>
          <w:color w:val="0000EE"/>
        </w:rPr>
      </w:pPr>
      <w:hyperlink w:anchor="page5">
        <w:r>
          <w:rPr>
            <w:rFonts w:ascii="Times New Roman" w:cs="Times New Roman" w:eastAsia="Times New Roman" w:hAnsi="Times New Roman"/>
            <w:sz w:val="15"/>
            <w:szCs w:val="15"/>
            <w:u w:val="single" w:color="auto"/>
            <w:color w:val="0000EE"/>
          </w:rPr>
          <w:t>4</w:t>
        </w:r>
      </w:hyperlink>
    </w:p>
    <w:p>
      <w:pPr>
        <w:spacing w:after="0" w:line="200" w:lineRule="exact"/>
        <w:rPr>
          <w:sz w:val="20"/>
          <w:szCs w:val="20"/>
          <w:color w:val="auto"/>
        </w:rPr>
      </w:pPr>
    </w:p>
    <w:p>
      <w:pPr>
        <w:spacing w:after="0" w:line="276" w:lineRule="exact"/>
        <w:rPr>
          <w:sz w:val="20"/>
          <w:szCs w:val="20"/>
          <w:color w:val="auto"/>
        </w:rPr>
      </w:pPr>
    </w:p>
    <w:p>
      <w:pPr>
        <w:ind w:left="340"/>
        <w:spacing w:after="0"/>
        <w:rPr>
          <w:rFonts w:ascii="Times New Roman" w:cs="Times New Roman" w:eastAsia="Times New Roman" w:hAnsi="Times New Roman"/>
          <w:sz w:val="15"/>
          <w:szCs w:val="15"/>
          <w:u w:val="single" w:color="auto"/>
          <w:color w:val="0000EE"/>
        </w:rPr>
      </w:pPr>
      <w:hyperlink w:anchor="page6">
        <w:r>
          <w:rPr>
            <w:rFonts w:ascii="Times New Roman" w:cs="Times New Roman" w:eastAsia="Times New Roman" w:hAnsi="Times New Roman"/>
            <w:sz w:val="15"/>
            <w:szCs w:val="15"/>
            <w:u w:val="single" w:color="auto"/>
            <w:color w:val="0000EE"/>
          </w:rPr>
          <w:t>5</w:t>
        </w:r>
      </w:hyperlink>
    </w:p>
    <w:p>
      <w:pPr>
        <w:spacing w:after="0" w:line="368" w:lineRule="exact"/>
        <w:rPr>
          <w:sz w:val="20"/>
          <w:szCs w:val="20"/>
          <w:color w:val="auto"/>
        </w:rPr>
      </w:pPr>
    </w:p>
    <w:p>
      <w:pPr>
        <w:ind w:left="340"/>
        <w:spacing w:after="0"/>
        <w:rPr>
          <w:rFonts w:ascii="Times New Roman" w:cs="Times New Roman" w:eastAsia="Times New Roman" w:hAnsi="Times New Roman"/>
          <w:sz w:val="15"/>
          <w:szCs w:val="15"/>
          <w:u w:val="single" w:color="auto"/>
          <w:color w:val="0000EE"/>
        </w:rPr>
      </w:pPr>
      <w:hyperlink w:anchor="page6">
        <w:r>
          <w:rPr>
            <w:rFonts w:ascii="Times New Roman" w:cs="Times New Roman" w:eastAsia="Times New Roman" w:hAnsi="Times New Roman"/>
            <w:sz w:val="15"/>
            <w:szCs w:val="15"/>
            <w:u w:val="single" w:color="auto"/>
            <w:color w:val="0000EE"/>
          </w:rPr>
          <w:t>6</w:t>
        </w:r>
      </w:hyperlink>
    </w:p>
    <w:p>
      <w:pPr>
        <w:spacing w:after="0" w:line="260" w:lineRule="exact"/>
        <w:rPr>
          <w:sz w:val="20"/>
          <w:szCs w:val="20"/>
          <w:color w:val="auto"/>
        </w:rPr>
      </w:pPr>
    </w:p>
    <w:p>
      <w:pPr>
        <w:ind w:left="100"/>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7-17</w:t>
        </w:r>
      </w:hyperlink>
    </w:p>
    <w:p>
      <w:pPr>
        <w:spacing w:after="0" w:line="237"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19">
        <w:r>
          <w:rPr>
            <w:rFonts w:ascii="Times New Roman" w:cs="Times New Roman" w:eastAsia="Times New Roman" w:hAnsi="Times New Roman"/>
            <w:sz w:val="17"/>
            <w:szCs w:val="17"/>
            <w:u w:val="single" w:color="auto"/>
            <w:color w:val="0000EE"/>
          </w:rPr>
          <w:t>18-31</w:t>
        </w:r>
      </w:hyperlink>
    </w:p>
    <w:p>
      <w:pPr>
        <w:spacing w:after="0" w:line="237" w:lineRule="exact"/>
        <w:rPr>
          <w:sz w:val="20"/>
          <w:szCs w:val="20"/>
          <w:color w:val="auto"/>
        </w:rPr>
      </w:pPr>
    </w:p>
    <w:p>
      <w:pPr>
        <w:ind w:left="240"/>
        <w:spacing w:after="0"/>
        <w:rPr>
          <w:rFonts w:ascii="Times New Roman" w:cs="Times New Roman" w:eastAsia="Times New Roman" w:hAnsi="Times New Roman"/>
          <w:sz w:val="17"/>
          <w:szCs w:val="17"/>
          <w:u w:val="single" w:color="auto"/>
          <w:color w:val="0000EE"/>
        </w:rPr>
      </w:pPr>
      <w:hyperlink w:anchor="page32">
        <w:r>
          <w:rPr>
            <w:rFonts w:ascii="Times New Roman" w:cs="Times New Roman" w:eastAsia="Times New Roman" w:hAnsi="Times New Roman"/>
            <w:sz w:val="17"/>
            <w:szCs w:val="17"/>
            <w:u w:val="single" w:color="auto"/>
            <w:color w:val="0000EE"/>
          </w:rPr>
          <w:t>31</w:t>
        </w:r>
      </w:hyperlink>
    </w:p>
    <w:p>
      <w:pPr>
        <w:spacing w:after="0" w:line="237" w:lineRule="exact"/>
        <w:rPr>
          <w:sz w:val="20"/>
          <w:szCs w:val="20"/>
          <w:color w:val="auto"/>
        </w:rPr>
      </w:pPr>
    </w:p>
    <w:p>
      <w:pPr>
        <w:ind w:left="240"/>
        <w:spacing w:after="0"/>
        <w:rPr>
          <w:rFonts w:ascii="Times New Roman" w:cs="Times New Roman" w:eastAsia="Times New Roman" w:hAnsi="Times New Roman"/>
          <w:sz w:val="17"/>
          <w:szCs w:val="17"/>
          <w:u w:val="single" w:color="auto"/>
          <w:color w:val="0000EE"/>
        </w:rPr>
      </w:pPr>
      <w:hyperlink w:anchor="page33">
        <w:r>
          <w:rPr>
            <w:rFonts w:ascii="Times New Roman" w:cs="Times New Roman" w:eastAsia="Times New Roman" w:hAnsi="Times New Roman"/>
            <w:sz w:val="17"/>
            <w:szCs w:val="17"/>
            <w:u w:val="single" w:color="auto"/>
            <w:color w:val="0000EE"/>
          </w:rPr>
          <w:t>32</w:t>
        </w:r>
      </w:hyperlink>
    </w:p>
    <w:p>
      <w:pPr>
        <w:spacing w:after="0" w:line="639" w:lineRule="exact"/>
        <w:rPr>
          <w:sz w:val="20"/>
          <w:szCs w:val="20"/>
          <w:color w:val="auto"/>
        </w:rPr>
      </w:pPr>
    </w:p>
    <w:p>
      <w:pPr>
        <w:sectPr>
          <w:pgSz w:w="11900" w:h="16838" w:orient="portrait"/>
          <w:cols w:equalWidth="0" w:num="2">
            <w:col w:w="10280" w:space="720"/>
            <w:col w:w="420"/>
          </w:cols>
          <w:pgMar w:left="240" w:top="684" w:right="2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Item 1.</w:t>
              </w:r>
            </w:hyperlink>
          </w:p>
        </w:tc>
        <w:tc>
          <w:tcPr>
            <w:tcW w:w="640" w:type="dxa"/>
            <w:vAlign w:val="bottom"/>
            <w:gridSpan w:val="2"/>
          </w:tcPr>
          <w:p>
            <w:pPr>
              <w:spacing w:after="0"/>
              <w:rPr>
                <w:sz w:val="18"/>
                <w:szCs w:val="18"/>
                <w:color w:val="auto"/>
              </w:rPr>
            </w:pPr>
          </w:p>
        </w:tc>
        <w:tc>
          <w:tcPr>
            <w:tcW w:w="13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34">
              <w:r>
                <w:rPr>
                  <w:rFonts w:ascii="Times New Roman" w:cs="Times New Roman" w:eastAsia="Times New Roman" w:hAnsi="Times New Roman"/>
                  <w:sz w:val="18"/>
                  <w:szCs w:val="18"/>
                  <w:color w:val="0000EE"/>
                  <w:w w:val="98"/>
                </w:rPr>
                <w:t>Legal Proceedings</w:t>
              </w:r>
            </w:hyperlink>
          </w:p>
        </w:tc>
        <w:tc>
          <w:tcPr>
            <w:tcW w:w="5740" w:type="dxa"/>
            <w:vAlign w:val="bottom"/>
            <w:gridSpan w:val="4"/>
          </w:tcPr>
          <w:p>
            <w:pPr>
              <w:spacing w:after="0"/>
              <w:rPr>
                <w:sz w:val="18"/>
                <w:szCs w:val="18"/>
                <w:color w:val="auto"/>
              </w:rPr>
            </w:pPr>
          </w:p>
        </w:tc>
        <w:tc>
          <w:tcPr>
            <w:tcW w:w="3000" w:type="dxa"/>
            <w:vAlign w:val="bottom"/>
            <w:gridSpan w:val="2"/>
          </w:tcPr>
          <w:p>
            <w:pPr>
              <w:spacing w:after="0"/>
              <w:rPr>
                <w:sz w:val="18"/>
                <w:szCs w:val="18"/>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4">
              <w:r>
                <w:rPr>
                  <w:rFonts w:ascii="Times New Roman" w:cs="Times New Roman" w:eastAsia="Times New Roman" w:hAnsi="Times New Roman"/>
                  <w:sz w:val="18"/>
                  <w:szCs w:val="18"/>
                  <w:color w:val="0000EE"/>
                  <w:w w:val="88"/>
                </w:rPr>
                <w:t>33</w:t>
              </w:r>
            </w:hyperlink>
          </w:p>
        </w:tc>
      </w:tr>
      <w:tr>
        <w:trPr>
          <w:trHeight w:val="412"/>
        </w:trPr>
        <w:tc>
          <w:tcPr>
            <w:tcW w:w="1160" w:type="dxa"/>
            <w:vAlign w:val="bottom"/>
            <w:gridSpan w:val="3"/>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1A.</w:t>
              </w:r>
            </w:hyperlink>
          </w:p>
        </w:tc>
        <w:tc>
          <w:tcPr>
            <w:tcW w:w="7080" w:type="dxa"/>
            <w:vAlign w:val="bottom"/>
            <w:gridSpan w:val="8"/>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Risk Factors</w:t>
              </w:r>
            </w:hyperlink>
          </w:p>
        </w:tc>
        <w:tc>
          <w:tcPr>
            <w:tcW w:w="3180" w:type="dxa"/>
            <w:vAlign w:val="bottom"/>
            <w:gridSpan w:val="3"/>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33</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80" w:type="dxa"/>
            <w:vAlign w:val="bottom"/>
            <w:gridSpan w:val="8"/>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Unregistered Sales of Equity Securities and Use of Proceeds</w:t>
              </w:r>
            </w:hyperlink>
          </w:p>
        </w:tc>
        <w:tc>
          <w:tcPr>
            <w:tcW w:w="3180" w:type="dxa"/>
            <w:vAlign w:val="bottom"/>
            <w:gridSpan w:val="3"/>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33–34</w:t>
              </w:r>
            </w:hyperlink>
          </w:p>
        </w:tc>
      </w:tr>
      <w:tr>
        <w:trPr>
          <w:trHeight w:val="412"/>
        </w:trPr>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Item 3.</w:t>
              </w:r>
            </w:hyperlink>
          </w:p>
        </w:tc>
        <w:tc>
          <w:tcPr>
            <w:tcW w:w="640" w:type="dxa"/>
            <w:vAlign w:val="bottom"/>
            <w:gridSpan w:val="2"/>
          </w:tcPr>
          <w:p>
            <w:pPr>
              <w:spacing w:after="0"/>
              <w:rPr>
                <w:sz w:val="24"/>
                <w:szCs w:val="24"/>
                <w:color w:val="auto"/>
              </w:rPr>
            </w:pPr>
          </w:p>
        </w:tc>
        <w:tc>
          <w:tcPr>
            <w:tcW w:w="434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Defaults Upon Senior Securities</w:t>
              </w:r>
            </w:hyperlink>
          </w:p>
        </w:tc>
        <w:tc>
          <w:tcPr>
            <w:tcW w:w="2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4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34</w:t>
              </w:r>
            </w:hyperlink>
          </w:p>
        </w:tc>
      </w:tr>
      <w:tr>
        <w:trPr>
          <w:trHeight w:val="412"/>
        </w:trPr>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Item 4.</w:t>
              </w:r>
            </w:hyperlink>
          </w:p>
        </w:tc>
        <w:tc>
          <w:tcPr>
            <w:tcW w:w="640" w:type="dxa"/>
            <w:vAlign w:val="bottom"/>
            <w:gridSpan w:val="2"/>
          </w:tcPr>
          <w:p>
            <w:pPr>
              <w:spacing w:after="0"/>
              <w:rPr>
                <w:sz w:val="24"/>
                <w:szCs w:val="24"/>
                <w:color w:val="auto"/>
              </w:rPr>
            </w:pPr>
          </w:p>
        </w:tc>
        <w:tc>
          <w:tcPr>
            <w:tcW w:w="232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Mine Safety Disclosures</w:t>
              </w:r>
            </w:hyperlink>
          </w:p>
        </w:tc>
        <w:tc>
          <w:tcPr>
            <w:tcW w:w="4760" w:type="dxa"/>
            <w:vAlign w:val="bottom"/>
            <w:gridSpan w:val="2"/>
          </w:tcPr>
          <w:p>
            <w:pPr>
              <w:spacing w:after="0"/>
              <w:rPr>
                <w:sz w:val="24"/>
                <w:szCs w:val="24"/>
                <w:color w:val="auto"/>
              </w:rPr>
            </w:pPr>
          </w:p>
        </w:tc>
        <w:tc>
          <w:tcPr>
            <w:tcW w:w="3000" w:type="dxa"/>
            <w:vAlign w:val="bottom"/>
            <w:gridSpan w:val="2"/>
          </w:tcPr>
          <w:p>
            <w:pPr>
              <w:spacing w:after="0"/>
              <w:rPr>
                <w:sz w:val="24"/>
                <w:szCs w:val="24"/>
                <w:color w:val="auto"/>
              </w:rPr>
            </w:pPr>
          </w:p>
        </w:tc>
        <w:tc>
          <w:tcPr>
            <w:tcW w:w="18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35">
              <w:r>
                <w:rPr>
                  <w:rFonts w:ascii="Times New Roman" w:cs="Times New Roman" w:eastAsia="Times New Roman" w:hAnsi="Times New Roman"/>
                  <w:sz w:val="18"/>
                  <w:szCs w:val="18"/>
                  <w:color w:val="0000EE"/>
                  <w:w w:val="88"/>
                </w:rPr>
                <w:t>34</w:t>
              </w:r>
            </w:hyperlink>
          </w:p>
        </w:tc>
      </w:tr>
      <w:tr>
        <w:trPr>
          <w:trHeight w:val="412"/>
        </w:trPr>
        <w:tc>
          <w:tcPr>
            <w:tcW w:w="5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Item 5.</w:t>
              </w:r>
            </w:hyperlink>
          </w:p>
        </w:tc>
        <w:tc>
          <w:tcPr>
            <w:tcW w:w="640" w:type="dxa"/>
            <w:vAlign w:val="bottom"/>
            <w:gridSpan w:val="2"/>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5320" w:type="dxa"/>
            <w:vAlign w:val="bottom"/>
            <w:gridSpan w:val="3"/>
          </w:tcPr>
          <w:p>
            <w:pPr>
              <w:spacing w:after="0"/>
              <w:rPr>
                <w:sz w:val="24"/>
                <w:szCs w:val="24"/>
                <w:color w:val="auto"/>
              </w:rPr>
            </w:pPr>
          </w:p>
        </w:tc>
        <w:tc>
          <w:tcPr>
            <w:tcW w:w="300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5">
              <w:r>
                <w:rPr>
                  <w:rFonts w:ascii="Times New Roman" w:cs="Times New Roman" w:eastAsia="Times New Roman" w:hAnsi="Times New Roman"/>
                  <w:sz w:val="18"/>
                  <w:szCs w:val="18"/>
                  <w:color w:val="0000EE"/>
                  <w:w w:val="88"/>
                </w:rPr>
                <w:t>34</w:t>
              </w:r>
            </w:hyperlink>
          </w:p>
        </w:tc>
      </w:tr>
      <w:tr>
        <w:trPr>
          <w:trHeight w:val="412"/>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Item 6.</w:t>
              </w:r>
            </w:hyperlink>
          </w:p>
        </w:tc>
        <w:tc>
          <w:tcPr>
            <w:tcW w:w="640" w:type="dxa"/>
            <w:vAlign w:val="bottom"/>
            <w:gridSpan w:val="2"/>
          </w:tcPr>
          <w:p>
            <w:pPr>
              <w:spacing w:after="0"/>
              <w:rPr>
                <w:sz w:val="24"/>
                <w:szCs w:val="24"/>
                <w:color w:val="auto"/>
              </w:rPr>
            </w:pPr>
          </w:p>
        </w:tc>
        <w:tc>
          <w:tcPr>
            <w:tcW w:w="60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35">
              <w:r>
                <w:rPr>
                  <w:rFonts w:ascii="Times New Roman" w:cs="Times New Roman" w:eastAsia="Times New Roman" w:hAnsi="Times New Roman"/>
                  <w:sz w:val="18"/>
                  <w:szCs w:val="18"/>
                  <w:color w:val="0000EE"/>
                  <w:w w:val="96"/>
                </w:rPr>
                <w:t>Exhibits</w:t>
              </w:r>
            </w:hyperlink>
          </w:p>
        </w:tc>
        <w:tc>
          <w:tcPr>
            <w:tcW w:w="6480" w:type="dxa"/>
            <w:vAlign w:val="bottom"/>
            <w:gridSpan w:val="7"/>
          </w:tcPr>
          <w:p>
            <w:pPr>
              <w:spacing w:after="0"/>
              <w:rPr>
                <w:sz w:val="24"/>
                <w:szCs w:val="24"/>
                <w:color w:val="auto"/>
              </w:rPr>
            </w:pPr>
          </w:p>
        </w:tc>
        <w:tc>
          <w:tcPr>
            <w:tcW w:w="300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5">
              <w:r>
                <w:rPr>
                  <w:rFonts w:ascii="Times New Roman" w:cs="Times New Roman" w:eastAsia="Times New Roman" w:hAnsi="Times New Roman"/>
                  <w:sz w:val="18"/>
                  <w:szCs w:val="18"/>
                  <w:color w:val="0000EE"/>
                  <w:w w:val="88"/>
                </w:rPr>
                <w:t>34</w:t>
              </w:r>
            </w:hyperlink>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36">
              <w:r>
                <w:rPr>
                  <w:rFonts w:ascii="Times New Roman" w:cs="Times New Roman" w:eastAsia="Times New Roman" w:hAnsi="Times New Roman"/>
                  <w:sz w:val="18"/>
                  <w:szCs w:val="18"/>
                  <w:b w:val="1"/>
                  <w:bCs w:val="1"/>
                  <w:color w:val="0000EE"/>
                  <w:w w:val="97"/>
                </w:rPr>
                <w:t>SIGNATURE PAGE</w:t>
              </w:r>
            </w:hyperlink>
          </w:p>
        </w:tc>
        <w:tc>
          <w:tcPr>
            <w:tcW w:w="168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6">
              <w:r>
                <w:rPr>
                  <w:rFonts w:ascii="Times New Roman" w:cs="Times New Roman" w:eastAsia="Times New Roman" w:hAnsi="Times New Roman"/>
                  <w:sz w:val="18"/>
                  <w:szCs w:val="18"/>
                  <w:color w:val="0000EE"/>
                  <w:w w:val="88"/>
                </w:rPr>
                <w:t>35</w:t>
              </w:r>
            </w:hyperlink>
          </w:p>
        </w:tc>
      </w:tr>
      <w:tr>
        <w:trPr>
          <w:trHeight w:val="412"/>
        </w:trPr>
        <w:tc>
          <w:tcPr>
            <w:tcW w:w="3280" w:type="dxa"/>
            <w:vAlign w:val="bottom"/>
            <w:gridSpan w:val="3"/>
          </w:tcPr>
          <w:p>
            <w:pPr>
              <w:spacing w:after="0"/>
              <w:rPr>
                <w:rFonts w:ascii="Times New Roman" w:cs="Times New Roman" w:eastAsia="Times New Roman" w:hAnsi="Times New Roman"/>
                <w:sz w:val="18"/>
                <w:szCs w:val="18"/>
                <w:b w:val="1"/>
                <w:bCs w:val="1"/>
                <w:color w:val="0000EE"/>
              </w:rPr>
            </w:pPr>
            <w:hyperlink w:anchor="page37">
              <w:r>
                <w:rPr>
                  <w:rFonts w:ascii="Times New Roman" w:cs="Times New Roman" w:eastAsia="Times New Roman" w:hAnsi="Times New Roman"/>
                  <w:sz w:val="18"/>
                  <w:szCs w:val="18"/>
                  <w:b w:val="1"/>
                  <w:bCs w:val="1"/>
                  <w:color w:val="0000EE"/>
                </w:rPr>
                <w:t>EXHIBIT INDEX</w:t>
              </w:r>
            </w:hyperlink>
          </w:p>
        </w:tc>
        <w:tc>
          <w:tcPr>
            <w:tcW w:w="8140" w:type="dxa"/>
            <w:vAlign w:val="bottom"/>
            <w:gridSpan w:val="2"/>
          </w:tcPr>
          <w:p>
            <w:pPr>
              <w:jc w:val="right"/>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36</w:t>
              </w:r>
            </w:hyperlink>
          </w:p>
        </w:tc>
      </w:tr>
      <w:tr>
        <w:trPr>
          <w:trHeight w:val="237"/>
        </w:trPr>
        <w:tc>
          <w:tcPr>
            <w:tcW w:w="144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960" w:type="dxa"/>
            <w:vAlign w:val="bottom"/>
          </w:tcPr>
          <w:p>
            <w:pPr>
              <w:jc w:val="right"/>
              <w:ind w:right="4670"/>
              <w:spacing w:after="0"/>
              <w:rPr>
                <w:sz w:val="20"/>
                <w:szCs w:val="20"/>
                <w:color w:val="auto"/>
              </w:rPr>
            </w:pPr>
            <w:r>
              <w:rPr>
                <w:rFonts w:ascii="Times New Roman" w:cs="Times New Roman" w:eastAsia="Times New Roman" w:hAnsi="Times New Roman"/>
                <w:sz w:val="18"/>
                <w:szCs w:val="18"/>
                <w:color w:val="auto"/>
              </w:rPr>
              <w:t>_________________</w:t>
            </w:r>
          </w:p>
        </w:tc>
        <w:tc>
          <w:tcPr>
            <w:tcW w:w="180" w:type="dxa"/>
            <w:vAlign w:val="bottom"/>
            <w:tcBorders>
              <w:top w:val="single" w:sz="8" w:color="0000EE"/>
            </w:tcBorders>
          </w:tcPr>
          <w:p>
            <w:pPr>
              <w:spacing w:after="0"/>
              <w:rPr>
                <w:sz w:val="20"/>
                <w:szCs w:val="20"/>
                <w:color w:val="auto"/>
              </w:rPr>
            </w:pPr>
          </w:p>
        </w:tc>
      </w:tr>
    </w:tbl>
    <w:p>
      <w:pPr>
        <w:spacing w:after="0" w:line="196"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type w:val="continuous"/>
        </w:sectPr>
      </w:pPr>
    </w:p>
    <w:bookmarkStart w:id="2" w:name="page3"/>
    <w:bookmarkEnd w:id="2"/>
    <w:p>
      <w:pPr>
        <w:ind w:left="494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As used in this report, references to “NTIC,” the “Company,” “we,” “our” or “us,” unless the context otherwise requires, refer to Northern Technologies International Corporation and its wholly-owned subsidiaries, NTIC (Shanghai) Co., Ltd., NTI Facilities, Inc. and Northern Technologies Holding Company, LLC, and its majority-owned subsidiaries, Zerust Prevenção de Corrosão S.A., NTI Asean LLC and Natur-Tec India Private Limited, all of which are consolidated on NTIC’s consolidated financial statements.</w:t>
      </w:r>
    </w:p>
    <w:p>
      <w:pPr>
        <w:spacing w:after="0" w:line="18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NTIC’s consolidated financial statements do not include the accounts of any of its joint ventures. Except as otherwise indicated, references in this report to NTIC’s joint ventures do not include: (1) NTIC’s majority-owned Brazilian subsidiary, Zerust Prevenção de Corrosão S.A.; (2) NTIC’s majority-owned subsidiary, NTI Asean LLC, which is a holding company that holds investments in eight entities that operate in the Association of Southeast Asian Nations (ASEAN) region, including the following countries: China (although the joint venture agreements for the Chinese joint venture were terminated as of December 31, 2014 and liquidation of this joint venture is anticipated), Indonesia, Korea, Malaysia, Philippines, Singapore, Taiwan and Thailand; or (3) NTIC’s majority-owned subsidiary, Natur-Tec India Private Limited, in India.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“Zerust Brazil” refer to NTIC’s majority-owned Brazilian subsidiary, Zerust Prevenção de Corrosão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“NTI Asean” refer to NTIC’s majority-owned holding company subsidiary, NTI Asean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“Natur-Tec India” refer to NTIC’s majority-owned subsidiary in India, Natur-Tec India Private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“EXCOR” refer to NTIC’s joint venture in Germany, Excor Korrosionsschutz – Technologien und Produkte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“NTIC China” refer to NTIC’s wholly-owned subsidiary in China, NTIC (Shanghai)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“Tianjin Zerust” refer to NTIC’s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68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right="4140"/>
        <w:spacing w:after="0" w:line="266"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BALANCE SHEETS AS OF FEBRUARY 29, 2016 (UNAUDITED) AND AUGUST 31, 2015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8"/>
        </w:trPr>
        <w:tc>
          <w:tcPr>
            <w:tcW w:w="20" w:type="dxa"/>
            <w:vAlign w:val="bottom"/>
          </w:tcPr>
          <w:p>
            <w:pPr>
              <w:spacing w:after="0"/>
              <w:rPr>
                <w:sz w:val="24"/>
                <w:szCs w:val="24"/>
                <w:color w:val="auto"/>
              </w:rPr>
            </w:pPr>
          </w:p>
        </w:tc>
        <w:tc>
          <w:tcPr>
            <w:tcW w:w="80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February 29, 2016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31, 2015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2,531,340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2,733,079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2,027,441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40" w:type="dxa"/>
            <w:vAlign w:val="bottom"/>
          </w:tcPr>
          <w:p>
            <w:pPr>
              <w:ind w:left="520"/>
              <w:spacing w:after="0" w:line="198" w:lineRule="exact"/>
              <w:rPr>
                <w:sz w:val="20"/>
                <w:szCs w:val="20"/>
                <w:color w:val="auto"/>
              </w:rPr>
            </w:pPr>
            <w:r>
              <w:rPr>
                <w:rFonts w:ascii="Times New Roman" w:cs="Times New Roman" w:eastAsia="Times New Roman" w:hAnsi="Times New Roman"/>
                <w:sz w:val="18"/>
                <w:szCs w:val="18"/>
                <w:color w:val="auto"/>
              </w:rPr>
              <w:t>Trade excluding joint ventures, less allowance for doubtful accounts of $40,000 at February 29, 2016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and August 31, 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4,139,536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Trade joint ventures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764,017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1,206,625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1,449,162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Income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541,431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7,300,153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7,468,441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586,042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411,473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424,108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20,226,331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19,275,612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7,310,826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7,293,163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17,952,996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20,544,238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at carrying value (Note 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1,883,668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1,175,290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1,176,012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Patents and trademarks,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1,230,760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1,262,219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218,954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130,736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other assets</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22,461,668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24,996,873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4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49,998,825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51,565,648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1,866,737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2,101,175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475,634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1,056,257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402,903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2,745,274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authorized 10,000 shares; none issued and outstanding</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$0.02 par value per share; authorized 10,000,000 shares; issued and outstanding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4,536,022 and 4,539,045, respectively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90,720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13,629,454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13,441,264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34,180,731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34,522,871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(3,653,208)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(3,180,811)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Stockholders’ 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44,247,697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44,874,105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3,005,854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3,019,702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Total equity</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47,253,551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47,893,807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49,998,825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51,565,648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FEBRUARY 29, 2016 AND FEBRUARY 28, 2015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6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540" w:type="dxa"/>
            <w:vAlign w:val="bottom"/>
            <w:tcBorders>
              <w:top w:val="single" w:sz="8" w:color="auto"/>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580" w:type="dxa"/>
            <w:vAlign w:val="bottom"/>
            <w:tcBorders>
              <w:top w:val="single" w:sz="8" w:color="auto"/>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58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February 29, 2016 February 28, 2015 February 29, 2016 February 28, 2015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7,027,614</w:t>
            </w: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5,995,543</w:t>
            </w:r>
          </w:p>
        </w:tc>
        <w:tc>
          <w:tcPr>
            <w:tcW w:w="36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13,529,024</w:t>
            </w:r>
          </w:p>
        </w:tc>
        <w:tc>
          <w:tcPr>
            <w:tcW w:w="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12,476,534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677,320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733,166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1,200,347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1,466,270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7,704,934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6,728,709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14,729,371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13,942,804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5,268,224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4,657,740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10,143,647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9,464,351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2,436,710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2,070,969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4,585,724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4,478,453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 OPERATIONS: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in income of joint ventures</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952,667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1,474,649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1,936,420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3,081,332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971,042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994,860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2,456,471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3,128,530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joint venture operations</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1,923,709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2,469,509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4,392,891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6,209,862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1,475,433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1,339,441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3,000,516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2,734,328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1,509,087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1,552,861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3,366,700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3,091,123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Expenses incurred in support of joint ventures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297,470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656,127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614,464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1,183,244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1,113,525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854,256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2,117,622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1,904,169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4,395,515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4,402,685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9,099,302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8,912,864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137,793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1,775,451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14,384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 EXPENSE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139,149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1,786,929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40,466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197,614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36,964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(143,655)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1,405,631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36,776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70,179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198,485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NTIC</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(128,644)</w:t>
            </w:r>
          </w:p>
        </w:tc>
        <w:tc>
          <w:tcPr>
            <w:tcW w:w="36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(342,140)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879,621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INCOME ATTRIBUTABLE TO NTIC PER COMMON</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6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ind w:left="7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ASSUMED</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6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4,537,429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4,522,514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4,536,995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4,516,311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4,537,429</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4,522,514</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4,536,995</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4,655,792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40"/>
          </w:cols>
          <w:pgMar w:left="240" w:top="684" w:right="2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FEBRUARY 29, 2016 AND FEBRUARY 28, 2015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740" w:type="dxa"/>
            <w:vAlign w:val="bottom"/>
            <w:tcBorders>
              <w:top w:val="single" w:sz="8" w:color="auto"/>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78"/>
        </w:trPr>
        <w:tc>
          <w:tcPr>
            <w:tcW w:w="56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197"/>
        </w:trPr>
        <w:tc>
          <w:tcPr>
            <w:tcW w:w="5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(71,013)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(58,465)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(143,655)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1,405,631</w:t>
            </w: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 FOREIGN</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5"/>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4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380,398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(1,980,209)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(484,730)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(3,256,425)</w:t>
            </w:r>
          </w:p>
        </w:tc>
      </w:tr>
      <w:tr>
        <w:trPr>
          <w:trHeight w:val="230"/>
        </w:trPr>
        <w:tc>
          <w:tcPr>
            <w:tcW w:w="56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309,385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(2,038,674)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(1,850,794)</w:t>
            </w:r>
          </w:p>
        </w:tc>
      </w:tr>
      <w:tr>
        <w:trPr>
          <w:trHeight w:val="198"/>
        </w:trPr>
        <w:tc>
          <w:tcPr>
            <w:tcW w:w="5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COMPREHENSIVE INCOME (LOSS) ATTRIBUTABLE TO NON-</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48"/>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CONTROLLING INTERESTS</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21,377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(142,134)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186,152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242,557</w:t>
            </w: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NTIC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288,008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(1,896,540)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(814,537)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(2,093,351)</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FEBRUARY 29, 2016 AND FEBRUARY 28, 2015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7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100" w:type="dxa"/>
            <w:vAlign w:val="bottom"/>
            <w:tcBorders>
              <w:top w:val="single" w:sz="8" w:color="auto"/>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74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income</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(143,655)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1,405,631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223,715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321,437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expense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(1,936,420)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4,054,606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2,696,963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Receivables: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Trade, excluding joint ventures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Trade, joint ventures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242,537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1,128,841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111,146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Income tax payable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(710,031)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(1,248,986)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1,248,810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392,041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the sale of available for sale securities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1,994,781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available for sale securities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Additions to patents</w:t>
            </w:r>
          </w:p>
        </w:tc>
        <w:tc>
          <w:tcPr>
            <w:tcW w:w="3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(1,080,567)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990,492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 received by non-controlling interest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(235,586)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888,372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2,623,981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2,477,017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2,531,340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3,365,389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Borders>
              <w:top w:val="single" w:sz="8" w:color="CCEEFF"/>
              <w:bottom w:val="single" w:sz="8" w:color="CCEEFF"/>
            </w:tcBorders>
            <w:vMerge w:val="restart"/>
          </w:tcPr>
          <w:p>
            <w:pPr>
              <w:ind w:left="40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7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7" w:name="page8"/>
    <w:bookmarkEnd w:id="7"/>
    <w:p>
      <w:pPr>
        <w:ind w:right="4120"/>
        <w:spacing w:after="0" w:line="317" w:lineRule="auto"/>
        <w:rPr>
          <w:sz w:val="20"/>
          <w:szCs w:val="20"/>
          <w:color w:val="auto"/>
        </w:rPr>
      </w:pPr>
      <w:r>
        <w:rPr>
          <w:rFonts w:ascii="Times New Roman" w:cs="Times New Roman" w:eastAsia="Times New Roman" w:hAnsi="Times New Roman"/>
          <w:sz w:val="17"/>
          <w:szCs w:val="17"/>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INFORMATION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February 29, 2016 and August 31, 2015 and the results of their operations for the three and six months ended February 29, 2016 and February 28, 2015 and their cash flows for the six months ended February 29, 2016 and February 28, 2015, in conformity with accounting principles generally accepted in the United States of America (U.S. GAAP).</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consolidated financial statements and related notes contained in the Company’s annual report on Form 10-K for the fiscal year ended August 31, 2015. These consolidated financial statements also should be read in conjunction with the “Management’s Discussion and Analysis of Financial Condition and Results of Operations” section appearing in this report.</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six months ended February 29, 2016 are not necessarily indicative of the results that may be expected for the full fiscal year ending August 31, 2016.</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evaluates events occurring after the date of the consolidated financial statements requiring recording or disclosure in the consolidated financial statements.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amounts reported in the consolidated financial statements for the previous reporting periods have been reclassified to conform to the current period presentation. Beginning in the quarter ended February 28, 2015, the Company reclassified dividends received from equity method investments from investing cash flows to operating cash flows on the consolidated statements of cash flows for all periods presented. The classification reflects the continued profitability and returns of those profits to its owners, including the Company. The reclassification did not impact net income (loss) or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RECENTLY ISSUED ACCOUNTING PRONOUNCEMENTS</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(Accounting Standards Update (ASU) No. 2014-09), which provides a framework for the recognition of revenue, with the objective that recognized revenues properly reflect amounts an entity is entitled to receive in exchange for goods and services. This guidance, which includes additional disclosure requirements regarding revenue, cash flows and obligations related to contracts with customers, was originally to be effective for the Company beginning in fiscal year 2018. In July 2015, the FASB confirmed a one year deferral of the effective date of the new revenue standard which also allows early adoption as of the original effective date. The updated guidance will be effective for the Company’s first quarter of 2019. The Company is currently evaluating the impact of adopting ASU 2014-09 on its consolidated financial statements, but believes there will be no material impact, if 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2015, the FASB issued ASU No. 2015-11, “</w:t>
      </w: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which modifies the subsequent measurement of inventories recorded under a first-in-first-out or average cost method. Under the new standard, such inventories are required to be measured at the lower of cost and net realizable value. The new standard is effective for the Company’s fiscal year 2018, with prospective application. The Company does not expect the adoption of the provisions of ASU 2015-11 to have a material impact on its consolidated financial statements.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In November 2015, FASB issued ASU 2015-17, </w:t>
      </w:r>
      <w:r>
        <w:rPr>
          <w:rFonts w:ascii="Times New Roman" w:cs="Times New Roman" w:eastAsia="Times New Roman" w:hAnsi="Times New Roman"/>
          <w:sz w:val="18"/>
          <w:szCs w:val="18"/>
          <w:i w:val="1"/>
          <w:iCs w:val="1"/>
          <w:color w:val="auto"/>
        </w:rPr>
        <w:t>Income Taxes (Topic 740) Balance Sheet Classification of Deferred Taxes</w:t>
      </w:r>
      <w:r>
        <w:rPr>
          <w:rFonts w:ascii="Times New Roman" w:cs="Times New Roman" w:eastAsia="Times New Roman" w:hAnsi="Times New Roman"/>
          <w:sz w:val="18"/>
          <w:szCs w:val="18"/>
          <w:color w:val="auto"/>
        </w:rPr>
        <w:t xml:space="preserve"> which requires that deferred tax assets and liabilities be classified as noncurrent in a classified balance sheet. The amendment takes effect for public entities for fiscal years beginning after December 15, 2017, with early adoption available. The Company is currently assessing the impact that ASU 2015-17 will have on its consolidated financial statements.</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8" w:name="page9"/>
    <w:bookmarkEnd w:id="8"/>
    <w:p>
      <w:pPr>
        <w:spacing w:after="0" w:line="257" w:lineRule="auto"/>
        <w:rPr>
          <w:sz w:val="20"/>
          <w:szCs w:val="20"/>
          <w:color w:val="auto"/>
        </w:rPr>
      </w:pPr>
      <w:r>
        <w:rPr>
          <w:rFonts w:ascii="Times New Roman" w:cs="Times New Roman" w:eastAsia="Times New Roman" w:hAnsi="Times New Roman"/>
          <w:sz w:val="18"/>
          <w:szCs w:val="18"/>
          <w:color w:val="auto"/>
        </w:rPr>
        <w:t>During February 2016, the Financial Accounting Standards Board (FASB) issued Accounting Standards Update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ASU No. 2016-02 was issued to increase transparency and comparability among organizations by recognizing all lease transactions (with terms in excess of 12 months) on the balance sheet as a lease liability and a right-of-use asset (as defined). ASU No. 2016-02 is effective for fiscal years beginning after December 15, 2018, including interim periods within those fiscal years, with earlier application permitted. Upon adoption, the lessee will apply the new standard retrospectively to all periods presented or retrospectively using a cumulative effect adjustment in the year of adoption. The Company is currently assessing the effect that ASU No. 2016-02 will have on its consolidated financial statements.</w:t>
      </w:r>
    </w:p>
    <w:p>
      <w:pPr>
        <w:spacing w:after="0" w:line="18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March 2016, the FASB issued ASU No. 2016-07, “</w:t>
      </w:r>
      <w:r>
        <w:rPr>
          <w:rFonts w:ascii="Times New Roman" w:cs="Times New Roman" w:eastAsia="Times New Roman" w:hAnsi="Times New Roman"/>
          <w:sz w:val="18"/>
          <w:szCs w:val="18"/>
          <w:i w:val="1"/>
          <w:iCs w:val="1"/>
          <w:color w:val="auto"/>
        </w:rPr>
        <w:t>Investments – Equity Method and Joint Ventures (Topic 323): Simplifying the Transition to the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Method of Accounting</w:t>
      </w:r>
      <w:r>
        <w:rPr>
          <w:rFonts w:ascii="Times New Roman" w:cs="Times New Roman" w:eastAsia="Times New Roman" w:hAnsi="Times New Roman"/>
          <w:sz w:val="18"/>
          <w:szCs w:val="18"/>
          <w:color w:val="auto"/>
        </w:rPr>
        <w:t>.” Among other things, the amendments in ASU 2016-07 eliminate the requirement that when an investment qualifies for use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method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Therefore, upon qualifying for the equity method of accounting, no retroactive adjustment of the investment is required. The amendments require that an entity that has an available-for-sale equity security that becomes qualified for the equity method of accounting recognize through earnings the unrealized holding gain or loss in accumulated other comprehensive income at the date the investment becomes qualified for use of the equity method. The amendments are effective for all entities for fiscal years, and interim periods within those fiscal years, beginning after December 15, 2016. The amendments should be applied prospectively upon their effective date to increases in the level of ownership interest or degree of influence that result in the adoption of the equity method. Early adoption is permitted. The Company is currently assessing the impact that ASU 2016-07 will have on its consolidated financial statements.</w:t>
      </w:r>
    </w:p>
    <w:p>
      <w:pPr>
        <w:spacing w:after="0" w:line="19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is intended to simplify several aspects of the accounting for share-based payment award transactions. The guidance will be effective for the fiscal year beginning after December 15, 2016, including interim periods within that year. The Company is in the process of evaluating the impacts of the adoption of this ASU.</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6"/>
        </w:trPr>
        <w:tc>
          <w:tcPr>
            <w:tcW w:w="5460" w:type="dxa"/>
            <w:vAlign w:val="bottom"/>
            <w:tcBorders>
              <w:bottom w:val="single" w:sz="8" w:color="CCEEFF"/>
            </w:tcBorders>
          </w:tcPr>
          <w:p>
            <w:pPr>
              <w:spacing w:after="0"/>
              <w:rPr>
                <w:sz w:val="24"/>
                <w:szCs w:val="24"/>
                <w:color w:val="auto"/>
              </w:rPr>
            </w:pPr>
          </w:p>
        </w:tc>
        <w:tc>
          <w:tcPr>
            <w:tcW w:w="26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February 29, 2016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31, 2015</w:t>
            </w: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materials</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1,104,151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1,445,014</w:t>
            </w:r>
          </w:p>
        </w:tc>
      </w:tr>
      <w:tr>
        <w:trPr>
          <w:trHeight w:val="230"/>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6,196,002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6,023,427</w:t>
            </w:r>
          </w:p>
        </w:tc>
      </w:tr>
      <w:tr>
        <w:trPr>
          <w:trHeight w:val="223"/>
        </w:trPr>
        <w:tc>
          <w:tcPr>
            <w:tcW w:w="546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7,300,153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7,468,441</w:t>
            </w:r>
          </w:p>
        </w:tc>
      </w:tr>
      <w:tr>
        <w:trPr>
          <w:trHeight w:val="20"/>
        </w:trPr>
        <w:tc>
          <w:tcPr>
            <w:tcW w:w="54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8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February 29, 2016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31, 2015</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310,365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310,365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6,439,751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6,180,089</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0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4,161,325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4,090,619</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10,911,441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10,581,073</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(3,600,615)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(3,287,910)</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7,310,826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7,293,163</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PATENTS AND TRADEMARKS, NET</w:t>
            </w: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trademarks, net consisted of the following:</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8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February 29, 2016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31, 2015</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2,468,080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2,440,022</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(1,237,320)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(1,177,803)</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1,230,760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1,262,219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$100,000 in each of the next five fiscal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JOINT VENTURES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accounting principles generally accepted in the United States of America in all material respects. All material profits recorded on sales from the Company to its joint ventures and from joint ventures to other joint ventures have been eliminated for financial reporting purposes.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from the audited and unaudited financial statements of the Company’s joint venture in Germany, Excor Korrosionsschutz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Technologien und Produkte GmbH (EXCOR) and all of the Company’s other joint ventures, are summarized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February 29, 2016</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44,915,882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20,543,914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24,371,968</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48,456,556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22,412,469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26,044,087</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12,346,248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3,517,274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8,828,974</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89,039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89,039</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36,021,269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18,895,195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17,126,074</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share of joint ventures’ equity</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17,952,996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9,447,599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8,505,397</w:t>
            </w:r>
          </w:p>
        </w:tc>
      </w:tr>
      <w:tr>
        <w:trPr>
          <w:trHeight w:val="198"/>
        </w:trPr>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joint ventures’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15,892,135</w:t>
            </w:r>
          </w:p>
        </w:tc>
        <w:tc>
          <w:tcPr>
            <w:tcW w:w="3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9,416,694</w:t>
            </w:r>
          </w:p>
        </w:tc>
        <w:tc>
          <w:tcPr>
            <w:tcW w:w="3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6,475,441</w:t>
            </w: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2015</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49,295,116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22,620,323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26,674,793</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52,853,938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24,606,880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28,247,058</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12,288,383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3,360,142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8,928,241</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1,215,139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1,215,139</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39,350,417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21,246,738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18,103,679</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share of joint ventures’ equity</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20,544,238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11,571,361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8,972,877</w:t>
            </w:r>
          </w:p>
        </w:tc>
      </w:tr>
      <w:tr>
        <w:trPr>
          <w:trHeight w:val="198"/>
        </w:trPr>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joint ventures’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18,483,377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11,540,456</w:t>
            </w:r>
          </w:p>
        </w:tc>
        <w:tc>
          <w:tcPr>
            <w:tcW w:w="3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6,942,921</w:t>
            </w: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Six Months Ended February 29, 2016</w:t>
            </w: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42,000,424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15,618,735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26,381,689</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18,523,102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8,059,186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10,463,916</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3,872,728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2,960,951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911,777</w:t>
            </w:r>
          </w:p>
        </w:tc>
      </w:tr>
      <w:tr>
        <w:trPr>
          <w:trHeight w:val="198"/>
        </w:trPr>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of joint</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ventures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1,936,420</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1,480,975</w:t>
            </w: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455,445</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February 28, 2015</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87"/>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Tianjin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8"/>
        </w:trPr>
        <w:tc>
          <w:tcPr>
            <w:tcW w:w="56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Zerust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52,178,238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18,383,653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3,735,457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30,059,128</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25,540,546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9,766,973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1,783,673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13,989,900</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6,152,182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3,924,547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265,648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1,961,987</w:t>
            </w: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income of joint ventures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3,081,331</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1,962,047</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132,824</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986,460</w:t>
            </w:r>
          </w:p>
        </w:tc>
      </w:tr>
    </w:tbl>
    <w:p>
      <w:pPr>
        <w:spacing w:after="0" w:line="200" w:lineRule="exact"/>
        <w:rPr>
          <w:sz w:val="20"/>
          <w:szCs w:val="20"/>
          <w:color w:val="auto"/>
        </w:rPr>
      </w:pPr>
    </w:p>
    <w:p>
      <w:pPr>
        <w:spacing w:after="0" w:line="2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January 2, 2015, the Company announced that, effective as of December 31, 2014, the Company terminated its joint venture arrangement in China, Tianjin-Zerust Anticorrosion Co., Ltd. (Tianjin Zerust), and began the process of liquidating the joint venture entity. Since December 31, 2014, the Company has conducted business in China through a wholly-owned subsidiary, NTIC (Shanghai) Co. Ltd. (NTIC China). As of December 31, 2014, the Company started recognizing Tianjin Zerust based on its carrying value instead of the equity method since the Company no longer expects to significantly affect the joint venture’s operations or decision making. See note 7.</w:t>
      </w:r>
    </w:p>
    <w:p>
      <w:pPr>
        <w:spacing w:after="0" w:line="184"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Company records expenses that are directly attributable to the joint ventures on its consolidated statements of operations in the line item “Expenses incurred in support of joint ventures.” The expenses include items such as employee compensation and benefit expenses, travel expense and consulting expense. See Note 13 regarding the lawsuits filed in relation to Tianjin Zerust.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make any joint venture investments during the six months ended February 29, 2016 and February 28,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CHINA OPERATIONS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Effective December 31, 2014, the Company terminated its joint venture agreements with its previous joint venture in China, Tianjin Zerust, began the process of liquidating the joint venture entity, and commenced operations in China through a wholly-owned subsidiary, NTIC (Shanghai) Co. Ltd. on January 1, 2015. Effective December 31, 2014, the Company’s investment in Tianjin Zerust is reported at carrying value based on the Company’s decreased level of influence over the entity, and the Company has reclassified previously unrecognized gains on foreign currency translation from accumulated other comprehensive income. Any declines in the fair value are reflected as adjustments to the carrying value. No such adjustments were recorded during the six months ended February 29, 2016.</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sectPr>
      </w:pPr>
    </w:p>
    <w:bookmarkStart w:id="11" w:name="page12"/>
    <w:bookmarkEnd w:id="11"/>
    <w:p>
      <w:pPr>
        <w:spacing w:after="0" w:line="256" w:lineRule="auto"/>
        <w:rPr>
          <w:sz w:val="20"/>
          <w:szCs w:val="20"/>
          <w:color w:val="auto"/>
        </w:rPr>
      </w:pPr>
      <w:r>
        <w:rPr>
          <w:rFonts w:ascii="Times New Roman" w:cs="Times New Roman" w:eastAsia="Times New Roman" w:hAnsi="Times New Roman"/>
          <w:sz w:val="18"/>
          <w:szCs w:val="18"/>
          <w:color w:val="auto"/>
        </w:rPr>
        <w:t>Because of the lack of financial and other information received from Tianjin Zerust, it is possible that receipt of future financial and other information from Tianjin Zerust may impact the realization of the Company’s investment in and realization of a receivable from Tianjin Zerust. The last time the Company received financial information from Tianjin Zerust was through November 2014. The Company, as of February 29, 2016, does not believe there are any triggering events that would require an impairment test. The Company’s current net investment is approximately $1,130,200, which is 60% of its investment in Tianjin Zerust, which was $1,883,668 as of February 29, 2016. The Company will continue to evaluate the realization of this asset on an ongoing basis and adjust if necessary.</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incurred expenses of $1,418,392 and $883,000 during the six months ended February 29, 2016 and February 28, 2015, respectively, related to the termination of the joint venture agreement with Tianjin Zerust, the initiation of the liquidation of Tianjin Zerust and the formation and initial operation of NTIC China. Such expenses consisted primarily of legal expenses and personnel expenses associated with the establishment of the subsidiary and the hiring of new personnel. These expenses are recorded as operating expenses on the consolidated statements of operations and are partially offset by the gross margin contribution from sales of NTIC China.</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Because of the lack of financial and other information received from Tianjin Zerust, it is possible that if and when financial and other information is received from Tianjin Zerust that the Company may need to recognize an impairment charge on its investment in Tianjin Zerust. The Company estimates that its maximum exposure in terms of an impairment charge would be approximately $1,130,200, which is 60% of its investment in Tianjin Zerust, which was $1,883,668 as of February 29,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regarding pending litigation involving Tianjin Zerust.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CORPORATE DEBT</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has a revolving line of credit with PNC Bank of $3,000,000. No amounts were outstanding under the line of credit as of both February 29, 2016 and August 31, 2015.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The revolving line of credit is secured by cash, receivables and inventory.</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February 29, 2016, the Company was in compliance with all debt covenants.</w:t>
      </w:r>
    </w:p>
    <w:p>
      <w:pPr>
        <w:spacing w:after="0" w:line="18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January 6, 2016, PNC Bank extended the maturity date of the line of credit from January 7, 2016 to January 7, 2017. All other terms of the line of credit and the loan agreement and other documents evidencing the line of credit remain the same.</w:t>
      </w:r>
    </w:p>
    <w:p>
      <w:pPr>
        <w:spacing w:after="0" w:line="3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During the six months ended February 29, 2016, the Company repurchased and retired 5,461 shares of its common stock. During the six months ended February 28, 2015, the Company did not repurchase or retire any shares of its common stock.</w:t>
      </w:r>
    </w:p>
    <w:p>
      <w:pPr>
        <w:spacing w:after="0" w:line="16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Company granted stock options under the Northern Technologies International Corporation Amended and Restated 2007 Stock Incentive Plan (the 2007 Plan) to purchase an aggregate of 53,447 shares of its common stock to various employees and directors during the six months ended February 29, 2016. The weighted average per share exercise price of the stock options is $14.85, which is equal to the fair market value of the Company’s common stock on the date of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February 29, 2016, no stock options to purchase shares of common stock were exercised.</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granted stock options under the 2007 Plan to purchase an aggregate of 45,067 shares of its common stock to various employees and directors during the six months ended February 28, 2015. The weighted average per share exercise price of the stock options is $20.10, which was equal to the fair market value of the Company’s common stock on the date of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stock options to purchase shares of common stock were exercised during the six months ended February 28, 2015:</w:t>
      </w:r>
    </w:p>
    <w:p>
      <w:pPr>
        <w:spacing w:after="0" w:line="212" w:lineRule="exact"/>
        <w:rPr>
          <w:sz w:val="20"/>
          <w:szCs w:val="20"/>
          <w:color w:val="auto"/>
        </w:rPr>
      </w:pPr>
    </w:p>
    <w:tbl>
      <w:tblPr>
        <w:tblLayout w:type="fixed"/>
        <w:tblInd w:w="232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Exercise Price</w:t>
            </w:r>
          </w:p>
        </w:tc>
      </w:tr>
      <w:tr>
        <w:trPr>
          <w:trHeight w:val="218"/>
        </w:trPr>
        <w:tc>
          <w:tcPr>
            <w:tcW w:w="13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18,000</w:t>
            </w:r>
          </w:p>
        </w:tc>
        <w:tc>
          <w:tcPr>
            <w:tcW w:w="4520" w:type="dxa"/>
            <w:vAlign w:val="bottom"/>
          </w:tcPr>
          <w:p>
            <w:pPr>
              <w:spacing w:after="0"/>
              <w:rPr>
                <w:sz w:val="18"/>
                <w:szCs w:val="18"/>
                <w:color w:val="auto"/>
              </w:rPr>
            </w:pPr>
          </w:p>
        </w:tc>
        <w:tc>
          <w:tcPr>
            <w:tcW w:w="10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$7.65</w:t>
            </w:r>
          </w:p>
        </w:tc>
      </w:tr>
      <w:tr>
        <w:trPr>
          <w:trHeight w:val="234"/>
        </w:trPr>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2,333</w:t>
            </w:r>
          </w:p>
        </w:tc>
        <w:tc>
          <w:tcPr>
            <w:tcW w:w="452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INCOME PER COMMON SHARE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Basic net (loss) income per common share is computed by dividing net (loss) income by the weighted average number of common shares outstanding. Diluted net (loss) income per share assumes the exercise of stock options using the treasury stock method, if dilutive.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(loss) income per share computation: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r>
      <w:tr>
        <w:trPr>
          <w:trHeight w:val="238"/>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Numerators:</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NTIC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876,621</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Denominators: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 weighted shares outstanding</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4,537,429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4,522,514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4,536,995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4,516,311</w:t>
            </w:r>
          </w:p>
        </w:tc>
      </w:tr>
      <w:tr>
        <w:trPr>
          <w:trHeight w:val="23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shares assumed upon exercise of stock options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139,481</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 weighted shares outstanding</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4,537,429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4,522,514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4,536,995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4,655,792</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Basic (loss) income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income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0.19</w:t>
            </w: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dilutive impact summarized above relates to the periods when the average market price of the Company’s common stock exceeded the exercise price of the potentially dilutive option securities granted. (Loss) income per share were based on the weighted average number of shares of common stock outstanding during the periods when computing the basic (loss) income per share. When dilutive, stock options are included as equivalents using the treasury stock market method when computing the diluted (loss) income per share. There were no options outstanding as of February 29, 2016 that were dilutive.</w:t>
      </w: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3" w:name="page14"/>
    <w:bookmarkEnd w:id="13"/>
    <w:p>
      <w:pPr>
        <w:ind w:right="60"/>
        <w:spacing w:after="0" w:line="261" w:lineRule="auto"/>
        <w:rPr>
          <w:sz w:val="20"/>
          <w:szCs w:val="20"/>
          <w:color w:val="auto"/>
        </w:rPr>
      </w:pPr>
      <w:r>
        <w:rPr>
          <w:rFonts w:ascii="Times New Roman" w:cs="Times New Roman" w:eastAsia="Times New Roman" w:hAnsi="Times New Roman"/>
          <w:sz w:val="18"/>
          <w:szCs w:val="18"/>
          <w:color w:val="auto"/>
        </w:rPr>
        <w:t>Excluded from the computation of diluted (loss) income per share for the three and six months ended February 29, 2016 were all options outstanding to purchase 283,181 shares of common stock, due to the Company’s net loss in the period. Excluded from the computation of diluted (loss) income per share for the three months ended February 28, 2015 were all options outstanding to purchase 263,734 shares of common stock, due to the Company’s net loss in the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two stock-based compensation plans under which stock options and other stock-based awards have been granted, the Northern Technologies International Corporation Amended and Restated 2007 Stock Incentive Plan and the Northern Technologies International Corporation Employee Stock Purchase Plan (the ESPP). The Compensation Committee of the Board of Directors and the Board of Directors administer these plans.</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ten years and become exercisable over a three- or four-year period beginning on the one-year anniversary of the date of grant. Options are granted at per share exercise prices equal to the market value of the Company’s common stock on the date of grant. The Company issues new shares upon the exercise of options. As of February 29, 2016, only stock options and stock bonuses had been granted under the 2007 Plan.</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 The Company issued 2,439 and 1,948 shares on September 1, 2015 and 2014, respectively, under the ESPP.</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granted options to purchase an aggregate of 53,447 and 45,067 shares of its common stock during the six months ended February 29, 2016 and February 28, 2015, respectively. The fair value of option grants is determined at date of grant, using the Black-Scholes option pricing model with the assumptions listed below. The Company recognized compensation expense of $223,715 and $261,159 during the six months ended February 29, 2016 and February 28, 2015, respectively, related to the options that vested during such time period. As of February 29, 2016, the total compensation cost for nonvested options not yet recognized in the Company’s consolidated statements of operations was $443,123, net of estimated forfeitures. Stock-based compensation expense of $203,723 is expected through the remainder of fiscal year 2016, and $159,600 and $79,800 is expected to be recognized during fiscal 2017 and fiscal 2018, respectively, based on outstanding options as of February 29, 2016. Future option grants will impact the compensation expense recognized. Stock-based compensation expense is included in general and administrative expense on the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estimates a ten percent forfeiture rate for stock options and continually reviews this estimate for future periods.</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4" w:name="page15"/>
    <w:bookmarkEnd w:id="14"/>
    <w:p>
      <w:pPr>
        <w:ind w:right="20"/>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grant date using the Black-Scholes option-pricing model with the following assumptions and results for the grants: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338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8040" w:type="dxa"/>
            <w:vAlign w:val="bottom"/>
          </w:tcPr>
          <w:p>
            <w:pPr>
              <w:spacing w:after="0"/>
              <w:rPr>
                <w:sz w:val="16"/>
                <w:szCs w:val="16"/>
                <w:color w:val="auto"/>
              </w:rPr>
            </w:pPr>
          </w:p>
        </w:tc>
        <w:tc>
          <w:tcPr>
            <w:tcW w:w="1740" w:type="dxa"/>
            <w:vAlign w:val="bottom"/>
            <w:gridSpan w:val="2"/>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64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804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10"/>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option</w:t>
            </w:r>
          </w:p>
        </w:tc>
        <w:tc>
          <w:tcPr>
            <w:tcW w:w="17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10 years</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 years</w:t>
            </w: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bl>
    <w:p>
      <w:pPr>
        <w:spacing w:after="0" w:line="1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weighted average per share fair value of options granted during six months ended February 29, 2016 and February 28, 2015 was $8.48 and $11.58, respectively. The weighted average remaining contractual life of the options outstanding as of February 29, 2016 was 6.96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AND 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Company’s chief operating decision maker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compostable (fully biodegradable) polymer resins and finished products under the Natur-Tec® brand.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net sales for the three and six months ended February 29, 2016 and February 28, 2015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r>
      <w:tr>
        <w:trPr>
          <w:trHeight w:val="238"/>
        </w:trPr>
        <w:tc>
          <w:tcPr>
            <w:tcW w:w="5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6,385,337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5,783,985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12,363,019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12,022,056</w:t>
            </w:r>
          </w:p>
        </w:tc>
      </w:tr>
      <w:tr>
        <w:trPr>
          <w:trHeight w:val="23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Natur-Tec® net sales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1,319,597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944,724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2,366,352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1,920,748</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7,704,934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6,728,709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14,729,371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13,942,804</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cost of goods sold for the three and six months ended February 29, 2016 and February 28, 2015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0" w:type="dxa"/>
            <w:vAlign w:val="bottom"/>
          </w:tcPr>
          <w:p>
            <w:pPr>
              <w:spacing w:after="0"/>
              <w:rPr>
                <w:sz w:val="1"/>
                <w:szCs w:val="1"/>
                <w:color w:val="auto"/>
              </w:rPr>
            </w:pPr>
          </w:p>
        </w:tc>
      </w:tr>
      <w:tr>
        <w:trPr>
          <w:trHeight w:val="238"/>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 cost of goods sold</w:t>
            </w:r>
          </w:p>
        </w:tc>
        <w:tc>
          <w:tcPr>
            <w:tcW w:w="10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29, 2016</w:t>
            </w:r>
          </w:p>
        </w:tc>
        <w:tc>
          <w:tcPr>
            <w:tcW w:w="80" w:type="dxa"/>
            <w:vAlign w:val="bottom"/>
          </w:tcPr>
          <w:p>
            <w:pPr>
              <w:spacing w:after="0"/>
              <w:rPr>
                <w:sz w:val="20"/>
                <w:szCs w:val="20"/>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28, 2015</w:t>
            </w:r>
          </w:p>
        </w:tc>
        <w:tc>
          <w:tcPr>
            <w:tcW w:w="80" w:type="dxa"/>
            <w:vAlign w:val="bottom"/>
          </w:tcPr>
          <w:p>
            <w:pPr>
              <w:spacing w:after="0"/>
              <w:rPr>
                <w:sz w:val="20"/>
                <w:szCs w:val="20"/>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29, 2016</w:t>
            </w:r>
          </w:p>
        </w:tc>
        <w:tc>
          <w:tcPr>
            <w:tcW w:w="100" w:type="dxa"/>
            <w:vAlign w:val="bottom"/>
          </w:tcPr>
          <w:p>
            <w:pPr>
              <w:spacing w:after="0"/>
              <w:rPr>
                <w:sz w:val="20"/>
                <w:szCs w:val="20"/>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28, 2015</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0" w:type="dxa"/>
            <w:vAlign w:val="bottom"/>
          </w:tcPr>
          <w:p>
            <w:pPr>
              <w:spacing w:after="0"/>
              <w:rPr>
                <w:sz w:val="1"/>
                <w:szCs w:val="1"/>
                <w:color w:val="auto"/>
              </w:rPr>
            </w:pPr>
          </w:p>
        </w:tc>
      </w:tr>
      <w:tr>
        <w:trPr>
          <w:trHeight w:val="210"/>
        </w:trPr>
        <w:tc>
          <w:tcPr>
            <w:tcW w:w="20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ZERUST®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3,576,073</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56.0% $</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3,171,103</w:t>
            </w: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54.8%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6,940,628</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56.1%  $</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6,509,691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Natur-Tec®</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984,938</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719,048</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1,819,197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1,501,623</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Indirect cost of goods sold</w:t>
            </w: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707,213</w:t>
            </w: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767,589</w:t>
            </w:r>
          </w:p>
        </w:tc>
        <w:tc>
          <w:tcPr>
            <w:tcW w:w="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1,383,822</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1,453,037</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net cost of goods sold</w:t>
            </w: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5,268,224</w:t>
            </w:r>
          </w:p>
        </w:tc>
        <w:tc>
          <w:tcPr>
            <w:tcW w:w="80" w:type="dxa"/>
            <w:vAlign w:val="bottom"/>
          </w:tcPr>
          <w:p>
            <w:pPr>
              <w:spacing w:after="0"/>
              <w:rPr>
                <w:sz w:val="16"/>
                <w:szCs w:val="16"/>
                <w:color w:val="auto"/>
              </w:rPr>
            </w:pPr>
          </w:p>
        </w:tc>
        <w:tc>
          <w:tcPr>
            <w:tcW w:w="1300" w:type="dxa"/>
            <w:vAlign w:val="bottom"/>
            <w:gridSpan w:val="3"/>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4,657,740</w:t>
            </w:r>
          </w:p>
        </w:tc>
        <w:tc>
          <w:tcPr>
            <w:tcW w:w="80" w:type="dxa"/>
            <w:vAlign w:val="bottom"/>
          </w:tcPr>
          <w:p>
            <w:pPr>
              <w:spacing w:after="0"/>
              <w:rPr>
                <w:sz w:val="16"/>
                <w:szCs w:val="16"/>
                <w:color w:val="auto"/>
              </w:rPr>
            </w:pPr>
          </w:p>
        </w:tc>
        <w:tc>
          <w:tcPr>
            <w:tcW w:w="1320" w:type="dxa"/>
            <w:vAlign w:val="bottom"/>
            <w:gridSpan w:val="3"/>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10,143,647</w:t>
            </w:r>
          </w:p>
        </w:tc>
        <w:tc>
          <w:tcPr>
            <w:tcW w:w="100" w:type="dxa"/>
            <w:vAlign w:val="bottom"/>
          </w:tcPr>
          <w:p>
            <w:pPr>
              <w:spacing w:after="0"/>
              <w:rPr>
                <w:sz w:val="16"/>
                <w:szCs w:val="16"/>
                <w:color w:val="auto"/>
              </w:rPr>
            </w:pPr>
          </w:p>
        </w:tc>
        <w:tc>
          <w:tcPr>
            <w:tcW w:w="1340" w:type="dxa"/>
            <w:vAlign w:val="bottom"/>
            <w:gridSpan w:val="3"/>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9,464,351</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80" w:right="580" w:hanging="372"/>
        <w:spacing w:after="0" w:line="261"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segment sales is calculated by dividing the direct cost of goods sold for each individual segment category by the net sales for each segment category.</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9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Net sales by geographic location for the three and six months ended February 29, 2016 and February 28, 2015 were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46"/>
        </w:trPr>
        <w:tc>
          <w:tcPr>
            <w:tcW w:w="5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r>
      <w:tr>
        <w:trPr>
          <w:trHeight w:val="238"/>
        </w:trPr>
        <w:tc>
          <w:tcPr>
            <w:tcW w:w="5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Inside the U.S.A. to unaffiliated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2,344,406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1,544,964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4,006,037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3,071,894</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Outside the U.S.A to:</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8"/>
        </w:trPr>
        <w:tc>
          <w:tcPr>
            <w:tcW w:w="5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Joint ventures in which the Company is a shareholder directly and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indirectly</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971,501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1,198,892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1,521,047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2,007,879</w:t>
            </w:r>
          </w:p>
        </w:tc>
      </w:tr>
      <w:tr>
        <w:trPr>
          <w:trHeight w:val="230"/>
        </w:trPr>
        <w:tc>
          <w:tcPr>
            <w:tcW w:w="5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Unaffiliated customers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4,389,027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3,984,853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9,202,287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8,863,031</w:t>
            </w:r>
          </w:p>
        </w:tc>
      </w:tr>
      <w:tr>
        <w:trPr>
          <w:trHeight w:val="210"/>
        </w:trPr>
        <w:tc>
          <w:tcPr>
            <w:tcW w:w="5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7,704,934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6,728,709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14,729,371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13,942,804</w:t>
            </w:r>
          </w:p>
        </w:tc>
      </w:tr>
    </w:tbl>
    <w:p>
      <w:pPr>
        <w:spacing w:after="0" w:line="198"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7"/>
          <w:szCs w:val="17"/>
          <w:color w:val="auto"/>
        </w:rPr>
        <w:t>Net sales by geographic location are based on the location of the customer. Fees for services provided to joint ventures by geographic location as a percentage of total fees for services provided to joint ventures during the three and six months ended February 29, 2016 and February 28, 2015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0" w:type="dxa"/>
            <w:vAlign w:val="bottom"/>
            <w:tcBorders>
              <w:bottom w:val="single" w:sz="8" w:color="auto"/>
            </w:tcBorders>
          </w:tcPr>
          <w:p>
            <w:pPr>
              <w:spacing w:after="0"/>
              <w:rPr>
                <w:sz w:val="20"/>
                <w:szCs w:val="20"/>
                <w:color w:val="auto"/>
              </w:rPr>
            </w:pPr>
          </w:p>
        </w:tc>
      </w:tr>
      <w:tr>
        <w:trPr>
          <w:trHeight w:val="187"/>
        </w:trPr>
        <w:tc>
          <w:tcPr>
            <w:tcW w:w="34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 Fees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 Fees</w:t>
            </w:r>
          </w:p>
        </w:tc>
      </w:tr>
      <w:tr>
        <w:trPr>
          <w:trHeight w:val="216"/>
        </w:trPr>
        <w:tc>
          <w:tcPr>
            <w:tcW w:w="3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r>
      <w:tr>
        <w:trPr>
          <w:trHeight w:val="216"/>
        </w:trPr>
        <w:tc>
          <w:tcPr>
            <w:tcW w:w="3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Provided to</w:t>
            </w:r>
          </w:p>
        </w:tc>
      </w:tr>
      <w:tr>
        <w:trPr>
          <w:trHeight w:val="238"/>
        </w:trPr>
        <w:tc>
          <w:tcPr>
            <w:tcW w:w="340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Joint Ventures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Joint Ventures</w:t>
            </w: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192,869</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202,633</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145,765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116,612</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137,476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124,202</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73,112</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76,518</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72,077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73,971</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64,735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Finland</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52,896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52,693</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50,356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72,297</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39,322</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156,519</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142,434</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4,415</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34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971,042</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994,860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446"/>
        </w:trPr>
        <w:tc>
          <w:tcPr>
            <w:tcW w:w="3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400" w:type="dxa"/>
            <w:vAlign w:val="bottom"/>
            <w:tcBorders>
              <w:bottom w:val="single" w:sz="8" w:color="auto"/>
            </w:tcBorders>
          </w:tcPr>
          <w:p>
            <w:pPr>
              <w:spacing w:after="0"/>
              <w:rPr>
                <w:sz w:val="24"/>
                <w:szCs w:val="24"/>
                <w:color w:val="auto"/>
              </w:rPr>
            </w:pPr>
          </w:p>
        </w:tc>
      </w:tr>
      <w:tr>
        <w:trPr>
          <w:trHeight w:val="187"/>
        </w:trPr>
        <w:tc>
          <w:tcPr>
            <w:tcW w:w="34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 Fees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 Fees</w:t>
            </w:r>
          </w:p>
        </w:tc>
      </w:tr>
      <w:tr>
        <w:trPr>
          <w:trHeight w:val="216"/>
        </w:trPr>
        <w:tc>
          <w:tcPr>
            <w:tcW w:w="3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r>
      <w:tr>
        <w:trPr>
          <w:trHeight w:val="216"/>
        </w:trPr>
        <w:tc>
          <w:tcPr>
            <w:tcW w:w="3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Provided to</w:t>
            </w:r>
          </w:p>
        </w:tc>
      </w:tr>
      <w:tr>
        <w:trPr>
          <w:trHeight w:val="238"/>
        </w:trPr>
        <w:tc>
          <w:tcPr>
            <w:tcW w:w="340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Joint Ventures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Joint Ventures</w:t>
            </w: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422,654</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440,954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285,023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287,836</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268,149</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284,544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263,063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297,152</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173,646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211,371</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162,785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209,898</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152,527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143,262</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123,317</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159,217</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121,933</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108,649</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121,829</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146,215</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516,139</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361,545</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323,293</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34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2,456,471</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3,128,530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16" w:name="page17"/>
    <w:bookmarkEnd w:id="16"/>
    <w:p>
      <w:pPr>
        <w:ind w:right="16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and cost of goods sold recognized directly by the Company.</w:t>
      </w:r>
    </w:p>
    <w:p>
      <w:pPr>
        <w:sectPr>
          <w:pgSz w:w="11900" w:h="16838" w:orient="portrait"/>
          <w:cols w:equalWidth="0" w:num="1">
            <w:col w:w="11420"/>
          </w:cols>
          <w:pgMar w:left="240" w:top="688" w:right="2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geographical distribution of key financial statement data is as follows:</w:t>
      </w:r>
    </w:p>
    <w:p>
      <w:pPr>
        <w:spacing w:after="0" w:line="200" w:lineRule="exact"/>
        <w:rPr>
          <w:sz w:val="20"/>
          <w:szCs w:val="20"/>
          <w:color w:val="auto"/>
        </w:rPr>
      </w:pPr>
    </w:p>
    <w:p>
      <w:pPr>
        <w:spacing w:after="0" w:line="2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Brazil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India</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long-lived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Brazil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India</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August 31,</w:t>
            </w:r>
          </w:p>
        </w:tc>
      </w:tr>
      <w:tr>
        <w:trPr>
          <w:trHeight w:val="238"/>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191"/>
        </w:trPr>
        <w:tc>
          <w:tcPr>
            <w:tcW w:w="20" w:type="dxa"/>
            <w:vAlign w:val="bottom"/>
          </w:tcPr>
          <w:p>
            <w:pPr>
              <w:spacing w:after="0"/>
              <w:rPr>
                <w:sz w:val="16"/>
                <w:szCs w:val="16"/>
                <w:color w:val="auto"/>
              </w:rPr>
            </w:pPr>
          </w:p>
        </w:tc>
        <w:tc>
          <w:tcPr>
            <w:tcW w:w="180" w:type="dxa"/>
            <w:vAlign w:val="bottom"/>
          </w:tcPr>
          <w:p>
            <w:pPr>
              <w:jc w:val="right"/>
              <w:ind w:right="1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52,764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46,918</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16,402</w:t>
            </w: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136,825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45,220</w:t>
            </w:r>
          </w:p>
        </w:tc>
      </w:tr>
      <w:tr>
        <w:trPr>
          <w:trHeight w:val="234"/>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7,106,123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7,184,623</w:t>
            </w:r>
          </w:p>
        </w:tc>
      </w:tr>
      <w:tr>
        <w:trPr>
          <w:trHeight w:val="223"/>
        </w:trPr>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7,310,826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7,293,163</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191"/>
        </w:trPr>
        <w:tc>
          <w:tcPr>
            <w:tcW w:w="20" w:type="dxa"/>
            <w:vAlign w:val="bottom"/>
          </w:tcPr>
          <w:p>
            <w:pPr>
              <w:spacing w:after="0"/>
              <w:rPr>
                <w:sz w:val="16"/>
                <w:szCs w:val="16"/>
                <w:color w:val="auto"/>
              </w:rPr>
            </w:pPr>
          </w:p>
        </w:tc>
        <w:tc>
          <w:tcPr>
            <w:tcW w:w="180" w:type="dxa"/>
            <w:vAlign w:val="bottom"/>
          </w:tcPr>
          <w:p>
            <w:pPr>
              <w:jc w:val="right"/>
              <w:ind w:right="1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997,636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1,418,236</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549,402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416,772</w:t>
            </w: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1,439,754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20,732</w:t>
            </w:r>
          </w:p>
        </w:tc>
      </w:tr>
      <w:tr>
        <w:trPr>
          <w:trHeight w:val="234"/>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11,742,579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12,087,064</w:t>
            </w:r>
          </w:p>
        </w:tc>
      </w:tr>
      <w:tr>
        <w:trPr>
          <w:trHeight w:val="223"/>
        </w:trPr>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14,729,371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13,942,804</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400" w:space="720"/>
            <w:col w:w="3300"/>
          </w:cols>
          <w:pgMar w:left="240" w:top="688" w:right="239" w:bottom="1440" w:gutter="0" w:footer="0" w:header="0"/>
          <w:type w:val="continuous"/>
        </w:sect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Total assets located in Brazil, India and China primarily consist of cash and cash equivalents, customer receivables and inventory. These assets are periodically reviewed to assure the net realizable value from the estimated future production based on forecasted sales exceeds the carrying value of the assets. Total assets located in the United States include the Company’s investments in joint ventures.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August 18, 2015, the Compensation Committee of the Board of Directors of the Company approved the material terms of an annual bonus plan for the Company’s executive officers as well as certain officers and employees for the fiscal year ending August 31, 2016. For fiscal 2016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Adjusted EBITOI for fiscal 2016 compared to a pre-established target Adjusted EBITOI for fiscal 2016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the Company’s common stock, the exact amount and percentages will be determined by the Company’s Board of Directors, upon recommendation of the Compensation Committee, after the completion of the Company’s consolidated financial statements for fiscal 2016. There was no accrual for management bonuses for the six months ended February 29, 2016 compared to an accrual of $100,000 for management bonuses for the six months ended February 28, 2015.</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17" w:name="page18"/>
    <w:bookmarkEnd w:id="17"/>
    <w:p>
      <w:pPr>
        <w:ind w:right="300"/>
        <w:spacing w:after="0" w:line="282" w:lineRule="auto"/>
        <w:rPr>
          <w:sz w:val="20"/>
          <w:szCs w:val="20"/>
          <w:color w:val="auto"/>
        </w:rPr>
      </w:pPr>
      <w:r>
        <w:rPr>
          <w:rFonts w:ascii="Times New Roman" w:cs="Times New Roman" w:eastAsia="Times New Roman" w:hAnsi="Times New Roman"/>
          <w:sz w:val="18"/>
          <w:szCs w:val="18"/>
          <w:color w:val="auto"/>
        </w:rPr>
        <w:t>Four joint ventures (consisting of the Company’s joint ventures in Korea, India, Thailand and Tianjin Zerust) accounted for 81.7% of the Company’s trade joint venture receivables at February 29, 2016 and accounted for 67.0% of the Company’s trade joint venture receivables at August 31, 2015.</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March 23, 2015, the Company and NTI Asean filed a lawsuit in Tianjin No 1 Intermediate People’s Court against two individuals, Meng Tao and Xu Hui, related to breaches of duties and contractual commitments owed to NTI Asean under certain agreements related to the Company’s former joint venture in China, Tianjin Zerust Anti-Corrosion Technologies Ltd. The lawsuit alleges, among other things, that Mr. Meng Tao and Xu Hui have engaged in self-dealing, usurped business opportunities, and received economic benefits that were required to go to Tianjin Zerust. As of February 29, 2016, the Company is not able to reasonably estimate the amount of any recovery to NTI Asean, if any.</w:t>
      </w:r>
    </w:p>
    <w:p>
      <w:pPr>
        <w:spacing w:after="0" w:line="184"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On April 21, 2015, the Company and NTI Asean initiated a lawsuit in the District Court for the Second Judicial District, County of Ramsey, State of Minnesota against Cortec Corporation alleging, among other things, that Cortec Corporation aided and abetted breaches of duties and contractual commitments owed to the Company and NTI Asean related to the Company’s joint venture in China, Tianjin Zerust.</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be have been incurred. In the opinion of management, as of February 29, 2016, the amount of liability, if any, with respect to these matters, individually or in the aggregate, will not materially affect the Company’s consolidated results of operations, financial position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Assets and liabilities that are measured at fair value on a recurring basis primarily relate to marketable equity securities. These items are marked-to-market at each reporting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40" w:type="dxa"/>
            <w:vAlign w:val="bottom"/>
            <w:gridSpan w:val="6"/>
          </w:tcPr>
          <w:p>
            <w:pPr>
              <w:jc w:val="center"/>
              <w:ind w:right="175"/>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Fair Value as of</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7"/>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Using Inputs Considered as</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February 29, 2016</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2,733,079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2,733,079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26"/>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40" w:type="dxa"/>
            <w:vAlign w:val="bottom"/>
            <w:gridSpan w:val="6"/>
          </w:tcPr>
          <w:p>
            <w:pPr>
              <w:jc w:val="center"/>
              <w:ind w:right="175"/>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Fair Value as of</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7"/>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Using Inputs Considered as</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August 31, 2015</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2,027,441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2,027,441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during the three and six months ended February 29, 2016 and February 28, 2015.</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cs="Times New Roman" w:eastAsia="Times New Roman" w:hAnsi="Times New Roman"/>
          <w:sz w:val="18"/>
          <w:szCs w:val="18"/>
          <w:i w:val="1"/>
          <w:iCs w:val="1"/>
          <w:color w:val="auto"/>
        </w:rPr>
        <w:t>Part I. Item 2. Management’s Discussion and Analysis of Financial Condition and Results of Operations—Forward-Looking Statements</w:t>
      </w:r>
      <w:r>
        <w:rPr>
          <w:rFonts w:ascii="Times New Roman" w:cs="Times New Roman" w:eastAsia="Times New Roman" w:hAnsi="Times New Roman"/>
          <w:sz w:val="18"/>
          <w:szCs w:val="18"/>
          <w:color w:val="auto"/>
        </w:rPr>
        <w:t>” in this report and under “</w:t>
      </w:r>
      <w:r>
        <w:rPr>
          <w:rFonts w:ascii="Times New Roman" w:cs="Times New Roman" w:eastAsia="Times New Roman" w:hAnsi="Times New Roman"/>
          <w:sz w:val="18"/>
          <w:szCs w:val="18"/>
          <w:i w:val="1"/>
          <w:iCs w:val="1"/>
          <w:color w:val="auto"/>
        </w:rPr>
        <w:t>Part 1. Item 1A. Risk Factors</w:t>
      </w:r>
      <w:r>
        <w:rPr>
          <w:rFonts w:ascii="Times New Roman" w:cs="Times New Roman" w:eastAsia="Times New Roman" w:hAnsi="Times New Roman"/>
          <w:sz w:val="18"/>
          <w:szCs w:val="18"/>
          <w:color w:val="auto"/>
        </w:rPr>
        <w:t>” in our annual report on Form 10-K for the fiscal year ended August 31, 2015 and “</w:t>
      </w:r>
      <w:r>
        <w:rPr>
          <w:rFonts w:ascii="Times New Roman" w:cs="Times New Roman" w:eastAsia="Times New Roman" w:hAnsi="Times New Roman"/>
          <w:sz w:val="18"/>
          <w:szCs w:val="18"/>
          <w:i w:val="1"/>
          <w:iCs w:val="1"/>
          <w:color w:val="auto"/>
        </w:rPr>
        <w:t>Part II. Item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report. The following discussion of the results of the operations and financial condition of NTIC should be read in conjunction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NTIC’s consolidated financial statements and the related notes thereto included under the heading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40 years, and in recent years, has targeted and expanded into the oil and gas industry. NTIC also markets and sells a portfolio of biobased and compostable (fully biodegradable) polymer resins and finished products under the Natur-Tec® brand. These products are intended to reduce NTIC’s customers’ carbon footprint and provide environmentally sound waste disposal options.</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NTIC’s ZERUST® rust and corrosion inhibiting products include plastic and paper packaging, liquids and coatings, rust removers and cleaners, diffusers and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technical requirements. In North America, NTIC sells its ZERUST® corrosion prevention solutions through a direct sales force as well as a network of independent distributors and agents. Internationally, NTIC sells its ZERUST® corrosion prevention solutions through its wholly-owned subsidiary in China, NTIC (Shanghai) Co., Ltd. (NTIC China), its majority-owned joint venture holding company for NTIC’s joint venture investments in the Association of Southeast Asian Nations (ASEAN) region, its majority-owned subsidiary in Brazil, Zerust Prevenção de Corrosão S.A. (Zerust Brazil), and joint venture arrangements in North America, Europe and Asia.</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One of NTIC’s strategic initiatives is to expand into and penetrate other markets for its ZERUST® corrosion prevention solutions. Consequently, for the past several years, NTIC has focused its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corrosion leaks.</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NTIC markets and sells its ZERUST® rust and corrosion prevention solutions to customers in the oil and gas industry across several countries either directly, through its subsidiaries or through its joint venture partners and other strategic partners. The sale of ZERUST® corrosion prevention solutions to customers in the oil and gas industry typically involves a long sales cycle, often including a one- to multi-year trial period with each customer and a slow integration process thereafter.</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extrusion coating, injection molding, and engineered plastics. These resins are fully biodegradable in a composting environment and are currently being used to produce finished products including can liners, shopping and grocery bags, lawn and leaf bags, pet waste collection bags, cutlery, packaging foam and coated paper products. In North America, NTIC markets its Natur-Tec® resins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 Internationally, NTIC sells its Natur-Tec® resins and finished products both directly and through its majority- owned subsidiary in India, Natur-Tec India Private Limited (Natur-Tec India), and through certain joint ventures. In November 2014, NTIC entered into an agreement with NatureWorks LLC for joint marketing and sales of Ingeo® based packaging solutions to customers in India. With recent Indian government mandates banning use of non-biodegradable plastics in certain types of food and consumer packaging, NTIC expects the market in India for bioplastic packaging solutions to grow substantially.</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Termination of Chinese Joint Venture</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January 2, 2015, NTIC announced that, effective as of December 31, 2014, it is selling its ZERUST® products and services in China through a wholly-owned subsidiary, NTIC (Shanghai) Co., Ltd., and has terminated its joint venture agreements with Tianjin-Zerust Anticorrosion Co., Ltd. (Tianjin Zerust). NTIC and NTI Asean LLC have filed a lawsuit against Mr. Tao Meng, a Chinese national and the former joint venture entity’s other shareholder, and his spouse in the Chinese court of Tianjin, seeking, among other things, an orderly liquidation of Tianjin Zerust.</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NTIC indirectly has a 30% ownership interest in Tianjin Zerust through its 60% owned holding company subsidiary, NTI Asean LLC. Commencing during the second quarter of fiscal 2015, NTIC’s consolidated financial statements include the financial results of NTIC China.</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NTIC anticipates that it may take several quarters to transition many of the previous customers of Tianjin Zerust to NTIC China and no assurance can be provided that NTIC China will be able to achieve the net sales and income levels previously achieved by Tianjin Zerust. For fiscal 2014, Tianjin Zerust had net sales of $15.9 million and net income of $1.3 million. The operating income of the joint venture before paying royalties in an aggregate amount of $4.2 million to all shareholders was over $5.5 million; NTIC’s indirect ownership of Tianjin Zerust is 30%.</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fiscal 2015, NTIC incurred approximately $1,640,000 and during the first two quarters of fiscal 2016, NTIC incurred approximately $1,418,000 in expenses related either directly or indirectly to the establishment and initial business operations of NTIC China, the termination of the joint venture agreements with Tianjin Zerust, its pending litigation against Mr. Tao Meng and his spouse and Cortec Corporation, and the anticipated liquidation of Tianjin Zerust. These expenses are recorded as selling, general and administrative expenses and expenses incurred in support of joint ventures on the consolidated statements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expects that its operating results may be volatile over the next few quarters as a result of NTIC’s Chinese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NTIC’s Joint Venture Network</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NTIC participates in 19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NTIC’s receipt of funds from its joint ventures is dependent upon fees for services that NTIC provides to its joint ventures, based primarily on the net sales of the individual joint ventures, and NTIC’s receipt of dividend distributions from the joint ventures. 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NTIC accounts for the investments and financial results of its joint ventures in its financial statements utilizing the equity method of accounting.</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results of Zerust Brazil, NTI Asean and Natur-Tec India, and as of December 31, 2014, NTIC China, are fully consolidated in NTIC’s consolidated financial statements. NTIC holds 85% of the equity and 85% of the voting rights of Zerust Brazil. NTIC holds 60% of the equity and 60% of the voting rights of NTI Asean. NTI Asean holds investments in eight entities that operate in the following eight territories located in the ASEAN region: China (although liquidation was initiated December 31, 2014), Indonesia, South Korea, Malaysia, Philippines, Singapore, Taiwan and Thailand. NTIC holds 90% of the equity and 90% of the voting rights of Natur-Tec India. NTIC China is a wholly-owned subsidiary of NTIC.</w:t>
      </w:r>
    </w:p>
    <w:p>
      <w:pPr>
        <w:spacing w:after="0" w:line="18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NTIC considers EXCOR to be individually significant to NTIC’s consolidated assets and income; and therefore, provides certain additional information regarding EXCOR in the notes to NTIC’s consolidated financial statements and in this section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ind w:right="400"/>
        <w:spacing w:after="0" w:line="313" w:lineRule="auto"/>
        <w:rPr>
          <w:sz w:val="20"/>
          <w:szCs w:val="20"/>
          <w:color w:val="auto"/>
        </w:rPr>
      </w:pPr>
      <w:r>
        <w:rPr>
          <w:rFonts w:ascii="Times New Roman" w:cs="Times New Roman" w:eastAsia="Times New Roman" w:hAnsi="Times New Roman"/>
          <w:sz w:val="17"/>
          <w:szCs w:val="17"/>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3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NTIC’s consolidated net sales increased 14.5% and 5.6% during the three and six months ended February 29, 2016, respectively, compared to the three and six months ended February 28, 2015. These increases were primarily a result of increased demand for ZERUST® rust and corrosion inhibiting packaging products and services and Natur-Tec® products. During the three and six months ended February 29, 2016, 82.9% and 83.9% of NTIC’s consolidated net sales, respectively, were derived from sales of ZERUST® products and services, which increased 10.4% and 2.8% to $6,385,337 and $12,363,019 during the three and six months ended February 29, 2016, respectively, compared to $5,783,985 and $12,022,056 during the three and six months ended February 28, 2015, respectively, due to increased demand from both new and existing customers for new and existing products.</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NTIC has focused its sales efforts of ZERUST® products and services by strategically targeting customers with specific corrosion issues in new market areas, including the oil and gas industry and other industrial sectors that offer sizable growth opportunities. NTIC’s consolidated net sales for the six months ended February 29, 2016 included $717,570 of sales made to customers in the oil and gas industry compared to $878,582 for the six months ended February 28, 2015. Overall demand for ZERUST® products and services depends heavily on the overall health of the markets in which NTIC sells its products, including the automotive, oil and gas, agriculture, and mining markets in particular. In addition, we believe demand for ZERUST® products and services in the oil and gas industry may be dependent upon oil prices, with low oil prices causing existing or potential customers to delay purchases and installations.</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February 29, 2016, 17.1% and 16.1%, of NTIC’s consolidated net sales were derived from sales of Natur-Tec® products compared to 14.0% and 13.8% during the three and six months ended February 28, 2015, respectively. Net sales of Natur-Tec® products increased 39.7% and 23.2% during the three and six months ended February 29, 2016 compared to the three and six months ended February 28, 2015, respectively. These increases were primarily due to increases in finished product sales in North America and finished product sales at NTIC’s majority owned subsidiary in India, Natur-Tec India Private Limited (Natur-Tec India).</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1" w:name="page22"/>
    <w:bookmarkEnd w:id="21"/>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Cost of goods sold as a percentage of net sales decreased slightly to 68.4% during the three months ended February 29, 2016 compared to 69.2% during the three months ended February 28, 2015 and increased slightly to 68.9% during the six months ended February 29, 2016 compared to 67.9% during the prior fiscal year period. These small variances were primarily as a result of small variances in raw material prices during the various periods.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NTIC’s equity in income of joint ventures decreased 35.4% and 37.2% to $952,667 and $1,936,420, respectively, during the three and six months ended February 29, 2016 compared to $1,474,649 and $3,081,332 during the three and six months ended February 28, 2015. These decreases were primarily a result of decreases in profitability at the joint ventures, decreases associated with the anticipated liquidation of Tianjin Zerust and adverse effects of foreign currency exchange rate fluctuations, including in particular the Euro compared to the U.S. dollar. Equity in income provided by Tianjin Zerust was $0 for the six months ended February 29, 2016 compared to $132,824 for the six months ended February 28, 2015. NTIC recognized a 2.4% and 21.5% decrease in fees for services provided to joint ventures during the three and six months ended February 29, 2016 compared to the three and six months ended February 28, 2015, respectively. These decreases were primarily a result of the anticipated liquidation of Tianjin Zerust and decreases in sales at the joint ventures. Fees for services provided to Tianjin Zerust were $0 for the six months ended February 29, 2016 compared to $516,139 for the six months ended February 28, 2015. Additionally, there was a decrease in sales at the joint ventures, which were $20,129,215 and $42,000,424 during the three and six months ended February 29, 2016, respectively, compared to $23,057,386 and $52,178,238 for the three and six months ended February 28, 2015, respectively. These decreases in the net sales of NTIC’s joint ventures were primarily the result of adverse effects of foreign currency exchange rate fluctuations and resulted in corresponding decreases in fees for services provided to joint ventures as such fees are a function of net sales of NTIC’s joint ventures.</w:t>
      </w:r>
    </w:p>
    <w:p>
      <w:pPr>
        <w:spacing w:after="0" w:line="19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NTIC’s total operating expenses increased 2.1%, or $186,438, to $9,099,302 during the six months ended February 29, 2016 compared to the six months ended February 28, 2015. This increase was primarily the result of the expenses related to the formation and establishment of NTIC China and the anticipated liquidation of Tianjin Zerust. Such expenses consisted primarily of legal and personnel expenses associated with the establishment of the subsidiary, the hiring of new personnel and initial operations.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NTIC expenses all costs related to product research and development as incurred. NTIC incurred $2,117,622 and $1,904,169 of expense during the six months ended February 29, 2016 and February 28, 2015, respectively, in connection with its research and development activities. NTIC anticipates that it will spend between $4,000,000 and $4,400,000 in total during fiscal 2016 on research and development activities related to its new technologies.</w:t>
      </w:r>
    </w:p>
    <w:p>
      <w:pPr>
        <w:spacing w:after="0" w:line="17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Net loss attributable to NTIC was $(107,789), or $(0.02) per diluted common share, for the three months ended February 29, 2016 compared to net loss attributable to NTIC of $(128,644), or $(0.03) per diluted common share, for the three months ended February 28, 2015. Net income attributable to NTIC decreased 138.9%, to a net loss attributable to NTIC of $(342,140), or $(0.07) per diluted common share, for the six months ended February 29, 2016 compared to net income attributable to NTIC of $879,621, or $0.19 per diluted common share, for the six months ended February 28, 2015.</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NTIC anticipates that its quarterly net income or loss will continue to remain subject to significant volatility primarily due to the financial performance of its subsidiaries and joint ventures and sales of its ZERUST® products and services into the oil and gas industry and Natur-Tec® bioplastics products, which sales fluctuate more on a quarterly basis than the traditional ZERUST® business. NTIC also anticipates that its operating results during the next few quarters will be particularly volatile as a result of the changes in its Chinese operations.</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NTIC’s working capital was $17,481,057 at February 29, 2016, including $2,531,340 in cash and cash equivalents and $2,733,079 in available for sale securities, compared to $15,603,771 at August 31, 2015, including $2,623,981 in cash and cash equivalents and $2,027,441 in available for sale securities.</w:t>
      </w:r>
    </w:p>
    <w:p>
      <w:pPr>
        <w:spacing w:after="0" w:line="3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NTIC’s results of operations for the three and six months ended February 29, 2016 and February 28,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87"/>
        </w:trPr>
        <w:tc>
          <w:tcPr>
            <w:tcW w:w="3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18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12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18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122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640" w:type="dxa"/>
            <w:vAlign w:val="bottom"/>
          </w:tcPr>
          <w:p>
            <w:pPr>
              <w:spacing w:after="0"/>
              <w:rPr>
                <w:sz w:val="20"/>
                <w:szCs w:val="20"/>
                <w:color w:val="auto"/>
              </w:rPr>
            </w:pPr>
          </w:p>
        </w:tc>
        <w:tc>
          <w:tcPr>
            <w:tcW w:w="14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7,027,614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5,995,543</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1,032,071</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677,320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733,166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(55,846)</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5,268,224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4,657,740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610,484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of joint ventures</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952,667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1,474,649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(521,982)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971,042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994,860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1,475,433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1,339,441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135,992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1,509,087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1,552,861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Expenses incurred in support of joint ventures</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297,470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656,127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(358,657)</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1,113,525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854,256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259,269</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87"/>
        </w:trPr>
        <w:tc>
          <w:tcPr>
            <w:tcW w:w="3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18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12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18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122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640" w:type="dxa"/>
            <w:vAlign w:val="bottom"/>
          </w:tcPr>
          <w:p>
            <w:pPr>
              <w:spacing w:after="0"/>
              <w:rPr>
                <w:sz w:val="20"/>
                <w:szCs w:val="20"/>
                <w:color w:val="auto"/>
              </w:rPr>
            </w:pPr>
          </w:p>
        </w:tc>
        <w:tc>
          <w:tcPr>
            <w:tcW w:w="14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$ 13,529,024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$ 12,476,534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1,052,490</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1,200,347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1,466,270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(265,923)</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10,143,647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9,464,351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679,296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of joint ventures</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1,936,420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3,081,332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(1,144,912)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2,456,471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3,128,530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(672,059)</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3,000,516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2,734,328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266,188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3,366,700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3,091,123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275,577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Expenses incurred in support of joint ventures</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614,464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1,183,244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(568,780)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2,117,622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1,904,169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213,453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bl>
    <w:p>
      <w:pPr>
        <w:spacing w:after="0" w:line="196"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i w:val="1"/>
          <w:iCs w:val="1"/>
          <w:color w:val="auto"/>
        </w:rPr>
        <w:t>Net Sales</w:t>
      </w:r>
      <w:r>
        <w:rPr>
          <w:rFonts w:ascii="Times New Roman" w:cs="Times New Roman" w:eastAsia="Times New Roman" w:hAnsi="Times New Roman"/>
          <w:sz w:val="17"/>
          <w:szCs w:val="17"/>
          <w:color w:val="auto"/>
        </w:rPr>
        <w:t>. NTIC’s consolidated net sales increased 14.5% and 5.6% to $7,704,934 and $14,729,371, respectively, during the three and six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February 29, 2016 compared to the three and six months ended February 28, 2015. NTIC’s consolidated net sales excluding NTIC’s joint ventures increased 17.2% and 8.4% to $7,027,614 and $13,529,024, respectively, during the three and six months ended February 29, 2016 compared to the same respective</w:t>
      </w:r>
    </w:p>
    <w:p>
      <w:pPr>
        <w:spacing w:after="0" w:line="1" w:lineRule="exact"/>
        <w:rPr>
          <w:sz w:val="20"/>
          <w:szCs w:val="20"/>
          <w:color w:val="auto"/>
        </w:rPr>
      </w:pPr>
    </w:p>
    <w:p>
      <w:pPr>
        <w:ind w:right="220"/>
        <w:spacing w:after="0" w:line="217" w:lineRule="auto"/>
        <w:rPr>
          <w:sz w:val="20"/>
          <w:szCs w:val="20"/>
          <w:color w:val="auto"/>
        </w:rPr>
      </w:pPr>
      <w:r>
        <w:rPr>
          <w:rFonts w:ascii="Times New Roman" w:cs="Times New Roman" w:eastAsia="Times New Roman" w:hAnsi="Times New Roman"/>
          <w:sz w:val="18"/>
          <w:szCs w:val="18"/>
          <w:color w:val="auto"/>
        </w:rPr>
        <w:t>prior fiscal year periods. These increases were primarily a result of increased demand and sales of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packaging products and services and Natur-Tec® products. Net sales to joint ventures decreased 7.6% and 18.1% to $677,320 and $1,200,347 during the three and six months ended February 29, 2016, respectively, compared to the same respective prior fiscal year periods.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for the three and six months ended February 29, 2016 and February 28, 2015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r>
      <w:tr>
        <w:trPr>
          <w:trHeight w:val="238"/>
        </w:trPr>
        <w:tc>
          <w:tcPr>
            <w:tcW w:w="5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6,385,337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5,783,985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12,363,019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12,022,056</w:t>
            </w:r>
          </w:p>
        </w:tc>
      </w:tr>
      <w:tr>
        <w:trPr>
          <w:trHeight w:val="23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Natur-Tec® sales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1,319,597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944,724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2,366,352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1,920,748</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7,704,934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6,728,709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14,729,371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13,942,804</w:t>
            </w:r>
          </w:p>
        </w:tc>
      </w:tr>
    </w:tbl>
    <w:p>
      <w:pPr>
        <w:spacing w:after="0" w:line="19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7"/>
          <w:szCs w:val="17"/>
          <w:color w:val="auto"/>
        </w:rPr>
        <w:t>During the three and six months ended February 29, 2016, 82.9% and 83.9% of NTIC’s consolidated net sales, respectively, were derived from sales of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products and services, which increased 10.4% and 2.8% to $6,385,337 and $12,363,019 during the three and six months ended February 29, 2016, respectively, compared to $5,783,985 and $12,022,056 during the three and six months ended February 28, 2015, respectively. These increases were due to</w:t>
      </w:r>
    </w:p>
    <w:p>
      <w:pPr>
        <w:ind w:right="280"/>
        <w:spacing w:after="0" w:line="219" w:lineRule="auto"/>
        <w:rPr>
          <w:sz w:val="20"/>
          <w:szCs w:val="20"/>
          <w:color w:val="auto"/>
        </w:rPr>
      </w:pPr>
      <w:r>
        <w:rPr>
          <w:rFonts w:ascii="Times New Roman" w:cs="Times New Roman" w:eastAsia="Times New Roman" w:hAnsi="Times New Roman"/>
          <w:sz w:val="17"/>
          <w:szCs w:val="17"/>
          <w:color w:val="auto"/>
        </w:rPr>
        <w:t>increased demand from existing customers and the addition of new customers. NTIC has strategically focused its sales efforts for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products and services on customers with sizeable corrosion problems in industry sectors that offer sizable growth opportunities, including the oil and gas sector. Overall</w:t>
      </w:r>
    </w:p>
    <w:p>
      <w:pPr>
        <w:spacing w:after="0" w:line="1" w:lineRule="exact"/>
        <w:rPr>
          <w:sz w:val="20"/>
          <w:szCs w:val="20"/>
          <w:color w:val="auto"/>
        </w:rPr>
      </w:pPr>
    </w:p>
    <w:p>
      <w:pPr>
        <w:ind w:right="100"/>
        <w:spacing w:after="0" w:line="217" w:lineRule="auto"/>
        <w:rPr>
          <w:sz w:val="20"/>
          <w:szCs w:val="20"/>
          <w:color w:val="auto"/>
        </w:rPr>
      </w:pPr>
      <w:r>
        <w:rPr>
          <w:rFonts w:ascii="Times New Roman" w:cs="Times New Roman" w:eastAsia="Times New Roman" w:hAnsi="Times New Roman"/>
          <w:sz w:val="18"/>
          <w:szCs w:val="18"/>
          <w:color w:val="auto"/>
        </w:rPr>
        <w:t>demand for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depends heavily on the overall health of the market segments to which NTIC sells its products, including the automotive, oil and gas, agriculture, and mining markets in particular. In addition, we believe demand for ZERUST® products and services in the oil and gas industry may be dependent upon oil prices, with low oil prices causing existing or potential customers to delay purchases and installations.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following table sets forth NTIC’s net sales of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for the three and six months ended February 29, 2016 and February 28, 2015: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0" w:type="dxa"/>
            <w:vAlign w:val="bottom"/>
            <w:tcBorders>
              <w:bottom w:val="single" w:sz="8" w:color="auto"/>
            </w:tcBorders>
          </w:tcPr>
          <w:p>
            <w:pPr>
              <w:spacing w:after="0"/>
              <w:rPr>
                <w:sz w:val="20"/>
                <w:szCs w:val="20"/>
                <w:color w:val="auto"/>
              </w:rPr>
            </w:pPr>
          </w:p>
        </w:tc>
      </w:tr>
      <w:tr>
        <w:trPr>
          <w:trHeight w:val="187"/>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140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562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ZERUST® industrial 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5,220,614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4,674,429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546,185</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ZERUST® joint venture net sales</w:t>
            </w:r>
          </w:p>
        </w:tc>
        <w:tc>
          <w:tcPr>
            <w:tcW w:w="1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787,392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733,166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54,226</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5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ZERUST® oil &amp; gas net sales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377,331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376,390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8"/>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ZERUST® 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6,385,337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5,783,985</w:t>
            </w:r>
          </w:p>
        </w:tc>
        <w:tc>
          <w:tcPr>
            <w:tcW w:w="120" w:type="dxa"/>
            <w:vAlign w:val="bottom"/>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601,352</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460" w:type="dxa"/>
            <w:vAlign w:val="bottom"/>
            <w:tcBorders>
              <w:bottom w:val="single" w:sz="8" w:color="auto"/>
            </w:tcBorders>
          </w:tcPr>
          <w:p>
            <w:pPr>
              <w:spacing w:after="0"/>
              <w:rPr>
                <w:sz w:val="20"/>
                <w:szCs w:val="20"/>
                <w:color w:val="auto"/>
              </w:rPr>
            </w:pPr>
          </w:p>
        </w:tc>
      </w:tr>
      <w:tr>
        <w:trPr>
          <w:trHeight w:val="187"/>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55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6"/>
                <w:szCs w:val="16"/>
                <w:color w:val="auto"/>
              </w:rPr>
            </w:pPr>
          </w:p>
        </w:tc>
        <w:tc>
          <w:tcPr>
            <w:tcW w:w="1460" w:type="dxa"/>
            <w:vAlign w:val="bottom"/>
          </w:tcPr>
          <w:p>
            <w:pPr>
              <w:jc w:val="right"/>
              <w:ind w:right="55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55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ZERUST® industrial 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10,339,707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9,677,204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662,503</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ZERUST® joint venture net sales</w:t>
            </w: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1,305,742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1,466,270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(160,528)</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5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ZERUST® oil &amp; gas net sales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717,570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878,582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(161,012)</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8"/>
        </w:trPr>
        <w:tc>
          <w:tcPr>
            <w:tcW w:w="5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ZERUST® 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12,363,019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12,022,056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340,963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1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NTIC’s net sales to the oil and gas industry sector were flat for the three-month comparison and decreased for the six-month comparison. NTIC believes its sales of ZERUST® products and services into the oil and gas industry during the three and six months ended February 29, 2016 may have been adversely affected by low oil prices. NTIC anticipates that its sales of ZERUST® products and services into the oil and gas industry will continue to remain subject to significant volatility from quarter to quarter as sales are recognized.</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February 29, 2016, 17.1% and 16.1% of NTIC’s consolidated net sales, respectively, were derived from sales of Natur-Tec® products, which increased 39.7% and 23.2% to $1,319,597 and $2,366,352 during the three and six months ended February 29, 2016, respectively, compared to the three and six months ended February 28, 2015. These increases were due to increased demand from Natur-Tec customers in North America and India. Demand for Natur-Tec® products around the world depends primarily on market acceptance and the reach of NTIC’s distribution network. Because of the typical size of individual orders and overall size of NTIC’s net sales derived from sales of Natur-Tec® products, the timing of one or more orders can materially affect NTIC’s quarterly sales of Natur-Tec® products and the comparisons to prior fiscal year quarters.</w:t>
      </w:r>
    </w:p>
    <w:p>
      <w:pPr>
        <w:spacing w:after="0" w:line="18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increased 13.1% and 7.2% for the three and six months ended February 29, 2016, respectively,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six months ended February 28, 2015 primarily as a result of increased net sales as described above. Cost of goods sold as a percentage of net sales decreased to 68.4% during the three months ended February 29, 2016 compared to 69.2% the three months ended February 28, 2015 and increased to 68.9% during the six months ended February 29, 2016 compared to 67.9% during the six months ended February 28, 2015. These increases in cost of goods sold were primarily the result of variances in raw material costs.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Equity in Income of Joint Ventures. </w:t>
      </w:r>
      <w:r>
        <w:rPr>
          <w:rFonts w:ascii="Times New Roman" w:cs="Times New Roman" w:eastAsia="Times New Roman" w:hAnsi="Times New Roman"/>
          <w:sz w:val="18"/>
          <w:szCs w:val="18"/>
          <w:color w:val="auto"/>
        </w:rPr>
        <w:t>NTIC’s equity in income of joint ventures decreased 35.4% and 37.2% to $952,667 and $1,936,420 during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February 29, 2016, respectively, compared to equity in income of joint ventures of $1,474,649 and $3,081,332 during the three and six months ended February 28, 2015, respectively, primarily a result of decreases in the profitability at the joint ventures, a decrease in profitability associated with the anticipated liquidation of Tianjin Zerust and adverse effects of foreign currency exchange rate fluctuations, including in particular the Euro compared to the U.S. dollar. Equity in income provided by Tianjin Zerust was $0 for the six months ended February 29, 2016 compared to $132,824 for the six months ended February 28, 2015. Of the total equity in income of joint ventures, NTIC had equity in income of joint ventures of $1,480,975 attributable to EXCOR during the six months ended February 29, 2016 compared to $1,962,047 attributable to EXCOR during the six months ended February 28, 2015. NTIC had equity in income of all other joint ventures of $455,445 during the six months ended February 29, 2016 compared to $1,119,284 during the six months ended February 28, 2015.</w:t>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Fees for Services Provided to Joint Ventures. </w:t>
      </w:r>
      <w:r>
        <w:rPr>
          <w:rFonts w:ascii="Times New Roman" w:cs="Times New Roman" w:eastAsia="Times New Roman" w:hAnsi="Times New Roman"/>
          <w:sz w:val="18"/>
          <w:szCs w:val="18"/>
          <w:color w:val="auto"/>
        </w:rPr>
        <w:t>NTIC recognized fee income for services provided to joint ventures of $971,042 and $2,456,471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six months ended February 29, 2016, respectively, compared to $994,860 and $3,128,530 during the three and six months ended February 28, 2015, respectively, representing a decrease of 2.4% and 21.5%, respectively. These decreases were primarily a result of the anticipated liquidation Tianjin Zerust as fees for services provided to joint ventures from Tianjin Zerust were $0 for the six months ended February 29, 2016 compared to $516,139 for the six months ended February 28, 2015. Additionally, in total, there was a decrease in total sales at all joint ventures as fees for services provided to joint ventures are a function of the net sales of NTIC’s joint ventures, which were $20,129,215 and $42,000,424 during the three and six months ended February 29, 2016, respectively, compared to $23,057,386 and $52,178,238 for the three and six months ended February 28, 2015, respectively. Net sales of NTIC’s joint ventures decreased due primarily to the adverse effects of foreign currency exchange rate fluctuations. Net sales of NTIC’s European joint ventures were adversely affected by a downturn in European manufacturing. Sales of NTIC’s joint ventures are not included in NTIC’s product sales and are not combined with NTIC’s sales in NTIC’s consolidated financial statements or in any description of NTIC’s sales. Of the total fee income for services provided to joint ventures, fees of $422,654 were attributable to EXCOR during the six months ended February 29, 2016 compared to $440,954 attributable to EXCOR during the six months ended February 28, 2015.</w:t>
      </w:r>
    </w:p>
    <w:p>
      <w:pPr>
        <w:spacing w:after="0" w:line="19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NTIC’s selling expenses increased 10.2% and 9.7% for the three and six months ended February 29, 2016, respectively,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respective periods in fiscal 2015 due to increases in compensation and employee benefits, lab testing related expenses, commission expenses, travel and related expenses, and consulting expenses, each due in part to NTIC’s Chinese operations. Selling expenses as a percentage of net sales decreased to 19.1% and increased to 20.4% for the three and six months ended February 29, 2016, respectively, from 19.9% and 19.6% and during the three and six months ended February 28, 2015, respectively. The decrease in selling expenses as a percentage of net sales for the three-month comparison was due primarily to the increase in net sales partially offset by the increase in selling expenses as previously described. The increase for the six-month comparison was due primarily to the increase in selling expenses as previously described, partially offset by the increase in net sales.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NTIC’s general and administrative expenses decreased 2.8% and increased 8.9% for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29, 2016, respectively, compared to the same respective periods in fiscal 2015 due primarily to expenses incurred in connection with NTIC’s Chinese operations. As a percentage of net sales, general and administrative expenses decreased to 19.6% and increased to 22.9% for the three and six months ended February 29, 2016, respectively, from 23.1% and 22.2% for the three and six months ended February 28, 2015, respectively. The decrease in general and administrative expenses as a percentage of net sales for the three-month comparison was due primarily to the decrease in general and administrative expenses as previously described. The increase for the six-month comparison was due primarily to the increase in general and administrative expenses, including certain fixed costs as previously described, partially offset by the increase in net sales.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Expenses Incurred in Support of Joint Ventures. </w:t>
      </w:r>
      <w:r>
        <w:rPr>
          <w:rFonts w:ascii="Times New Roman" w:cs="Times New Roman" w:eastAsia="Times New Roman" w:hAnsi="Times New Roman"/>
          <w:sz w:val="18"/>
          <w:szCs w:val="18"/>
          <w:color w:val="auto"/>
        </w:rPr>
        <w:t>Expenses incurred in support of NTIC’s joint ventures were $297,470 and $614,464 during the three and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February 29, 2016, respectively, compared to $656,127 and $1,183,244 during the three and six months ended February 28, 2015, respectively, representing a decrease of 54.7% and 48.1%, respectively. These decreases were primarily due to expenses incurred by NTIC’s Chinese operations being classified as selling expenses and general and administrative expenses upon the formation of NTIC’s subsidiary in January 2015.</w:t>
      </w:r>
    </w:p>
    <w:p>
      <w:pPr>
        <w:spacing w:after="0" w:line="3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5" w:name="page26"/>
    <w:bookmarkEnd w:id="25"/>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NTIC’s research and development expenses increased 30.4% for the three months ended February 29, 2016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same period in fiscal 2015 and increased 11.2% for the six months ended February 29, 2016 compared to the same period in fiscal 2015. These increases were due primarily to increases in personnel and consulting expenses.</w:t>
      </w:r>
    </w:p>
    <w:p>
      <w:pPr>
        <w:spacing w:after="0" w:line="174"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NTIC’s interest income increased to $14,384 during the three months ended February 29, 2016, and $28,557 during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29, 2016, compared to $2,434 and $17,561 during the three and six months ended February 28, 2015, respectively.</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NTIC’s interest expense increased to $10,796 during the three months ended February 29, 2016 compared to $3,223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February 28, 2015 and increased to $15,522 during the six months ended February 29, 2016 compared to $8,228 during the six months ended February 28, 2015.</w:t>
      </w:r>
    </w:p>
    <w:p>
      <w:pPr>
        <w:spacing w:after="0" w:line="17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(Loss) Income Before Income Tax Expense</w:t>
      </w:r>
      <w:r>
        <w:rPr>
          <w:rFonts w:ascii="Times New Roman" w:cs="Times New Roman" w:eastAsia="Times New Roman" w:hAnsi="Times New Roman"/>
          <w:sz w:val="18"/>
          <w:szCs w:val="18"/>
          <w:color w:val="auto"/>
        </w:rPr>
        <w:t>. NTIC incurred loss before income tax expense of $30,547 and $106,691 for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29, 2016, respectively, compared to income before income tax expense of $139,149 and $1,786,929 for the three and six months ended February 28, 2015, respectively.</w:t>
      </w:r>
    </w:p>
    <w:p>
      <w:pPr>
        <w:spacing w:after="0" w:line="1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$40,466 and $36,964 during the three and six months ended February 29, 2016, respectively, compared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expense of $197,614 and $381,298 during the three and six months ended February 28, 2015, respectively. Income tax expense was calculated based on management’s estimate of NTIC’s annual effective income tax rate. NTIC’s annual effective income tax rate during the three and six months ended February 29, 2016 and February 28, 2015 was lower than the statutory rate primarily due to NTIC’s equity in income of joint ventures being recognized based on after-tax earnings of these entities. To the extent undistributed earnings of NTIC’s joint ventures are distributed to NTIC, any material additional income tax liability after the application of foreign tax credits is not expected.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In addition, NTIC determined based upon all available evidence, including new IRS guidance, historical results, projected future taxable income and foreign tax credit utilization, that it was not more likely than not that the federal research and development credits would be utilized during the carryforward period and as a result, a valuation allowance was recorded against all of NTIC’s federal research and development credits. In addition, NTIC continues to believe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NTIC considers the earnings of certain foreign joint ventures to be indefinitely invested outside the United States on the basis of estimates that NTIC’s future domestic cash generation will be sufficient to meet its future domestic cash needs. As a result, U.S. income and foreign withholding taxes have not been recognized on the cumulative undistributed earnings of $15,892,135 and $18,483,377 at February 29, 2016 and August 31, 2015, respectively. To the extent undistributed earnings of NTIC’s joint ventures are distributed in the future, they are not expected to result in any material additional income tax liability after the application of foreign tax credits</w:t>
      </w:r>
    </w:p>
    <w:p>
      <w:pPr>
        <w:spacing w:after="0" w:line="18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(Loss) Income - Foreign Currency Translations Adjustment. </w:t>
      </w:r>
      <w:r>
        <w:rPr>
          <w:rFonts w:ascii="Times New Roman" w:cs="Times New Roman" w:eastAsia="Times New Roman" w:hAnsi="Times New Roman"/>
          <w:sz w:val="18"/>
          <w:szCs w:val="18"/>
          <w:color w:val="auto"/>
        </w:rPr>
        <w:t>The significant changes in the foreign currency translations adjustment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due to the strengthening of the U.S. dollar compared to the Euro and other foreign currencies during the three and six months ended February 29, 2016 compared to the same respective periods in fiscal 2015.</w:t>
      </w: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6" w:right="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Sources of Cash and Working Capital</w:t>
      </w:r>
      <w:r>
        <w:rPr>
          <w:rFonts w:ascii="Times New Roman" w:cs="Times New Roman" w:eastAsia="Times New Roman" w:hAnsi="Times New Roman"/>
          <w:sz w:val="18"/>
          <w:szCs w:val="18"/>
          <w:color w:val="auto"/>
        </w:rPr>
        <w:t>. As of February 29, 2016, NTIC’s working capital was $17,481,057, including $2,531,340 in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$2,733,079 in available for sale securities, compared to $15,603,771 at August 31, 2015, including $2,623,981 in cash and cash equivalents and $2,027,441 in available for sale securities.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of February 29, 2016, NTIC had a revolving line of credit with PNC Bank of $3,000,000, with no amounts outstanding.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February 29, 2016, NTIC was in compliance with all debt covenants. On January 6, 2016, PNC Bank extended the maturity date of the line of credit from January 7, 2016 to January 7, 2017.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and any stock repurchases for at least the next 12 months. During the remainder of fiscal 2016, NTIC expects to continue to invest its Chinese operations, research and development and in marketing efforts and resources into the application of its corrosion prevention technology into the oil and gas industry and its Natur-Tec® bio-plastics business.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 traditionally has used the cash generated from its operations, distributions of earnings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182"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i w:val="1"/>
          <w:iCs w:val="1"/>
          <w:color w:val="auto"/>
        </w:rPr>
        <w:t>Uses of Cash and Cash Flows</w:t>
      </w:r>
      <w:r>
        <w:rPr>
          <w:rFonts w:ascii="Times New Roman" w:cs="Times New Roman" w:eastAsia="Times New Roman" w:hAnsi="Times New Roman"/>
          <w:sz w:val="17"/>
          <w:szCs w:val="17"/>
          <w:color w:val="auto"/>
        </w:rPr>
        <w:t>. Net cash provided by operating activities during the six months ended February 29, 2016 was $1,248,810, which resulted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principally from dividends received from NTIC’s joint ventures, the expensing of fair value of stock options vested, and depreciation and amortization expense, partially offset by NTIC’s net loss and equity income from NTIC’s joint ventures, and a decrease in accrued liabilities. Net cash provided by operating activities during the six months ended February 28, 2015 was $392,041, which resulted principally from NTIC’s joint ventures, the expensing of fair value of stock options vested, and depreciation and amortization expense, partially offset by NTIC’s net income and decreases in income taxes payable.</w:t>
      </w:r>
    </w:p>
    <w:p>
      <w:pPr>
        <w:spacing w:after="0" w:line="17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3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NTIC experienced an increase in receivables and a decrease in inventory as of February 29, 2016 compared to August 31, 2015 due to the increase in net sales and a desire to stock more products to shorten lead times and anticipate customer demand. Trade receivables excluding joint ventures as of February 29, 2016 increased $112,369 compared to August 31, 2015, primarily related to the increase in NTIC’s net sales. Outstanding trade receivables excluding joint ventures balances as of February 29, 2016 increased four days to an average of 54 days from balances outstanding from these customers as of August 31, 2015.</w:t>
      </w:r>
    </w:p>
    <w:p>
      <w:pPr>
        <w:spacing w:after="0" w:line="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Outstanding trade receivables from joint ventures as of February 29, 2016 increased $118,640 compared to August 31, 2015 primarily due to the timing of payments. There was an increase of outstanding balances from trade receivables from joint ventures as of February 29, 2016 of an average of 10 days from an average of 93 days from balances outstanding from these customers compared to August 31, 2015. The significant average days outstanding of trade receivables from joint ventures as of February 29, 2016 were primarily due to the receivable balance at NTIC’s joint venture in in South Korea and Tianjin Zerust. Because of the lack of financial and other information received from Tianjin Zerust, it is possible that if and when financial and other information is received from Tianjin Zerust that NTIC may need to recognize an impairment charge on its receivable from Tianjin Zerust. NTIC estimates that its maximum exposure in terms of an impairment charge on this receivable would be approximately $114,000.</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Outstanding receivables for services provided to joint ventures as of February 29, 2016 decreased $242,537 compared to August 31, 2015, which resulted in an increase of 9 days of fees receivable outstanding as of February 29, 2016 to an average of 113 days compared to August 31, 2015.</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February 29, 2016 was $1,080,567, which was primarily the result of cash used in the purchase of available for sale securities, additions to property and equipment and additions to patents. Net cash provided by investing activities for the six months ended February 28, 2015 was $990,492, which was primarily the result of cash proceeds from the sale of available for sale securities, partially offset by additions to property and equipment and additions to patents.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February 29, 2016 was $235,586, which resulted from a dividend paid to a non-controlling interest and the repurchase of common stock, partially offset by proceeds from NTIC’s employee stock purchase plan. Net cash used in financing activities for the six months ended February 28, 2015 was $437,930, which resulted from a dividend paid to a non-controlling interest, partially offset by proceeds from stock option exercises and NTIC’s employee stock purchase plan.</w:t>
      </w:r>
    </w:p>
    <w:p>
      <w:pPr>
        <w:spacing w:after="0" w:line="17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Stock Repurchase Program</w:t>
      </w:r>
      <w:r>
        <w:rPr>
          <w:rFonts w:ascii="Times New Roman" w:cs="Times New Roman" w:eastAsia="Times New Roman" w:hAnsi="Times New Roman"/>
          <w:sz w:val="18"/>
          <w:szCs w:val="18"/>
          <w:color w:val="auto"/>
        </w:rPr>
        <w:t>. On January 15, 2015, NTIC’s Board of Directors authorized the repurchase of up to $3,000,000 in shares of NTIC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open market purchases or unsolicited or solicited privately negotiated transactions. This program has no expiration date but may be terminated by NTIC’s Board of Directors at any time. During the six months ended February 29, 2016, NTIC repurchased an aggregate of 5,461 shares for an aggregate purchase price of $70,549. As of February 29, 2016, up to $2,905,099 in shares of NTIC common stock remained available for repurchase under NTIC’s stock repurchase program.</w:t>
      </w:r>
    </w:p>
    <w:p>
      <w:pPr>
        <w:spacing w:after="0" w:line="180"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NTIC spent $346,872 on capital expenditures during the six months ended February 29, 2016 and expects to spend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aggregate of approximately $400,000 to $450,000 on capital expenditures during the remainder of fiscal 2016. Anticipated capital expenditures for fiscal 2016 relate primarily to the purchase of new equipment.</w:t>
      </w:r>
    </w:p>
    <w:p>
      <w:pPr>
        <w:spacing w:after="0" w:line="3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7" w:lineRule="exact"/>
        <w:rPr>
          <w:sz w:val="20"/>
          <w:szCs w:val="20"/>
          <w:color w:val="auto"/>
        </w:rPr>
      </w:pPr>
    </w:p>
    <w:p>
      <w:pPr>
        <w:jc w:val="both"/>
        <w:ind w:right="60"/>
        <w:spacing w:after="0" w:line="284" w:lineRule="auto"/>
        <w:rPr>
          <w:sz w:val="20"/>
          <w:szCs w:val="20"/>
          <w:color w:val="auto"/>
        </w:rPr>
      </w:pPr>
      <w:r>
        <w:rPr>
          <w:rFonts w:ascii="Times New Roman" w:cs="Times New Roman" w:eastAsia="Times New Roman" w:hAnsi="Times New Roman"/>
          <w:sz w:val="18"/>
          <w:szCs w:val="18"/>
          <w:color w:val="auto"/>
        </w:rPr>
        <w:t>There has been no material change to NTIC’s contractual obligations as provided in “</w:t>
      </w:r>
      <w:r>
        <w:rPr>
          <w:rFonts w:ascii="Times New Roman" w:cs="Times New Roman" w:eastAsia="Times New Roman" w:hAnsi="Times New Roman"/>
          <w:sz w:val="18"/>
          <w:szCs w:val="18"/>
          <w:i w:val="1"/>
          <w:iCs w:val="1"/>
          <w:color w:val="auto"/>
        </w:rPr>
        <w:t>Part II. Item 7, 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Operations—Contractual Obligations</w:t>
      </w:r>
      <w:r>
        <w:rPr>
          <w:rFonts w:ascii="Times New Roman" w:cs="Times New Roman" w:eastAsia="Times New Roman" w:hAnsi="Times New Roman"/>
          <w:sz w:val="18"/>
          <w:szCs w:val="18"/>
          <w:color w:val="auto"/>
        </w:rPr>
        <w:t>,” included in NTIC’s annual report on Form 10-K for the fiscal year ended August 31, 2015.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in the United States and abroad historically has had little effect on NTIC. NTIC’s business has not historically been seasonal.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February 29, 2016, NTIC had no borrowings under the line of credit.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color w:val="auto"/>
        </w:rPr>
        <w:t>There have been no material changes to NTIC’s critical accounting policies and estimates from the information provided in “</w:t>
      </w:r>
      <w:r>
        <w:rPr>
          <w:rFonts w:ascii="Times New Roman" w:cs="Times New Roman" w:eastAsia="Times New Roman" w:hAnsi="Times New Roman"/>
          <w:sz w:val="18"/>
          <w:szCs w:val="18"/>
          <w:i w:val="1"/>
          <w:iCs w:val="1"/>
          <w:color w:val="auto"/>
        </w:rPr>
        <w:t>Part II. Item 7,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Operations—Critical Accounting Policies</w:t>
      </w:r>
      <w:r>
        <w:rPr>
          <w:rFonts w:ascii="Times New Roman" w:cs="Times New Roman" w:eastAsia="Times New Roman" w:hAnsi="Times New Roman"/>
          <w:sz w:val="18"/>
          <w:szCs w:val="18"/>
          <w:color w:val="auto"/>
        </w:rPr>
        <w:t>”, included in NTIC’s annual report on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fiscal year ended August 31, 2015.</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684"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liquidation of Tianjin Zerust and the establishment of NTIC China.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0" w:lineRule="exact"/>
        <w:rPr>
          <w:sz w:val="20"/>
          <w:szCs w:val="20"/>
          <w:color w:val="auto"/>
        </w:rPr>
      </w:pPr>
    </w:p>
    <w:p>
      <w:pPr>
        <w:ind w:left="980" w:right="24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operations in China, the termination of the joint venture agreements with Tianjin Zerust, the pending litigation against Mr. Tao Meng and Cortec Corporation and the anticipated liquidation of Tianjin Zerust and the effect on NTIC’s business and future operating results, including possible future impairment charges on NTIC’s investment in Tianjin Zerust and a receivable from Tianjin Zerust;</w:t>
      </w:r>
    </w:p>
    <w:p>
      <w:pPr>
        <w:spacing w:after="0" w:line="176"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current worldwide economic conditions, the European sovereign debt crisis and turmoil and disruption in the global credit and financial markets on NTIC’s business;</w:t>
      </w:r>
    </w:p>
    <w:p>
      <w:pPr>
        <w:spacing w:after="0" w:line="165" w:lineRule="exact"/>
        <w:rPr>
          <w:rFonts w:ascii="Times New Roman" w:cs="Times New Roman" w:eastAsia="Times New Roman" w:hAnsi="Times New Roman"/>
          <w:sz w:val="18"/>
          <w:szCs w:val="18"/>
          <w:color w:val="auto"/>
        </w:rPr>
      </w:pPr>
    </w:p>
    <w:p>
      <w:pPr>
        <w:ind w:left="980" w:right="500" w:hanging="324"/>
        <w:spacing w:after="0" w:line="203" w:lineRule="auto"/>
        <w:tabs>
          <w:tab w:leader="none" w:pos="98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variability in NTIC’s sales of ZERUST® products and services into oil and gas industry and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NTIC’s equity income of joint ventures, which variability in sales and equity in income of joint venture in turn, subject NTIC’s earnings to quarterly fluctuations;</w:t>
      </w:r>
    </w:p>
    <w:p>
      <w:pPr>
        <w:spacing w:after="0" w:line="200" w:lineRule="exact"/>
        <w:rPr>
          <w:rFonts w:ascii="Times New Roman" w:cs="Times New Roman" w:eastAsia="Times New Roman" w:hAnsi="Times New Roman"/>
          <w:sz w:val="36"/>
          <w:szCs w:val="36"/>
          <w:color w:val="auto"/>
          <w:vertAlign w:val="superscript"/>
        </w:rPr>
      </w:pPr>
    </w:p>
    <w:p>
      <w:pPr>
        <w:ind w:left="980" w:right="30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international operations and exposure to fluctuations in foreign currency exchange rates and import duties and taxes;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of the U.S. automotive industry on NTIC’s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the success of its joint ventures and fees and dividend distributions that NTIC receives from them;</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relationships with its joint ventures and its ability to maintain those relationships, especially in light of anticipated succession planning issues;</w:t>
      </w: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4" w:right="279" w:bottom="1440" w:gutter="0" w:footer="0" w:header="0"/>
        </w:sectPr>
      </w:pPr>
    </w:p>
    <w:bookmarkStart w:id="30" w:name="page31"/>
    <w:bookmarkEnd w:id="30"/>
    <w:p>
      <w:pPr>
        <w:ind w:left="324" w:right="80"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upon sales by Zerust Brazil to Petroleo Brasileiro S.A. (Petrobras), an oil company located in Brazil, and the effect of such sales on NTIC’s quarterly operating results, including in particular its net sales and margins;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including resins and other commodities;</w:t>
      </w:r>
    </w:p>
    <w:p>
      <w:pPr>
        <w:spacing w:after="0" w:line="225" w:lineRule="exact"/>
        <w:rPr>
          <w:rFonts w:ascii="Times New Roman" w:cs="Times New Roman" w:eastAsia="Times New Roman" w:hAnsi="Times New Roman"/>
          <w:sz w:val="18"/>
          <w:szCs w:val="18"/>
          <w:color w:val="auto"/>
        </w:rPr>
      </w:pPr>
    </w:p>
    <w:p>
      <w:pPr>
        <w:ind w:left="324" w:right="60" w:hanging="324"/>
        <w:spacing w:after="0" w:line="223"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the often lengthy and extensive sales process involved in selling such products and services;</w:t>
      </w:r>
    </w:p>
    <w:p>
      <w:pPr>
        <w:spacing w:after="0" w:line="19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introduce new products and services that respond to changing market conditions and customer demand;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NTIC’s existing and new products, especially in light of existing and new competitive products;</w:t>
      </w:r>
    </w:p>
    <w:p>
      <w:pPr>
        <w:spacing w:after="0" w:line="228" w:lineRule="exact"/>
        <w:rPr>
          <w:rFonts w:ascii="Times New Roman" w:cs="Times New Roman" w:eastAsia="Times New Roman" w:hAnsi="Times New Roman"/>
          <w:sz w:val="18"/>
          <w:szCs w:val="18"/>
          <w:color w:val="auto"/>
        </w:rPr>
      </w:pPr>
    </w:p>
    <w:p>
      <w:pPr>
        <w:ind w:left="324" w:right="300" w:hanging="324"/>
        <w:spacing w:after="0" w:line="188" w:lineRule="auto"/>
        <w:tabs>
          <w:tab w:leader="none" w:pos="324"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Maturation of certain existing markets for NTIC’s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and NTIC’s ability to grow market share and succeed in penetrating other existing and new markets;</w:t>
      </w:r>
    </w:p>
    <w:p>
      <w:pPr>
        <w:spacing w:after="0" w:line="202" w:lineRule="exact"/>
        <w:rPr>
          <w:rFonts w:ascii="Times New Roman" w:cs="Times New Roman" w:eastAsia="Times New Roman" w:hAnsi="Times New Roman"/>
          <w:sz w:val="36"/>
          <w:szCs w:val="36"/>
          <w:color w:val="auto"/>
          <w:vertAlign w:val="superscript"/>
        </w:rPr>
      </w:pPr>
    </w:p>
    <w:p>
      <w:pPr>
        <w:ind w:left="324" w:hanging="324"/>
        <w:spacing w:after="0" w:line="188" w:lineRule="auto"/>
        <w:tabs>
          <w:tab w:leader="none" w:pos="324"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Increased competition, especially with respect to NTIC’s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and the effect of such competition on NTIC’s and its joint ventures’ pricing, net sales and margins;</w:t>
      </w:r>
    </w:p>
    <w:p>
      <w:pPr>
        <w:spacing w:after="0" w:line="198" w:lineRule="exact"/>
        <w:rPr>
          <w:rFonts w:ascii="Times New Roman" w:cs="Times New Roman" w:eastAsia="Times New Roman" w:hAnsi="Times New Roman"/>
          <w:sz w:val="36"/>
          <w:szCs w:val="36"/>
          <w:color w:val="auto"/>
          <w:vertAlign w:val="superscript"/>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and its relationships with its distributors, independent sales representatives and joint ventures;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suppliers;</w:t>
      </w:r>
    </w:p>
    <w:p>
      <w:pPr>
        <w:spacing w:after="0" w:line="20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Oil prices, which may affect sales of NTIC’s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into the oil and gas industry;</w:t>
      </w:r>
    </w:p>
    <w:p>
      <w:pPr>
        <w:spacing w:after="0" w:line="77" w:lineRule="exact"/>
        <w:rPr>
          <w:rFonts w:ascii="Times New Roman" w:cs="Times New Roman" w:eastAsia="Times New Roman" w:hAnsi="Times New Roman"/>
          <w:sz w:val="36"/>
          <w:szCs w:val="36"/>
          <w:color w:val="auto"/>
          <w:vertAlign w:val="superscript"/>
        </w:rPr>
      </w:pPr>
    </w:p>
    <w:p>
      <w:pPr>
        <w:ind w:left="324" w:right="300" w:hanging="324"/>
        <w:spacing w:after="0" w:line="279"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6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 quality or other problems in the development, production and usage of new and existing products;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production expenses incurred in connection with new customers and new products;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changes in executive management or key employees;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management to manage around unplanned events;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on its intellectual property rights and the absence of infringement of the intellectual property rights of others;</w:t>
      </w:r>
    </w:p>
    <w:p>
      <w:pPr>
        <w:spacing w:after="0" w:line="22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maintain effective internal control over financial reporting, especially in light of its accelerated filer status and its joint venture arrangements;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NTIC’s failure to comply with applicable laws, rules and regulations;</w:t>
      </w:r>
    </w:p>
    <w:p>
      <w:pPr>
        <w:spacing w:after="0" w:line="200" w:lineRule="exact"/>
        <w:rPr>
          <w:sz w:val="20"/>
          <w:szCs w:val="20"/>
          <w:color w:val="auto"/>
        </w:rPr>
      </w:pPr>
    </w:p>
    <w:p>
      <w:pPr>
        <w:spacing w:after="0" w:line="23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11430</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24"/>
          </w:cols>
          <w:pgMar w:left="896" w:top="688" w:right="279" w:bottom="1440" w:gutter="0" w:footer="0" w:header="0"/>
        </w:sectPr>
      </w:pPr>
    </w:p>
    <w:bookmarkStart w:id="31" w:name="page32"/>
    <w:bookmarkEnd w:id="31"/>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generally accepted accounting principles and the effect of new accounting pronouncements;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NTIC’s effective tax rate;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its management information systems.</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2015 under the heading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February 29, 2016, NTIC had no borrowings under the line of credit.</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was no change in NTIC’s internal control over financial reporting that occurred during the quarter ended February 29, 2016 that has materially affected, or is reasonably likely to materially affect NTIC’s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23, 2015, NTIC and NTI Asean LLC, a majority-owned subsidiary of NTIC, filed a lawsuit in Tianjin No 1 Intermediate People’s Court against two individuals, Meng Tao and Xu Hui, related to breaches of duties and contractual commitments owed to NTI Asean under certain agreements related to NTIC’s former joint venture in China, Tianjin Zerust Anti-Corrosion Technologies Ltd. The lawsuit alleges, among other things, that Mr. Meng Tao and Xu Hui have engaged in self-dealing, usurped business opportunities, and received economic benefits that were required to go to Tianjin Zerust. At this point it is too early in the lawsuit to reasonably estimate the amount of any recovery to NTI Asean.</w:t>
      </w:r>
    </w:p>
    <w:p>
      <w:pPr>
        <w:spacing w:after="0" w:line="1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April 21, 2015, NTIC and NTI Asean initiated a lawsuit in the District Court for the Second Judicial District, County of Ramsey, State of Minnesota against Cortec Corporation alleging, among other things, that Cortec Corporation aided and abetted breaches of duties and contractual commitments owed to the Company and NTI Asean related to NTIC’s joint venture in China, Tianjin Zerust. On November 4, 2015, NTIC and NTI Asean were permitted to file an amended complaint adding new counts, including, but not limited to, one for breach of contract, arising out of Cortec’s breach of a 2005 Settlement Agreement and Consent Order. The case was subsequently assigned to the complex civil jury trial calendar, extending deadlines for discovery and trial. The current discovery deadline is September 23, 2016 and the trial will be scheduled during the March 27-April 14, 2017 jury trial block in Ramsey County. The parties attended a court ordered mediation on September 24, 2015 which did not result in a settlement. A second mediation deadline of August 12, 2016 was set by the court in the amended scheduling order.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1A is inapplicable to NTIC as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During the three months ended February 29, 2016, NTIC did not issue any shares of its common stock or other equity securities of NTIC that were not registered under the Securities Act of 1933,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NTIC’s stock repurchase activity during the three months ended February 29, 2016.</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600" w:type="dxa"/>
            <w:vAlign w:val="bottom"/>
            <w:tcBorders>
              <w:top w:val="single" w:sz="8" w:color="auto"/>
              <w:left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460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 Units)</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460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 Units)</w:t>
            </w:r>
          </w:p>
        </w:tc>
      </w:tr>
      <w:tr>
        <w:trPr>
          <w:trHeight w:val="216"/>
        </w:trPr>
        <w:tc>
          <w:tcPr>
            <w:tcW w:w="460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that May Yet Be</w:t>
            </w:r>
          </w:p>
        </w:tc>
      </w:tr>
      <w:tr>
        <w:trPr>
          <w:trHeight w:val="216"/>
        </w:trPr>
        <w:tc>
          <w:tcPr>
            <w:tcW w:w="460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72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Under</w:t>
            </w:r>
          </w:p>
        </w:tc>
      </w:tr>
      <w:tr>
        <w:trPr>
          <w:trHeight w:val="216"/>
        </w:trPr>
        <w:tc>
          <w:tcPr>
            <w:tcW w:w="460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172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r>
      <w:tr>
        <w:trPr>
          <w:trHeight w:val="238"/>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0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72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(or Unit)</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10"/>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1, 2015 through December 31, 2015</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72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10"/>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January 1, 2016 through January 31, 2016</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1,995</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$9.98</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1,995</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10"/>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February 1, 2016 through February 29, 2016</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0"/>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2,295</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$10.01</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4" w:name="page35"/>
    <w:bookmarkEnd w:id="34"/>
    <w:p>
      <w:pPr>
        <w:ind w:left="660" w:right="44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76" w:lineRule="exact"/>
        <w:rPr>
          <w:rFonts w:ascii="Times New Roman" w:cs="Times New Roman" w:eastAsia="Times New Roman" w:hAnsi="Times New Roman"/>
          <w:sz w:val="18"/>
          <w:szCs w:val="18"/>
          <w:color w:val="auto"/>
        </w:rPr>
      </w:pPr>
    </w:p>
    <w:p>
      <w:pPr>
        <w:ind w:left="660" w:right="48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29, 2016, up to $2,905,099 in shares of NTIC common stock remained available for repurchase under NTIC’s stock repurchase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0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1"/>
        </w:trPr>
        <w:tc>
          <w:tcPr>
            <w:tcW w:w="11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6"/>
                <w:szCs w:val="16"/>
                <w:color w:val="auto"/>
              </w:rPr>
            </w:pPr>
          </w:p>
        </w:tc>
        <w:tc>
          <w:tcPr>
            <w:tcW w:w="10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Amendment to Loan Documents dated as of January 6, 2016 between Northern Technologies International Corporation from PNC Bank,</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National Association (filed herewith)</w:t>
            </w:r>
          </w:p>
        </w:tc>
      </w:tr>
      <w:tr>
        <w:trPr>
          <w:trHeight w:val="2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Exchange Act Rules 13a-14(a)/15d-14(a), as Adopted Pursuant to Section 302 of the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 (filed herewith)</w:t>
            </w:r>
          </w:p>
        </w:tc>
      </w:tr>
      <w:tr>
        <w:trPr>
          <w:trHeight w:val="2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Exchange Act Rules 13a-14(a)/15d-14(a), as Adopted Pursuant to Section 302 of the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 (filed herewith)</w:t>
            </w:r>
          </w:p>
        </w:tc>
      </w:tr>
      <w:tr>
        <w:trPr>
          <w:trHeight w:val="2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Act of 2002 (furnished herewith)</w:t>
            </w:r>
          </w:p>
        </w:tc>
      </w:tr>
      <w:tr>
        <w:trPr>
          <w:trHeight w:val="2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w:t>
            </w:r>
          </w:p>
        </w:tc>
      </w:t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Act of 2002 (furnished herewith)</w:t>
            </w:r>
          </w:p>
        </w:tc>
      </w:tr>
    </w:tbl>
    <w:p>
      <w:pPr>
        <w:jc w:val="both"/>
        <w:ind w:left="1380" w:right="120" w:hanging="933"/>
        <w:spacing w:after="0" w:line="254"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NTIC’s Quarterly Report on Form 10-Q for the fiscal quarter ended February 29, 2016, formatted in XBRL (Extensible Business Reporting Language): (i) the unaudited Consolidated Balance Sheets, (ii) the unaudited Consolidated Statements of Operations, (iii) the unaudited Consolidated Statements of Comprehensive Income (Loss), (iv) the unaudited Consolidated Statements of Cash Flows, and (v) Notes to Condensed Financial Statements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tc>
        <w:tc>
          <w:tcPr>
            <w:tcW w:w="0" w:type="dxa"/>
            <w:vAlign w:val="bottom"/>
          </w:tcPr>
          <w:p>
            <w:pPr>
              <w:spacing w:after="0"/>
              <w:rPr>
                <w:sz w:val="1"/>
                <w:szCs w:val="1"/>
                <w:color w:val="auto"/>
              </w:rPr>
            </w:pPr>
          </w:p>
        </w:tc>
      </w:tr>
      <w:tr>
        <w:trPr>
          <w:trHeight w:val="702"/>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April 11, 2016</w:t>
            </w:r>
          </w:p>
        </w:tc>
        <w:tc>
          <w:tcPr>
            <w:tcW w:w="5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720" w:type="dxa"/>
            <w:vAlign w:val="bottom"/>
            <w:vMerge w:val="continue"/>
          </w:tcPr>
          <w:p>
            <w:pPr>
              <w:spacing w:after="0"/>
              <w:rPr>
                <w:sz w:val="16"/>
                <w:szCs w:val="16"/>
                <w:color w:val="auto"/>
              </w:rPr>
            </w:pPr>
          </w:p>
        </w:tc>
        <w:tc>
          <w:tcPr>
            <w:tcW w:w="5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C. Wolsfeld, CPA</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 and</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 to Sign on Behalf of the Registrant)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-865505</wp:posOffset>
            </wp:positionV>
            <wp:extent cx="94361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36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400" w:type="dxa"/>
            <w:vAlign w:val="bottom"/>
            <w:tcBorders>
              <w:top w:val="single" w:sz="8" w:color="auto"/>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280" w:type="dxa"/>
            <w:vAlign w:val="bottom"/>
            <w:tcBorders>
              <w:top w:val="single" w:sz="8" w:color="auto"/>
              <w:bottom w:val="single" w:sz="8" w:color="auto"/>
              <w:right w:val="single" w:sz="8" w:color="auto"/>
            </w:tcBorders>
          </w:tcPr>
          <w:p>
            <w:pPr>
              <w:ind w:left="27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740" w:type="dxa"/>
            <w:vAlign w:val="bottom"/>
            <w:tcBorders>
              <w:top w:val="single" w:sz="8" w:color="auto"/>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Method of Filing</w:t>
            </w:r>
          </w:p>
        </w:tc>
      </w:tr>
      <w:tr>
        <w:trPr>
          <w:trHeight w:val="191"/>
        </w:trPr>
        <w:tc>
          <w:tcPr>
            <w:tcW w:w="14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10.1</w:t>
            </w:r>
          </w:p>
        </w:tc>
        <w:tc>
          <w:tcPr>
            <w:tcW w:w="62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Amendment to Loan Documents dated as of January 6, 2016 between Northern</w:t>
            </w:r>
          </w:p>
        </w:tc>
        <w:tc>
          <w:tcPr>
            <w:tcW w:w="3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Technologies International Corporation from PNC Bank, National Association</w:t>
            </w:r>
          </w:p>
        </w:tc>
        <w:tc>
          <w:tcPr>
            <w:tcW w:w="3740" w:type="dxa"/>
            <w:vAlign w:val="bottom"/>
            <w:tcBorders>
              <w:bottom w:val="single" w:sz="8" w:color="auto"/>
              <w:right w:val="single" w:sz="8" w:color="auto"/>
            </w:tcBorders>
          </w:tcPr>
          <w:p>
            <w:pPr>
              <w:spacing w:after="0"/>
              <w:rPr>
                <w:sz w:val="20"/>
                <w:szCs w:val="20"/>
                <w:color w:val="auto"/>
              </w:rPr>
            </w:pPr>
          </w:p>
        </w:tc>
      </w:tr>
      <w:tr>
        <w:trPr>
          <w:trHeight w:val="191"/>
        </w:trPr>
        <w:tc>
          <w:tcPr>
            <w:tcW w:w="14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31.1</w:t>
            </w:r>
          </w:p>
        </w:tc>
        <w:tc>
          <w:tcPr>
            <w:tcW w:w="62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Certification of Chief Executive Officer Pursuant to Exchange Act Rules 13a-</w:t>
            </w:r>
          </w:p>
        </w:tc>
        <w:tc>
          <w:tcPr>
            <w:tcW w:w="3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14(a)/15d-14(a), as Adopted Pursuant to Section 302 of the Sarbanes-Oxley Act of</w:t>
            </w:r>
          </w:p>
        </w:tc>
        <w:tc>
          <w:tcPr>
            <w:tcW w:w="3740" w:type="dxa"/>
            <w:vAlign w:val="bottom"/>
            <w:tcBorders>
              <w:right w:val="single" w:sz="8" w:color="auto"/>
            </w:tcBorders>
          </w:tcPr>
          <w:p>
            <w:pPr>
              <w:spacing w:after="0"/>
              <w:rPr>
                <w:sz w:val="18"/>
                <w:szCs w:val="18"/>
                <w:color w:val="auto"/>
              </w:rPr>
            </w:pPr>
          </w:p>
        </w:tc>
      </w:tr>
      <w:tr>
        <w:trPr>
          <w:trHeight w:val="234"/>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2002</w:t>
            </w:r>
          </w:p>
        </w:tc>
        <w:tc>
          <w:tcPr>
            <w:tcW w:w="3740" w:type="dxa"/>
            <w:vAlign w:val="bottom"/>
            <w:tcBorders>
              <w:bottom w:val="single" w:sz="8" w:color="auto"/>
              <w:right w:val="single" w:sz="8" w:color="auto"/>
            </w:tcBorders>
          </w:tcPr>
          <w:p>
            <w:pPr>
              <w:spacing w:after="0"/>
              <w:rPr>
                <w:sz w:val="20"/>
                <w:szCs w:val="20"/>
                <w:color w:val="auto"/>
              </w:rPr>
            </w:pPr>
          </w:p>
        </w:tc>
      </w:tr>
      <w:tr>
        <w:trPr>
          <w:trHeight w:val="191"/>
        </w:trPr>
        <w:tc>
          <w:tcPr>
            <w:tcW w:w="14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31.2</w:t>
            </w:r>
          </w:p>
        </w:tc>
        <w:tc>
          <w:tcPr>
            <w:tcW w:w="62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Certification of Chief Financial Officer Pursuant to Exchange Act Rules 13a-</w:t>
            </w:r>
          </w:p>
        </w:tc>
        <w:tc>
          <w:tcPr>
            <w:tcW w:w="3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14(a)/15d-14(a), as Adopted Pursuant to Section 302 of the Sarbanes-Oxley Act of</w:t>
            </w:r>
          </w:p>
        </w:tc>
        <w:tc>
          <w:tcPr>
            <w:tcW w:w="3740" w:type="dxa"/>
            <w:vAlign w:val="bottom"/>
            <w:tcBorders>
              <w:right w:val="single" w:sz="8" w:color="auto"/>
            </w:tcBorders>
          </w:tcPr>
          <w:p>
            <w:pPr>
              <w:spacing w:after="0"/>
              <w:rPr>
                <w:sz w:val="18"/>
                <w:szCs w:val="18"/>
                <w:color w:val="auto"/>
              </w:rPr>
            </w:pPr>
          </w:p>
        </w:tc>
      </w:tr>
      <w:tr>
        <w:trPr>
          <w:trHeight w:val="234"/>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2002</w:t>
            </w:r>
          </w:p>
        </w:tc>
        <w:tc>
          <w:tcPr>
            <w:tcW w:w="3740" w:type="dxa"/>
            <w:vAlign w:val="bottom"/>
            <w:tcBorders>
              <w:bottom w:val="single" w:sz="8" w:color="auto"/>
              <w:right w:val="single" w:sz="8" w:color="auto"/>
            </w:tcBorders>
          </w:tcPr>
          <w:p>
            <w:pPr>
              <w:spacing w:after="0"/>
              <w:rPr>
                <w:sz w:val="20"/>
                <w:szCs w:val="20"/>
                <w:color w:val="auto"/>
              </w:rPr>
            </w:pPr>
          </w:p>
        </w:tc>
      </w:tr>
      <w:tr>
        <w:trPr>
          <w:trHeight w:val="191"/>
        </w:trPr>
        <w:tc>
          <w:tcPr>
            <w:tcW w:w="14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32.1</w:t>
            </w:r>
          </w:p>
        </w:tc>
        <w:tc>
          <w:tcPr>
            <w:tcW w:w="62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w:t>
            </w:r>
          </w:p>
        </w:tc>
        <w:tc>
          <w:tcPr>
            <w:tcW w:w="3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Furnished herewith</w:t>
            </w:r>
          </w:p>
        </w:tc>
      </w:tr>
      <w:tr>
        <w:trPr>
          <w:trHeight w:val="234"/>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3740" w:type="dxa"/>
            <w:vAlign w:val="bottom"/>
            <w:tcBorders>
              <w:bottom w:val="single" w:sz="8" w:color="auto"/>
              <w:right w:val="single" w:sz="8" w:color="auto"/>
            </w:tcBorders>
          </w:tcPr>
          <w:p>
            <w:pPr>
              <w:spacing w:after="0"/>
              <w:rPr>
                <w:sz w:val="20"/>
                <w:szCs w:val="20"/>
                <w:color w:val="auto"/>
              </w:rPr>
            </w:pPr>
          </w:p>
        </w:tc>
      </w:tr>
      <w:tr>
        <w:trPr>
          <w:trHeight w:val="191"/>
        </w:trPr>
        <w:tc>
          <w:tcPr>
            <w:tcW w:w="14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32.2</w:t>
            </w:r>
          </w:p>
        </w:tc>
        <w:tc>
          <w:tcPr>
            <w:tcW w:w="62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w:t>
            </w:r>
          </w:p>
        </w:tc>
        <w:tc>
          <w:tcPr>
            <w:tcW w:w="3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Furnished herewith</w:t>
            </w:r>
          </w:p>
        </w:tc>
      </w:tr>
      <w:tr>
        <w:trPr>
          <w:trHeight w:val="234"/>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3740" w:type="dxa"/>
            <w:vAlign w:val="bottom"/>
            <w:tcBorders>
              <w:bottom w:val="single" w:sz="8" w:color="auto"/>
              <w:right w:val="single" w:sz="8" w:color="auto"/>
            </w:tcBorders>
          </w:tcPr>
          <w:p>
            <w:pPr>
              <w:spacing w:after="0"/>
              <w:rPr>
                <w:sz w:val="20"/>
                <w:szCs w:val="20"/>
                <w:color w:val="auto"/>
              </w:rPr>
            </w:pPr>
          </w:p>
        </w:tc>
      </w:tr>
      <w:tr>
        <w:trPr>
          <w:trHeight w:val="191"/>
        </w:trPr>
        <w:tc>
          <w:tcPr>
            <w:tcW w:w="14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101</w:t>
            </w:r>
          </w:p>
        </w:tc>
        <w:tc>
          <w:tcPr>
            <w:tcW w:w="62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following materials from Northern Technologies International Corporation’s</w:t>
            </w:r>
          </w:p>
        </w:tc>
        <w:tc>
          <w:tcPr>
            <w:tcW w:w="3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Quarterly Report on Form 10-Q for the fiscal quarter ended February 29, 2016,</w:t>
            </w:r>
          </w:p>
        </w:tc>
        <w:tc>
          <w:tcPr>
            <w:tcW w:w="374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formatted in XBRL (Extensible Business Reporting Language): (i) the unaudited</w:t>
            </w:r>
          </w:p>
        </w:tc>
        <w:tc>
          <w:tcPr>
            <w:tcW w:w="374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Consolidated Balance Sheets, (ii) the unaudited Consolidated Statements of</w:t>
            </w:r>
          </w:p>
        </w:tc>
        <w:tc>
          <w:tcPr>
            <w:tcW w:w="374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Operations, (iii) the unaudited Consolidated Statements of Comprehensive Income</w:t>
            </w:r>
          </w:p>
        </w:tc>
        <w:tc>
          <w:tcPr>
            <w:tcW w:w="374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(iv) the unaudited Consolidated Statements of Cash Flows, and (v) Notes to</w:t>
            </w:r>
          </w:p>
        </w:tc>
        <w:tc>
          <w:tcPr>
            <w:tcW w:w="3740" w:type="dxa"/>
            <w:vAlign w:val="bottom"/>
            <w:tcBorders>
              <w:right w:val="single" w:sz="8" w:color="auto"/>
            </w:tcBorders>
          </w:tcPr>
          <w:p>
            <w:pPr>
              <w:spacing w:after="0"/>
              <w:rPr>
                <w:sz w:val="18"/>
                <w:szCs w:val="18"/>
                <w:color w:val="auto"/>
              </w:rPr>
            </w:pPr>
          </w:p>
        </w:tc>
      </w:tr>
      <w:tr>
        <w:trPr>
          <w:trHeight w:val="234"/>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Condensed Financial Statements</w:t>
            </w:r>
          </w:p>
        </w:tc>
        <w:tc>
          <w:tcPr>
            <w:tcW w:w="374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420"/>
          </w:cols>
          <w:pgMar w:left="240" w:top="684"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LOAN DOCUMENTS</w:t>
      </w:r>
    </w:p>
    <w:p>
      <w:pPr>
        <w:spacing w:after="0" w:line="20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AMENDMENT TO LOAN DOCUMENTS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made as of January 6, 2016, by and between</w:t>
      </w:r>
      <w:r>
        <w:rPr>
          <w:rFonts w:ascii="Times New Roman" w:cs="Times New Roman" w:eastAsia="Times New Roman" w:hAnsi="Times New Roman"/>
          <w:sz w:val="18"/>
          <w:szCs w:val="18"/>
          <w:b w:val="1"/>
          <w:bCs w:val="1"/>
          <w:color w:val="auto"/>
        </w:rPr>
        <w:t xml:space="preserve"> NORTHERN TECHNOLOGIES INTERNATIONAL CORPORATION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PNC BANK, NATIONAL ASSOCIATION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Borrower has executed and delivered to the Bank (or a predecessor which is now known by the Bank’s name as set forth above), one or 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promissory notes, letter agreements, loan agreements, security agreements, mortgages, pledge agreements, collateral assignments, and other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certificates and documents, some or all of which are more fully described on attached Exhibit A, which is made a part of this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as amended from time to time, the “</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which evidence or secure some or all of the Borrower’s obligations to the Bank for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more loans or other extensions of credit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Borrower and the Bank desire to amend the Loan Documents as provided for in this Amendment.</w:t>
      </w:r>
    </w:p>
    <w:p>
      <w:pPr>
        <w:spacing w:after="0" w:line="221" w:lineRule="exact"/>
        <w:rPr>
          <w:sz w:val="20"/>
          <w:szCs w:val="20"/>
          <w:color w:val="auto"/>
        </w:rPr>
      </w:pPr>
    </w:p>
    <w:p>
      <w:pPr>
        <w:ind w:hanging="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covenants herein contained and intending to be legally bound hereby, the parties hereto agree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159" w:lineRule="exact"/>
        <w:rPr>
          <w:sz w:val="20"/>
          <w:szCs w:val="20"/>
          <w:color w:val="auto"/>
        </w:rPr>
      </w:pPr>
    </w:p>
    <w:p>
      <w:pPr>
        <w:ind w:right="100" w:firstLine="8"/>
        <w:spacing w:after="0" w:line="258"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Loan Documents are amended as set forth in Exhibit A. Any and all references to any Loan Document in any other Loan Document shall be deemed to refer to such Loan Document as amended by this Amendment. This Amendment is deemed incorporated into each of the Loan Documents. Any initially capitalized terms used in this Amendment without definition shall have the meanings assigned to those terms in the Loan Documents. To the extent that any term or provision of this Amendment is or may be inconsistent with any term or provision in any Loan Document, the terms and provisions of this Amendment shall control.</w:t>
      </w:r>
    </w:p>
    <w:p>
      <w:pPr>
        <w:spacing w:after="0" w:line="183" w:lineRule="exact"/>
        <w:rPr>
          <w:rFonts w:ascii="Times New Roman" w:cs="Times New Roman" w:eastAsia="Times New Roman" w:hAnsi="Times New Roman"/>
          <w:sz w:val="18"/>
          <w:szCs w:val="18"/>
          <w:color w:val="auto"/>
        </w:rPr>
      </w:pPr>
    </w:p>
    <w:p>
      <w:pPr>
        <w:ind w:right="40" w:firstLine="8"/>
        <w:spacing w:after="0" w:line="255"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certifies that: (a) all of its representations and warranties in the Loan Documents, as amended by this Amendment, are, except as may otherwise be stated in this Amendment: (i) true and correct as of the date of this Amendment, (ii) ratified and confirmed without condition as if made anew, and (iii) incorporated into this Amendment by reference, (b) no Event of Default or event which, with the passage of time or the giving of notice or both, would constitute an Event of Default, exists under any Loan Document which will not be cured by the execution and effectiveness of this Amendment, (c) no consent, approval, order or authorization of, or registration or filing with, any third party is required in connection with the execution, delivery and carrying out of this Amendment or, if required, has been obtained, and (d) this Amendment has been duly authorized, executed and delivered so that it constitutes the legal, valid and binding obligation of the Borrower, enforceable in accordance with its terms. The Borrower confirms that the Obligations remain outstanding without defense, set off, counterclaim, discount or charge of any kind as of the date of this Amendment.</w:t>
      </w:r>
    </w:p>
    <w:p>
      <w:pPr>
        <w:spacing w:after="0" w:line="185"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confirms that any collateral for the Obligations, including liens, security interests, mortgages, and pledges granted by the Borrower or third parties (if applicable), shall continue unimpaired and in full force and effect, and shall cover and secure all of the Borrower’s existing and future Obligations to the Bank, as modified by this Amendment.</w:t>
      </w:r>
    </w:p>
    <w:p>
      <w:pPr>
        <w:spacing w:after="0" w:line="17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precedent to the effectiveness of this Amendment, the Borrower shall comply with the terms and conditions (if any) specified in Exhibit A.</w:t>
      </w:r>
    </w:p>
    <w:p>
      <w:pPr>
        <w:spacing w:after="0" w:line="225" w:lineRule="exact"/>
        <w:rPr>
          <w:rFonts w:ascii="Times New Roman" w:cs="Times New Roman" w:eastAsia="Times New Roman" w:hAnsi="Times New Roman"/>
          <w:sz w:val="18"/>
          <w:szCs w:val="18"/>
          <w:color w:val="auto"/>
        </w:rPr>
      </w:pPr>
    </w:p>
    <w:p>
      <w:pPr>
        <w:ind w:right="120" w:firstLine="8"/>
        <w:spacing w:after="0" w:line="256"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induce the Bank to enter into this Amendment, the Borrower waives and releases and forever discharges the Bank and its officers, directors, attorneys, agents, and employees from any liability, damage, claim, loss or expense of any kind that it may have against the Bank or any of them arising out of or relating to the Obligations. The Borrower further agrees to indemnify and hold the Bank and its officers, directors, attorneys, agents and employees harmless from any loss, damage, judgment, liability or expense (including attorneys’ fees) suffered by or rendered against the Bank or any of them on account of any claims arising out of or relating to the Obligations. The Borrower further states that it has carefully read the foregoing release and indemnity, knows the contents thereof and grants the same as its own free act and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8" w:name="page39"/>
    <w:bookmarkEnd w:id="38"/>
    <w:p>
      <w:pPr>
        <w:jc w:val="both"/>
        <w:ind w:firstLine="8"/>
        <w:spacing w:after="0" w:line="261"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signed in any number of counterpart copies and by the parties to this Amendment on separate counterparts, but all such copies shall constitute one and the same instrument. Delivery of an executed counterpart of a signature page to this Amendment by facsimile transmission shall be effective as delivery of a manually executed counterpart. Any party so executing this Amendment by facsimile transmission shall promptly deliver a manually executed counterpart, provided that any failure to do so shall not affect the validity of the counterpart executed by facsimile transmission.</w:t>
      </w:r>
    </w:p>
    <w:p>
      <w:pPr>
        <w:spacing w:after="0" w:line="180" w:lineRule="exact"/>
        <w:rPr>
          <w:rFonts w:ascii="Times New Roman" w:cs="Times New Roman" w:eastAsia="Times New Roman" w:hAnsi="Times New Roman"/>
          <w:sz w:val="18"/>
          <w:szCs w:val="18"/>
          <w:color w:val="auto"/>
        </w:rPr>
      </w:pPr>
    </w:p>
    <w:p>
      <w:pPr>
        <w:ind w:right="40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may modify this Amendment for the purposes of completing missing content or correcting erroneous content, without the need for a written amendment, provided that the Bank shall send a copy of any such modification to the Borrower (which notice may be given by electronic mail).</w:t>
      </w:r>
    </w:p>
    <w:p>
      <w:pPr>
        <w:spacing w:after="0" w:line="161" w:lineRule="exact"/>
        <w:rPr>
          <w:rFonts w:ascii="Times New Roman" w:cs="Times New Roman" w:eastAsia="Times New Roman" w:hAnsi="Times New Roman"/>
          <w:sz w:val="18"/>
          <w:szCs w:val="18"/>
          <w:color w:val="auto"/>
        </w:rPr>
      </w:pPr>
    </w:p>
    <w:p>
      <w:pPr>
        <w:ind w:right="74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will be binding upon and inure to the benefit of the Borrower and the Bank and their respective heirs, executors, administrators, successors and assigns.</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delivered to and accepted by the Bank and will be deemed to be made in the State where the Bank’s office indicated in the Loan Documents is located. This Amendment will be interpreted and the rights and liabilities of the parties hereto determined in accordance with the laws of the State where the Bank’s office indicated in the Loan Documents is located, excluding its conflict of laws rules.</w:t>
      </w:r>
    </w:p>
    <w:p>
      <w:pPr>
        <w:spacing w:after="0" w:line="176" w:lineRule="exact"/>
        <w:rPr>
          <w:rFonts w:ascii="Times New Roman" w:cs="Times New Roman" w:eastAsia="Times New Roman" w:hAnsi="Times New Roman"/>
          <w:sz w:val="18"/>
          <w:szCs w:val="18"/>
          <w:color w:val="auto"/>
        </w:rPr>
      </w:pPr>
    </w:p>
    <w:p>
      <w:pPr>
        <w:ind w:right="280" w:firstLine="8"/>
        <w:spacing w:after="0" w:line="255" w:lineRule="auto"/>
        <w:tabs>
          <w:tab w:leader="none" w:pos="2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amended hereby, the terms and provisions of the Loan Documents remain unchanged, are and shall remain in full force and effect unless and until modified or amended in writing in accordance with their terms, and are hereby ratified and confirmed. Except as expressly provided herein, this Amendment shall not constitute an amendment, waiver, consent or release with respect to any provision of any Loan Document, a waiver of any default or Event of Default under any Loan Document, or a waiver or release of any of the Bank’s rights and remedies (all of which are hereby reserved). </w:t>
      </w:r>
      <w:r>
        <w:rPr>
          <w:rFonts w:ascii="Times New Roman" w:cs="Times New Roman" w:eastAsia="Times New Roman" w:hAnsi="Times New Roman"/>
          <w:sz w:val="18"/>
          <w:szCs w:val="18"/>
          <w:b w:val="1"/>
          <w:bCs w:val="1"/>
          <w:color w:val="auto"/>
        </w:rPr>
        <w:t>The</w:t>
      </w:r>
    </w:p>
    <w:p>
      <w:pPr>
        <w:spacing w:after="0" w:line="2" w:lineRule="exact"/>
        <w:rPr>
          <w:rFonts w:ascii="Times New Roman" w:cs="Times New Roman" w:eastAsia="Times New Roman" w:hAnsi="Times New Roman"/>
          <w:sz w:val="18"/>
          <w:szCs w:val="18"/>
          <w:color w:val="auto"/>
        </w:rPr>
      </w:pPr>
    </w:p>
    <w:p>
      <w:pPr>
        <w:ind w:right="2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Borrower expressly ratifies and confirms the confession of judgment (if applicable) and waiver of jury trial or arbitration provisions contained in the Loan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WITNESS </w:t>
      </w:r>
      <w:r>
        <w:rPr>
          <w:rFonts w:ascii="Times New Roman" w:cs="Times New Roman" w:eastAsia="Times New Roman" w:hAnsi="Times New Roman"/>
          <w:sz w:val="18"/>
          <w:szCs w:val="18"/>
          <w:color w:val="auto"/>
        </w:rPr>
        <w:t>the due execution of this Amendment as a document under seal as of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 ATTEST:</w:t>
            </w:r>
          </w:p>
        </w:tc>
        <w:tc>
          <w:tcPr>
            <w:tcW w:w="7440" w:type="dxa"/>
            <w:vAlign w:val="bottom"/>
            <w:gridSpan w:val="4"/>
          </w:tcPr>
          <w:p>
            <w:pPr>
              <w:ind w:left="1980"/>
              <w:spacing w:after="0"/>
              <w:rPr>
                <w:sz w:val="20"/>
                <w:szCs w:val="20"/>
                <w:color w:val="auto"/>
              </w:rPr>
            </w:pPr>
            <w:r>
              <w:rPr>
                <w:rFonts w:ascii="Times New Roman" w:cs="Times New Roman" w:eastAsia="Times New Roman" w:hAnsi="Times New Roman"/>
                <w:sz w:val="18"/>
                <w:szCs w:val="18"/>
                <w:b w:val="1"/>
                <w:bCs w:val="1"/>
                <w:color w:val="auto"/>
              </w:rPr>
              <w:t>NORTHERN TECHNOLOGIES</w:t>
            </w:r>
          </w:p>
        </w:tc>
      </w:tr>
      <w:tr>
        <w:trPr>
          <w:trHeight w:val="238"/>
        </w:trPr>
        <w:tc>
          <w:tcPr>
            <w:tcW w:w="13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440" w:type="dxa"/>
            <w:vAlign w:val="bottom"/>
            <w:gridSpan w:val="4"/>
          </w:tcPr>
          <w:p>
            <w:pPr>
              <w:ind w:left="1980"/>
              <w:spacing w:after="0"/>
              <w:rPr>
                <w:sz w:val="20"/>
                <w:szCs w:val="20"/>
                <w:color w:val="auto"/>
              </w:rPr>
            </w:pPr>
            <w:r>
              <w:rPr>
                <w:rFonts w:ascii="Times New Roman" w:cs="Times New Roman" w:eastAsia="Times New Roman" w:hAnsi="Times New Roman"/>
                <w:sz w:val="18"/>
                <w:szCs w:val="18"/>
                <w:b w:val="1"/>
                <w:bCs w:val="1"/>
                <w:color w:val="auto"/>
              </w:rPr>
              <w:t>INTERNATIONAL CORPORATION</w:t>
            </w:r>
          </w:p>
        </w:tc>
      </w:tr>
      <w:tr>
        <w:trPr>
          <w:trHeight w:val="39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Lauren Worwa</w:t>
            </w:r>
          </w:p>
        </w:tc>
        <w:tc>
          <w:tcPr>
            <w:tcW w:w="7440" w:type="dxa"/>
            <w:vAlign w:val="bottom"/>
            <w:gridSpan w:val="4"/>
          </w:tcPr>
          <w:p>
            <w:pPr>
              <w:ind w:left="1980"/>
              <w:spacing w:after="0"/>
              <w:rPr>
                <w:sz w:val="20"/>
                <w:szCs w:val="20"/>
                <w:color w:val="auto"/>
              </w:rPr>
            </w:pPr>
            <w:r>
              <w:rPr>
                <w:rFonts w:ascii="Times New Roman" w:cs="Times New Roman" w:eastAsia="Times New Roman" w:hAnsi="Times New Roman"/>
                <w:sz w:val="18"/>
                <w:szCs w:val="18"/>
                <w:color w:val="auto"/>
              </w:rPr>
              <w:t>By: /s/ Matthew Wolsfeld</w:t>
            </w:r>
          </w:p>
        </w:tc>
      </w:tr>
      <w:tr>
        <w:trPr>
          <w:trHeight w:val="218"/>
        </w:trPr>
        <w:tc>
          <w:tcPr>
            <w:tcW w:w="1300" w:type="dxa"/>
            <w:vAlign w:val="bottom"/>
            <w:tcBorders>
              <w:top w:val="single" w:sz="8" w:color="auto"/>
            </w:tcBorders>
          </w:tcPr>
          <w:p>
            <w:pPr>
              <w:spacing w:after="0"/>
              <w:rPr>
                <w:sz w:val="18"/>
                <w:szCs w:val="18"/>
                <w:color w:val="auto"/>
              </w:rPr>
            </w:pPr>
          </w:p>
        </w:tc>
        <w:tc>
          <w:tcPr>
            <w:tcW w:w="2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20" w:type="dxa"/>
            <w:vAlign w:val="bottom"/>
          </w:tcPr>
          <w:p>
            <w:pPr>
              <w:ind w:left="3060"/>
              <w:spacing w:after="0"/>
              <w:rPr>
                <w:sz w:val="20"/>
                <w:szCs w:val="20"/>
                <w:color w:val="auto"/>
              </w:rPr>
            </w:pPr>
            <w:r>
              <w:rPr>
                <w:rFonts w:ascii="Times New Roman" w:cs="Times New Roman" w:eastAsia="Times New Roman" w:hAnsi="Times New Roman"/>
                <w:sz w:val="18"/>
                <w:szCs w:val="18"/>
                <w:color w:val="auto"/>
                <w:w w:val="94"/>
              </w:rPr>
              <w:t>(SEAL)</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 Name: Lauren Worwa</w:t>
            </w:r>
          </w:p>
        </w:tc>
        <w:tc>
          <w:tcPr>
            <w:tcW w:w="7440" w:type="dxa"/>
            <w:vAlign w:val="bottom"/>
            <w:gridSpan w:val="4"/>
          </w:tcPr>
          <w:p>
            <w:pPr>
              <w:ind w:left="1980"/>
              <w:spacing w:after="0"/>
              <w:rPr>
                <w:sz w:val="20"/>
                <w:szCs w:val="20"/>
                <w:color w:val="auto"/>
              </w:rPr>
            </w:pPr>
            <w:r>
              <w:rPr>
                <w:rFonts w:ascii="Times New Roman" w:cs="Times New Roman" w:eastAsia="Times New Roman" w:hAnsi="Times New Roman"/>
                <w:sz w:val="18"/>
                <w:szCs w:val="18"/>
                <w:color w:val="auto"/>
              </w:rPr>
              <w:t>Matthew Wolsfeld</w:t>
            </w:r>
          </w:p>
        </w:tc>
      </w:tr>
      <w:tr>
        <w:trPr>
          <w:trHeight w:val="212"/>
        </w:trPr>
        <w:tc>
          <w:tcPr>
            <w:tcW w:w="1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440" w:type="dxa"/>
            <w:vAlign w:val="bottom"/>
            <w:gridSpan w:val="4"/>
          </w:tcPr>
          <w:p>
            <w:pPr>
              <w:ind w:left="19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8"/>
        </w:trPr>
        <w:tc>
          <w:tcPr>
            <w:tcW w:w="13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440" w:type="dxa"/>
            <w:vAlign w:val="bottom"/>
            <w:gridSpan w:val="4"/>
          </w:tcPr>
          <w:p>
            <w:pPr>
              <w:ind w:left="198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p>
        </w:tc>
      </w:tr>
      <w:tr>
        <w:trPr>
          <w:trHeight w:val="392"/>
        </w:trPr>
        <w:tc>
          <w:tcPr>
            <w:tcW w:w="1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440" w:type="dxa"/>
            <w:vAlign w:val="bottom"/>
            <w:gridSpan w:val="4"/>
          </w:tcPr>
          <w:p>
            <w:pPr>
              <w:ind w:left="1980"/>
              <w:spacing w:after="0"/>
              <w:rPr>
                <w:sz w:val="20"/>
                <w:szCs w:val="20"/>
                <w:color w:val="auto"/>
              </w:rPr>
            </w:pPr>
            <w:r>
              <w:rPr>
                <w:rFonts w:ascii="Times New Roman" w:cs="Times New Roman" w:eastAsia="Times New Roman" w:hAnsi="Times New Roman"/>
                <w:sz w:val="18"/>
                <w:szCs w:val="18"/>
                <w:color w:val="auto"/>
              </w:rPr>
              <w:t>By: /s/ Yelena Spadafora</w:t>
            </w:r>
          </w:p>
        </w:tc>
      </w:tr>
      <w:tr>
        <w:trPr>
          <w:trHeight w:val="218"/>
        </w:trPr>
        <w:tc>
          <w:tcPr>
            <w:tcW w:w="1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20" w:type="dxa"/>
            <w:vAlign w:val="bottom"/>
          </w:tcPr>
          <w:p>
            <w:pPr>
              <w:ind w:left="3060"/>
              <w:spacing w:after="0"/>
              <w:rPr>
                <w:sz w:val="20"/>
                <w:szCs w:val="20"/>
                <w:color w:val="auto"/>
              </w:rPr>
            </w:pPr>
            <w:r>
              <w:rPr>
                <w:rFonts w:ascii="Times New Roman" w:cs="Times New Roman" w:eastAsia="Times New Roman" w:hAnsi="Times New Roman"/>
                <w:sz w:val="18"/>
                <w:szCs w:val="18"/>
                <w:color w:val="auto"/>
                <w:w w:val="94"/>
              </w:rPr>
              <w:t>(SEAL)</w:t>
            </w:r>
          </w:p>
        </w:tc>
      </w:tr>
      <w:tr>
        <w:trPr>
          <w:trHeight w:val="234"/>
        </w:trPr>
        <w:tc>
          <w:tcPr>
            <w:tcW w:w="13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440" w:type="dxa"/>
            <w:vAlign w:val="bottom"/>
            <w:gridSpan w:val="4"/>
          </w:tcPr>
          <w:p>
            <w:pPr>
              <w:ind w:left="1980"/>
              <w:spacing w:after="0"/>
              <w:rPr>
                <w:sz w:val="20"/>
                <w:szCs w:val="20"/>
                <w:color w:val="auto"/>
              </w:rPr>
            </w:pPr>
            <w:r>
              <w:rPr>
                <w:rFonts w:ascii="Times New Roman" w:cs="Times New Roman" w:eastAsia="Times New Roman" w:hAnsi="Times New Roman"/>
                <w:sz w:val="18"/>
                <w:szCs w:val="18"/>
                <w:color w:val="auto"/>
              </w:rPr>
              <w:t>Yelena Spadafora , Vice President</w:t>
            </w:r>
          </w:p>
        </w:tc>
      </w:tr>
      <w:tr>
        <w:trPr>
          <w:trHeight w:val="891"/>
        </w:trPr>
        <w:tc>
          <w:tcPr>
            <w:tcW w:w="1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68"/>
        </w:trPr>
        <w:tc>
          <w:tcPr>
            <w:tcW w:w="1300" w:type="dxa"/>
            <w:vAlign w:val="bottom"/>
            <w:shd w:val="clear" w:color="auto" w:fill="000000"/>
          </w:tcPr>
          <w:p>
            <w:pPr>
              <w:spacing w:after="0"/>
              <w:rPr>
                <w:sz w:val="5"/>
                <w:szCs w:val="5"/>
                <w:color w:val="auto"/>
              </w:rPr>
            </w:pPr>
          </w:p>
        </w:tc>
        <w:tc>
          <w:tcPr>
            <w:tcW w:w="2680" w:type="dxa"/>
            <w:vAlign w:val="bottom"/>
            <w:shd w:val="clear" w:color="auto" w:fill="000000"/>
          </w:tcPr>
          <w:p>
            <w:pPr>
              <w:spacing w:after="0"/>
              <w:rPr>
                <w:sz w:val="5"/>
                <w:szCs w:val="5"/>
                <w:color w:val="auto"/>
              </w:rPr>
            </w:pPr>
          </w:p>
        </w:tc>
        <w:tc>
          <w:tcPr>
            <w:tcW w:w="228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36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88"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EXHIBIT A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 TO LOAN DOCUMENTS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JANUARY 6, 2016</w:t>
      </w:r>
    </w:p>
    <w:p>
      <w:pPr>
        <w:spacing w:after="0" w:line="207" w:lineRule="exact"/>
        <w:rPr>
          <w:sz w:val="20"/>
          <w:szCs w:val="20"/>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Documents” that are the subject of this Amendment include the following (as any of the foregoing have previously been amended, modified or otherwise supplemented):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 Amended and Restated Committed Line of Credit Note dated January 10, 2011 executed and delivered to the Bank by the Borrower (the “</w:t>
      </w:r>
      <w:r>
        <w:rPr>
          <w:rFonts w:ascii="Times New Roman" w:cs="Times New Roman" w:eastAsia="Times New Roman" w:hAnsi="Times New Roman"/>
          <w:sz w:val="18"/>
          <w:szCs w:val="18"/>
          <w:b w:val="1"/>
          <w:bCs w:val="1"/>
          <w:color w:val="auto"/>
        </w:rPr>
        <w:t>Line of Credit Note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Cash®, Line of Credit, Investment Sweep Rider, dated January 10, 2011, between the Borrower and the Bank</w:t>
      </w:r>
    </w:p>
    <w:p>
      <w:pPr>
        <w:spacing w:after="0" w:line="2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Agreement dated January 10, 2011 between the Borrower and the Bank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Agreement dated January 10, 2011 between the Borrower and the Bank</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Agreement for Standby Letter(s) of Credit dated January 10, 2011, executed and delivered to the Bank by the Borrower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documents, instruments, agreements, and certificates executed and delivered in connection with the Loan Documents listed in this Section A.</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Documents are amended as follows: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Line of Credit Note is amended as follows: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January 8, 2016, the Expiration Date set forth in the Line of Credit Note is hereby extended from January 7, 2016 to January 7, 2017.</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Agreement is amended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-2889250</wp:posOffset>
            </wp:positionV>
            <wp:extent cx="368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20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Section 5.7 of the Loan Agreement is hereby amended and restated to read in its entirety as follows:</w:t>
      </w:r>
    </w:p>
    <w:p>
      <w:pPr>
        <w:spacing w:after="0" w:line="221" w:lineRule="exact"/>
        <w:rPr>
          <w:sz w:val="20"/>
          <w:szCs w:val="20"/>
          <w:color w:val="auto"/>
        </w:rPr>
      </w:pPr>
    </w:p>
    <w:p>
      <w:pPr>
        <w:jc w:val="both"/>
        <w:ind w:left="13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Dividends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 and after the occurrence of an Event of Default or if an Event of Default would occur as a result thereof, declare or pay any dividends on or make any distribution with respect to any class of its equity or ownership interest, or purchase, redeem, retire or otherwise acquire any of its equity up to $3,000,000.00.”</w:t>
      </w:r>
    </w:p>
    <w:p>
      <w:pPr>
        <w:spacing w:after="0" w:line="175" w:lineRule="exact"/>
        <w:rPr>
          <w:sz w:val="20"/>
          <w:szCs w:val="20"/>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to Effectiveness of Amendment: The Bank’s willingness to agree to the amendments set forth in this Amendment is subject to the prior satisfaction of the following conditions:</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Execution by all parties and delivery to the Bank of this Amendment.</w:t>
      </w:r>
    </w:p>
    <w:p>
      <w:pPr>
        <w:sectPr>
          <w:pgSz w:w="11900" w:h="16838" w:orient="portrait"/>
          <w:cols w:equalWidth="0" w:num="1">
            <w:col w:w="11420"/>
          </w:cols>
          <w:pgMar w:left="240" w:top="684"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Patrick Lynch, certify that:</w:t>
      </w:r>
    </w:p>
    <w:p>
      <w:pPr>
        <w:spacing w:after="0" w:line="22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500" w:right="180" w:hanging="6"/>
        <w:spacing w:after="0" w:line="266" w:lineRule="auto"/>
        <w:tabs>
          <w:tab w:leader="none" w:pos="74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500" w:right="400" w:hanging="6"/>
        <w:spacing w:after="0" w:line="266" w:lineRule="auto"/>
        <w:tabs>
          <w:tab w:leader="none" w:pos="7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500" w:right="980" w:hanging="6"/>
        <w:spacing w:after="0" w:line="313" w:lineRule="auto"/>
        <w:tabs>
          <w:tab w:leader="none" w:pos="745"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500" w:right="20" w:hanging="6"/>
        <w:spacing w:after="0" w:line="266" w:lineRule="auto"/>
        <w:tabs>
          <w:tab w:leader="none" w:pos="7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360" w:hanging="6"/>
        <w:spacing w:after="0" w:line="282" w:lineRule="auto"/>
        <w:tabs>
          <w:tab w:leader="none" w:pos="74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320"/>
        <w:spacing w:after="0" w:line="282"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114300</wp:posOffset>
            </wp:positionV>
            <wp:extent cx="1286510" cy="3257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651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11, 2016</w:t>
            </w:r>
          </w:p>
        </w:tc>
        <w:tc>
          <w:tcPr>
            <w:tcW w:w="5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 Patrick Lynch</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117"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C. Wolsfeld,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580" w:right="100" w:hanging="5"/>
        <w:spacing w:after="0" w:line="266" w:lineRule="auto"/>
        <w:tabs>
          <w:tab w:leader="none" w:pos="82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580" w:right="320" w:hanging="5"/>
        <w:spacing w:after="0" w:line="266" w:lineRule="auto"/>
        <w:tabs>
          <w:tab w:leader="none" w:pos="83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580" w:right="900" w:hanging="5"/>
        <w:spacing w:after="0" w:line="313" w:lineRule="auto"/>
        <w:tabs>
          <w:tab w:leader="none" w:pos="825"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jc w:val="both"/>
        <w:ind w:left="580" w:right="340" w:hanging="5"/>
        <w:spacing w:after="0" w:line="266" w:lineRule="auto"/>
        <w:tabs>
          <w:tab w:leader="none" w:pos="83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80" w:right="280" w:hanging="5"/>
        <w:spacing w:after="0" w:line="282" w:lineRule="auto"/>
        <w:tabs>
          <w:tab w:leader="none" w:pos="82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80" w:right="240" w:hanging="5"/>
        <w:spacing w:after="0" w:line="282" w:lineRule="auto"/>
        <w:tabs>
          <w:tab w:leader="none" w:pos="83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251460</wp:posOffset>
            </wp:positionV>
            <wp:extent cx="943610"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436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11, 2016</w:t>
            </w:r>
          </w:p>
        </w:tc>
        <w:tc>
          <w:tcPr>
            <w:tcW w:w="5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Matthew C. Wolsfeld, CPA</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r>
      <w:tr>
        <w:trPr>
          <w:trHeight w:val="234"/>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420"/>
          </w:cols>
          <w:pgMar w:left="240" w:top="117" w:right="239" w:bottom="1440" w:gutter="0" w:footer="0" w:header="0"/>
        </w:sectPr>
      </w:pPr>
    </w:p>
    <w:bookmarkStart w:id="42" w:name="page43"/>
    <w:bookmarkEnd w:id="42"/>
    <w:p>
      <w:pPr>
        <w:ind w:left="104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6" w:lineRule="exact"/>
        <w:rPr>
          <w:sz w:val="20"/>
          <w:szCs w:val="20"/>
          <w:color w:val="auto"/>
        </w:rPr>
      </w:pPr>
    </w:p>
    <w:p>
      <w:pPr>
        <w:jc w:val="center"/>
        <w:ind w:left="260" w:right="140"/>
        <w:spacing w:after="0" w:line="262" w:lineRule="auto"/>
        <w:rPr>
          <w:sz w:val="20"/>
          <w:szCs w:val="20"/>
          <w:color w:val="auto"/>
        </w:rPr>
      </w:pPr>
      <w:r>
        <w:rPr>
          <w:rFonts w:ascii="Times New Roman" w:cs="Times New Roman" w:eastAsia="Times New Roman" w:hAnsi="Times New Roman"/>
          <w:sz w:val="22"/>
          <w:szCs w:val="22"/>
          <w:b w:val="1"/>
          <w:bCs w:val="1"/>
          <w:color w:val="auto"/>
        </w:rPr>
        <w:t>CERTIFICATION PURSUANT TO 18 U.S.C. SECTION 1350, AS ADOPTED PURSUANT TO SECTION 906 OF THE SARBANES-OXLEY ACT OF 2002</w:t>
      </w:r>
    </w:p>
    <w:p>
      <w:pPr>
        <w:spacing w:after="0" w:line="16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Northern Technologies International Corporation (the “Company”) on Form 10-Q for the period ended February 29, 2016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1600" w:hanging="944"/>
        <w:spacing w:after="0"/>
        <w:tabs>
          <w:tab w:leader="none" w:pos="16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600" w:right="160" w:hanging="944"/>
        <w:spacing w:after="0" w:line="282" w:lineRule="auto"/>
        <w:tabs>
          <w:tab w:leader="none" w:pos="16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4"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3346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2016</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0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6"/>
    </w:lvl>
  </w:abstractNum>
  <w:abstractNum w:abstractNumId="10">
    <w:nsid w:val="109CF92E"/>
    <w:multiLevelType w:val="hybridMultilevel"/>
    <w:lvl w:ilvl="0">
      <w:lvlJc w:val="left"/>
      <w:lvlText w:val="%1."/>
      <w:numFmt w:val="upperLetter"/>
      <w:start w:val="1"/>
    </w:lvl>
    <w:lvl w:ilvl="1">
      <w:lvlJc w:val="left"/>
      <w:lvlText w:val="%2."/>
      <w:numFmt w:val="decimal"/>
      <w:start w:val="1"/>
    </w:lvl>
  </w:abstractNum>
  <w:abstractNum w:abstractNumId="11">
    <w:nsid w:val="DED7263"/>
    <w:multiLevelType w:val="hybridMultilevel"/>
    <w:lvl w:ilvl="0">
      <w:lvlJc w:val="left"/>
      <w:lvlText w:val="%1."/>
      <w:numFmt w:val="upperLetter"/>
      <w:start w:val="3"/>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upperLetter"/>
      <w:start w:val="1"/>
    </w:lvl>
    <w:lvl w:ilvl="1">
      <w:lvlJc w:val="left"/>
      <w:lvlText w:val="(%2)"/>
      <w:numFmt w:val="decimal"/>
      <w:start w:val="1"/>
    </w:lvl>
  </w:abstractNum>
  <w:abstractNum w:abstractNumId="15">
    <w:nsid w:val="6B68079A"/>
    <w:multiLevelType w:val="hybridMultilevel"/>
    <w:lvl w:ilvl="0">
      <w:lvlJc w:val="left"/>
      <w:lvlText w:val="%1."/>
      <w:numFmt w:val="upperLetter"/>
      <w:start w:val="7"/>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2019-12-29T12:45:23Z</dcterms:created>
  <dcterms:modified xsi:type="dcterms:W3CDTF">2019-12-29T12:45:23Z</dcterms:modified>
</cp:coreProperties>
</file>