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00" w:right="1880" w:hanging="3692"/>
        <w:spacing w:after="0" w:line="253" w:lineRule="auto"/>
        <w:tabs>
          <w:tab w:leader="none" w:pos="2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2880" w:right="1860" w:hanging="2872"/>
        <w:spacing w:after="0" w:line="266"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NORTHERN TECHNOLOGIES INTERNATIONAL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3"/>
        </w:trPr>
        <w:tc>
          <w:tcPr>
            <w:tcW w:w="3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190"/>
        </w:trPr>
        <w:tc>
          <w:tcPr>
            <w:tcW w:w="374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40" w:space="720"/>
            <w:col w:w="388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9, 2026, there were 9,492,001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760" w:type="dxa"/>
            <w:vAlign w:val="bottom"/>
            <w:gridSpan w:val="18"/>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50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February 28, 2026 (unaudited) and August 31, 2025 (audited)</w:t>
            </w:r>
          </w:p>
        </w:tc>
        <w:tc>
          <w:tcPr>
            <w:tcW w:w="3120" w:type="dxa"/>
            <w:vAlign w:val="bottom"/>
            <w:gridSpan w:val="5"/>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(unaudited) for the Three and Six Months Ended February 28, 2026 and 2025</w:t>
            </w:r>
          </w:p>
        </w:tc>
        <w:tc>
          <w:tcPr>
            <w:tcW w:w="1640" w:type="dxa"/>
            <w:vAlign w:val="bottom"/>
            <w:gridSpan w:val="2"/>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(unaudited) for the Three and Six Months Ended February 28, 2026 and 2025</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Equity (unaudited) for the Three and Six Months Ended February 28, 2026 and 2025</w:t>
            </w:r>
          </w:p>
        </w:tc>
        <w:tc>
          <w:tcPr>
            <w:tcW w:w="22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 (unaudited) for the Six Months Ended February 28, 2026 and 2025</w:t>
            </w:r>
          </w:p>
        </w:tc>
        <w:tc>
          <w:tcPr>
            <w:tcW w:w="1960" w:type="dxa"/>
            <w:vAlign w:val="bottom"/>
            <w:gridSpan w:val="3"/>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700" w:type="dxa"/>
            <w:vAlign w:val="bottom"/>
            <w:gridSpan w:val="4"/>
          </w:tcPr>
          <w:p>
            <w:pPr>
              <w:spacing w:after="0"/>
              <w:rPr>
                <w:sz w:val="24"/>
                <w:szCs w:val="24"/>
                <w:color w:val="auto"/>
              </w:rPr>
            </w:pPr>
          </w:p>
        </w:tc>
        <w:tc>
          <w:tcPr>
            <w:tcW w:w="2360" w:type="dxa"/>
            <w:vAlign w:val="bottom"/>
            <w:gridSpan w:val="4"/>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740" w:type="dxa"/>
            <w:vAlign w:val="bottom"/>
            <w:tcBorders>
              <w:left w:val="single" w:sz="8" w:color="0000EE"/>
            </w:tcBorders>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8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7800" w:type="dxa"/>
            <w:vAlign w:val="bottom"/>
            <w:gridSpan w:val="11"/>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412"/>
        </w:trPr>
        <w:tc>
          <w:tcPr>
            <w:tcW w:w="3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5"/>
            <w:vMerge w:val="restart"/>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760" w:type="dxa"/>
            <w:vAlign w:val="bottom"/>
            <w:gridSpan w:val="14"/>
            <w:vMerge w:val="restart"/>
          </w:tcPr>
          <w:p>
            <w:pPr>
              <w:spacing w:after="0"/>
              <w:rPr>
                <w:sz w:val="24"/>
                <w:szCs w:val="24"/>
                <w:color w:val="auto"/>
              </w:rPr>
            </w:pPr>
          </w:p>
        </w:tc>
        <w:tc>
          <w:tcPr>
            <w:tcW w:w="400" w:type="dxa"/>
            <w:vAlign w:val="bottom"/>
            <w:gridSpan w:val="2"/>
            <w:vMerge w:val="restart"/>
          </w:tcPr>
          <w:p>
            <w:pPr>
              <w:spacing w:after="0"/>
              <w:rPr>
                <w:sz w:val="24"/>
                <w:szCs w:val="24"/>
                <w:color w:val="auto"/>
              </w:rPr>
            </w:pPr>
          </w:p>
        </w:tc>
        <w:tc>
          <w:tcPr>
            <w:tcW w:w="180" w:type="dxa"/>
            <w:vAlign w:val="bottom"/>
            <w:tcBorders>
              <w:top w:val="single" w:sz="8" w:color="0000EE"/>
              <w:bottom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1A.</w:t>
            </w:r>
          </w:p>
        </w:tc>
        <w:tc>
          <w:tcPr>
            <w:tcW w:w="240" w:type="dxa"/>
            <w:vAlign w:val="bottom"/>
            <w:gridSpan w:val="2"/>
            <w:vMerge w:val="restart"/>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8760" w:type="dxa"/>
            <w:vAlign w:val="bottom"/>
            <w:gridSpan w:val="14"/>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0000EE"/>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776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320" w:type="dxa"/>
            <w:vAlign w:val="bottom"/>
            <w:gridSpan w:val="1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500" w:type="dxa"/>
            <w:vAlign w:val="bottom"/>
            <w:tcBorders>
              <w:left w:val="single" w:sz="8" w:color="0000EE"/>
            </w:tcBorders>
            <w:gridSpan w:val="1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 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 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 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 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BALANCE SHEETS AS OF FEBRUARY 28, 2026 (UNAUDITED) AND AUGUST 31, 2025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6,469,750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7,250,523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less allowance for credit losses of $290,493 as of February 28, 2026 and $235,000 as of August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31, 2025</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18,033,990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18,443,230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1,077,552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340,002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16,506,777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15,525,230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2,607,340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1,706,279</w:t>
            </w:r>
          </w:p>
        </w:tc>
      </w:tr>
      <w:tr>
        <w:trPr>
          <w:trHeight w:val="209"/>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45,219,931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44,342,816</w:t>
            </w:r>
          </w:p>
        </w:tc>
      </w:tr>
      <w:tr>
        <w:trPr>
          <w:trHeight w:val="42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15,918,752</w:t>
            </w:r>
          </w:p>
        </w:tc>
        <w:tc>
          <w:tcPr>
            <w:tcW w:w="100" w:type="dxa"/>
            <w:vAlign w:val="bottom"/>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15,183,918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089" w:right="339" w:bottom="326"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income tax, net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lease right of use assets</w:t>
      </w:r>
    </w:p>
    <w:p>
      <w:pPr>
        <w:spacing w:after="0" w:line="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29,748,064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28,611,777</w:t>
            </w:r>
          </w:p>
        </w:tc>
      </w:tr>
      <w:tr>
        <w:trPr>
          <w:trHeight w:val="216"/>
        </w:trPr>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503,575</w:t>
            </w:r>
          </w:p>
        </w:tc>
      </w:tr>
      <w:tr>
        <w:trPr>
          <w:trHeight w:val="216"/>
        </w:trPr>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8,399,365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8,827,768</w:t>
            </w:r>
          </w:p>
        </w:tc>
      </w:tr>
      <w:tr>
        <w:trPr>
          <w:trHeight w:val="216"/>
        </w:trPr>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r>
      <w:tr>
        <w:trPr>
          <w:trHeight w:val="234"/>
        </w:trPr>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398,688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493,050</w:t>
            </w:r>
          </w:p>
        </w:tc>
      </w:tr>
      <w:tr>
        <w:trPr>
          <w:trHeight w:val="210"/>
        </w:trPr>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43,759,238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43,218,546</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104,897,921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102,745,280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-864870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-590550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1089" w:right="339" w:bottom="326"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11,282,291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9,329,021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2,976,455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2,860,256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8,269,041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8,044,196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1,844,817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1,066,761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344,739</w:t>
            </w:r>
          </w:p>
        </w:tc>
      </w:tr>
      <w:tr>
        <w:trPr>
          <w:trHeight w:val="210"/>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25,018,175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23,904,094</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1,513,166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loans, noncurrent portion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466,984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 less current portion</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220,749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148,311</w:t>
            </w:r>
          </w:p>
        </w:tc>
      </w:tr>
      <w:tr>
        <w:trPr>
          <w:trHeight w:val="21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2,155,754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2,128,461</w:t>
            </w:r>
          </w:p>
        </w:tc>
      </w:tr>
      <w:tr>
        <w:trPr>
          <w:trHeight w:val="209"/>
        </w:trPr>
        <w:tc>
          <w:tcPr>
            <w:tcW w:w="80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issued and outstanding</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9,492,001 and 9,475,490 as of February 28, 2026 and August 31, 2025, respectively</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189,510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25,706,091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25,056,976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52,286,237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52,273,469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(4,896,833)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(5,371,201)</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73,285,335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72,148,754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4,438,657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4,563,971</w:t>
            </w: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77,723,992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76,712,725</w:t>
            </w:r>
          </w:p>
        </w:tc>
      </w:tr>
      <w:tr>
        <w:trPr>
          <w:trHeight w:val="209"/>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104,897,921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102,745,280</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326"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21,996,785</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19,072,066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45,305,666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40,410,459</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14,138,899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12,276,482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29,064,154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25,451,922</w:t>
            </w: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7,857,886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6,795,584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16,241,512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14,958,537</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1,100,670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2,322,786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1,750,323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925,899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1,070,263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1,995,156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2,354,382</w:t>
            </w:r>
          </w:p>
        </w:tc>
      </w:tr>
      <w:tr>
        <w:trPr>
          <w:trHeight w:val="20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from 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2,026,569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1,690,993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4,317,942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4,104,705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4,713,772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4,210,242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9,085,274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8,477,896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3,612,707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3,320,369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7,761,660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7,179,312</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1,175,202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1,288,899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2,396,114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2,632,296</w:t>
            </w:r>
          </w:p>
        </w:tc>
      </w:tr>
      <w:tr>
        <w:trPr>
          <w:trHeight w:val="210"/>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9,501,681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8,819,510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19,243,048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18,289,504</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382,774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1,316,406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773,738</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235,723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1,139,756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1,139,756</w:t>
            </w:r>
          </w:p>
        </w:tc>
      </w:tr>
      <w:tr>
        <w:trPr>
          <w:trHeight w:val="209"/>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251,691</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877,824</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1,022,599</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1,889,842</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75,490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275,197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340,519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493,068</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176,201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602,627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682,080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1,396,774</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211,524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168,308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479,584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401,364</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NTIC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(35,323)</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434,319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202,496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995,410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NTIC PER COMMON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9,489,332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9,488,520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9,474,034</w:t>
            </w:r>
          </w:p>
        </w:tc>
      </w:tr>
      <w:tr>
        <w:trPr>
          <w:trHeight w:val="196"/>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9,489,332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9,753,437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9,509,125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9,757,350</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736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59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176,201</w:t>
            </w:r>
          </w:p>
        </w:tc>
        <w:tc>
          <w:tcPr>
            <w:tcW w:w="480" w:type="dxa"/>
            <w:vAlign w:val="bottom"/>
            <w:gridSpan w:val="3"/>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602,627</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682,080</w:t>
            </w:r>
          </w:p>
        </w:tc>
        <w:tc>
          <w:tcPr>
            <w:tcW w:w="3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1,396,774</w:t>
            </w: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 FOREIGN CURRENCY</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761,936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454,823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(2,019,349)</w:t>
            </w:r>
          </w:p>
        </w:tc>
        <w:tc>
          <w:tcPr>
            <w:tcW w:w="0" w:type="dxa"/>
            <w:vAlign w:val="bottom"/>
          </w:tcPr>
          <w:p>
            <w:pPr>
              <w:spacing w:after="0"/>
              <w:rPr>
                <w:sz w:val="1"/>
                <w:szCs w:val="1"/>
                <w:color w:val="auto"/>
              </w:rPr>
            </w:pPr>
          </w:p>
        </w:tc>
      </w:tr>
      <w:tr>
        <w:trPr>
          <w:trHeight w:val="221"/>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 (NET OF 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1,136,903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(622,575)</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COMPREHENSIVE INCOME ATTRIBUTABLE TO NON-</w:t>
            </w:r>
          </w:p>
        </w:tc>
        <w:tc>
          <w:tcPr>
            <w:tcW w:w="2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460,039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218,696</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NTIC</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711,745</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676,864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(841,271)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THREE MONTHS ENDED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2026 AND 2025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$23,999,854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$53,669,366</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(7,645,298)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$ 4,093,717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$74,307,049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334,444</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334,444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paid to stockholders ($0.07 per</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to non-controlling 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434,319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168,308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602,627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(573,507)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(635,506)</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$24,334,298</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$53,440,749</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(8,218,805)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$ 4,100,026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$73,845,678</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2025</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9,480,688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189,614</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$25,402,605</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$52,416,480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(5,643,901)</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$ 4,312,265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$76,677,063</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and settlement of restricted stock</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unit awards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11,313</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303,712</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303,712</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paid to stockholders ($0.01 per</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(94,920)</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to non-controlling 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(35,323)</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211,524</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176,201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747,068</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14,868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761,936</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28, 2026</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9,492,001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189,840</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$25,706,091</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$52,286,237</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(4,896,833)</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$ 4,438,657</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$77,723,992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760" w:type="dxa"/>
            <w:vAlign w:val="bottom"/>
            <w:tcBorders>
              <w:bottom w:val="single" w:sz="8" w:color="auto"/>
            </w:tcBorders>
            <w:gridSpan w:val="7"/>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40" w:type="dxa"/>
            <w:vAlign w:val="bottom"/>
          </w:tcPr>
          <w:p>
            <w:pPr>
              <w:spacing w:after="0"/>
              <w:rPr>
                <w:sz w:val="24"/>
                <w:szCs w:val="24"/>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SIX MONTHS ENDED FEBRUARY 28,</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2026 AND 2025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9,466,980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$23,615,564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$ 53,771,211</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(6,382,124)</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$ 3,981,330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3,527</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42,401</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42,471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676,334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676,334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paid to stockholders ($0.14 per</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(1,325,872)</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to non-controlling 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995,410</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401,364</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1,396,774</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(1,836,681)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(2,019,349)</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28, 2025</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$24,334,298</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$53,440,749</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(8,218,805)</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$ 4,100,026</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$73,845,678</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31, 2025</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9,475,490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189,510</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$25,056,976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$52,273,469</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(5,371,201)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$ 4,563,971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$76,712,725</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5,198</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34,827</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and settlement of restricted stock</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unit awards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11,313</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614,514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614,514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paid to stockholders ($0.02 per</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(189,728)</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to non-controlling 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(585,353)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(585,353)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202,496</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479,584</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682,080</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474,368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454,823</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28, 2026</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9,492,001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189,840</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$25,706,091</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$52,286,237</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(4,896,833)</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$ 4,438,657</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$77,723,992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SIX MONTHS ENDED FEBRUARY 28,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682,080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1,396,774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614,514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676,334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498,808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518,385</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306,094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23,602</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(1,750,323)</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1,402,525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680,737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55,458</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Trade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3,388,789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180,376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277,795</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(574,666)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(846,593)</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(864,893)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940,604</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(981,153)</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3,198,741</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(709,064)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patents and capitalized software costs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(1,891,693)</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(1,043,667)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(2,580,757)</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14,449,157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16,900,943</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line of credit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(12,495,887)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(15,837,887)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term loans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to non-controlling interest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34,931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42,471</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1,554,521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(320,345)</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(159,193)</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138,446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7,250,523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4,952,184</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6,469,750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5,090,630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8" w:name="page9"/>
    <w:bookmarkEnd w:id="8"/>
    <w:p>
      <w:pPr>
        <w:ind w:right="394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2026 and August 31, 2025 and the results of the Company’s operations for the three and six months ended February 28, 2026 and 2025, the changes in stockholders’ equity for the three and six months ended February 28, 2026 and 2025, and the Company’s cash flows for the six months ended February 28, 2026 and 2025, in conformity with accounting principles generally accepted in the United States of America (U.S. GAAP).</w:t>
      </w:r>
    </w:p>
    <w:p>
      <w:pPr>
        <w:spacing w:after="0" w:line="183"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2025.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28, 2026 are not necessarily indicative of the results that may be expected for the full fiscal year ending August 31, 2026.</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The Company identified immaterial prior period classification errors related to the presentation of borrowings and repayments under its revolving line of credit in its consolidated statements of cash flows and classification of selling expenses and general and administrative expenses in its consolidated statements of operations. For the six months ended February 28, 2025, the Company had previously presented net proceeds of $1,063,056 as a single line item in the consolidated statements of cash flows. In accordance with Accounting Standards Codification 230, </w:t>
      </w:r>
      <w:r>
        <w:rPr>
          <w:rFonts w:ascii="Times New Roman" w:cs="Times New Roman" w:eastAsia="Times New Roman" w:hAnsi="Times New Roman"/>
          <w:sz w:val="17"/>
          <w:szCs w:val="17"/>
          <w:i w:val="1"/>
          <w:iCs w:val="1"/>
          <w:color w:val="auto"/>
        </w:rPr>
        <w:t>Statement of Cash Flows</w:t>
      </w:r>
      <w:r>
        <w:rPr>
          <w:rFonts w:ascii="Times New Roman" w:cs="Times New Roman" w:eastAsia="Times New Roman" w:hAnsi="Times New Roman"/>
          <w:sz w:val="17"/>
          <w:szCs w:val="17"/>
          <w:color w:val="auto"/>
        </w:rPr>
        <w:t>, the Company has updated the prior period presentation to separately report gross borrowings of $16,900,943 and gross repayments of $15,837,887 under its line of credit. For the three and six months ended February 28, 2025, $338,214 was reclassified from general and administrative expenses to selling expenses. These changes had no impact on the Company’s total cash flows, financial position, or results of operations for the three and six months ended February 28, 2025.</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evaluated events occurring after the date of these consolidated financial statements through the date April 9, 2026 for events requiring disclosure in these consolidated financial statements.</w:t>
      </w:r>
    </w:p>
    <w:p>
      <w:pPr>
        <w:spacing w:after="0" w:line="200" w:lineRule="exact"/>
        <w:rPr>
          <w:sz w:val="20"/>
          <w:szCs w:val="20"/>
          <w:color w:val="auto"/>
        </w:rPr>
      </w:pPr>
    </w:p>
    <w:p>
      <w:pPr>
        <w:spacing w:after="0" w:line="201"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SIGNIFICANT ACCOUNTING POLICIES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February 28, 2026, there have been no new significant accounting policies from those disclosed in the Company’s annual report on Form 10-K for the fiscal year ended August 31, 2025.</w:t>
      </w:r>
    </w:p>
    <w:p>
      <w:pPr>
        <w:spacing w:after="0" w:line="200" w:lineRule="exact"/>
        <w:rPr>
          <w:sz w:val="20"/>
          <w:szCs w:val="20"/>
          <w:color w:val="auto"/>
        </w:rPr>
      </w:pPr>
    </w:p>
    <w:p>
      <w:pPr>
        <w:spacing w:after="0" w:line="201"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new guidance is expected to improve income tax disclosures primarily related to the rate reconciliation and income taxes paid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 w:name="page10"/>
    <w:bookmarkEnd w:id="9"/>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disaggregation of certain costs in a separate note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such as the amounts of employee compensation, depreciation and intangible asset amortization, included in each relevant expense caption in annual and interim consolidated financial statements. ASU 2024-03 is effective for annual periods beginning after December 15, 2026 and for interim periods beginning after December 15, 2027 on a retrospective or prospective basis, with early adoption permitted. The Company is evaluating the effect that ASU 2024-03 will have on its consolidated financial statement disclosures.</w:t>
      </w: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4,737,805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5,059,298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11,768,972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10,465,932</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inventories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16,506,777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15,525,230</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r>
      <w:tr>
        <w:trPr>
          <w:trHeight w:val="210"/>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5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1,860,312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1,260,312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14,732,664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14,650,361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in process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817,946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9,776,701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9,154,728</w:t>
            </w:r>
          </w:p>
        </w:tc>
      </w:tr>
      <w:tr>
        <w:trPr>
          <w:trHeight w:val="210"/>
        </w:trPr>
        <w:tc>
          <w:tcPr>
            <w:tcW w:w="4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26,872,959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25,883,347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(10,954,207)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(10,699,429)</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15,918,752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15,183,918</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 was $250,618 and $498,808 for the three and six months ended February 28, 2026, respectively, compared to $251,230 and $518,385 for the three and six months ended February 28,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0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 of February 28, 2026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7"/>
        </w:trPr>
        <w:tc>
          <w:tcPr>
            <w:tcW w:w="2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2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3,583,911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(3,024,039)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559,872</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3,396,593</w:t>
            </w:r>
          </w:p>
        </w:tc>
      </w:tr>
      <w:tr>
        <w:trPr>
          <w:trHeight w:val="216"/>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(1,904,100)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4,442,900</w:t>
            </w:r>
          </w:p>
        </w:tc>
      </w:tr>
      <w:tr>
        <w:trPr>
          <w:trHeight w:val="209"/>
        </w:trPr>
        <w:tc>
          <w:tcPr>
            <w:tcW w:w="24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14,020,606</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8,399,365</w:t>
            </w:r>
          </w:p>
        </w:tc>
      </w:tr>
      <w:tr>
        <w:trPr>
          <w:trHeight w:val="20"/>
        </w:trPr>
        <w:tc>
          <w:tcPr>
            <w:tcW w:w="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August 31, 2025</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7"/>
        </w:trPr>
        <w:tc>
          <w:tcPr>
            <w:tcW w:w="2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2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3,546,542</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(2,969,571)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576,971</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3,596,330</w:t>
            </w:r>
          </w:p>
        </w:tc>
      </w:tr>
      <w:tr>
        <w:trPr>
          <w:trHeight w:val="216"/>
        </w:trPr>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(1,692,533)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4,654,467</w:t>
            </w:r>
          </w:p>
        </w:tc>
      </w:tr>
      <w:tr>
        <w:trPr>
          <w:trHeight w:val="209"/>
        </w:trPr>
        <w:tc>
          <w:tcPr>
            <w:tcW w:w="24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13,983,237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(5,155,469)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8,827,768</w:t>
            </w:r>
          </w:p>
        </w:tc>
      </w:tr>
      <w:tr>
        <w:trPr>
          <w:trHeight w:val="20"/>
        </w:trPr>
        <w:tc>
          <w:tcPr>
            <w:tcW w:w="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$232,930 and $465,772 for the three and six months ended February 28, 2026, respectively, compared to $158,374 and $306,094 for the three and six months ended February 28,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future amortization expense related to intangible assets for each of the next five fiscal years and thereafter is estimated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2026</w:t>
            </w:r>
          </w:p>
        </w:tc>
        <w:tc>
          <w:tcPr>
            <w:tcW w:w="26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836,774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836,774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Fiscal 2029</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836,774</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2030</w:t>
            </w: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836,774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4,647,473</w:t>
            </w:r>
          </w:p>
        </w:tc>
      </w:tr>
      <w:tr>
        <w:trPr>
          <w:trHeight w:val="250"/>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8,399,365</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ind w:right="580"/>
        <w:spacing w:after="0" w:line="266" w:lineRule="auto"/>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ventures in Germany, Excor Korrosionsschutz – Technologien und Produkte GmbH (EXCOR), France, ACOBAL SAS (Acobal), Finland, Zerust OY, and all the Company’s other joint ventures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 February 28, 2026</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62,503,865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31,809,238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6,684,550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2,884,239</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21,125,837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72,326,199</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38,912,946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7,596,463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3,151,560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22,665,230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12,003,432</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2,052,186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2,575,991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905,909</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6,469,345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336,458</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336,458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59,986,309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36,860,760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5,020,471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2,245,650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15,859,427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29,748,064</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18,430,382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1,122,814</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7,684,634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28,803,395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17,610,532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2,900,410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1,405,155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6,887,298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February 28, 2026</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23,483,578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8,336,442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3,255,573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1,330,157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10,561,406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10,401,649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4,565,626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1,311,235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807,480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3,717,307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2,216,229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910,462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228,395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455,437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1,100,670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452,219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113,370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225,796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1,184,193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747,477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436,716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February 28, 2026</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48,015,009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17,102,159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6,857,925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2,730,272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21,324,653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21,084,388</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9,138,346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2,711,994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1,666,838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7,567,210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4,660,463</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1,946,732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1,230,612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507,537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975,582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2,322,786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970,355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252,941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485,869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1,402,525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747,477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436,716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218,332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August 31, 2025</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Acobal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Zerust OY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60,062,085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29,870,525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6,971,262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3,029,614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20,190,684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69,815,251</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36,941,008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7,900,298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3,313,909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21,660,036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11,743,525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2,660,430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719,172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5,972,894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336,557</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336,557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57,735,169</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34,549,979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5,239,868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2,594,737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15,350,585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28,611,777</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17,274,991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2,619,932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1,297,358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7,419,496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27,667,432</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17,244,086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2,619,932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1,277,358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6,526,056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February 28, 2025</w:t>
            </w:r>
          </w:p>
        </w:tc>
      </w:tr>
      <w:tr>
        <w:trPr>
          <w:trHeight w:val="210"/>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19,799,875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6,904,045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12,895,830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8,241,116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3,598,163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4,642,953</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1,219,970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520,787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699,183</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620,730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352,479</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680,737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680,737</w:t>
            </w:r>
          </w:p>
        </w:tc>
      </w:tr>
      <w:tr>
        <w:trPr>
          <w:trHeight w:val="432"/>
        </w:trPr>
        <w:tc>
          <w:tcPr>
            <w:tcW w:w="4720" w:type="dxa"/>
            <w:vAlign w:val="bottom"/>
          </w:tcPr>
          <w:p>
            <w:pPr>
              <w:spacing w:after="0"/>
              <w:rPr>
                <w:sz w:val="24"/>
                <w:szCs w:val="24"/>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 February 28, 2025</w:t>
            </w:r>
          </w:p>
        </w:tc>
      </w:tr>
      <w:tr>
        <w:trPr>
          <w:trHeight w:val="210"/>
        </w:trPr>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43,636,885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15,642,859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27,994,026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18,556,399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8,355,849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10,200,550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3,479,157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1,768,287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1,710,870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1,750,323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858,322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680,737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680,737</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party to a Credit Agreement (as amended, the Credit Agreement) with JPMorgan Chase Bank, N.A. (JPM), which provides the Company with a senior secured revolving line of credit (the Credit Facility) of up to $12.0 million, which includes a $5.0 million sublimit for standby letters of credit. Borrowings of $11,282,291 and $9,329,021 were outstanding under the Credit Facility as of February 28, 2026 and August 31, 2025, respectively. The Company was in compliance with all debt covenants as of February 28, 2026.</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December 17, 2025, the Company and JPM renewed the Company’s Credit Agreement to extend the maturity date of the Credit Facility from January 5, 2026 to February 5, 2027. On January 30, 2026, the Company and JPM entered into an amendment to the Credit Agreement, which increased the availability under the Credit Facility from $10.0 million to $12.0 million.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principal amount under the Credit Facility, together with all accrued unpaid interest and other amounts owing thereunder, if any, will be payable in full on the maturity date, unless the Credit Facility is extended or renewed or terminated earlier.</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2.35% applied per annum. There is no applicable margin with respect to borrowings using a CB Floating Rate. The weighted average interest rate was 6.04% and 6.76% for the six months ended February 28, 2026 and 2025, respectively.</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 in collateral made up of the assets of the Company.</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each of April 22, 2025 and May 29, 2025, the Company’s wholly owned subsidiary in China, NTIC China, renewed its loan agreements with China Construction Bank Corporation. Each term loan provided NTIC China with a RMB 10,000,000 (USD $1.41 million). The term loans mature in April 2026 and May 2026, respectively, and the Company expects to amend or extend each loan at maturity on substantially the same terms, although there can be no assurance that it will be able to do so. The term loan that matures in April 2026 has an annual interest rate of 2.75% with interest due monthly and principal due at maturity, and the term loan that matures in May 2026 has an annual interest rate of 2.96% with interest due monthly and principal due at maturity. Both term loans are secured by an office building owned by NTIC China and the loan agreements contain certain financial and other covenants. The Company was in compliance with the covenants as of February 28, 2026. The outstanding balance as of February 28, 2026 for both term loans is a total of USD $2,915,919. The outstanding balance as of August 31, 2025 for both term loans was a total of USD $2,804,695.</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August 30, 2025, the Company’s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6.45% per annum. The loan is secured by a lien over Natur-Tec India’s cash deposits with the Bank totaling INR 476 lakhs (USD $539,731), and the related land purchase, which was registered in November 2025. The outstanding balance as of February 28, 2026 was INR 439.4 lakhs (USD $482,375), of which INR 55.1 lakhs (USD $60,536) was classified as current and INR 384.2 lakhs (USD $421,839)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as of February 28, 2026.</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2026,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15, 2025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29, 2025</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12, 2025</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2026</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41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4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2025,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16, 2024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30, 2024</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2024</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29, 2025</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February 28, 2026 and 2025, the Company repurchased no shares of its common stock.</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2026 and 2025, the Company issued 11,313 and no shares of common stock upon the settlement of restricted stock units, respectively.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5,198 and 3,527 shares of common stock on September 1, 2025 and 2024, respectively, under the Northern Technologies International Corporation Employee Stock Purchase Plan (the ESPP). The ESPP is compensatory for financial reporting purposes. As of February 28, 2026, 42,673 shares of common stock remained available for sale under the ESPP.</w:t>
      </w:r>
    </w:p>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and the settlement of restricted stock units using the treasury stock method, if dilutive. For periods in which the Company reports a net loss, potential common shares are excluded from the computation of diluted net income per share because their effect would be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six months ended February 28, 2026 and February 28, 2025: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202,496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995,410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9,489,332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9,488,520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9,474,034</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shares assumed upon exercise of stock options and settlement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282,930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283,316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9,489,332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9,753,437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9,509,125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9,757,350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dilutive impact summarized above relates to periods in which the average market price of the Company’s common stock exceeded the exercise price of the potentially dilutive option securities granted. Net income per common share is based on the weighted average number of common shares outstanding during the applicable period. When dilutive, stock options and restricted stock units are included as equivalents using the treasury stock method in computing diluted net income per common share. For the three months ended February 28, 2026, potential common shares were excluded from the computation of diluted net income per common share because the Company reported a net loss for the period and the effect of these shares would have been anti-dilutive. Excluded from the computation of diluted net income per common share for the three and six months ended February 28, 2026 were options outstanding to purchase 477,175 shares of common stock. Excluded from the computation of diluted net income per common share for the three and six months ended February 28, 2025 were options outstanding to purchase 756,661 shares of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left="620" w:hanging="612"/>
        <w:spacing w:after="0"/>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2024 Stock Incentive Plan (2024 Plan), the Northern Technologies International Corporation Amended and Restated 2019 Stock Incentive Plan and the Northern Technologies International Corporation Amended and Restated 2007 Stock Incentive Plan is as follows:</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August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as of February 28, 2026</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15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1"/>
        </w:trPr>
        <w:tc>
          <w:tcPr>
            <w:tcW w:w="15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1,923,138</w:t>
            </w:r>
          </w:p>
        </w:tc>
        <w:tc>
          <w:tcPr>
            <w:tcW w:w="100" w:type="dxa"/>
            <w:vAlign w:val="bottom"/>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11.86</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251,301</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2,174,439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weighted average per share fair value of options granted during the six months ended February 28, 2026 and 2025 was $3.05 and $4.95,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the options outstanding as of February 28, 2026 and 2025 was 5.74 years and 6.03 years, respectively.</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recognized stock option compensation expense of $510,251 and $602,821 during the six months ended February 28, 2026 and 2025, respectively. As of February 28, 2026, there was $1,266,370 of unrecognized stock option compensation expense. The amount is expected to be recognized over a period of 2.5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Restricted stock units (RSUs) were granted on September 1, 2025 under the 2024 Plan to certain non-employee directors and vest in full on the one-year anniversary of the date of grant. A summary of RSU activity for the six months ended February 28, 2026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2025</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vested/settled</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February 28, 2026</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28,303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RSUs are valued using the closing stock price on the grant date. The Company recognizes the grant date fair value of the RSUs over the vesting term, or one year. The Company recognized RSU stock-based compensation expense of $104,263 and $73,513 during the six months ended February 28, 2026 and 2025, respectively. As of February 28, 2026, there was $106,151 in unrecognized stock-based compensation expense relating to outstanding RSUs, which is expected to be recognized over a period of 0.50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6" w:name="page17"/>
    <w:bookmarkEnd w:id="16"/>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general industrial, mechanical, mining, agricultural,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in the Company’s annual report on Form 10-K for the fiscal year ended August 31, 2025. There are no intersegment sales, and no operating segments have been aggregated.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by segment for the three and six months ended February 28,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16,633,456</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14,112,017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33,949,652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29,587,820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5,363,329</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4,960,049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11,356,014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10,822,639</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21,996,785</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19,072,066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45,305,666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40,410,459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by segment for the three and six months ended February 28,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040" w:type="dxa"/>
            <w:vAlign w:val="bottom"/>
            <w:tcBorders>
              <w:bottom w:val="single" w:sz="8" w:color="auto"/>
            </w:tcBorders>
          </w:tcPr>
          <w:p>
            <w:pPr>
              <w:spacing w:after="0"/>
              <w:rPr>
                <w:sz w:val="20"/>
                <w:szCs w:val="20"/>
                <w:color w:val="auto"/>
              </w:rPr>
            </w:pPr>
          </w:p>
        </w:tc>
      </w:tr>
      <w:tr>
        <w:trPr>
          <w:trHeight w:val="187"/>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r>
      <w:tr>
        <w:trPr>
          <w:trHeight w:val="238"/>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09"/>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9,644,157</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8,096,177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$19,795,418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$16,774,883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3,748,739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3,237,854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7,741,398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6,927,037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746,003</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942,451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1,527,338</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1,750,002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14,138,899</w:t>
            </w: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12,276,482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29,064,154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25,451,922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413"/>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2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sets forth the Company’s gross profit by segment for the three and six months ended February 28,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gross profit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6,989,299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6,015,840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14,154,234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12,812,937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Natur-Tec® gross profit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1,614,590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1,722,195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3,614,616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3,895,602</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8,603,889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7,738,035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17,768,850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16,708,539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(746,003)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(942,451)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(1,527,338)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(1,750,002)</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7,857,886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6,795,584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16,241,512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14,958,537</w:t>
            </w:r>
          </w:p>
        </w:tc>
      </w:tr>
      <w:tr>
        <w:trPr>
          <w:trHeight w:val="209"/>
        </w:trPr>
        <w:tc>
          <w:tcPr>
            <w:tcW w:w="59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2,026,569</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1,690,993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4,317,942</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4,104,705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(4,713,772)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(4,210,242)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(8,477,896)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(7,179,312)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(2,632,296)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65,568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235,723</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1,139,756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1,139,756</w:t>
            </w:r>
          </w:p>
        </w:tc>
      </w:tr>
      <w:tr>
        <w:trPr>
          <w:trHeight w:val="25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877,824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1,022,599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1,889,842</w:t>
            </w: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utilizes product net sales, direct and indirect cost of goods sold, and gross profit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Asset information, including capital expenditures, are reviewed by the CODM at the consolidated entity level and not by segment. Refer to total assets on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six months ended February 28, 2026 and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 to unaffiliated customers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6,967,402</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6,668,183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14,424,169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14,150,801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1,021,305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1,172,245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14,429,773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11,858,399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29,860,192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25,087,413</w:t>
            </w:r>
          </w:p>
        </w:tc>
      </w:tr>
      <w:tr>
        <w:trPr>
          <w:trHeight w:val="250"/>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21,996,785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19,072,066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45,305,666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40,410,459</w:t>
            </w:r>
          </w:p>
        </w:tc>
      </w:tr>
      <w:tr>
        <w:trPr>
          <w:trHeight w:val="413"/>
        </w:trPr>
        <w:tc>
          <w:tcPr>
            <w:tcW w:w="598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 No single customer accounted for more than 10% of consolidated revenue.</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six months ended February 28, 2026 and 2025, respectively,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February 28,</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27,320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74,934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150,247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9"/>
        </w:trPr>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925,899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1,070,263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February 28,</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422,890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405,510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269,158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271,086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250,747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180,886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196,903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180,748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163,061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153,889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408,056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145,621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310,379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1,995,156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2,354,382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additional details on geographical information regarding equity in income from joint ventures.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which are based on the geographical location of the customer,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5,453,544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5,355,918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1,975,508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1,296,988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8,489,700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8,531,012</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15,918,752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15,183,918</w:t>
            </w:r>
          </w:p>
        </w:tc>
      </w:tr>
      <w:tr>
        <w:trPr>
          <w:trHeight w:val="20"/>
        </w:trPr>
        <w:tc>
          <w:tcPr>
            <w:tcW w:w="8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r>
      <w:tr>
        <w:trPr>
          <w:trHeight w:val="210"/>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4,425,027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3,735,100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1,515,680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5,393,334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4,870,068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2,283,035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6,967,403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6,668,183</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21,996,785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19,072,066</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9,359,965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7,729,869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3,896,754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2,900,874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10,858,145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10,915,803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6,766,633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4,713,112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14,424,169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14,150,801</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45,305,666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40,410,459</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2026,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0"/>
                <w:szCs w:val="20"/>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r>
      <w:tr>
        <w:trPr>
          <w:trHeight w:val="209"/>
        </w:trPr>
        <w:tc>
          <w:tcPr>
            <w:tcW w:w="4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196,651 $</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139,155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396,617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259,375</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220" w:type="dxa"/>
            <w:vAlign w:val="bottom"/>
          </w:tcPr>
          <w:p>
            <w:pPr>
              <w:spacing w:after="0"/>
              <w:rPr>
                <w:sz w:val="20"/>
                <w:szCs w:val="20"/>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281,490</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691,519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816,068</w:t>
            </w:r>
          </w:p>
        </w:tc>
      </w:tr>
    </w:tbl>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six months ended February 28, 2026 was $75,490 and $340,519, respectively, compared to $275,197 and $493,068, respectively, for the three and six months ended February 28, 2025. The expense was largely due to foreign operations. The Company has federal and state tax credit carry forwards, net operating loss carry forwards and foreign tax carry forwards. The Company has recorded a full valuation allowance against the U.S. deferred tax assets as of February 28, 2026 and August 31, 2025.</w:t>
      </w: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RETENTION CREDIT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February 28, 2025, the Company received $1,139,756 in cash as a result of Employee Retention Credits (ERC), which are refundable tax credits against certain employment taxes initially made available under the Coronavirus Aid, Relief, and Economic Security Act. The ERC was received in cash and was claimed under the suspension test criteria based on the Company’s determination that it met the eligibility requirements. In accordance with the Company’s accounting policy, the ERC payments have been recognized as Other Income in the period in which the cash was received, as the Company determined that all relevant criteria for recognition had been met. The ERC represents a one-time benefit and does not constitute recurring operational revenue.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the Company earned $181,529 in interest income related to the ERC payments, which was recorded as Interest Income during the three and six months ended February 28, 2025. The ERC payments of $1,139,756 are recorded as Other Income in the condensed consolidated statements of operations, while the interest income of $181,529 is recorded separately under Interest Income in the condensed consolidated statements of operations for the three and six months ended February 28,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ERC income or related interest income was recognized during the three and six months ended February 28,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 owned subsidiary in China, NTIC (Shanghai) Co., Ltd. (NTIC China), its wholly owned subsidiary in India, HNTI Limited (Zerust India), its wholly owned subsidiary in the United Arab Emirates, Zerust Integrity Solutions Trading LLC (ZIS UAE), its majority-owned joint venture holding company for NTIC’s joint venture investments in the Association of Southeast Asian Nations (ASEAN) region, NTI Asean LLC (NTI Asean), its majority-owned subsidiary in Brazil, Zerust Provenção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During the six months ended February 28, 2026, NTIC continued to make strategic investments in its ZERUST® oil and gas sales infrastructure specifically to support ZIS UAE.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(US$13.1 million). This includes approximately R$40 million (US$7.5 million) in materials and approximately R$30 million (US$5.6 million) in engineering and field services. The amount and timing of revenue anticipated to be generated under this agreement may materially and positively affect NTIC’s future quarterly sales and other operating results.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 first quarter of fiscal 2026, we entered into a preferred supplier agreement with the nation’s leading specialized distributor for a foodservice and industrial packaging company, which we expect to translate into higher Natur-Tec® sales growth in fiscal 2026 compared to fiscal 2025.</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 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and six months ended February 28, 2026 include the following, with increases or decreases in each case as compared to the respective prior fiscal year period:</w:t>
      </w:r>
    </w:p>
    <w:p>
      <w:pPr>
        <w:spacing w:after="0" w:line="162" w:lineRule="exact"/>
        <w:rPr>
          <w:sz w:val="20"/>
          <w:szCs w:val="20"/>
          <w:color w:val="auto"/>
        </w:rPr>
      </w:pPr>
    </w:p>
    <w:p>
      <w:pPr>
        <w:ind w:left="500" w:right="40" w:hanging="330"/>
        <w:spacing w:after="0" w:line="261"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15.3% and 12.1% during the three and six months ended February 28, 2026, respectively, compared to the three and six months ended February 28, 2025 primarily due to increased sales and demand for ZERUST® and Natur-Tec® products. During the six months ended February 28, 2026, 74.9% of NTIC’s consolidated net sales were derived from sales of ZERUST® products and services, which increased 14.7%. 25.1% of NTIC’s consolidated net sales were derived from sales of Natur-Tec® products, which increased 4.9%.</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 w:name="page24"/>
    <w:bookmarkEnd w:id="23"/>
    <w:p>
      <w:pPr>
        <w:ind w:left="500" w:right="40" w:hanging="330"/>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slightly to 64.3% during the three months ended February 28, 2026, compared to 64.4% during the three months ended February 28, 2025, and increased to 64.2% during the six months ended February 28, 2026, compared to 63.0% during the prior fiscal year period. The increase for the six-month comparison was primarily due to slightly higher raw material prices and discounts on selling prices.</w:t>
      </w:r>
    </w:p>
    <w:p>
      <w:pPr>
        <w:spacing w:after="0" w:line="179" w:lineRule="exact"/>
        <w:rPr>
          <w:rFonts w:ascii="Times New Roman" w:cs="Times New Roman" w:eastAsia="Times New Roman" w:hAnsi="Times New Roman"/>
          <w:sz w:val="18"/>
          <w:szCs w:val="18"/>
          <w:color w:val="auto"/>
        </w:rPr>
      </w:pPr>
    </w:p>
    <w:p>
      <w:pPr>
        <w:ind w:left="500" w:right="140" w:hanging="330"/>
        <w:spacing w:after="0" w:line="258"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income from joint venture operations increased 19.8% and 5.2% to $2,026,569 and $4,317,942 during the three and six months ended February 28, 2026, respectively, compared to $1,690,993 and $4,104,705 during the three and six months ended February 28, 2025, respectively, primarily due to an increase in sales at NTIC’s joint ventures. Net sales at NTIC’s joint ventures, which are not consolidated with NTIC’s net sales, increased 18.6% and 10.0% to $23,483,578 and $48,015,009 during the three and six months ended February 28, 2026, respectively, compared to $19,799,875 and $43,636,885 during the three and six months ended February 28, 2025, respectively.</w:t>
      </w:r>
    </w:p>
    <w:p>
      <w:pPr>
        <w:spacing w:after="0" w:line="183" w:lineRule="exact"/>
        <w:rPr>
          <w:rFonts w:ascii="Times New Roman" w:cs="Times New Roman" w:eastAsia="Times New Roman" w:hAnsi="Times New Roman"/>
          <w:sz w:val="18"/>
          <w:szCs w:val="18"/>
          <w:color w:val="auto"/>
        </w:rPr>
      </w:pPr>
    </w:p>
    <w:p>
      <w:pPr>
        <w:ind w:left="500" w:right="40" w:hanging="330"/>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7.7% and 5.2% to $9,501,681 and $19,243,048 during the three and six months ended February 28, 2026, respectively, compared to $8,819,510 and $18,289,504 for the three and six months ended February 28, 2025, respectively. These increases were primarily due to strategic investments in ZERUST® oil and gas marketing and sales efforts, including personnel expenses and the corresponding benefits, as well as increased travel and professional fees.</w:t>
      </w:r>
    </w:p>
    <w:p>
      <w:pPr>
        <w:spacing w:after="0" w:line="179" w:lineRule="exact"/>
        <w:rPr>
          <w:rFonts w:ascii="Times New Roman" w:cs="Times New Roman" w:eastAsia="Times New Roman" w:hAnsi="Times New Roman"/>
          <w:sz w:val="18"/>
          <w:szCs w:val="18"/>
          <w:color w:val="auto"/>
        </w:rPr>
      </w:pPr>
    </w:p>
    <w:p>
      <w:pPr>
        <w:ind w:left="500" w:right="60" w:hanging="330"/>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net loss attributable to NTIC was $35,323, or $0.00 per diluted common share, for the three months ended February 28, 2026, compared to net income attributable to NTIC of $434,319, or $0.04 per diluted common share, for the three months ended February 28, 2025. NTIC earned net income attributable to NTIC of $202,496 or $0.02 per diluted common share, for the six months ended February 28, 2026, compared to $995,410 or $0.10 per diluted common share, for the six months ended February 28, 2025.</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six months ended February 28, 2026, NTIC incurred additional costs related to tariffs and expects such costs to continue throughout fiscal 2026. Management has implemented, and expects to continue to implement, proactive measures to mitigate inflationary and supply chain pressures resulting from tariffs through a combination of supplier diversification, regional sourcing initiatives, cost reduction programs, and manufacturing optimization.</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Management continues to monitor global trade developments and evaluate opportunities to further reduce its exposure to tariffs by localizing production and developing alternative sourcing options where practicable. With respect to NTIC China, a majority of its production and sales are for local consumption. Accordingly, management believes that NTIC China’s exposure to tariffs, including those imposed by the United States, is limited. However, given the complex and evolving nature of global trade policy, there can be no assurance that tariffs or other trade restrictions will not adversely affect NTIC’s net sales, gross margins, or operating results in future periods. Tariffs have had a particular impact on NTIC’s Natur-Tec® business, which relies on the global procurement of raw materials and finished goods. These factors may affect production economics, customer pricing, and competitive positioning, particularly in markets where NTIC competes with local producers not subject to comparable tariff exposure.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six months ended February 28, 2026 and February 28,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8"/>
          </w:tcPr>
          <w:p>
            <w:pPr>
              <w:ind w:left="124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21,996,785</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19,072,066</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2,924,719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14,138,899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12,276,482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1,862,417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1,100,670</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620,730</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479,940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925,899</w:t>
            </w:r>
          </w:p>
        </w:tc>
        <w:tc>
          <w:tcPr>
            <w:tcW w:w="120" w:type="dxa"/>
            <w:vAlign w:val="bottom"/>
          </w:tcPr>
          <w:p>
            <w:pPr>
              <w:spacing w:after="0"/>
              <w:rPr>
                <w:sz w:val="20"/>
                <w:szCs w:val="20"/>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1,070,263</w:t>
            </w:r>
          </w:p>
        </w:tc>
        <w:tc>
          <w:tcPr>
            <w:tcW w:w="1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4,713,772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4,210,242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503,530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3,612,707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3,320,369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292,338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1,175,202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1,288,899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45,305,666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40,410,459</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4,895,207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29,064,154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25,451,922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3,612,232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2,322,786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1,750,323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572,463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1,995,156</w:t>
            </w: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2,354,382</w:t>
            </w:r>
          </w:p>
        </w:tc>
        <w:tc>
          <w:tcPr>
            <w:tcW w:w="1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9,085,274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8,477,896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607,378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7,761,660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7,179,312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582,348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2,396,114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2,632,296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9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15.3% and 12.1% to $21,996,785 and $45,305,666 during the three and six months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respectively, compared to $19,072,066 and $40,410,459 during the three and six months ended February 28, 2025, respectively. These increases were primarily due to increased sales and demand for both ZERUST® and Natur-Tec® products during the current year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six months ended February 28, 2026 and February 28,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16,633,456</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14,112,017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33,949,652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29,587,820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5,363,329</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4,960,049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11,356,014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10,822,639</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21,996,785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19,072,066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45,305,666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40,410,459</w:t>
            </w:r>
          </w:p>
        </w:tc>
      </w:tr>
    </w:tbl>
    <w:p>
      <w:pPr>
        <w:spacing w:after="0" w:line="19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February 28, 2026, 75.6% and 74.9% of NTIC’s consolidated net sales, respectively, were derived from sales of ZERUST® products and services, which increased 17.9% and 14.7% to $16,633,456 and $33,949,652, respectively, compared to $14,112,017 and $29,587,820 during the three and six months ended February 28, 2026, respectively. These increases were primarily due to increased demand for ZERUST® oil and gas products and ZERUST® industrial products during the current year periods.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six months ended February 28, 2026 and February 28,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13,967,414</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12,562,853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1,404,561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1,549,164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1,116,878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16,633,456</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14,112,017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2,521,439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28,889,932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26,525,105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2,364,827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5,059,720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3,062,715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1,997,005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33,949,652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29,587,820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4,361,832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spacing w:after="0" w:line="1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ZERUST® industrial net sales increased 11.2% and 8.9% during the three and six months ended February 28, 2026, respectively, compared to the same prior fiscal year periods, primarily due to increased demand for North American ZERUST® and NTI China ZERUST® industrial products during the current year periods. Overall, demand for ZERUST® products and services depends heavily on the overall health of the markets in which NTIC sells its products, including the automotive, construction, agriculture, and mining markets in particular.</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ZERUST® oil and gas net sales increased 72.1% and 65.2% during the three and six months ended February 28, 2026, respectively, compared to the same prior fiscal year periods primarily due to increased demand, primarily in the Middle East and Brazil, during the current year periods. However, the ongoing geopolitical conflict and related disruptions affecting energy markets and shipping routes in the Middle East may increase the volatility of future customer demand, project timing, and order patterns for NTIC’s oil and gas products and services. In addition,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For example,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(US$13.1 million). This includes approximately R$40 million (US$7.5 million) in materials and approximately R$30 million (US$5.6 million) in engineering and field services. The amount and timing of revenue anticipated to be generated under this agreement may materially and positively affect NTIC’s future quarterly sales and other operating results.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February 28, 2026, 24.4% and 25.1% of NTIC’s consolidated net sales, respectively, were derived from sales of Natur-Tec® products, compared to 26.0% and 26.8% during the three and six months ended February 28, 2025, respectively. Sales of Natur-Tec® products increased 8.1% to $5,363,329 during the three months ended February 28, 2026 compared to $4,960,049 during the three months ended February 28, 2025. Sales of Natur-Tec® products increased 4.9% to $11,356,014 during the six months ended February 28, 2026 compared to $10,822,639 during the six months ended February 28, 2025. These increases were primarily due to timing differences in sales specifically to customers in North America.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15.2% and 14.2% during the three and six months ended February 28, 2026,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six months ended February 28, 2025 primarily due to the increase in sales and slightly higher raw material prices. Cost of goods sold as a percentage of net sales were 64.3% and 64.2% for the three and six months ended February 28, 2026, respectively, compared to 64.4% and 63.0% for the three and six months ended February 28, 2025, respectively. The slight decrease for the three-month comparison was primarily due to the increase in sales and the slight increase for the six-month comparison was primarily due to slightly higher raw material prices.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77.3% and 32.7% to $1,100,670 and $2,322,786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2026, respectively, compared to $620,730 and $1,750,323 during the three and six months ended February 28, 2025, respectively, primarily due to a modification of the fees for services due to tax planning in the six months ended February 28, 2026 for two joint ventures which resulted in a decrease in fees for services and an increase in equity in income for both entities. NTIC’s equity in income from joint ventures fluctuates primarily based on net sales and profitability of the joint ventures during the respective periods. Additionally, of the total equity in income from joint ventures, NTIC had equity in income from joint ventures of $970,355 attributable to EXCOR during the six months ended February 28, 2026, compared to $892,001 attributable to EXCOR during the six months ended February 28, 2025. This increase was due to the modification of fees noted above. NTIC had equity in income from all other joint ventures of $1,352,431 during the six months ended February 28, 2026, compared to $858,322 during the six months ended February 28, 2025.</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$925,899 and $1,995,156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2026, respectively, compared to $1,070,263 and $2,354,382 during the three and six months ended February 28, 2025, respectively, representing decreases of 13.5% and 15.3%, respectively, primarily due to a modification of the fees for services plans due to tax planning in fiscal 2026 for two joint ventures, which resulted in a decrease in fees for services and an increase in equity in income for both entities.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during the three and six months ended February 28, 2026. Net sales at the joint ventures increased 18.6% and 10.0% to $23,483,578 and $48,015,009 during the three and six months ended February 28, 2026, respectively, compared to $19,799,875 and $43,636,885 during the three and six months ended February 28, 2025, respectively. These increases were primarily due to increases in demand for products at most joint ventures. Net sales of NTIC’s joint ventures are not included in NTIC’s product sales and are not included in NTIC’s consolidated financial statements. Of the total fee income for services provided to joint ventures, fees of $74,081 were attributable to EXCOR during the six months ended February 28, 2026, as only one month of fees were recorded before the change in fees was made, compared to fees of $408,056 attributable to EXCOR during the six months ended February 28,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12.0% and 7.2% for the three and six months ended February 28, 2026,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respective periods in fiscal 2025 primarily due to increased personnel expense during the current fiscal year periods compared to the same prior fiscal year periods. Selling expenses as a percentage of net sales decreased to 21.4% and 20.1% for the three and six months ended February 28, 2026, respectively, from 22.1% and 21.0% for the three and six months ended February 28, 2025, respectively, primarily due to increased net sales, partially offset by increased selling expenses.</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8.8% and 8.1%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2026, respectively, compared to the same respective periods in fiscal 2025 primarily due to increased professional services and travel and personnel expenses, which relate in part to increased information technology infrastructure, during the current fiscal year periods compared to the same prior fiscal year periods. As a percentage of net sales, general and administrative expenses decreased to 16.4% and 17.1% for the three and six months ended February 28, 2026, respectively, from 17.4% and 17.8% for the same respective periods in fiscal 2025 primarily due to increased net sales, partially offset by increased general and administrative expenses.</w:t>
      </w:r>
    </w:p>
    <w:p>
      <w:pPr>
        <w:spacing w:after="0" w:line="18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decreased 8.8% and 9.0%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2026, respectively, compared to the same respective periods in fiscal 2025 primarily due to the transition of expenses from research and development to selling expenses.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$65,568 and $102,810 during the three and six months ended February 28, 2026,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$210,156 and $235,723 during the three and six months ended February 28, 2025, respectively, primarily due to interest income recognized during the prior-year periods related to the payment of the employee retention credit (ERC), which did not repeat in the current year periods, as well as changes in invested cash balances and rates of return at various subsidiaries.</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$196,651 and $396,617 during the three and six months ended February 28, 2026,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$139,155 and $259,375 during the three and six months ended February 28, 2025, respectively, primarily due to increased outstanding average borrowings during the current fiscal year periods.</w:t>
      </w:r>
    </w:p>
    <w:p>
      <w:pPr>
        <w:spacing w:after="0" w:line="1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i w:val="1"/>
          <w:iCs w:val="1"/>
          <w:color w:val="auto"/>
        </w:rPr>
        <w:t>Other Income</w:t>
      </w:r>
      <w:r>
        <w:rPr>
          <w:rFonts w:ascii="Times New Roman" w:cs="Times New Roman" w:eastAsia="Times New Roman" w:hAnsi="Times New Roman"/>
          <w:sz w:val="17"/>
          <w:szCs w:val="17"/>
          <w:color w:val="auto"/>
        </w:rPr>
        <w:t>. NTIC recognized $1,139,756 in other income during the three and six months ended February 28, 2025 due to the receipt of the ERC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No other income was recognized during the current fiscal year periods. The ERC income was recognized upon receipt of a cash payment in accordance with applicable accounting guidance and was claimed under the suspension test criteria, as described in Note 1 to NTIC’s consolidated financial statements for the fiscal year ended August 31, 2025. The ERC payment was a one-time event and does not represent recurring operational revenue.</w:t>
      </w:r>
    </w:p>
    <w:p>
      <w:pPr>
        <w:spacing w:after="0" w:line="16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$251,691 and $1,022,599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2026, respectively, compared to $877,824 and $1,889,842 for the three and six months ended February 28,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$75,490 and $340,519 for the three and six months ended February 28, 2026, respectively, compared to</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$275,197 and $493,068 during the three and six months ended February 28, 2025, respectively. Income tax expense was calculated based on management’s estimate of NTIC’s annual effective income tax rate.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$28,803,395 and $27,667,432 as of February 28, 2026, and August 31, 2025,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Net (Loss) Income Attributable to NTIC</w:t>
      </w:r>
      <w:r>
        <w:rPr>
          <w:rFonts w:ascii="Times New Roman" w:cs="Times New Roman" w:eastAsia="Times New Roman" w:hAnsi="Times New Roman"/>
          <w:sz w:val="18"/>
          <w:szCs w:val="18"/>
          <w:color w:val="auto"/>
        </w:rPr>
        <w:t>. Net loss attributable to NTIC was $35,323, or $0.00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2026, compared to net income attributable to NTIC of $434,319, or $0.04 per diluted common share, for the three months ended February 28, 2025. Net income attributable to NTIC decreased to $202,496, or $0.02 per diluted common share, for the six months ended February 28, 2026, compared to $995,410, or $0.10 per diluted common share, for the six months ended February 28, 2025. These decreases in net income attributable to NTIC were primarily due to the decreases in other income, increases in operating expenses, and increases in interest expense, partially offset by the increases in gross profit and increases in joint venture operating income, in each case in the current fiscal year periods compared to the prior fiscal year periods.</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six months ended February 28, 2026 compared to the same respective periods in fiscal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$20,201,756 as of February 28,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$6,469,750 in cash and cash equivalents, $11,282,291 outstanding under NTIC’s line of credit, and $2,915,919 outstanding under NTIC China’s term loans, current, compared to $20,438,722 as of August 31, 2025, including $7,250,523 in cash and cash equivalents, $9,329,021 outstanding under NTIC’s line of credit, and $2,860,256 of outstanding term loans, current. Reducing debt through positive operating cash flow and improving working capital efficiencies is a strategic focus for fiscal 2026.</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2026,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ind w:right="240"/>
        <w:spacing w:after="0" w:line="266" w:lineRule="auto"/>
        <w:rPr>
          <w:sz w:val="20"/>
          <w:szCs w:val="20"/>
          <w:color w:val="auto"/>
        </w:rPr>
      </w:pPr>
      <w:r>
        <w:rPr>
          <w:rFonts w:ascii="Times New Roman" w:cs="Times New Roman" w:eastAsia="Times New Roman" w:hAnsi="Times New Roman"/>
          <w:sz w:val="18"/>
          <w:szCs w:val="18"/>
          <w:color w:val="auto"/>
        </w:rPr>
        <w:t>NTIC also expects to use some of its capital resources to acquire the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NTIC is party to a Credit Agreement (as amended, the Credit Agreement) with JPMorgan Chase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(JPM), which provides NTIC with a senior secured revolving line of credit (the Credit Facility) of up to $12.0 million, which includes a $5.0 million sublimit for standby letters of credit. Borrowings of $11,282,291 and $9,329,021 were outstanding under the Credit Facility as of February 28, 2026 and August 31, 2025, respectively. NTIC was in compliance with all debt covenants as of February 28, 2026.</w:t>
      </w:r>
    </w:p>
    <w:p>
      <w:pPr>
        <w:spacing w:after="0" w:line="18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December 17, 2025, NTIC and JPM renewed NTIC’s Credit Agreement to extend the maturity date of the Credit Facility from January 5, 2026 to February 5, 2027.</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30, 2026, NTIC and JPM entered into an amendment to the Credit Agreement, which increased the availability under the Credit Facility from $10.0 million to $12.0 million.</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principal amount under the Credit Facility, together with all accrued unpaid interest and other amounts owing thereunder, if any, will be payable in full on the maturity date, unless the Credit Facility is extended or renewed or terminated earlier.</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6.04% and 6.76% for the six months ended February 28, 2026 and 2025, respectively.</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secure the Credit Agreement, NTIC assigned JPM a continuing security interest in all of its right, title and interest in collateral made up of the assets of NTIC.</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NTIC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Other Credit Arrangements</w:t>
      </w:r>
      <w:r>
        <w:rPr>
          <w:rFonts w:ascii="Times New Roman" w:cs="Times New Roman" w:eastAsia="Times New Roman" w:hAnsi="Times New Roman"/>
          <w:sz w:val="18"/>
          <w:szCs w:val="18"/>
          <w:color w:val="auto"/>
        </w:rPr>
        <w:t>. On each of April 22, 2025 and May 29, 2025, NTIC’s wholly owned subsidiary in China, NTIC China, entered into a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China Construction Bank Corporation. Each term loan provided NTIC China with a RMB 10,000,000 (USD $1.41 million). The term loans mature in April 2026 and May 2026, respectively, unless extended. It is anticipated that each term loan will be extended for an additional one-year period.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NTIC was in compliance with the covenants as of February 28, 2026. The outstanding balance as of February 28, 2026 for both term loans was a total of USD $2,915,919.</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August 30, 2025, NTIC’s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6.45% per annum. The loan is secured by a lien over Natur-Tec India’s cash deposits with the Bank totaling INR 476 lakhs (USD $539,731), and the related land purchase, which was registered in November 2025. The outstanding balance as of February 28, 2026 was INR 439.4 lakhs (USD $482,375), of which INR 55.1 lakhs (USD $60,536) was classified as current and INR 384.2 lakhs (USD $421,839)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as of February 28, 2026.</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used in operating activities during the six months ended February 28, 2026 was $1,381,780,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equity in income from joint ventures and changes in assets and liabilities, partially offset by NTIC’s net income, dividends received from joint ventures, depreciation and amortization expense, and stock-based compensation. Net cash provided by operating activities during the six months ended February 28, 2025 was $3,198,741, which resulted principally from changes in assets and liabilities and NTIC’s net income, dividends received from joint ventures, depreciation and amortization expense, and stock-based compensation, partially offset by equity in income from joint ventures.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NTIC experienced a decrease in trade receivables and an increase in inventory as of February 28, 2026, compared to August 31, 2025. Trade receivables decreased by $409,239, primarily due to the timing of sales and collections, while inventory increased by $981,547, primarily due to the timing of purchases, production and sales.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Outstanding trade receivables decreased an average of 2 days to an average of 74 days from balances outstanding from these customers as of February 28, 2026 from an average of 76 days as of August 31, 2025.</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28, 2026 decreased $180,375 compared to August 31, 2025, and the average days to pay increased an average of 14 days to an average of 87 days from an average of 73 days as of August 31, 2025.</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February 28, 2026 was $1,043,667, which was primarily the result of investments in intangibles and purchases of property and equipment. Net cash used in investing activities for the six months ended February 28, 2025 was $2,580,757, which was primarily the result of investments in intangibles and purchases of property and equipment.</w:t>
      </w:r>
    </w:p>
    <w:p>
      <w:pPr>
        <w:spacing w:after="0" w:line="17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February 28, 2026 was $1,554,521, primarily due to borrowings under the line of credit and proceeds from NTIC’s employee stock purchase plan, partially offset by repayments on the line of credit, dividends paid to shareholders and dividends paid to non-controlling interests. Net used in financing activities for the six months ended February 28, 2025 was $320,345, which resulted from dividends paid to shareholders and dividends received by non-controlling interests, partially offset by borrowings under the line of credit and proceeds from NTIC’s employee stock purchase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As of February 28, 2026, up to $2,640,548 in shares of NTIC common stock remained available for repurchase under NTIC’s stock repurchase program. No repurchases occurred during the six months ended February 28, 2026.</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the six months ended February 28, 2026, NTIC’s Board of Directors declared cash dividends on the following dates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to the following holders of NTIC’s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15, 2025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29, 2025</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12, 2025</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28, 2026</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11, 2026</w:t>
            </w: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2025, NTIC’s Board of Directors declared cash dividends on the following dates in the following amounts to the following holders of NTIC’s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0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16, 2024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30, 2024</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13, 2024</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29, 2025</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12, 2025</w:t>
            </w:r>
          </w:p>
        </w:tc>
      </w:tr>
    </w:tbl>
    <w:p>
      <w:pPr>
        <w:spacing w:after="0" w:line="1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financial agreements, business conditions, and other factors.</w:t>
      </w:r>
    </w:p>
    <w:p>
      <w:pPr>
        <w:spacing w:after="0" w:line="16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i w:val="1"/>
          <w:iCs w:val="1"/>
          <w:color w:val="auto"/>
        </w:rPr>
        <w:t>Capital Expenditures and Commitments</w:t>
      </w:r>
      <w:r>
        <w:rPr>
          <w:rFonts w:ascii="Times New Roman" w:cs="Times New Roman" w:eastAsia="Times New Roman" w:hAnsi="Times New Roman"/>
          <w:sz w:val="17"/>
          <w:szCs w:val="17"/>
          <w:color w:val="auto"/>
        </w:rPr>
        <w:t>. NTIC spent $1,006,298 on capital expenditures during the six months ended February 28, 2026, which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to investments in land at a planned new facility for Natur-Tec India in Chennai, India. NTIC expects to spend an aggregate of approximately $1,200,000 to $1,500,000 on capital expenditures during the remainder of fiscal 2026, which it expects will relate primarily to construction of new buildings and warehouses in India and Brazil, as well as the purchase of new equipment and facility improvements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Inflation in the United States and abroad historically has had minimal effect on NTIC and did not adversely affect NTIC’s gross margins during the first half of fiscal 2026. NTIC believes there is some seasonality in its business. NTIC believes its net sales in the second fiscal quarter were and may continue to be adversely affected by the long Chinese New Year, the North American holiday season and overall less corrosion taking place at lower winter temperatures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$11,282,291 were outstanding under the Credit Facility as of February 28,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February 28, 2026 for both term loans is a total of USD $2,915,919.</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Foreign Currency Term Loan taken out with IDFC FIRST Bank Limited bears interest at a fixed rate of 6.45% per annum. The outstanding balance as of February 28, 2026 was INR 439.4 lakhs (USD $482,375).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ind w:right="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5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the U.S.-Israel-Iran conflict, which has had immediate and substantial effects on global trade, energy markets and financial markets;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trade regulation, quotas, duties, or tariffs, caused by the changing U.S. and geopolitical environments or otherwise;</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including in particular in the United States, Europe, India and China, and in the automotive industry, and the effect of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slowdowns within the automotive industry and decreased exports of automotive products resulting from tariffs between the U.S. and both Mexico and Canada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chains on NTIC’s business, operating results and financial condition;</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to distribution channels for NTIC’s products and disruptions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war between Russia and Ukraine, conflicts in the Middle East and sanctions against Russia by U.S. and European governments on energy prices, which have adversely affected our joint venture sales, and on commodity price fluctuations, which have decreased our margins and the margins of our joint ventures and resulted in decreased joint venture profitability, which will likely continue through the end of fiscal 2026;</w:t>
      </w:r>
    </w:p>
    <w:p>
      <w:pPr>
        <w:spacing w:after="0" w:line="179"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ongoing war between Russia and Ukraine and the conflicts in the Middle East;</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 including the implementation of higher tariffs;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5" w:name="page36"/>
    <w:bookmarkEnd w:id="35"/>
    <w:p>
      <w:pPr>
        <w:ind w:left="324" w:right="18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4" w:right="620" w:hanging="324"/>
        <w:spacing w:after="0" w:line="312" w:lineRule="auto"/>
        <w:tabs>
          <w:tab w:leader="none" w:pos="32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39" w:lineRule="exact"/>
        <w:rPr>
          <w:rFonts w:ascii="Times New Roman" w:cs="Times New Roman" w:eastAsia="Times New Roman" w:hAnsi="Times New Roman"/>
          <w:sz w:val="17"/>
          <w:szCs w:val="17"/>
          <w:color w:val="auto"/>
        </w:rPr>
      </w:pPr>
    </w:p>
    <w:p>
      <w:pPr>
        <w:ind w:left="324" w:right="3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due to higher demand and freight costs, supply chain disruptions and the impact of government sanctions;</w:t>
      </w:r>
    </w:p>
    <w:p>
      <w:pPr>
        <w:spacing w:after="0" w:line="161" w:lineRule="exact"/>
        <w:rPr>
          <w:rFonts w:ascii="Times New Roman" w:cs="Times New Roman" w:eastAsia="Times New Roman" w:hAnsi="Times New Roman"/>
          <w:sz w:val="18"/>
          <w:szCs w:val="18"/>
          <w:color w:val="auto"/>
        </w:rPr>
      </w:pPr>
    </w:p>
    <w:p>
      <w:pPr>
        <w:ind w:left="324" w:right="100"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right="10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4" w:right="24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or lack thereof of rules and regulations favorable to the market for biodegradable plastics and the Trump administration’s reversal of certain policies related to the market for biodegradable plastics;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Brazil’s ability to perform and realize revenue and other benefits under its three-year offshore oil and gas production asset preservation contract with a global engineering, procurement, and construction company;</w:t>
      </w:r>
    </w:p>
    <w:p>
      <w:pPr>
        <w:spacing w:after="0" w:line="161"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580" w:right="379" w:bottom="1440" w:gutter="0" w:footer="0" w:header="0"/>
        </w:sectPr>
      </w:pPr>
    </w:p>
    <w:bookmarkStart w:id="36" w:name="page37"/>
    <w:bookmarkEnd w:id="36"/>
    <w:p>
      <w:pPr>
        <w:ind w:left="980" w:right="2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advancements in artificial intelligence (AI) technologies, which may disrupt our industry at an accelerated pace and adversely affect our competitive position, customer expectations, and operational performance if we fail to adapt or implement AI innovations effectively or if competitors leverage AI more effectively or quickly;</w:t>
      </w:r>
    </w:p>
    <w:p>
      <w:pPr>
        <w:spacing w:after="0" w:line="17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 and risks associated with its implementation of a new Enterprise Resource Planning system.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2025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tariffs,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tariff environment is complex and evolving. NTIC’s business incurred in the six months ended February 28, 2026, and expects to continue to incur throughout fiscal 2026, additional costs as it relates to tariffs. NTIC has taken and will continue to take action to mitigate inflationary pressures caused by tariffs through a combination of targeted price increases, supplier diversification and other strategic sourcing adjustments, cost reductions, and manufacturing optimization. With respect to NTIC China, specifically, the majority of NTIC China’s production and sales are for local consumption; and therefore, NTIC believes NTIC China’s exposure to tariffs, included those imposed by the United States is limited.</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interest rate risk,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6.04% for the six months ended February 28, 2026. Borrowings of $11,282,291 were outstanding under the Credit Facility as of February 28, 2026. The two term loans undertaken by NTIC China with China Construction Bank Corporation have annual interest rates of 2.75% and 2.96%, respectively, with interest due monthly. The outstanding balance as of February 28, 2026 for both term loans is a total of USD $2,915,919. In addition, the foreign currency term loan entered into by Natur-Tec India with IDFC FIRST Bank Limited bears interest at a fixed rate of 6.45% per annum. The outstanding balance as of February 28, 2026 for this term loan is USD $482,375.</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8" w:name="page39"/>
    <w:bookmarkEnd w:id="3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28, 2026 that has materially affected or is reasonably likely to materially affect NTIC’s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13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Item 1A. is inapplicable to NTIC as a smaller reporting company, NTIC hereby discloses the following new risk factor:</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instability in the Middle East and disruptions in global petrochemical and supply chain markets could adversely affect our business, results of operations and financial condition.</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NTIC has operations, customers and business activities in the Middle East, including through our Zerust Integrity Solutions oil and gas efforts. Instability in the region could disrupt customer activity, delay projects, impair logistics, increase costs and adversely affect the ability of customers and business partners to satisfy their obligations.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volatility in petrochemical markets and broader supply chain disruptions could increase raw material and freight costs, lengthen lead times, reduce product availability and adversely affect our sales, margins and profitability.</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2026,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second quarter of fiscal 2026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Shares (or</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 (or</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Plans or</w:t>
            </w:r>
          </w:p>
        </w:tc>
      </w:tr>
      <w:tr>
        <w:trPr>
          <w:trHeight w:val="23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 through December 31, 2025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500" w:right="46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2026, up to $2,640,548 in shares of NTIC common stock remained available for repurchase under NTIC’s stock repurchase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January 30, 2026, Northern Technologies International Corporation and JPMorgan Chase Bank, N.A. entered into an amendment to the Credit Agreement to increase the availability under the Credit Facility from $10.0 million to $12.0 million. The other material terms of the Credit Facility and the Credit Agreement were not affected by this amendment.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represents only a summary of the material terms of the amendment to the Credit Agreement, does not purport to be complete and is qualified in its entirety by reference to the complete text of the amendment to the Credit Agreement, which is filed as Exhibit 10.1 to this quarterly report on Form 10-Q,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2026, none of our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1" w:name="page42"/>
    <w:bookmarkEnd w:id="4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Fourth Amendment to Credit Agreement, dated as of January 30, 2026, between JPMorgan Chase Bank, N.A. and Northern Technologies</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International Corporation (filed herewith)</w:t>
            </w:r>
          </w:p>
        </w:tc>
        <w:tc>
          <w:tcPr>
            <w:tcW w:w="6900" w:type="dxa"/>
            <w:vAlign w:val="bottom"/>
            <w:tcBorders>
              <w:top w:val="single" w:sz="8" w:color="0000EE"/>
            </w:tcBorders>
            <w:gridSpan w:val="3"/>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412"/>
        </w:trPr>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Line of Credit Note, dated January 30, 2026, between Northern Technologies International Corporation and JPMorgan Chase Bank, N.A. (filed</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herewith)</w:t>
            </w:r>
          </w:p>
        </w:tc>
      </w:tr>
      <w:tr>
        <w:trPr>
          <w:trHeight w:val="20"/>
        </w:trPr>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20" w:type="dxa"/>
            <w:vAlign w:val="bottom"/>
          </w:tcPr>
          <w:p>
            <w:pPr>
              <w:spacing w:after="0"/>
              <w:rPr>
                <w:sz w:val="24"/>
                <w:szCs w:val="24"/>
                <w:color w:val="auto"/>
              </w:rPr>
            </w:pPr>
          </w:p>
        </w:tc>
        <w:tc>
          <w:tcPr>
            <w:tcW w:w="10320" w:type="dxa"/>
            <w:vAlign w:val="bottom"/>
            <w:gridSpan w:val="15"/>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Note Modification Agreement dated as of December 17, 2025 between Northern Technologies International Corporation and JPMorgan Chase</w:t>
              </w:r>
            </w:hyperlink>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Bank, N.A. (incorporated by reference to Exhibit 10.1 to NTIC’s Current Report on Form 8-K as filed with the Securities and Exchange</w:t>
              </w:r>
            </w:hyperlink>
          </w:p>
        </w:tc>
        <w:tc>
          <w:tcPr>
            <w:tcW w:w="44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Commission on December 19, 2025 (File No. 001-11038)</w:t>
              </w:r>
            </w:hyperlink>
          </w:p>
        </w:tc>
        <w:tc>
          <w:tcPr>
            <w:tcW w:w="6160" w:type="dxa"/>
            <w:vAlign w:val="bottom"/>
            <w:gridSpan w:val="8"/>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SEC Rule 13a-14(a), as adopted pursuant to Section 302 of the Sarbanes-</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(filed herewith)</w:t>
            </w:r>
          </w:p>
        </w:tc>
        <w:tc>
          <w:tcPr>
            <w:tcW w:w="260" w:type="dxa"/>
            <w:vAlign w:val="bottom"/>
            <w:gridSpan w:val="4"/>
          </w:tcPr>
          <w:p>
            <w:pPr>
              <w:spacing w:after="0"/>
              <w:rPr>
                <w:sz w:val="17"/>
                <w:szCs w:val="17"/>
                <w:color w:val="auto"/>
              </w:rPr>
            </w:pPr>
          </w:p>
        </w:tc>
      </w:tr>
      <w:tr>
        <w:trPr>
          <w:trHeight w:val="20"/>
        </w:trPr>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 Rule 13a-14(a), as adopted pursuant to Section 302 of the Sarbanes-Oxley Act of</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c>
          <w:tcPr>
            <w:tcW w:w="400" w:type="dxa"/>
            <w:vAlign w:val="bottom"/>
            <w:gridSpan w:val="5"/>
          </w:tcPr>
          <w:p>
            <w:pPr>
              <w:spacing w:after="0"/>
              <w:rPr>
                <w:sz w:val="17"/>
                <w:szCs w:val="17"/>
                <w:color w:val="auto"/>
              </w:rPr>
            </w:pPr>
          </w:p>
        </w:tc>
      </w:tr>
      <w:tr>
        <w:trPr>
          <w:trHeight w:val="20"/>
        </w:trPr>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President and Chief Executive Officer pursuant to 18 U.S.C. Section 1350, as adopted pursuant to Section 906 of the Sarbanes-</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(furnished herewith)</w:t>
            </w:r>
          </w:p>
        </w:tc>
        <w:tc>
          <w:tcPr>
            <w:tcW w:w="74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Pr>
          <w:p>
            <w:pPr>
              <w:spacing w:after="0"/>
              <w:rPr>
                <w:sz w:val="24"/>
                <w:szCs w:val="24"/>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20" w:type="dxa"/>
            <w:vAlign w:val="bottom"/>
          </w:tcPr>
          <w:p>
            <w:pPr>
              <w:spacing w:after="0"/>
              <w:rPr>
                <w:sz w:val="24"/>
                <w:szCs w:val="24"/>
                <w:color w:val="auto"/>
              </w:rPr>
            </w:pPr>
          </w:p>
        </w:tc>
        <w:tc>
          <w:tcPr>
            <w:tcW w:w="10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 of</w:t>
            </w:r>
          </w:p>
        </w:tc>
      </w:tr>
      <w:tr>
        <w:trPr>
          <w:trHeight w:val="196"/>
        </w:trPr>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2002 (furnished herewith)</w:t>
            </w:r>
          </w:p>
        </w:tc>
        <w:tc>
          <w:tcPr>
            <w:tcW w:w="8280" w:type="dxa"/>
            <w:vAlign w:val="bottom"/>
            <w:tcBorders>
              <w:top w:val="single" w:sz="8" w:color="0000EE"/>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r>
    </w:tbl>
    <w:p>
      <w:pPr>
        <w:spacing w:after="0" w:line="225" w:lineRule="exact"/>
        <w:rPr>
          <w:sz w:val="20"/>
          <w:szCs w:val="20"/>
          <w:color w:val="auto"/>
        </w:rPr>
      </w:pPr>
    </w:p>
    <w:p>
      <w:pPr>
        <w:ind w:left="920" w:right="140" w:hanging="649"/>
        <w:spacing w:after="0" w:line="281"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NTIC’s Quarterly Report on Form 10-Q for the fiscal quarter ended February 28, 2026, formatted in Inline XBRL (Extensible Business Reporting Language): (i) the unaudited Consolidated Balance Sheets, (ii) the unaudited Consolidated Statements of Operations, (iii) the unaudited Consolidated Statements of Comprehensive Income (Loss), (iv) the unaudited Consolidated Statements of Equity, (v) the unaudited Consolidated Statements of Cash Flows, and (vi) Notes to Consolidated Financial Statements (filed herewith)</w:t>
      </w:r>
    </w:p>
    <w:p>
      <w:pPr>
        <w:spacing w:after="0" w:line="164" w:lineRule="exact"/>
        <w:rPr>
          <w:sz w:val="20"/>
          <w:szCs w:val="20"/>
          <w:color w:val="auto"/>
        </w:rPr>
      </w:pPr>
    </w:p>
    <w:p>
      <w:pPr>
        <w:ind w:left="5540" w:right="3800" w:hanging="5269"/>
        <w:spacing w:after="0" w:line="532" w:lineRule="auto"/>
        <w:tabs>
          <w:tab w:leader="none" w:pos="9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2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right="2780" w:hanging="6411"/>
        <w:spacing w:after="0" w:line="273" w:lineRule="auto"/>
        <w:tabs>
          <w:tab w:leader="none" w:pos="6400" w:val="left"/>
        </w:tabs>
        <w:rPr>
          <w:sz w:val="20"/>
          <w:szCs w:val="20"/>
          <w:color w:val="auto"/>
        </w:rPr>
      </w:pPr>
      <w:r>
        <w:rPr>
          <w:rFonts w:ascii="Times New Roman" w:cs="Times New Roman" w:eastAsia="Times New Roman" w:hAnsi="Times New Roman"/>
          <w:sz w:val="18"/>
          <w:szCs w:val="18"/>
          <w:color w:val="auto"/>
        </w:rPr>
        <w:t>Date: April 9, 2026</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spacing w:after="0" w:line="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60"/>
          </w:cols>
          <w:pgMar w:left="320" w:top="576" w:right="4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135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91135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This Fourth Amendment to Credit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January 30, 2026, by and between Northern Technologies International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JPMorgan Chase Bank, N.A. (together with its successors and assigns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The provisions of this Amendment are effective on the date that this Amendment has been executed by all of the signers and delivered to the Bank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and the Bank entered into a Credit Agreement dated December 19, 2022, as amended by the First Amendment to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as of April 11, 2023; as amended by the Second Amendment to Credit Agreement dated as of January 6, 2025; and as amended by the Third Amendment to Credit Agreement dated as of July 8, 2025 (collectively,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and the Bank has agreed to amend the Credit Agreement as set forth in this Amendment;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mutual consideration of the agreements contained herein and for other good and valuable consideration, the parties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5" w:lineRule="exact"/>
        <w:rPr>
          <w:sz w:val="20"/>
          <w:szCs w:val="20"/>
          <w:color w:val="auto"/>
        </w:rPr>
      </w:pPr>
    </w:p>
    <w:p>
      <w:pPr>
        <w:ind w:left="500" w:right="60" w:hanging="492"/>
        <w:spacing w:after="0" w:line="286"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Capitalized terms used in this Amendment shall have the same meanings as in the Credit Agreement, unless otherwise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Amendment.</w:t>
      </w:r>
    </w:p>
    <w:p>
      <w:pPr>
        <w:spacing w:after="0" w:line="15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OF CREDIT AGREEMENT</w:t>
      </w:r>
      <w:r>
        <w:rPr>
          <w:rFonts w:ascii="Times New Roman" w:cs="Times New Roman" w:eastAsia="Times New Roman" w:hAnsi="Times New Roman"/>
          <w:sz w:val="18"/>
          <w:szCs w:val="18"/>
          <w:color w:val="auto"/>
        </w:rPr>
        <w:t>. The Credit Agreement is hereby amended as follows:</w:t>
      </w:r>
    </w:p>
    <w:p>
      <w:pPr>
        <w:spacing w:after="0" w:line="225" w:lineRule="exact"/>
        <w:rPr>
          <w:rFonts w:ascii="Times New Roman" w:cs="Times New Roman" w:eastAsia="Times New Roman" w:hAnsi="Times New Roman"/>
          <w:sz w:val="18"/>
          <w:szCs w:val="18"/>
          <w:b w:val="1"/>
          <w:bCs w:val="1"/>
          <w:color w:val="auto"/>
        </w:rPr>
      </w:pPr>
    </w:p>
    <w:p>
      <w:pPr>
        <w:ind w:left="980" w:right="440" w:hanging="486"/>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first grammatical paragraph of Section</w:t>
      </w:r>
      <w:r>
        <w:rPr>
          <w:rFonts w:ascii="Times New Roman" w:cs="Times New Roman" w:eastAsia="Times New Roman" w:hAnsi="Times New Roman"/>
          <w:sz w:val="18"/>
          <w:szCs w:val="18"/>
          <w:b w:val="1"/>
          <w:bCs w:val="1"/>
          <w:color w:val="auto"/>
        </w:rPr>
        <w:t xml:space="preserve"> 1.2 </w:t>
      </w:r>
      <w:r>
        <w:rPr>
          <w:rFonts w:ascii="Times New Roman" w:cs="Times New Roman" w:eastAsia="Times New Roman" w:hAnsi="Times New Roman"/>
          <w:sz w:val="18"/>
          <w:szCs w:val="18"/>
          <w:color w:val="auto"/>
        </w:rPr>
        <w:t>of the Credit Agreement captioned “</w:t>
      </w:r>
      <w:r>
        <w:rPr>
          <w:rFonts w:ascii="Times New Roman" w:cs="Times New Roman" w:eastAsia="Times New Roman" w:hAnsi="Times New Roman"/>
          <w:sz w:val="18"/>
          <w:szCs w:val="18"/>
          <w:b w:val="1"/>
          <w:bCs w:val="1"/>
          <w:color w:val="auto"/>
        </w:rPr>
        <w:t>Facility A (Line of Credit)</w:t>
      </w:r>
      <w:r>
        <w:rPr>
          <w:rFonts w:ascii="Times New Roman" w:cs="Times New Roman" w:eastAsia="Times New Roman" w:hAnsi="Times New Roman"/>
          <w:sz w:val="18"/>
          <w:szCs w:val="18"/>
          <w:color w:val="auto"/>
        </w:rPr>
        <w:t>” is hereby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to read as follows:</w:t>
      </w:r>
    </w:p>
    <w:p>
      <w:pPr>
        <w:spacing w:after="0" w:line="155" w:lineRule="exact"/>
        <w:rPr>
          <w:sz w:val="20"/>
          <w:szCs w:val="20"/>
          <w:color w:val="auto"/>
        </w:rPr>
      </w:pPr>
    </w:p>
    <w:p>
      <w:pPr>
        <w:jc w:val="both"/>
        <w:ind w:left="1460" w:hanging="485"/>
        <w:spacing w:after="0" w:line="262" w:lineRule="auto"/>
        <w:tabs>
          <w:tab w:leader="none" w:pos="1440" w:val="left"/>
        </w:tabs>
        <w:rPr>
          <w:sz w:val="20"/>
          <w:szCs w:val="20"/>
          <w:color w:val="auto"/>
        </w:rPr>
      </w:pPr>
      <w:r>
        <w:rPr>
          <w:rFonts w:ascii="Times New Roman" w:cs="Times New Roman" w:eastAsia="Times New Roman" w:hAnsi="Times New Roman"/>
          <w:sz w:val="18"/>
          <w:szCs w:val="18"/>
          <w:b w:val="1"/>
          <w:bCs w:val="1"/>
          <w:color w:val="auto"/>
        </w:rPr>
        <w:t>1.2</w:t>
        <w:tab/>
        <w:t xml:space="preserve">Facility A (Line of Credit). </w:t>
      </w:r>
      <w:r>
        <w:rPr>
          <w:rFonts w:ascii="Times New Roman" w:cs="Times New Roman" w:eastAsia="Times New Roman" w:hAnsi="Times New Roman"/>
          <w:sz w:val="18"/>
          <w:szCs w:val="18"/>
          <w:color w:val="auto"/>
        </w:rPr>
        <w:t>The Bank has approved a credit facility to the Borrower in a principal amount not to exceed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$12,000,000.00, at any one time outstanding (“</w:t>
      </w:r>
      <w:r>
        <w:rPr>
          <w:rFonts w:ascii="Times New Roman" w:cs="Times New Roman" w:eastAsia="Times New Roman" w:hAnsi="Times New Roman"/>
          <w:sz w:val="18"/>
          <w:szCs w:val="18"/>
          <w:b w:val="1"/>
          <w:bCs w:val="1"/>
          <w:color w:val="auto"/>
        </w:rPr>
        <w:t>Facility A</w:t>
      </w:r>
      <w:r>
        <w:rPr>
          <w:rFonts w:ascii="Times New Roman" w:cs="Times New Roman" w:eastAsia="Times New Roman" w:hAnsi="Times New Roman"/>
          <w:sz w:val="18"/>
          <w:szCs w:val="18"/>
          <w:color w:val="auto"/>
        </w:rPr>
        <w:t>”). Credit under Facility A shall be repaid as described in a Line of Credit Note executed at the same time as this agreement, along with any renewals, modifications, extensions, rearrangements, restatements and replacements or substitutions.</w:t>
      </w:r>
    </w:p>
    <w:p>
      <w:pPr>
        <w:spacing w:after="0" w:line="176" w:lineRule="exact"/>
        <w:rPr>
          <w:sz w:val="20"/>
          <w:szCs w:val="20"/>
          <w:color w:val="auto"/>
        </w:rPr>
      </w:pPr>
    </w:p>
    <w:p>
      <w:pPr>
        <w:ind w:left="500" w:right="480" w:hanging="492"/>
        <w:spacing w:after="0" w:line="286"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w:t>
      </w:r>
      <w:r>
        <w:rPr>
          <w:rFonts w:ascii="Times New Roman" w:cs="Times New Roman" w:eastAsia="Times New Roman" w:hAnsi="Times New Roman"/>
          <w:sz w:val="18"/>
          <w:szCs w:val="18"/>
          <w:color w:val="auto"/>
        </w:rPr>
        <w:t>. The Borrower ratifies and reaffirms the Credit Agreement and the Credit Agreement shall remain in full force and effect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by this Amendment.</w:t>
      </w:r>
    </w:p>
    <w:p>
      <w:pPr>
        <w:spacing w:after="0" w:line="154" w:lineRule="exact"/>
        <w:rPr>
          <w:rFonts w:ascii="Times New Roman" w:cs="Times New Roman" w:eastAsia="Times New Roman" w:hAnsi="Times New Roman"/>
          <w:sz w:val="18"/>
          <w:szCs w:val="18"/>
          <w:b w:val="1"/>
          <w:bCs w:val="1"/>
          <w:color w:val="auto"/>
        </w:rPr>
      </w:pPr>
    </w:p>
    <w:p>
      <w:pPr>
        <w:ind w:left="500" w:right="40" w:hanging="492"/>
        <w:spacing w:after="0" w:line="278" w:lineRule="auto"/>
        <w:tabs>
          <w:tab w:leader="none" w:pos="50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BORROWER REPRESENTATIONS AND WARRANTIES</w:t>
      </w:r>
      <w:r>
        <w:rPr>
          <w:rFonts w:ascii="Times New Roman" w:cs="Times New Roman" w:eastAsia="Times New Roman" w:hAnsi="Times New Roman"/>
          <w:sz w:val="17"/>
          <w:szCs w:val="17"/>
          <w:color w:val="auto"/>
        </w:rPr>
        <w:t>. The Borrower represents and warrants that (a) the representations and warranties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contained in the Credit Agreement are true and correct in all material respects as of the date of this Amendment, (b) no condition, event, act or omission which could constitute a default or an event of default under the Credit Agreement, as modified by this Amendment, or any other Related Document exists, and (c) no condition, event, act or omission has occurred and is continuing that with the giving of notice, or the passage of time or both, would constitute a default or an event of default under the Credit Agreement, as modified by this Amendment, or any other Related Document.</w:t>
      </w:r>
    </w:p>
    <w:p>
      <w:pPr>
        <w:spacing w:after="0" w:line="163" w:lineRule="exact"/>
        <w:rPr>
          <w:rFonts w:ascii="Times New Roman" w:cs="Times New Roman" w:eastAsia="Times New Roman" w:hAnsi="Times New Roman"/>
          <w:sz w:val="17"/>
          <w:szCs w:val="17"/>
          <w:b w:val="1"/>
          <w:bCs w:val="1"/>
          <w:color w:val="auto"/>
        </w:rPr>
      </w:pPr>
    </w:p>
    <w:p>
      <w:pPr>
        <w:ind w:left="500" w:right="480" w:hanging="492"/>
        <w:spacing w:after="0" w:line="317" w:lineRule="auto"/>
        <w:tabs>
          <w:tab w:leader="none" w:pos="50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FEES AND EXPENSES</w:t>
      </w:r>
      <w:r>
        <w:rPr>
          <w:rFonts w:ascii="Times New Roman" w:cs="Times New Roman" w:eastAsia="Times New Roman" w:hAnsi="Times New Roman"/>
          <w:sz w:val="17"/>
          <w:szCs w:val="17"/>
          <w:color w:val="auto"/>
        </w:rPr>
        <w:t>. The Borrower agrees to pay all fees and out-of-pocket disbursements incurred by the Bank in connection with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including legal fees incurred by the Bank in the preparation, consummation, administration and enforcement of this Amendment.</w:t>
      </w:r>
    </w:p>
    <w:p>
      <w:pPr>
        <w:spacing w:after="0" w:line="131" w:lineRule="exact"/>
        <w:rPr>
          <w:rFonts w:ascii="Times New Roman" w:cs="Times New Roman" w:eastAsia="Times New Roman" w:hAnsi="Times New Roman"/>
          <w:sz w:val="17"/>
          <w:szCs w:val="17"/>
          <w:b w:val="1"/>
          <w:bCs w:val="1"/>
          <w:color w:val="auto"/>
        </w:rPr>
      </w:pPr>
    </w:p>
    <w:p>
      <w:pPr>
        <w:ind w:left="500" w:right="60" w:hanging="492"/>
        <w:spacing w:after="0" w:line="268"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AND DELIVERY BY THE BANK. </w:t>
      </w:r>
      <w:r>
        <w:rPr>
          <w:rFonts w:ascii="Times New Roman" w:cs="Times New Roman" w:eastAsia="Times New Roman" w:hAnsi="Times New Roman"/>
          <w:sz w:val="18"/>
          <w:szCs w:val="18"/>
          <w:color w:val="auto"/>
        </w:rPr>
        <w:t>The Bank shall not be bound by this Amendment until (i) the Bank has executed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(ii) the Borrower has executed and delivered this Amendment together with all other related documents requested by the Bank, and the Borrower has fully satisfied all other conditions precedent, as determined by the Bank in its sole discretion.</w:t>
      </w:r>
    </w:p>
    <w:p>
      <w:pPr>
        <w:spacing w:after="0" w:line="170" w:lineRule="exact"/>
        <w:rPr>
          <w:rFonts w:ascii="Times New Roman" w:cs="Times New Roman" w:eastAsia="Times New Roman" w:hAnsi="Times New Roman"/>
          <w:sz w:val="18"/>
          <w:szCs w:val="18"/>
          <w:b w:val="1"/>
          <w:bCs w:val="1"/>
          <w:color w:val="auto"/>
        </w:rPr>
      </w:pPr>
    </w:p>
    <w:p>
      <w:pPr>
        <w:jc w:val="both"/>
        <w:ind w:left="500" w:right="120" w:hanging="492"/>
        <w:spacing w:after="0" w:line="268"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ACKNOWLEDGEMENTS OF BORROWER / RELEASE. </w:t>
      </w:r>
      <w:r>
        <w:rPr>
          <w:rFonts w:ascii="Times New Roman" w:cs="Times New Roman" w:eastAsia="Times New Roman" w:hAnsi="Times New Roman"/>
          <w:sz w:val="18"/>
          <w:szCs w:val="18"/>
          <w:color w:val="auto"/>
        </w:rPr>
        <w:t>The Borrower acknowledges that as of the date of this Amendment it has no offsets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all amounts owed by the Borrower to the Bank arising under or related to the Credit Agreement, as modified by this Amendment, or any other Related Document on or prior to the date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492" w:right="140"/>
        <w:spacing w:after="0" w:line="247" w:lineRule="auto"/>
        <w:rPr>
          <w:sz w:val="20"/>
          <w:szCs w:val="20"/>
          <w:color w:val="auto"/>
        </w:rPr>
      </w:pPr>
      <w:r>
        <w:rPr>
          <w:rFonts w:ascii="Times New Roman" w:cs="Times New Roman" w:eastAsia="Times New Roman" w:hAnsi="Times New Roman"/>
          <w:sz w:val="21"/>
          <w:szCs w:val="21"/>
          <w:color w:val="auto"/>
        </w:rPr>
        <w:t>The Borrower fully, finally and forever releases and discharges the Bank, its successors and assigns and their respective directors, officers, employees, agents and representatives (each a “</w:t>
      </w:r>
      <w:r>
        <w:rPr>
          <w:rFonts w:ascii="Times New Roman" w:cs="Times New Roman" w:eastAsia="Times New Roman" w:hAnsi="Times New Roman"/>
          <w:sz w:val="21"/>
          <w:szCs w:val="21"/>
          <w:b w:val="1"/>
          <w:bCs w:val="1"/>
          <w:color w:val="auto"/>
        </w:rPr>
        <w:t>Bank Party</w:t>
      </w:r>
      <w:r>
        <w:rPr>
          <w:rFonts w:ascii="Times New Roman" w:cs="Times New Roman" w:eastAsia="Times New Roman" w:hAnsi="Times New Roman"/>
          <w:sz w:val="21"/>
          <w:szCs w:val="21"/>
          <w:color w:val="auto"/>
        </w:rPr>
        <w:t>”) from any and all claims, causes of action, debts, demands and liabilities, of whatever kind or nature, in law or in equity, of the Borrower, whether now known or unknown to the Borrower, which may have arisen in connection with the Credit Agreement or the actions or omissions of any Bank Party related to the Credit Agreement on or prior to the date hereof. The Borrower acknowledges and agrees that this Amendment is limited to the terms outlined above, and shall not be construed as an agreement to change any other terms or provisions of the Credit Agreement. This Amendment shall not establish a course of dealing or be construed as evidence of any willingness on the Bank’s part to grant other or future agreements, should any be requested.</w:t>
      </w:r>
    </w:p>
    <w:p>
      <w:pPr>
        <w:spacing w:after="0" w:line="204" w:lineRule="exact"/>
        <w:rPr>
          <w:sz w:val="20"/>
          <w:szCs w:val="20"/>
          <w:color w:val="auto"/>
        </w:rPr>
      </w:pPr>
    </w:p>
    <w:p>
      <w:pPr>
        <w:ind w:left="492" w:right="80" w:hanging="492"/>
        <w:spacing w:after="0" w:line="256" w:lineRule="auto"/>
        <w:tabs>
          <w:tab w:leader="none" w:pos="49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STATEMENTS. </w:t>
      </w:r>
      <w:r>
        <w:rPr>
          <w:rFonts w:ascii="Times New Roman" w:cs="Times New Roman" w:eastAsia="Times New Roman" w:hAnsi="Times New Roman"/>
          <w:sz w:val="18"/>
          <w:szCs w:val="18"/>
          <w:color w:val="auto"/>
        </w:rPr>
        <w:t>The Bank may from time to time provide the Borrower with account statements or invoices with respect to any of the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The Bank is under no duty or obligation to provide Statements, which, if provided, will be solely for the Borrower’s convenience. Statements may contain estimates of the amounts owed during the relevant billing period, whether of principal, interest, fees or other Liabilities. If the Borrower pays the full amount indicated on a Statement on or before the due date indicated on such Statement, the Borrower shall not be in default of payment with respect to the billing period indicated on such Statement; provided, that acceptance by the Bank of any payment that is less than the total amount actually due at that time (including but not limited to any past due amounts) shall not constitute a waiver of the Bank’s right to receive payment in full at another time.</w:t>
      </w:r>
    </w:p>
    <w:p>
      <w:pPr>
        <w:spacing w:after="0" w:line="182" w:lineRule="exact"/>
        <w:rPr>
          <w:rFonts w:ascii="Times New Roman" w:cs="Times New Roman" w:eastAsia="Times New Roman" w:hAnsi="Times New Roman"/>
          <w:sz w:val="18"/>
          <w:szCs w:val="18"/>
          <w:b w:val="1"/>
          <w:bCs w:val="1"/>
          <w:color w:val="auto"/>
        </w:rPr>
      </w:pPr>
    </w:p>
    <w:p>
      <w:pPr>
        <w:ind w:left="492" w:hanging="492"/>
        <w:spacing w:after="0"/>
        <w:tabs>
          <w:tab w:leader="none" w:pos="49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INTEGRATION, ENTIRE AGREEMENT, CHANGE, DISCHARGE, TERMINATION, OR WAIVER. </w:t>
      </w:r>
      <w:r>
        <w:rPr>
          <w:rFonts w:ascii="Times New Roman" w:cs="Times New Roman" w:eastAsia="Times New Roman" w:hAnsi="Times New Roman"/>
          <w:sz w:val="18"/>
          <w:szCs w:val="18"/>
          <w:color w:val="auto"/>
        </w:rPr>
        <w:t>The Credit</w:t>
      </w:r>
    </w:p>
    <w:p>
      <w:pPr>
        <w:spacing w:after="0" w:line="247" w:lineRule="exact"/>
        <w:rPr>
          <w:sz w:val="20"/>
          <w:szCs w:val="20"/>
          <w:color w:val="auto"/>
        </w:rPr>
      </w:pPr>
    </w:p>
    <w:p>
      <w:pPr>
        <w:ind w:left="492"/>
        <w:spacing w:after="0" w:line="234" w:lineRule="auto"/>
        <w:rPr>
          <w:sz w:val="20"/>
          <w:szCs w:val="20"/>
          <w:color w:val="auto"/>
        </w:rPr>
      </w:pPr>
      <w:r>
        <w:rPr>
          <w:rFonts w:ascii="Times New Roman" w:cs="Times New Roman" w:eastAsia="Times New Roman" w:hAnsi="Times New Roman"/>
          <w:sz w:val="22"/>
          <w:szCs w:val="22"/>
          <w:color w:val="auto"/>
        </w:rPr>
        <w:t>Agreement, as modified by this Amendment, and the other Related Documents contain the complete understanding and agreement of the Borrower and the Bank in respect of the Credit Facilities and supersede all prior understandings and negotiations. If any one or more of the obligations of the Borrower under this Amendment or the Credit Agreement, as amended by this Amendment, is invalid, illegal or unenforceable in any jurisdiction, the validity, legality and enforceability of the remaining obligations of the Borrower shall not in any way be affected or impaired, and the invalidity, illegality or unenforceability in one jurisdiction shall not affect the validity, legality or enforceability of the obligations of the Borrower under this Amendment, the Credit Agreement, as modified by this Amendment, or any other Related Document in any other jurisdiction. No provision of the Credit Agreement, as modified by this Amendment, or the other Related Documents, may be changed, discharged, supplemented, terminated, or waived except in a writing signed by the party against whom it is being enforced.</w:t>
      </w:r>
    </w:p>
    <w:p>
      <w:pPr>
        <w:spacing w:after="0" w:line="185" w:lineRule="exact"/>
        <w:rPr>
          <w:sz w:val="20"/>
          <w:szCs w:val="20"/>
          <w:color w:val="auto"/>
        </w:rPr>
      </w:pPr>
    </w:p>
    <w:p>
      <w:pPr>
        <w:ind w:left="492" w:right="20" w:hanging="492"/>
        <w:spacing w:after="0" w:line="257" w:lineRule="auto"/>
        <w:tabs>
          <w:tab w:leader="none" w:pos="49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Venue. </w:t>
      </w:r>
      <w:r>
        <w:rPr>
          <w:rFonts w:ascii="Times New Roman" w:cs="Times New Roman" w:eastAsia="Times New Roman" w:hAnsi="Times New Roman"/>
          <w:sz w:val="18"/>
          <w:szCs w:val="18"/>
          <w:color w:val="auto"/>
        </w:rPr>
        <w:t>This Amendment and (unless stated otherwise therein) all Related Documents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Illinois (without giving effect to its laws of conflicts). The Borrower agrees that any legal action or proceeding with respect to any of its obligations under this Amendment may be brought by the Bank in any state or federal court located in the State of Illinois, as the Bank in its sole discretion may elect. By the execution and delivery of this Amendment, the Borrower submits to and accepts, for itself and in respect of its property, generally and unconditionally, the non-exclusive jurisdiction of those courts. The Borrower waives any claim that the State of Illinois is not a convenient forum or the proper venue for any such suit, action or proceeding.</w:t>
      </w:r>
    </w:p>
    <w:p>
      <w:pPr>
        <w:spacing w:after="0" w:line="182" w:lineRule="exact"/>
        <w:rPr>
          <w:rFonts w:ascii="Times New Roman" w:cs="Times New Roman" w:eastAsia="Times New Roman" w:hAnsi="Times New Roman"/>
          <w:sz w:val="18"/>
          <w:szCs w:val="18"/>
          <w:b w:val="1"/>
          <w:bCs w:val="1"/>
          <w:color w:val="auto"/>
        </w:rPr>
      </w:pPr>
    </w:p>
    <w:p>
      <w:pPr>
        <w:ind w:left="492" w:right="120" w:hanging="492"/>
        <w:spacing w:after="0" w:line="255" w:lineRule="auto"/>
        <w:tabs>
          <w:tab w:leader="none" w:pos="49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 A NOVATION</w:t>
      </w:r>
      <w:r>
        <w:rPr>
          <w:rFonts w:ascii="Times New Roman" w:cs="Times New Roman" w:eastAsia="Times New Roman" w:hAnsi="Times New Roman"/>
          <w:sz w:val="18"/>
          <w:szCs w:val="18"/>
          <w:color w:val="auto"/>
        </w:rPr>
        <w:t>. This Amendment is a modification only and not a novation. Except as expressly modified by this Amendment,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any other Related Documents, and all the terms and conditions thereof, shall be and remain in full force and effect with the changes herein deemed to be incorporated therein. This Amendment is to be considered attached to the Credit Agreement and made a part thereof. This Amendment shall not release or affect the liability of any guarantor of any promissory note or credit facility executed in reference to the Credit Agreement or release any owner of collateral granted as security for the Credit Agreement. The validity, priority and enforceability of the Credit Agreement shall not be impaired hereby. To the extent that any provision of this Amendment conflicts with any term or condition set forth in the Credit Agreement, or any other Related Documents, the provisions of this Amendment shall supersede and control. The Bank expressly reserves all rights against all parties to the Credit Agreement and the other Related Documents.</w:t>
      </w:r>
    </w:p>
    <w:p>
      <w:pPr>
        <w:spacing w:after="0" w:line="184" w:lineRule="exact"/>
        <w:rPr>
          <w:rFonts w:ascii="Times New Roman" w:cs="Times New Roman" w:eastAsia="Times New Roman" w:hAnsi="Times New Roman"/>
          <w:sz w:val="18"/>
          <w:szCs w:val="18"/>
          <w:b w:val="1"/>
          <w:bCs w:val="1"/>
          <w:color w:val="auto"/>
        </w:rPr>
      </w:pPr>
    </w:p>
    <w:p>
      <w:pPr>
        <w:ind w:left="492" w:right="160" w:hanging="492"/>
        <w:spacing w:after="0" w:line="286" w:lineRule="auto"/>
        <w:tabs>
          <w:tab w:leader="none" w:pos="49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 EXECUTION. </w:t>
      </w:r>
      <w:r>
        <w:rPr>
          <w:rFonts w:ascii="Times New Roman" w:cs="Times New Roman" w:eastAsia="Times New Roman" w:hAnsi="Times New Roman"/>
          <w:sz w:val="18"/>
          <w:szCs w:val="18"/>
          <w:color w:val="auto"/>
        </w:rPr>
        <w:t>This Amendment may be executed in multiple counterparts, each of which, when so executed,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all such counterparts, taken together, shall constitute one and the same agreement.</w:t>
      </w:r>
    </w:p>
    <w:p>
      <w:pPr>
        <w:spacing w:after="0" w:line="1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928370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1" w:right="339" w:bottom="1440" w:gutter="0" w:footer="0" w:header="0"/>
        </w:sectPr>
      </w:pPr>
    </w:p>
    <w:bookmarkStart w:id="45" w:name="page46"/>
    <w:bookmarkEnd w:id="45"/>
    <w:p>
      <w:pPr>
        <w:ind w:left="500" w:right="540" w:hanging="492"/>
        <w:spacing w:after="0" w:line="286" w:lineRule="auto"/>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TIME IS OF THE ESSENCE. </w:t>
      </w:r>
      <w:r>
        <w:rPr>
          <w:rFonts w:ascii="Times New Roman" w:cs="Times New Roman" w:eastAsia="Times New Roman" w:hAnsi="Times New Roman"/>
          <w:sz w:val="18"/>
          <w:szCs w:val="18"/>
          <w:color w:val="auto"/>
        </w:rPr>
        <w:t>Time is of the essence under this Amendment and in the performance of every term, covenant and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4201 Woodland Rd.</w:t>
            </w:r>
          </w:p>
        </w:tc>
        <w:tc>
          <w:tcPr>
            <w:tcW w:w="73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Northern Technologies International Corporation</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Circle Pines, MN 55014-1794</w:t>
            </w:r>
          </w:p>
        </w:tc>
        <w:tc>
          <w:tcPr>
            <w:tcW w:w="23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3880" w:type="dxa"/>
            <w:vAlign w:val="bottom"/>
          </w:tcPr>
          <w:p>
            <w:pPr>
              <w:spacing w:after="0"/>
              <w:rPr>
                <w:sz w:val="24"/>
                <w:szCs w:val="24"/>
                <w:color w:val="auto"/>
              </w:rPr>
            </w:pPr>
          </w:p>
        </w:tc>
        <w:tc>
          <w:tcPr>
            <w:tcW w:w="2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Wolsfeld</w:t>
            </w:r>
          </w:p>
        </w:tc>
      </w:tr>
      <w:tr>
        <w:trPr>
          <w:trHeight w:val="250"/>
        </w:trPr>
        <w:tc>
          <w:tcPr>
            <w:tcW w:w="3880" w:type="dxa"/>
            <w:vAlign w:val="bottom"/>
          </w:tcPr>
          <w:p>
            <w:pPr>
              <w:spacing w:after="0"/>
              <w:rPr>
                <w:sz w:val="21"/>
                <w:szCs w:val="21"/>
                <w:color w:val="auto"/>
              </w:rPr>
            </w:pPr>
          </w:p>
        </w:tc>
        <w:tc>
          <w:tcPr>
            <w:tcW w:w="2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Printed</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Matt Wolsfeld</w:t>
            </w:r>
          </w:p>
        </w:tc>
      </w:tr>
      <w:tr>
        <w:trPr>
          <w:trHeight w:val="162"/>
        </w:trPr>
        <w:tc>
          <w:tcPr>
            <w:tcW w:w="3880" w:type="dxa"/>
            <w:vAlign w:val="bottom"/>
          </w:tcPr>
          <w:p>
            <w:pPr>
              <w:spacing w:after="0"/>
              <w:rPr>
                <w:sz w:val="14"/>
                <w:szCs w:val="14"/>
                <w:color w:val="auto"/>
              </w:rPr>
            </w:pPr>
          </w:p>
        </w:tc>
        <w:tc>
          <w:tcPr>
            <w:tcW w:w="2320" w:type="dxa"/>
            <w:vAlign w:val="bottom"/>
          </w:tcPr>
          <w:p>
            <w:pPr>
              <w:ind w:left="1700"/>
              <w:spacing w:after="0" w:line="162"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14"/>
                <w:szCs w:val="14"/>
                <w:color w:val="auto"/>
              </w:rPr>
            </w:pPr>
          </w:p>
        </w:tc>
      </w:tr>
      <w:tr>
        <w:trPr>
          <w:trHeight w:val="209"/>
        </w:trPr>
        <w:tc>
          <w:tcPr>
            <w:tcW w:w="3880" w:type="dxa"/>
            <w:vAlign w:val="bottom"/>
          </w:tcPr>
          <w:p>
            <w:pPr>
              <w:spacing w:after="0"/>
              <w:rPr>
                <w:sz w:val="18"/>
                <w:szCs w:val="18"/>
                <w:color w:val="auto"/>
              </w:rPr>
            </w:pPr>
          </w:p>
        </w:tc>
        <w:tc>
          <w:tcPr>
            <w:tcW w:w="2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 / Secretary</w:t>
            </w:r>
          </w:p>
        </w:tc>
      </w:tr>
      <w:tr>
        <w:trPr>
          <w:trHeight w:val="228"/>
        </w:trPr>
        <w:tc>
          <w:tcPr>
            <w:tcW w:w="3880" w:type="dxa"/>
            <w:vAlign w:val="bottom"/>
          </w:tcPr>
          <w:p>
            <w:pPr>
              <w:spacing w:after="0"/>
              <w:rPr>
                <w:sz w:val="19"/>
                <w:szCs w:val="19"/>
                <w:color w:val="auto"/>
              </w:rPr>
            </w:pPr>
          </w:p>
        </w:tc>
        <w:tc>
          <w:tcPr>
            <w:tcW w:w="73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Date Signed: 2/4/2026</w:t>
            </w:r>
          </w:p>
        </w:tc>
      </w:tr>
    </w:tbl>
    <w:p>
      <w:pPr>
        <w:spacing w:after="0" w:line="3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7"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Cherney</w:t>
            </w:r>
          </w:p>
        </w:tc>
        <w:tc>
          <w:tcPr>
            <w:tcW w:w="2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Martin Cherney</w:t>
            </w:r>
          </w:p>
        </w:tc>
        <w:tc>
          <w:tcPr>
            <w:tcW w:w="2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Authorized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420" w:type="dxa"/>
            <w:vAlign w:val="bottom"/>
            <w:gridSpan w:val="3"/>
            <w:vMerge w:val="continue"/>
          </w:tcPr>
          <w:p>
            <w:pPr>
              <w:spacing w:after="0"/>
              <w:rPr>
                <w:sz w:val="10"/>
                <w:szCs w:val="10"/>
                <w:color w:val="auto"/>
              </w:rPr>
            </w:pPr>
          </w:p>
        </w:tc>
        <w:tc>
          <w:tcPr>
            <w:tcW w:w="2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Printed Name</w:t>
            </w:r>
          </w:p>
        </w:tc>
        <w:tc>
          <w:tcPr>
            <w:tcW w:w="226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Date Signed: 2/4/2026</w:t>
            </w:r>
          </w:p>
        </w:tc>
        <w:tc>
          <w:tcPr>
            <w:tcW w:w="2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Line of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1350" cy="402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91135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$12,000,000.00</w:t>
      </w:r>
    </w:p>
    <w:p>
      <w:pPr>
        <w:spacing w:after="0" w:line="4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7"/>
          <w:szCs w:val="17"/>
          <w:b w:val="1"/>
          <w:bCs w:val="1"/>
          <w:color w:val="auto"/>
        </w:rPr>
        <w:t>Date: January 30, 2026</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Promise to Pay. </w:t>
      </w:r>
      <w:r>
        <w:rPr>
          <w:rFonts w:ascii="Times New Roman" w:cs="Times New Roman" w:eastAsia="Times New Roman" w:hAnsi="Times New Roman"/>
          <w:sz w:val="18"/>
          <w:szCs w:val="18"/>
          <w:color w:val="auto"/>
        </w:rPr>
        <w:t>On or before February 5, 2027, for value received, Northern Technologies International Corporation (the “Borrower”) promises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JPMorgan Chase Bank, N.A., whose address is 10 S Dearborn St, Floor 35, Chicago, IL 60603 (the “Bank”) or order, in lawful money of the United States of America, the sum of Twelve Million and 00/100 Dollars ($12,000,000.00) or so much thereof as may be advanced and outstanding, plus interest on the unpaid principal balance as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Rate Definitions. </w:t>
      </w:r>
      <w:r>
        <w:rPr>
          <w:rFonts w:ascii="Times New Roman" w:cs="Times New Roman" w:eastAsia="Times New Roman" w:hAnsi="Times New Roman"/>
          <w:sz w:val="18"/>
          <w:szCs w:val="18"/>
          <w:color w:val="auto"/>
        </w:rPr>
        <w:t>As used in this Note, the following terms have the following respective meanings: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“Adjusted SOFR Rate</w:t>
      </w:r>
      <w:r>
        <w:rPr>
          <w:rFonts w:ascii="Times New Roman" w:cs="Times New Roman" w:eastAsia="Times New Roman" w:hAnsi="Times New Roman"/>
          <w:sz w:val="18"/>
          <w:szCs w:val="18"/>
          <w:color w:val="auto"/>
        </w:rPr>
        <w:t>” means, with respect to a SOFR Rate Advance for the relevant Interest Period, the sum of (a) the SOFR Rate applicable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Period, plus (b) the Unsecured to Secured Rate Adjustment.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means a SOFR Rate Advance or a CB Floating Rate Advance and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means all SOFR Rate Advances and all CB Floating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Advances under this Note.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with respect to any CB Floating Rate Advance, 0.00% Per Annum and with respect to any SOFR Rate Advance, 2.35%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SOFR:</w:t>
      </w:r>
    </w:p>
    <w:p>
      <w:pPr>
        <w:spacing w:after="0" w:line="229" w:lineRule="exact"/>
        <w:rPr>
          <w:sz w:val="20"/>
          <w:szCs w:val="20"/>
          <w:color w:val="auto"/>
        </w:rPr>
      </w:pPr>
    </w:p>
    <w:p>
      <w:pPr>
        <w:ind w:left="500" w:right="2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SOFR Administrator announcing that such SOFR Administrator has ceased or will cease to provide SOFR, permanently or indefinitely, provided that, at the time of such statement or publication, there is no successor SOFR Administrator that will continue to provide SOFR; or</w:t>
      </w:r>
    </w:p>
    <w:p>
      <w:pPr>
        <w:spacing w:after="0" w:line="175" w:lineRule="exact"/>
        <w:rPr>
          <w:rFonts w:ascii="Times New Roman" w:cs="Times New Roman" w:eastAsia="Times New Roman" w:hAnsi="Times New Roman"/>
          <w:sz w:val="18"/>
          <w:szCs w:val="18"/>
          <w:color w:val="auto"/>
        </w:rPr>
      </w:pPr>
    </w:p>
    <w:p>
      <w:pPr>
        <w:ind w:left="500" w:hanging="492"/>
        <w:spacing w:after="0" w:line="258"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NYFRB, the Federal Reserve Board, or, as applicable, the regulatory supervisor for the SOFR Administrator, an insolvency official with jurisdiction over the SOFR Administrator, a resolution authority with jurisdiction over the SOFR Administrator or a court or an entity with similar insolvency or resolution authority over the SOFR Administrator, in each case, which states that the SOFR Administrator has ceased or will cease to provide SOFR permanently or indefinitely, provided that, at the time of such statement or publication, there is no successor administrator that will continue to provide SOFR; or</w:t>
      </w:r>
    </w:p>
    <w:p>
      <w:pPr>
        <w:spacing w:after="0" w:line="18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Federal Reserve Board, the NYFRB, the SOFR Administrator or the regulatory supervisor for the SOFR Administrator (as applicable), announcing that SOFR is no longer, or as of a specified future date will no longer be, representative.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or Chicago are authorized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to remain closed; provided that, when used in connection with a SOFR Rate Advance, the term “Business Day” shall also exclude any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“CB Floating Rate</w:t>
      </w:r>
      <w:r>
        <w:rPr>
          <w:rFonts w:ascii="Times New Roman" w:cs="Times New Roman" w:eastAsia="Times New Roman" w:hAnsi="Times New Roman"/>
          <w:sz w:val="18"/>
          <w:szCs w:val="18"/>
          <w:color w:val="auto"/>
        </w:rPr>
        <w:t>” means the greater of (i) the Prime Rate or (ii) 2.50%. The CB Floating Rate is a variable rate and any change in the CB Floating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any change in the Prime Rate is effective from and including the effective date of such change in the Prime Rate.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“CB Floating Rate Advance</w:t>
      </w:r>
      <w:r>
        <w:rPr>
          <w:rFonts w:ascii="Times New Roman" w:cs="Times New Roman" w:eastAsia="Times New Roman" w:hAnsi="Times New Roman"/>
          <w:sz w:val="18"/>
          <w:szCs w:val="18"/>
          <w:color w:val="auto"/>
        </w:rPr>
        <w:t>” means any borrowing under this Note when and to the extent that its interest rate is determined by reference to the CB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Floating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with respect to a SOFR Rate Advance, a period of one (1), three (3) or six (6) month(s) commencing on a Business Day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Borrower pursuant to this Note. Such Interest Period shall end on the day which corresponds numerically to such date one (1), three (3) or six (6) month(s) thereafter,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is no such numerically corresponding day in such first, third or sixth succeeding month(s), as applicable, such Interest Period shall end on the last Business Day of such first, third or sixth succeeding month(s), as applicable. If an Interest Period would otherwise end on a day which is not a Business Day, such Interest Period shall end on the next succeeding Business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said next succeeding Business Day falls in a new calendar month, such Interest Period shall end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Annum</w:t>
      </w:r>
      <w:r>
        <w:rPr>
          <w:rFonts w:ascii="Times New Roman" w:cs="Times New Roman" w:eastAsia="Times New Roman" w:hAnsi="Times New Roman"/>
          <w:sz w:val="18"/>
          <w:szCs w:val="18"/>
          <w:color w:val="auto"/>
        </w:rPr>
        <w:t>” means for a year deemed to be comprised of 360 days.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Bank) or any similar release by the Federal Reserve Board (as determined by the Bank). Each change in the Prime Rate shall be effective from and including the date such change is publicly announced or quoted as being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Payment Date</w:t>
      </w:r>
      <w:r>
        <w:rPr>
          <w:rFonts w:ascii="Times New Roman" w:cs="Times New Roman" w:eastAsia="Times New Roman" w:hAnsi="Times New Roman"/>
          <w:sz w:val="18"/>
          <w:szCs w:val="18"/>
          <w:color w:val="auto"/>
        </w:rPr>
        <w:t>” is defined in the paragraph entitled “Principal Payments”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is defined in the “SOFR Rate”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CME Group Benchmark Administration Limited (or a successor administrator of SOFR).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Website</w:t>
      </w:r>
      <w:r>
        <w:rPr>
          <w:rFonts w:ascii="Times New Roman" w:cs="Times New Roman" w:eastAsia="Times New Roman" w:hAnsi="Times New Roman"/>
          <w:sz w:val="18"/>
          <w:szCs w:val="18"/>
          <w:color w:val="auto"/>
        </w:rPr>
        <w:t>” means the SOFR Administrator’s website, currently accessed through the website https://www.cmegroup.com,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source for SOFR identified as such by the SOFR Administrator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“SOFR Rate Advance</w:t>
      </w:r>
      <w:r>
        <w:rPr>
          <w:rFonts w:ascii="Times New Roman" w:cs="Times New Roman" w:eastAsia="Times New Roman" w:hAnsi="Times New Roman"/>
          <w:sz w:val="18"/>
          <w:szCs w:val="18"/>
          <w:color w:val="auto"/>
        </w:rPr>
        <w:t>” means any borrowing under this Note when and to the extent that its interest rate is determined by reference to the Adjusted SOFR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“SOFR Rate</w:t>
      </w:r>
      <w:r>
        <w:rPr>
          <w:rFonts w:ascii="Times New Roman" w:cs="Times New Roman" w:eastAsia="Times New Roman" w:hAnsi="Times New Roman"/>
          <w:sz w:val="18"/>
          <w:szCs w:val="18"/>
          <w:color w:val="auto"/>
        </w:rPr>
        <w:t>” means with respect to any SOFR Rate Advance for any Interest Period, a rate per annum equal to the forward-looking term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for a period equal in length to such Interest Period as published by the SOFR Administrator on the SOFR Administrator’s Website, or on the appropriate page of such other information service that publishes such rate from time to time as shall be selected by the Bank in its reasonable discretion (in each case, the “</w:t>
      </w:r>
      <w:r>
        <w:rPr>
          <w:rFonts w:ascii="Times New Roman" w:cs="Times New Roman" w:eastAsia="Times New Roman" w:hAnsi="Times New Roman"/>
          <w:sz w:val="18"/>
          <w:szCs w:val="18"/>
          <w:b w:val="1"/>
          <w:bCs w:val="1"/>
          <w:color w:val="auto"/>
        </w:rPr>
        <w:t>SOFR Screen Rate</w:t>
      </w:r>
      <w:r>
        <w:rPr>
          <w:rFonts w:ascii="Times New Roman" w:cs="Times New Roman" w:eastAsia="Times New Roman" w:hAnsi="Times New Roman"/>
          <w:sz w:val="18"/>
          <w:szCs w:val="18"/>
          <w:color w:val="auto"/>
        </w:rPr>
        <w:t xml:space="preserve">”) at approximately 5:00 a.m., Chicago time, two (2) Business Days prior to the commencement of such Interest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any SOFR Screen Rate shall be less than zero, such rate shall be deemed to be zero for the purposes of this Note.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to Secured Rate Adjustment</w:t>
      </w:r>
      <w:r>
        <w:rPr>
          <w:rFonts w:ascii="Times New Roman" w:cs="Times New Roman" w:eastAsia="Times New Roman" w:hAnsi="Times New Roman"/>
          <w:sz w:val="18"/>
          <w:szCs w:val="18"/>
          <w:color w:val="auto"/>
        </w:rPr>
        <w:t>” means, with respect to any SOFR Rate Advance, 0.10% Per Annum.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Interest Rates. </w:t>
      </w:r>
      <w:r>
        <w:rPr>
          <w:rFonts w:ascii="Times New Roman" w:cs="Times New Roman" w:eastAsia="Times New Roman" w:hAnsi="Times New Roman"/>
          <w:sz w:val="18"/>
          <w:szCs w:val="18"/>
          <w:color w:val="auto"/>
        </w:rPr>
        <w:t>The Advance(s) evidenced by this Note may be drawn down and remain outstanding as up to five (5) SOFR Rate Advances and/or a CB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Floating Rate Advance. The Borrower shall pay interest to the Bank on the outstanding and unpaid principal amount of each CB Floating Rate Advance at the CB Floating Rate plus the Applicable Margin and each SOFR Rate Advance at the Adjusted SOFR Rate plus the Applicable Margin. Interest shall be calculated on the basis of the actual number of days elapsed in a year of 360 days. In no event shall the interest rate applicable to any Advance exceed the maximum rate allowed by law. Any interest payment which would for any reason be deemed unlawful under applicable law shall be applied to principal.</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Benchmarks; No Liability. </w:t>
      </w:r>
      <w:r>
        <w:rPr>
          <w:rFonts w:ascii="Times New Roman" w:cs="Times New Roman" w:eastAsia="Times New Roman" w:hAnsi="Times New Roman"/>
          <w:sz w:val="18"/>
          <w:szCs w:val="18"/>
          <w:color w:val="auto"/>
        </w:rPr>
        <w:t>The interest rate on a SOFR Rate Advance may be derived from an interest rate benchmark that may be discontinued or 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 the future become, the subject of regulatory reform. Upon the occurrence of a Benchmark Transition Event, the section captioned “Alternate Rate of Interest” below provides a mechanism for determining an alternative rate of interest. The Bank does not warrant or accept any responsibility for, and shall not have any liability with respect to, the administration, submission, performance or any other matter related to any interest rate used in this Note,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Bank and its affiliates and/or other related entities may engage in transactions that affect the calculation of any interest rate used in this Note or any alternative, successor or alternative rate (including any Alternate Rate) and/or any relevant adjustments thereto, in each case, in a manner adverse to the Borrower. The Bank may select information sources or services in its reasonable discretion to ascertain any interest rate used in this Agreement, any component thereof, or rates referenced in the definition thereof, in each case pursuant to the terms of this Note,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Bank Records. </w:t>
      </w:r>
      <w:r>
        <w:rPr>
          <w:rFonts w:ascii="Times New Roman" w:cs="Times New Roman" w:eastAsia="Times New Roman" w:hAnsi="Times New Roman"/>
          <w:sz w:val="18"/>
          <w:szCs w:val="18"/>
          <w:color w:val="auto"/>
        </w:rPr>
        <w:t>The Bank shall, in the ordinary course of business, make notations in its records of the date, amount, interest rate and Interest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Advance hereunder, the amount of each payment on the Advances, and other information. Such records shall, in the absence of manifest error, be conclusive as to the outstanding principal balance of and interest rate or rates applicable to this Note.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and Manner of Electing Interest Rates on Advances. </w:t>
      </w:r>
      <w:r>
        <w:rPr>
          <w:rFonts w:ascii="Times New Roman" w:cs="Times New Roman" w:eastAsia="Times New Roman" w:hAnsi="Times New Roman"/>
          <w:sz w:val="18"/>
          <w:szCs w:val="18"/>
          <w:color w:val="auto"/>
        </w:rPr>
        <w:t>The Borrower shall give the Bank written notice in accordance with established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upon receipt) of the Borrower’s intent to draw down an Advance under this Note no later than 2:00 p.m. Central time, on the date of disbursement, if the full amount of the drawn Advance is to be disbursed as a CB Floating Rate Advance and no later than 11:00 a.m. Central time three (3) Business Days before disbursement, if any part of such Advance is to be disbursed as a SOFR Rate Advance. The Borrower’s notice must specify: (a) the disbursement date, (b) the amount of each Advance, (c) the type of each Advance (CB Floating Rate Advance or SOFR Rate Advance), and (d) for each SOFR Rate Advance, the duration of the applicable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 may not elect an Interest Period ending after the maturity date of this Note. Each SOFR Rate Advance shall be in a minimum amount of One Hundred Thousand and 00/100 Dollars ($100,000.00). All notices under this paragraph are irrevocable. By the Bank’s close of business on the disbursement date and upon fulfillment of the conditions set forth herein and in any other of the Related Documents, the Bank shall disburse the requested Advances in immediately available funds by crediting the amount of such Advances to the Borrower’s account with the Bank.</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Conversion and Renewals. </w:t>
      </w:r>
      <w:r>
        <w:rPr>
          <w:rFonts w:ascii="Times New Roman" w:cs="Times New Roman" w:eastAsia="Times New Roman" w:hAnsi="Times New Roman"/>
          <w:sz w:val="18"/>
          <w:szCs w:val="18"/>
          <w:color w:val="auto"/>
        </w:rPr>
        <w:t>The Borrower may elect from time to time to convert one type of Advance into another or to renew any Advance by giving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written notice no later than 2:00 p.m. Central time, on the date of the conversion into or renewal of a CB Floating Rate Advance and 11:00 a.m. Central time three (3) Business Days before conversion into or renewal of a SOFR Rate Advance, specifying: (a) the renewal or conversion date, (b) the amount of the Advance to be converted or renewed, (c) in the case of conversion, the type of Advance to be converted into (CB Floating Rate Advance or SOFR Rate Advance), and (d) in the case of renewals of or conversion into a SOFR Rate Advance, the applicable Interest Period, provided that (i) the minimum principal amount of each SOFR Rate Advance outstanding after a renewal or conversion shall be One Hundred Thousand and 00/100 Dollars ($100,000.00); (ii) a SOFR Rate Advance can only be converted on the last day of the Interest Period for the Advance; and (iii) the Borrower may not elect an Interest Period ending after the maturity date of this Note. All notices given under this paragraph are irrevocable. If the Borrower fails to give the Bank the notice specified above for the renewal or conversion of a SOFR Rate Advance by 11:00 a.m. Central time three (3) Business Days before the end of the Interest Period for that Advance, the Advance shall automatically be converted to a CB Floating Rate Advance on the last day of the Interest Period for the Advance.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Illegality/Temporary Unavailability. </w:t>
      </w:r>
      <w:r>
        <w:rPr>
          <w:rFonts w:ascii="Times New Roman" w:cs="Times New Roman" w:eastAsia="Times New Roman" w:hAnsi="Times New Roman"/>
          <w:sz w:val="18"/>
          <w:szCs w:val="18"/>
          <w:color w:val="auto"/>
        </w:rPr>
        <w:t>If:</w:t>
      </w:r>
    </w:p>
    <w:p>
      <w:pPr>
        <w:spacing w:after="0" w:line="229" w:lineRule="exact"/>
        <w:rPr>
          <w:sz w:val="20"/>
          <w:szCs w:val="20"/>
          <w:color w:val="auto"/>
        </w:rPr>
      </w:pPr>
    </w:p>
    <w:p>
      <w:pPr>
        <w:ind w:left="500" w:right="200" w:hanging="492"/>
        <w:spacing w:after="0" w:line="261"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domestic or foreign law, treaty, rule or regulation now or later in effect (whether or not it now applies to the Bank) or the interpretation or administration thereof by a governmental authority charged with such interpretation or administration, or compliance by the Bank with any guideline, request or directive of such an authority (whether or not having the force of law), shall make it unlawful or impossible for the Bank to maintain or fund the SOFR Rate Advances, or</w:t>
      </w:r>
    </w:p>
    <w:p>
      <w:pPr>
        <w:spacing w:after="0" w:line="179" w:lineRule="exact"/>
        <w:rPr>
          <w:rFonts w:ascii="Times New Roman" w:cs="Times New Roman" w:eastAsia="Times New Roman" w:hAnsi="Times New Roman"/>
          <w:sz w:val="18"/>
          <w:szCs w:val="18"/>
          <w:color w:val="auto"/>
        </w:rPr>
      </w:pPr>
    </w:p>
    <w:p>
      <w:pPr>
        <w:ind w:left="500" w:right="30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determines (which determination shall be conclusive absent manifest error) that adequate and reasonable means do not exist for ascertaining the SOFR Rate (including because the SOFR Screen Rate is not available or published on a current basis), for the applicable Interest Period; or</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determines the SOFR Rate will not adequately and fairly reflect the cost to the Bank of making or maintaining SOFR Rate Advances for such Interest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the Bank shall give notice thereof to the Borrower as promptly as practicable thereafter and, until the Bank notifies the Borrower that the circumstances giving rise to such notice no longer exist, (A) any Advance request that requests the conversion of any Advance, or continuation of any Advance as, a SOFR Rate Advance shall be ineffective and any such SOFR Rate Advance shall be repaid or converted into a CB Floating Rate Advance on the last day of the then current Interest Period applicable thereto, and (B) if any Advance request that requests a SOFR Rate Advance, such Advance shall, subject to the terms and conditions of this Note and the other Related Documents, be made as a CB Floating Rate Advance.</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Alternate Rate of Interest. </w:t>
      </w:r>
      <w:r>
        <w:rPr>
          <w:rFonts w:ascii="Times New Roman" w:cs="Times New Roman" w:eastAsia="Times New Roman" w:hAnsi="Times New Roman"/>
          <w:sz w:val="18"/>
          <w:szCs w:val="18"/>
          <w:color w:val="auto"/>
        </w:rPr>
        <w:t>If a Benchmark Transition Event occurs, Bank may, by notice to Borrower, amend this Note to establish an alternate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for SOFR that gives due consideration to the then-evolving or prevailing market convention for determining a rate of interest for commercial loans in US Dollars at such time (the “</w:t>
      </w: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Borrower acknowledges that the Alternate Rate may include a mathematical adjustment using any then-evolving or prevailing market convention or method for determining a spread adjustment for the replacement of SOFR (which may include, if SOFR already contains such a spread, adding that spread to the Alternate Rate). The Bank may further amend the Note by such notice to Borrower to make technical, administrative or operational changes (including, without limitation, changes to the definition of “CB Floating Rate”, the definition of “Interest Period”, timing and frequency of determining rates and making payments of interest) that the Bank decides in its reasonable discretion may be appropriate to reflect the adoption and implementation of the Alternate Rate. The Alternate Rate, together with all such technical, administrative and operational changes as specified in any notice, shall become effective at the later of (i) the fifth Business Day after the Bank has provided notice (including without limitation for this purpose, by electronic means) to the Borrower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and (ii) a date specified by the Bank in the notice, without any further action or consent of the Borrower, so long as Bank has not received, by 5:00 pm Eastern time on the Notice Date, written notice of objection to the Alternate Rate from the Borrower. If, on the date SOFR actually becomes permanently unavailable pursuant to a Benchmark Transition Event, an Alternate Rate has not been established in this manner, Advances will, until an Alternate Rate is so established, bear interest at the CB Floating Rate. In no event shall the Alternate Rate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a rate replacement described in the paragraph above, Bank may from time to time, upon written notice to Borrower, make any further technical, administrative or operational changes to this Note (including changes to the definition of “CB Floating Rate”, the definition of “Business Day”, the timing and frequency of determining rates and making payments of interest, the timing of prepayment or conversion notices, the length of lookback periods, the applicability of breakage provisions and other technical, administrative or operational matters) that Bank decides may be appropriate to reflect the adoption and implementation of such rate replacement and to permit the administration thereof by Bank.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determinations by Bank under this section shall be conclusive and binding absent manifest error.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Payments. </w:t>
      </w:r>
      <w:r>
        <w:rPr>
          <w:rFonts w:ascii="Times New Roman" w:cs="Times New Roman" w:eastAsia="Times New Roman" w:hAnsi="Times New Roman"/>
          <w:sz w:val="18"/>
          <w:szCs w:val="18"/>
          <w:color w:val="auto"/>
        </w:rPr>
        <w:t>Interest on the Advances shall be paid as follows:</w:t>
      </w:r>
    </w:p>
    <w:p>
      <w:pPr>
        <w:spacing w:after="0" w:line="229" w:lineRule="exact"/>
        <w:rPr>
          <w:sz w:val="20"/>
          <w:szCs w:val="20"/>
          <w:color w:val="auto"/>
        </w:rPr>
      </w:pPr>
    </w:p>
    <w:p>
      <w:pPr>
        <w:ind w:firstLine="8"/>
        <w:spacing w:after="0" w:line="282" w:lineRule="auto"/>
        <w:tabs>
          <w:tab w:leader="none" w:pos="4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CB Floating Rate Advance, on the last day of each month beginning with the first month following disbursement of the Advance or following conversion of an Advance into a CB Floating Rate Advance, and at the maturity or conversion of the Advance into a SOFR Rate Advance;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SOFR Rate Advance, on the last day of the Interest Period for the Advance and, if the Interest Period is longer than three months, at three-month intervals beginning with the day three months from the date the Advance is disbursed.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Payments. </w:t>
      </w:r>
      <w:r>
        <w:rPr>
          <w:rFonts w:ascii="Times New Roman" w:cs="Times New Roman" w:eastAsia="Times New Roman" w:hAnsi="Times New Roman"/>
          <w:sz w:val="18"/>
          <w:szCs w:val="18"/>
          <w:color w:val="auto"/>
        </w:rPr>
        <w:t>All outstanding principal and interest is due and payable in full on February 5, 2027, which is defined herein as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Date”.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Default Rate of Interest. </w:t>
      </w:r>
      <w:r>
        <w:rPr>
          <w:rFonts w:ascii="Times New Roman" w:cs="Times New Roman" w:eastAsia="Times New Roman" w:hAnsi="Times New Roman"/>
          <w:sz w:val="18"/>
          <w:szCs w:val="18"/>
          <w:color w:val="auto"/>
        </w:rPr>
        <w:t>After a default has occurred under this Note, whether or not the Bank elects to accelerate the maturity of this Note because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default, all Advances outstanding under this Note, shall bear interest at a Per Annum rate equal to the interest rate being charged on each such Advance plus three percent (3.00%) from the date the Bank elects to impose such rate. Imposition of this rate shall not affect any limitations contained in this Note on the Borrower’s right to repay principal on any SOFR Rate Advance before the expiration of the Interest Period for each such Advance.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Prepayment/Funding Loss Indemnification. </w:t>
      </w:r>
      <w:r>
        <w:rPr>
          <w:rFonts w:ascii="Times New Roman" w:cs="Times New Roman" w:eastAsia="Times New Roman" w:hAnsi="Times New Roman"/>
          <w:sz w:val="18"/>
          <w:szCs w:val="18"/>
          <w:color w:val="auto"/>
        </w:rPr>
        <w:t>The Borrower may prepay all or any part of any CB Floating Rate Advance at any time without premium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penalty.</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Borrower shall pay the Bank amounts sufficient (in the Bank’s reasonable opinion) to compensate the Bank for any loss, cost, or expense incurred as a result of:</w:t>
      </w:r>
    </w:p>
    <w:p>
      <w:pPr>
        <w:spacing w:after="0" w:line="162" w:lineRule="exact"/>
        <w:rPr>
          <w:sz w:val="20"/>
          <w:szCs w:val="20"/>
          <w:color w:val="auto"/>
        </w:rPr>
      </w:pPr>
    </w:p>
    <w:p>
      <w:pPr>
        <w:ind w:firstLine="8"/>
        <w:spacing w:after="0" w:line="282" w:lineRule="auto"/>
        <w:tabs>
          <w:tab w:leader="none" w:pos="4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a SOFR Rate Advance on a date other than the last day of the Interest Period for the Advance, including, without limitation, acceleration of the Advances by the Bank pursuant to this Note or the other Related Documents; or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to borrow or renew a SOFR Rate Advance on the date specified in the relevant notice from the Borrower to the Bank.</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Obligations Due on Non-Business Day. </w:t>
      </w:r>
      <w:r>
        <w:rPr>
          <w:rFonts w:ascii="Times New Roman" w:cs="Times New Roman" w:eastAsia="Times New Roman" w:hAnsi="Times New Roman"/>
          <w:sz w:val="18"/>
          <w:szCs w:val="18"/>
          <w:color w:val="auto"/>
        </w:rPr>
        <w:t>Whenever any payment under this Note becomes due and payable on a day that is not a Business Day, if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then exists under this Note, the maturity of the payment shall be extended to the next succeeding Business Day, except, in the case of a SOFR Rate Advance, if the result of the extension would be to extend the payment into another calendar month, the payment must be made on the immediately preceding Business Day.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Matters Regarding Payment. </w:t>
      </w:r>
      <w:r>
        <w:rPr>
          <w:rFonts w:ascii="Times New Roman" w:cs="Times New Roman" w:eastAsia="Times New Roman" w:hAnsi="Times New Roman"/>
          <w:sz w:val="18"/>
          <w:szCs w:val="18"/>
          <w:color w:val="auto"/>
        </w:rPr>
        <w:t>The Borrower will pay the Bank at the Bank’s address shown above or at such other place as the Bank may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shall be allocated among principal, interest and fees at the discretion of the Bank unless otherwise agreed or required by applicable law. Acceptance by the Bank of any payment which is less than the payment due at the time shall not constitute a waiver of the Bank’s right to receive payment in full at that time or any other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Authorization for Direct Payments (ACH Debits). </w:t>
      </w:r>
      <w:r>
        <w:rPr>
          <w:rFonts w:ascii="Times New Roman" w:cs="Times New Roman" w:eastAsia="Times New Roman" w:hAnsi="Times New Roman"/>
          <w:sz w:val="18"/>
          <w:szCs w:val="18"/>
          <w:color w:val="auto"/>
        </w:rPr>
        <w:t>To effectuate any payment due under this Note or under any other Related Documents,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the Bank to initiate debit entries to Account Number Call for acct number at the Bank and to debit the same to such account. This authorization to initiate debit entries shall remain in full force and effect until the Bank has received written notification of its termination in such time and in such manner as to afford the Bank a reasonable opportunity to act on it. The Borrower represents that the Borrower is and will be the owner of all funds in such account. The Borrower acknowledges: (1) that such debit entries may cause an overdraft of such account which may result in the Bank’s refusal to honor items drawn on such account until adequate deposits are made to such account; (2) that the Bank is under no duty or obligation to initiate any debit entry for any purpose; and (3) that if a debit is not made because the above-referenced account does not have a sufficient available balance, or otherwise, the payment may be late or past due.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Late Fee</w:t>
      </w:r>
      <w:r>
        <w:rPr>
          <w:rFonts w:ascii="Times New Roman" w:cs="Times New Roman" w:eastAsia="Times New Roman" w:hAnsi="Times New Roman"/>
          <w:sz w:val="18"/>
          <w:szCs w:val="18"/>
          <w:color w:val="auto"/>
        </w:rPr>
        <w:t>. Any principal or interest which is not paid within 10 days after its due date (whether as stated, by acceleration or otherwise) shall be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 payment charge of five percent (5.00%) of the total payment due, in addition to the payment of interest, up to the maximum amount of One Thousand Five Hundred and 00/100 Dollars ($1,500.00) per late charge. The Borrower agrees to pay and stipulates that five percent (5.00%) of the total payment due is a reasonable amount for a late payment charge. The Borrower shall pay the late payment charge upon demand by the Bank or, if billed, within the time specified.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Purpose of Loan. </w:t>
      </w:r>
      <w:r>
        <w:rPr>
          <w:rFonts w:ascii="Times New Roman" w:cs="Times New Roman" w:eastAsia="Times New Roman" w:hAnsi="Times New Roman"/>
          <w:sz w:val="18"/>
          <w:szCs w:val="18"/>
          <w:color w:val="auto"/>
        </w:rPr>
        <w:t>The Borrower acknowledges and agrees that this Note evidences a loan for a business, commercial, agricultural or similar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purpose, and that no advance shall be used for any personal, family or household purpose. The proceeds of the loan shall be used only for the Borrower’s general corporate purposes.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The Bank has approved a credit facility to the Borrower in a principal amount not to exceed the face amount of this Note.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is in the form of advances made from time to time by the Bank to the Borrower. This Note evidences the Borrower’s obligation to repay those advances. The aggregate principal amount of debt evidenced by this Note is the amount reflected from time to time in the records of the Bank. Until the earliest to occur of maturity, any default, event of default, or any event that would constitute a default or event of default but for the giving of notice, the lapse of time or both, the Borrower may borrow, pay down and reborrow under this Note subject to the terms of the Related Documents.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Renewal and Extension. </w:t>
      </w:r>
      <w:r>
        <w:rPr>
          <w:rFonts w:ascii="Times New Roman" w:cs="Times New Roman" w:eastAsia="Times New Roman" w:hAnsi="Times New Roman"/>
          <w:sz w:val="18"/>
          <w:szCs w:val="18"/>
          <w:color w:val="auto"/>
        </w:rPr>
        <w:t>This Note is given in replacement, renewal and/or extension of, but not in extinguishment of the indebtedness evidenced by,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of Credit Note dated July 8, 2025 executed by the Borrower in the original principal amount of Ten Million and 00/100 Dollars ($10,000,000.00), including previous renewals or modifications thereof, if any (the “Prior Note” and together with all loan agreements, credit agreements, reimbursement agreements, security agreements, mortgages, deeds of trust, pledge agreements, assignments, guaranties, and any other instrument or document executed in connection with the Prior Note, the “Prior Related Documents”), and is not a novation thereof. All interest evidenced by the Prior Note shall continue to be due and payable until paid. The Borrower fully, finally, and forever releases and discharges the Bank and its successors, assigns, directors, officers, employees, agents, and representatives (each a “Bank Party”) from any and all causes of action, claims, debts, demands, and liabilities, of whatever kind or nature, in law or equity, of the Borrower, whether now known or unknown to the Borrower (i) in respect of the Liabilities evidenced by the Prior Note and the Prior Related Documents, or of the actions or omissions of any Bank Party in any manner related to the Liabilities evidenced by the Prior Note or the Prior Related Documents and (ii) arising from events occurring prior to the date of this Note. If applicable, all Collateral continues to secure the payment of this Note and the Liabilities. The provisions of this Note are effective on the date that this Note has been executed by all of the signers and delivered to the Bank.</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Note binds the Borrower and its successors, and benefits the Bank, its successors and assigns. Any reference to the Bank includes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this Note. This Note is subject to that certain Credit Agreement by and between the Borrower and the Bank, dated December 19, 2022, and all amendments, restatements and replacements thereof (the “Credit Agreement”) to which reference is hereby made for a more complete statement of the terms and conditions under which the loan evidenced hereby is made and is to be repaid. The terms and provisions of the Credit Agreement are hereby incorporated and made a part hereof by this reference thereto with the same force and effect as if set forth at length herein. No reference to the Credit Agreement and no provisions of this Note or the Credit Agreement shall alter or impair the absolute and unconditional obligation of the Borrower to pay the principal and interest on this Note as herein prescribed. Capitalized terms not otherwise defined herein shall have the meanings assigned to such terms in the Credit Agreement. If any one or more of the obligations of the Borrower under this Note or any provision hereof is held to be invalid, illegal or unenforceable in any jurisdiction, the validity, legality and enforceability of the remaining obligations of the Borrower and the remaining provisions shall not in any way be affected or impaired; and the invalidity, illegality or unenforceability in one jurisdiction shall not affect the validity, legality or enforceability of such obligations or provisions in any other jurisdiction. Time is of the essence under this Note and in the performance of every term, covenant and obligation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4201 Woodland Rd.</w:t>
            </w:r>
          </w:p>
        </w:tc>
        <w:tc>
          <w:tcPr>
            <w:tcW w:w="7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Northern Technologies International Corporation</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Circle Pines, MN 55014-1794</w:t>
            </w:r>
          </w:p>
        </w:tc>
        <w:tc>
          <w:tcPr>
            <w:tcW w:w="2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24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Wolsfeld</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Printed</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Matt Wolsfeld</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400" w:type="dxa"/>
            <w:vAlign w:val="bottom"/>
          </w:tcPr>
          <w:p>
            <w:pPr>
              <w:ind w:left="1740"/>
              <w:spacing w:after="0" w:line="162"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4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 / Secretary</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2400" w:type="dxa"/>
            <w:vAlign w:val="bottom"/>
          </w:tcPr>
          <w:p>
            <w:pPr>
              <w:ind w:left="174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2/4/2026</w:t>
            </w:r>
          </w:p>
        </w:tc>
        <w:tc>
          <w:tcPr>
            <w:tcW w:w="0" w:type="dxa"/>
            <w:vAlign w:val="bottom"/>
          </w:tcPr>
          <w:p>
            <w:pPr>
              <w:spacing w:after="0"/>
              <w:rPr>
                <w:sz w:val="1"/>
                <w:szCs w:val="1"/>
                <w:color w:val="auto"/>
              </w:rPr>
            </w:pPr>
          </w:p>
        </w:tc>
      </w:tr>
      <w:tr>
        <w:trPr>
          <w:trHeight w:val="226"/>
        </w:trPr>
        <w:tc>
          <w:tcPr>
            <w:tcW w:w="3900" w:type="dxa"/>
            <w:vAlign w:val="bottom"/>
          </w:tcPr>
          <w:p>
            <w:pPr>
              <w:spacing w:after="0"/>
              <w:rPr>
                <w:sz w:val="19"/>
                <w:szCs w:val="19"/>
                <w:color w:val="auto"/>
              </w:rPr>
            </w:pPr>
          </w:p>
        </w:tc>
        <w:tc>
          <w:tcPr>
            <w:tcW w:w="24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Signed:</w:t>
            </w:r>
          </w:p>
        </w:tc>
        <w:tc>
          <w:tcPr>
            <w:tcW w:w="4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62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191"/>
        </w:trPr>
        <w:tc>
          <w:tcPr>
            <w:tcW w:w="562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160"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p>
      <w:pPr>
        <w:sectPr>
          <w:pgSz w:w="11900" w:h="16838" w:orient="portrait"/>
          <w:cols w:equalWidth="0" w:num="1">
            <w:col w:w="11240"/>
          </w:cols>
          <w:pgMar w:left="320" w:top="117" w:right="33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160"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7"/>
    </w:lvl>
  </w:abstractNum>
  <w:abstractNum w:abstractNumId="7">
    <w:nsid w:val="721DA317"/>
    <w:multiLevelType w:val="hybridMultilevel"/>
    <w:lvl w:ilvl="0">
      <w:lvlJc w:val="left"/>
      <w:lvlText w:val="%1."/>
      <w:numFmt w:val="decimal"/>
      <w:start w:val="8"/>
    </w:lvl>
  </w:abstractNum>
  <w:abstractNum w:abstractNumId="8">
    <w:nsid w:val="2443A858"/>
    <w:multiLevelType w:val="hybridMultilevel"/>
    <w:lvl w:ilvl="0">
      <w:lvlJc w:val="left"/>
      <w:lvlText w:val="%1."/>
      <w:numFmt w:val="decimal"/>
      <w:start w:val="9"/>
    </w:lvl>
  </w:abstractNum>
  <w:abstractNum w:abstractNumId="9">
    <w:nsid w:val="2D1D5AE9"/>
    <w:multiLevelType w:val="hybridMultilevel"/>
    <w:lvl w:ilvl="0">
      <w:lvlJc w:val="left"/>
      <w:lvlText w:val="%1."/>
      <w:numFmt w:val="decimal"/>
      <w:start w:val="10"/>
    </w:lvl>
  </w:abstractNum>
  <w:abstractNum w:abstractNumId="10">
    <w:nsid w:val="6763845E"/>
    <w:multiLevelType w:val="hybridMultilevel"/>
    <w:lvl w:ilvl="0">
      <w:lvlJc w:val="left"/>
      <w:lvlText w:val="%1."/>
      <w:numFmt w:val="decimal"/>
      <w:start w:val="11"/>
    </w:lvl>
  </w:abstractNum>
  <w:abstractNum w:abstractNumId="11">
    <w:nsid w:val="75A2A8D4"/>
    <w:multiLevelType w:val="hybridMultilevel"/>
    <w:lvl w:ilvl="0">
      <w:lvlJc w:val="left"/>
      <w:lvlText w:val="%1."/>
      <w:numFmt w:val="decimal"/>
      <w:start w:val="12"/>
    </w:lvl>
  </w:abstractNum>
  <w:abstractNum w:abstractNumId="12">
    <w:nsid w:val="8EDBDAB"/>
    <w:multiLevelType w:val="hybridMultilevel"/>
    <w:lvl w:ilvl="0">
      <w:lvlJc w:val="left"/>
      <w:lvlText w:val="%1."/>
      <w:numFmt w:val="decimal"/>
      <w:start w:val="13"/>
    </w:lvl>
  </w:abstractNum>
  <w:abstractNum w:abstractNumId="13">
    <w:nsid w:val="79838CB2"/>
    <w:multiLevelType w:val="hybridMultilevel"/>
    <w:lvl w:ilvl="0">
      <w:lvlJc w:val="left"/>
      <w:lvlText w:val="%1."/>
      <w:numFmt w:val="decimal"/>
      <w:start w:val="15"/>
    </w:lvl>
  </w:abstractNum>
  <w:abstractNum w:abstractNumId="14">
    <w:nsid w:val="4353D0CD"/>
    <w:multiLevelType w:val="hybridMultilevel"/>
    <w:lvl w:ilvl="0">
      <w:lvlJc w:val="left"/>
      <w:lvlText w:val="%1."/>
      <w:numFmt w:val="decimal"/>
      <w:start w:val="16"/>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01"/>
    </w:lvl>
  </w:abstractNum>
  <w:abstractNum w:abstractNumId="22">
    <w:nsid w:val="3A95F874"/>
    <w:multiLevelType w:val="hybridMultilevel"/>
    <w:lvl w:ilvl="0">
      <w:lvlJc w:val="left"/>
      <w:lvlText w:val="%1"/>
      <w:numFmt w:val="decimal"/>
      <w:start w:val="104"/>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3"/>
    </w:lvl>
  </w:abstractNum>
  <w:abstractNum w:abstractNumId="25">
    <w:nsid w:val="7C3DBD3D"/>
    <w:multiLevelType w:val="hybridMultilevel"/>
    <w:lvl w:ilvl="0">
      <w:lvlJc w:val="left"/>
      <w:lvlText w:val="%1."/>
      <w:numFmt w:val="decimal"/>
      <w:start w:val="8"/>
    </w:lvl>
  </w:abstractNum>
  <w:abstractNum w:abstractNumId="26">
    <w:nsid w:val="737B8DDC"/>
    <w:multiLevelType w:val="hybridMultilevel"/>
    <w:lvl w:ilvl="0">
      <w:lvlJc w:val="left"/>
      <w:lvlText w:val="%1."/>
      <w:numFmt w:val="decimal"/>
      <w:start w:val="10"/>
    </w:lvl>
  </w:abstractNum>
  <w:abstractNum w:abstractNumId="27">
    <w:nsid w:val="6CEAF087"/>
    <w:multiLevelType w:val="hybridMultilevel"/>
    <w:lvl w:ilvl="0">
      <w:lvlJc w:val="left"/>
      <w:lvlText w:val="%1."/>
      <w:numFmt w:val="decimal"/>
      <w:start w:val="13"/>
    </w:lvl>
  </w:abstractNum>
  <w:abstractNum w:abstractNumId="28">
    <w:nsid w:val="22221A70"/>
    <w:multiLevelType w:val="hybridMultilevel"/>
    <w:lvl w:ilvl="0">
      <w:lvlJc w:val="left"/>
      <w:lvlText w:val="(%1)"/>
      <w:numFmt w:val="lowerRoman"/>
      <w:start w:val="1"/>
    </w:lvl>
  </w:abstractNum>
  <w:abstractNum w:abstractNumId="29">
    <w:nsid w:val="4516DDE9"/>
    <w:multiLevelType w:val="hybridMultilevel"/>
    <w:lvl w:ilvl="0">
      <w:lvlJc w:val="left"/>
      <w:lvlText w:val="(%1)"/>
      <w:numFmt w:val="lowerRoman"/>
      <w:start w:val="1"/>
    </w:lvl>
  </w:abstractNum>
  <w:abstractNum w:abstractNumId="30">
    <w:nsid w:val="3006C83E"/>
    <w:multiLevelType w:val="hybridMultilevel"/>
    <w:lvl w:ilvl="0">
      <w:lvlJc w:val="left"/>
      <w:lvlText w:val="%1."/>
      <w:numFmt w:val="upperLetter"/>
      <w:start w:val="1"/>
    </w:lvl>
  </w:abstractNum>
  <w:abstractNum w:abstractNumId="31">
    <w:nsid w:val="614FD4A1"/>
    <w:multiLevelType w:val="hybridMultilevel"/>
    <w:lvl w:ilvl="0">
      <w:lvlJc w:val="left"/>
      <w:lvlText w:val="%1."/>
      <w:numFmt w:val="upp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56" Type="http://schemas.openxmlformats.org/officeDocument/2006/relationships/hyperlink" Target="http://www.sec.gov/Archives/edgar/data/875582/000117184325008020/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2026-04-09T07:05:48Z</dcterms:created>
  <dcterms:modified xsi:type="dcterms:W3CDTF">2026-04-09T07:05:48Z</dcterms:modified>
</cp:coreProperties>
</file>