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 ] </w:t>
      </w: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00" w:hanging="192"/>
        <w:spacing w:after="0"/>
        <w:tabs>
          <w:tab w:leader="none" w:pos="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color w:val="auto"/>
        </w:rPr>
        <w:t>For the transition period from ________________ to __________________.</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NORTHERN TECHNOLOGIES INTERNATIONAL</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CORPORATION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29" w:right="239" w:bottom="1440" w:gutter="0" w:footer="0" w:header="0"/>
        </w:sectPr>
      </w:pPr>
    </w:p>
    <w:p>
      <w:pPr>
        <w:spacing w:after="0" w:line="228"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200" w:lineRule="exact"/>
        <w:rPr>
          <w:sz w:val="24"/>
          <w:szCs w:val="24"/>
          <w:color w:val="auto"/>
        </w:rPr>
      </w:pPr>
    </w:p>
    <w:p>
      <w:pPr>
        <w:sectPr>
          <w:pgSz w:w="11900" w:h="16838" w:orient="portrait"/>
          <w:cols w:equalWidth="0" w:num="2">
            <w:col w:w="7600" w:space="720"/>
            <w:col w:w="3100"/>
          </w:cols>
          <w:pgMar w:left="240" w:top="729" w:right="2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03" w:lineRule="exact"/>
        <w:rPr>
          <w:sz w:val="24"/>
          <w:szCs w:val="24"/>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 NO [ ]</w:t>
      </w:r>
    </w:p>
    <w:p>
      <w:pPr>
        <w:spacing w:after="0" w:line="203" w:lineRule="exact"/>
        <w:rPr>
          <w:sz w:val="24"/>
          <w:szCs w:val="24"/>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Large accelerated filer [  ]</w:t>
            </w:r>
          </w:p>
        </w:tc>
        <w:tc>
          <w:tcPr>
            <w:tcW w:w="1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spacing w:after="0"/>
              <w:rPr>
                <w:sz w:val="18"/>
                <w:szCs w:val="18"/>
                <w:color w:val="auto"/>
              </w:rPr>
            </w:pPr>
          </w:p>
        </w:tc>
      </w:tr>
      <w:tr>
        <w:trPr>
          <w:trHeight w:val="234"/>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Non-accelerated filer (Do not check if a smaller reporting company) [  ]</w:t>
            </w:r>
          </w:p>
        </w:tc>
        <w:tc>
          <w:tcPr>
            <w:tcW w:w="2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 ]</w:t>
            </w:r>
          </w:p>
        </w:tc>
      </w:tr>
      <w:tr>
        <w:trPr>
          <w:trHeight w:val="432"/>
        </w:trPr>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NO</w:t>
            </w:r>
          </w:p>
        </w:tc>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 ]</w:t>
            </w:r>
          </w:p>
        </w:tc>
      </w:tr>
      <w:tr>
        <w:trPr>
          <w:trHeight w:val="459"/>
        </w:trPr>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July 11, 2014, there were 4,480,902 shares of common stock of the registrant outstanding.</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9"/>
        </w:trPr>
        <w:tc>
          <w:tcPr>
            <w:tcW w:w="7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21"/>
        </w:trPr>
        <w:tc>
          <w:tcPr>
            <w:tcW w:w="7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639"/>
        </w:trPr>
        <w:tc>
          <w:tcPr>
            <w:tcW w:w="7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61"/>
        </w:trPr>
        <w:tc>
          <w:tcPr>
            <w:tcW w:w="750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729"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31, 2014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72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61"/>
        </w:trPr>
        <w:tc>
          <w:tcPr>
            <w:tcW w:w="9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20" w:type="dxa"/>
            <w:vAlign w:val="bottom"/>
            <w:gridSpan w:val="3"/>
          </w:tcPr>
          <w:p>
            <w:pPr>
              <w:spacing w:after="0"/>
              <w:rPr>
                <w:sz w:val="24"/>
                <w:szCs w:val="24"/>
                <w:color w:val="auto"/>
              </w:rPr>
            </w:pPr>
          </w:p>
        </w:tc>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1100" w:type="dxa"/>
            <w:vAlign w:val="bottom"/>
            <w:gridSpan w:val="6"/>
          </w:tcPr>
          <w:p>
            <w:pPr>
              <w:spacing w:after="0"/>
              <w:rPr>
                <w:sz w:val="16"/>
                <w:szCs w:val="16"/>
                <w:color w:val="auto"/>
              </w:rPr>
            </w:pPr>
          </w:p>
        </w:tc>
        <w:tc>
          <w:tcPr>
            <w:tcW w:w="150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Statements</w:t>
              </w:r>
            </w:hyperlink>
          </w:p>
        </w:tc>
        <w:tc>
          <w:tcPr>
            <w:tcW w:w="7240" w:type="dxa"/>
            <w:vAlign w:val="bottom"/>
            <w:gridSpan w:val="10"/>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40" w:type="dxa"/>
            <w:vAlign w:val="bottom"/>
            <w:gridSpan w:val="11"/>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 as of May 31, 2014 (unaudited) and 31-Aug-13</w:t>
              </w:r>
            </w:hyperlink>
          </w:p>
        </w:tc>
        <w:tc>
          <w:tcPr>
            <w:tcW w:w="3200" w:type="dxa"/>
            <w:vAlign w:val="bottom"/>
            <w:gridSpan w:val="4"/>
          </w:tcPr>
          <w:p>
            <w:pPr>
              <w:spacing w:after="0"/>
              <w:rPr>
                <w:sz w:val="17"/>
                <w:szCs w:val="17"/>
                <w:color w:val="auto"/>
              </w:rPr>
            </w:pPr>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Operations (unaudited) for the Three and Nine Months Ended May 31, 2014 and 2013</w:t>
              </w:r>
            </w:hyperlink>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Comprehensive Income (unaudited) for the Three and Nine Months Ended May 31, 2014 and</w:t>
              </w:r>
            </w:hyperlink>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2013</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gridSpan w:val="13"/>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(unaudited) for the Nine Months Ended May 31, 2014 and 2013</w:t>
              </w:r>
            </w:hyperlink>
          </w:p>
        </w:tc>
        <w:tc>
          <w:tcPr>
            <w:tcW w:w="1220" w:type="dxa"/>
            <w:vAlign w:val="bottom"/>
            <w:gridSpan w:val="2"/>
          </w:tcPr>
          <w:p>
            <w:pPr>
              <w:spacing w:after="0"/>
              <w:rPr>
                <w:sz w:val="17"/>
                <w:szCs w:val="17"/>
                <w:color w:val="auto"/>
              </w:rPr>
            </w:pPr>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8"/>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Consolidated Financial Statements (unaudited)</w:t>
              </w:r>
            </w:hyperlink>
          </w:p>
        </w:tc>
        <w:tc>
          <w:tcPr>
            <w:tcW w:w="3500" w:type="dxa"/>
            <w:vAlign w:val="bottom"/>
            <w:gridSpan w:val="5"/>
          </w:tcPr>
          <w:p>
            <w:pPr>
              <w:spacing w:after="0"/>
              <w:rPr>
                <w:sz w:val="17"/>
                <w:szCs w:val="17"/>
                <w:color w:val="auto"/>
              </w:rPr>
            </w:pPr>
          </w:p>
        </w:tc>
        <w:tc>
          <w:tcPr>
            <w:tcW w:w="1220" w:type="dxa"/>
            <w:vAlign w:val="bottom"/>
            <w:gridSpan w:val="2"/>
          </w:tcPr>
          <w:p>
            <w:pPr>
              <w:spacing w:after="0"/>
              <w:rPr>
                <w:sz w:val="17"/>
                <w:szCs w:val="17"/>
                <w:color w:val="auto"/>
              </w:rPr>
            </w:pPr>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7-15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Item 2.</w:t>
              </w:r>
            </w:hyperlink>
          </w:p>
        </w:tc>
        <w:tc>
          <w:tcPr>
            <w:tcW w:w="1100" w:type="dxa"/>
            <w:vAlign w:val="bottom"/>
            <w:gridSpan w:val="6"/>
          </w:tcPr>
          <w:p>
            <w:pPr>
              <w:spacing w:after="0"/>
              <w:rPr>
                <w:sz w:val="17"/>
                <w:szCs w:val="17"/>
                <w:color w:val="auto"/>
              </w:rPr>
            </w:pPr>
          </w:p>
        </w:tc>
        <w:tc>
          <w:tcPr>
            <w:tcW w:w="6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Borders>
              <w:bottom w:val="single" w:sz="8" w:color="0000EE"/>
            </w:tcBorders>
            <w:gridSpan w:val="5"/>
          </w:tcPr>
          <w:p>
            <w:pPr>
              <w:jc w:val="right"/>
              <w:spacing w:after="0" w:line="196" w:lineRule="exact"/>
              <w:rPr>
                <w:rFonts w:ascii="Times New Roman" w:cs="Times New Roman" w:eastAsia="Times New Roman" w:hAnsi="Times New Roman"/>
                <w:sz w:val="18"/>
                <w:szCs w:val="18"/>
                <w:color w:val="0000EE"/>
                <w:w w:val="95"/>
              </w:rPr>
            </w:pPr>
            <w:hyperlink w:anchor="page17">
              <w:r>
                <w:rPr>
                  <w:rFonts w:ascii="Times New Roman" w:cs="Times New Roman" w:eastAsia="Times New Roman" w:hAnsi="Times New Roman"/>
                  <w:sz w:val="18"/>
                  <w:szCs w:val="18"/>
                  <w:color w:val="0000EE"/>
                  <w:w w:val="95"/>
                </w:rPr>
                <w:t>16-28</w:t>
              </w:r>
            </w:hyperlink>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3.</w:t>
              </w:r>
            </w:hyperlink>
          </w:p>
        </w:tc>
        <w:tc>
          <w:tcPr>
            <w:tcW w:w="1080" w:type="dxa"/>
            <w:vAlign w:val="bottom"/>
            <w:gridSpan w:val="5"/>
          </w:tcPr>
          <w:p>
            <w:pPr>
              <w:spacing w:after="0"/>
              <w:rPr>
                <w:sz w:val="17"/>
                <w:szCs w:val="17"/>
                <w:color w:val="auto"/>
              </w:rPr>
            </w:pPr>
          </w:p>
        </w:tc>
        <w:tc>
          <w:tcPr>
            <w:tcW w:w="8740" w:type="dxa"/>
            <w:vAlign w:val="bottom"/>
            <w:gridSpan w:val="15"/>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Quantitative and Qualitative Disclosures about Market Risk</w:t>
              </w:r>
            </w:hyperlink>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Item 4.</w:t>
              </w:r>
            </w:hyperlink>
          </w:p>
        </w:tc>
        <w:tc>
          <w:tcPr>
            <w:tcW w:w="20" w:type="dxa"/>
            <w:vAlign w:val="bottom"/>
            <w:tcBorders>
              <w:top w:val="single" w:sz="8" w:color="0000EE"/>
            </w:tcBorders>
          </w:tcPr>
          <w:p>
            <w:pPr>
              <w:spacing w:after="0"/>
              <w:rPr>
                <w:sz w:val="17"/>
                <w:szCs w:val="17"/>
                <w:color w:val="auto"/>
              </w:rPr>
            </w:pPr>
          </w:p>
        </w:tc>
        <w:tc>
          <w:tcPr>
            <w:tcW w:w="1080" w:type="dxa"/>
            <w:vAlign w:val="bottom"/>
            <w:gridSpan w:val="5"/>
          </w:tcPr>
          <w:p>
            <w:pPr>
              <w:spacing w:after="0"/>
              <w:rPr>
                <w:sz w:val="17"/>
                <w:szCs w:val="17"/>
                <w:color w:val="auto"/>
              </w:rPr>
            </w:pPr>
          </w:p>
        </w:tc>
        <w:tc>
          <w:tcPr>
            <w:tcW w:w="43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4440" w:type="dxa"/>
            <w:vAlign w:val="bottom"/>
            <w:gridSpan w:val="6"/>
          </w:tcPr>
          <w:p>
            <w:pPr>
              <w:spacing w:after="0"/>
              <w:rPr>
                <w:sz w:val="17"/>
                <w:szCs w:val="17"/>
                <w:color w:val="auto"/>
              </w:rPr>
            </w:pPr>
          </w:p>
        </w:tc>
        <w:tc>
          <w:tcPr>
            <w:tcW w:w="8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6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gridSpan w:val="2"/>
          </w:tcPr>
          <w:p>
            <w:pPr>
              <w:spacing w:after="0" w:line="194"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w:t>
              </w:r>
            </w:hyperlink>
          </w:p>
        </w:tc>
        <w:tc>
          <w:tcPr>
            <w:tcW w:w="1080" w:type="dxa"/>
            <w:vAlign w:val="bottom"/>
            <w:gridSpan w:val="5"/>
          </w:tcPr>
          <w:p>
            <w:pPr>
              <w:spacing w:after="0"/>
              <w:rPr>
                <w:sz w:val="16"/>
                <w:szCs w:val="16"/>
                <w:color w:val="auto"/>
              </w:rPr>
            </w:pPr>
          </w:p>
        </w:tc>
        <w:tc>
          <w:tcPr>
            <w:tcW w:w="8740" w:type="dxa"/>
            <w:vAlign w:val="bottom"/>
            <w:gridSpan w:val="15"/>
          </w:tcPr>
          <w:p>
            <w:pPr>
              <w:spacing w:after="0" w:line="194"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1060" w:type="dxa"/>
            <w:vAlign w:val="bottom"/>
            <w:gridSpan w:val="6"/>
          </w:tcPr>
          <w:p>
            <w:pPr>
              <w:jc w:val="right"/>
              <w:spacing w:after="0" w:line="194"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gridSpan w:val="7"/>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1A.</w:t>
              </w:r>
            </w:hyperlink>
          </w:p>
        </w:tc>
        <w:tc>
          <w:tcPr>
            <w:tcW w:w="8740" w:type="dxa"/>
            <w:vAlign w:val="bottom"/>
            <w:gridSpan w:val="15"/>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2.</w:t>
              </w:r>
            </w:hyperlink>
          </w:p>
        </w:tc>
        <w:tc>
          <w:tcPr>
            <w:tcW w:w="100" w:type="dxa"/>
            <w:vAlign w:val="bottom"/>
          </w:tcPr>
          <w:p>
            <w:pPr>
              <w:spacing w:after="0"/>
              <w:rPr>
                <w:sz w:val="17"/>
                <w:szCs w:val="17"/>
                <w:color w:val="auto"/>
              </w:rPr>
            </w:pPr>
          </w:p>
        </w:tc>
        <w:tc>
          <w:tcPr>
            <w:tcW w:w="980" w:type="dxa"/>
            <w:vAlign w:val="bottom"/>
            <w:gridSpan w:val="4"/>
          </w:tcPr>
          <w:p>
            <w:pPr>
              <w:spacing w:after="0"/>
              <w:rPr>
                <w:sz w:val="17"/>
                <w:szCs w:val="17"/>
                <w:color w:val="auto"/>
              </w:rPr>
            </w:pPr>
          </w:p>
        </w:tc>
        <w:tc>
          <w:tcPr>
            <w:tcW w:w="8740" w:type="dxa"/>
            <w:vAlign w:val="bottom"/>
            <w:gridSpan w:val="15"/>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w:t>
              </w:r>
            </w:hyperlink>
          </w:p>
        </w:tc>
        <w:tc>
          <w:tcPr>
            <w:tcW w:w="1080" w:type="dxa"/>
            <w:vAlign w:val="bottom"/>
            <w:gridSpan w:val="5"/>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30">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3"/>
          </w:tcPr>
          <w:p>
            <w:pPr>
              <w:spacing w:after="0"/>
              <w:rPr>
                <w:sz w:val="17"/>
                <w:szCs w:val="17"/>
                <w:color w:val="auto"/>
              </w:rPr>
            </w:pPr>
          </w:p>
        </w:tc>
        <w:tc>
          <w:tcPr>
            <w:tcW w:w="4400" w:type="dxa"/>
            <w:vAlign w:val="bottom"/>
            <w:gridSpan w:val="5"/>
          </w:tcPr>
          <w:p>
            <w:pPr>
              <w:spacing w:after="0"/>
              <w:rPr>
                <w:sz w:val="17"/>
                <w:szCs w:val="17"/>
                <w:color w:val="auto"/>
              </w:rPr>
            </w:pPr>
          </w:p>
        </w:tc>
        <w:tc>
          <w:tcPr>
            <w:tcW w:w="88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29</w:t>
              </w:r>
            </w:hyperlink>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4.</w:t>
              </w:r>
            </w:hyperlink>
          </w:p>
        </w:tc>
        <w:tc>
          <w:tcPr>
            <w:tcW w:w="1080" w:type="dxa"/>
            <w:vAlign w:val="bottom"/>
            <w:gridSpan w:val="5"/>
          </w:tcPr>
          <w:p>
            <w:pPr>
              <w:spacing w:after="0"/>
              <w:rPr>
                <w:sz w:val="17"/>
                <w:szCs w:val="17"/>
                <w:color w:val="auto"/>
              </w:rPr>
            </w:pPr>
          </w:p>
        </w:tc>
        <w:tc>
          <w:tcPr>
            <w:tcW w:w="8740" w:type="dxa"/>
            <w:vAlign w:val="bottom"/>
            <w:gridSpan w:val="15"/>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Mine Safety Disclosures</w:t>
              </w:r>
            </w:hyperlink>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5.</w:t>
              </w:r>
            </w:hyperlink>
          </w:p>
        </w:tc>
        <w:tc>
          <w:tcPr>
            <w:tcW w:w="1080" w:type="dxa"/>
            <w:vAlign w:val="bottom"/>
            <w:gridSpan w:val="5"/>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w:t>
              </w:r>
            </w:hyperlink>
          </w:p>
        </w:tc>
        <w:tc>
          <w:tcPr>
            <w:tcW w:w="6980" w:type="dxa"/>
            <w:vAlign w:val="bottom"/>
            <w:gridSpan w:val="9"/>
          </w:tcPr>
          <w:p>
            <w:pPr>
              <w:spacing w:after="0"/>
              <w:rPr>
                <w:sz w:val="17"/>
                <w:szCs w:val="17"/>
                <w:color w:val="auto"/>
              </w:rPr>
            </w:pPr>
          </w:p>
        </w:tc>
        <w:tc>
          <w:tcPr>
            <w:tcW w:w="88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29</w:t>
              </w:r>
            </w:hyperlink>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6.</w:t>
              </w:r>
            </w:hyperlink>
          </w:p>
        </w:tc>
        <w:tc>
          <w:tcPr>
            <w:tcW w:w="1080" w:type="dxa"/>
            <w:vAlign w:val="bottom"/>
            <w:gridSpan w:val="5"/>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0">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2"/>
          </w:tcPr>
          <w:p>
            <w:pPr>
              <w:spacing w:after="0"/>
              <w:rPr>
                <w:sz w:val="17"/>
                <w:szCs w:val="17"/>
                <w:color w:val="auto"/>
              </w:rPr>
            </w:pPr>
          </w:p>
        </w:tc>
        <w:tc>
          <w:tcPr>
            <w:tcW w:w="7420" w:type="dxa"/>
            <w:vAlign w:val="bottom"/>
            <w:gridSpan w:val="11"/>
          </w:tcPr>
          <w:p>
            <w:pPr>
              <w:spacing w:after="0"/>
              <w:rPr>
                <w:sz w:val="17"/>
                <w:szCs w:val="17"/>
                <w:color w:val="auto"/>
              </w:rPr>
            </w:pPr>
          </w:p>
        </w:tc>
        <w:tc>
          <w:tcPr>
            <w:tcW w:w="880" w:type="dxa"/>
            <w:vAlign w:val="bottom"/>
            <w:gridSpan w:val="4"/>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29</w:t>
              </w:r>
            </w:hyperlink>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b w:val="1"/>
                <w:bCs w:val="1"/>
                <w:color w:val="0000EE"/>
                <w:w w:val="97"/>
              </w:rPr>
            </w:pPr>
            <w:hyperlink w:anchor="page31">
              <w:r>
                <w:rPr>
                  <w:rFonts w:ascii="Times New Roman" w:cs="Times New Roman" w:eastAsia="Times New Roman" w:hAnsi="Times New Roman"/>
                  <w:sz w:val="18"/>
                  <w:szCs w:val="18"/>
                  <w:b w:val="1"/>
                  <w:bCs w:val="1"/>
                  <w:color w:val="0000EE"/>
                  <w:w w:val="97"/>
                </w:rPr>
                <w:t>SIGNATURE PAGE</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30</w:t>
              </w:r>
            </w:hyperlink>
          </w:p>
        </w:tc>
        <w:tc>
          <w:tcPr>
            <w:tcW w:w="0" w:type="dxa"/>
            <w:vAlign w:val="bottom"/>
          </w:tcPr>
          <w:p>
            <w:pPr>
              <w:spacing w:after="0"/>
              <w:rPr>
                <w:sz w:val="1"/>
                <w:szCs w:val="1"/>
                <w:color w:val="auto"/>
              </w:rPr>
            </w:pPr>
          </w:p>
        </w:tc>
      </w:tr>
      <w:tr>
        <w:trPr>
          <w:trHeight w:val="196"/>
        </w:trPr>
        <w:tc>
          <w:tcPr>
            <w:tcW w:w="1620" w:type="dxa"/>
            <w:vAlign w:val="bottom"/>
            <w:gridSpan w:val="7"/>
          </w:tcPr>
          <w:p>
            <w:pPr>
              <w:spacing w:after="0" w:line="196" w:lineRule="exact"/>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EXHIBIT INDEX</w:t>
              </w:r>
            </w:hyperlink>
          </w:p>
        </w:tc>
        <w:tc>
          <w:tcPr>
            <w:tcW w:w="5540" w:type="dxa"/>
            <w:vAlign w:val="bottom"/>
            <w:gridSpan w:val="11"/>
            <w:vMerge w:val="restart"/>
          </w:tcPr>
          <w:p>
            <w:pPr>
              <w:ind w:left="3320"/>
              <w:spacing w:after="0"/>
              <w:rPr>
                <w:sz w:val="20"/>
                <w:szCs w:val="20"/>
                <w:color w:val="auto"/>
              </w:rPr>
            </w:pPr>
            <w:r>
              <w:rPr>
                <w:rFonts w:ascii="Times New Roman" w:cs="Times New Roman" w:eastAsia="Times New Roman" w:hAnsi="Times New Roman"/>
                <w:sz w:val="18"/>
                <w:szCs w:val="18"/>
                <w:color w:val="auto"/>
              </w:rPr>
              <w:t>_________________</w:t>
            </w: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6"/>
          </w:tcPr>
          <w:p>
            <w:pPr>
              <w:jc w:val="right"/>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37"/>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1"/>
            <w:vMerge w:val="continue"/>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subsidiaries, Zerust Prevenção de Corrosão S.A., NTI Asean LLC and Northern Technologies India Private Limited, all of which are consolidated on NTIC’s consolidated financial statements.</w:t>
      </w:r>
    </w:p>
    <w:p>
      <w:pPr>
        <w:spacing w:after="0" w:line="20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NTIC’s consolidated financial statements do not include the accounts of any of its joint ventures. Except as otherwise indicated, references in this report to NTIC’s joint ventures do not include: (1) NTIC’s majority owned Brazilian subsidiary, Zerust Prevenção de Corrosão S.A.; (2)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 or (3) NTIC’s majority owned subsidiary, Northern Technologies India Private Limited, in India.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“Zerust Brazil” refer to NTIC’s majority owned Brazilian subsidiary, Zerust Prevenção de Corrosão S.A.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references to “NTI India” refer to NTIC’s recently formed majority owned subsidiary in India, Northern Technologies India Private Limited.</w:t>
      </w:r>
    </w:p>
    <w:p>
      <w:pPr>
        <w:spacing w:after="0" w:line="18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references to “EXCOR” refer to NTIC’s primary joint venture in Germany, Excor Korrosionsschutz – Technologien und Produkte GmbH.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BALANCE SHEETS AS OF MAY 31, 2014 (UNAUDITED) AND AUGUST 31, 2013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 2013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8,549,789</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40" w:type="dxa"/>
            <w:vAlign w:val="bottom"/>
            <w:tcBorders>
              <w:right w:val="single" w:sz="8" w:color="CCEEFF"/>
            </w:tcBorders>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$40,000 at May 31, 2014 and $20,000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40" w:type="dxa"/>
            <w:vAlign w:val="bottom"/>
            <w:tcBorders>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August 31, 2013</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3,265,913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joint ventures</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768,574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2,833,373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307,991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5,535,014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551,930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467,548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22,280,132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16,932,505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5,422,925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5,323,612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22,103,275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24,702,981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1,034,212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1,184,824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163,499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24,485,810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26,797,832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52,188,867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49,053,949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note payable (Note 6)</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1,630,733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1,830,729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1,592,640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joint venture royalties</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CCEEFF"/>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298,490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3,809,863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 PAYABLE, NET OF CURRENT PORTION (Note 6)</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10,000,000 shares; issued and outstanding 4,477,902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4,432,036, respectively</w:t>
            </w: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12,394,854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31,490,773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28,626,928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812,834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44,788,019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40,733,672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3,590,985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48,379,004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44,534,601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Borders>
              <w:right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52,188,867</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49,053,949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4" w:name="page5"/>
    <w:bookmarkEnd w:id="4"/>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AND NINE MONTHS ENDED MAY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6,056,078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5,041,096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17,188,462</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864,742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835,937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2,260,466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6,920,820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5,877,033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19,448,928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4,669,322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4,054,364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12,879,186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11,379,249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2,251,498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1,822,669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6,569,742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5,035,881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4,416,664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2,001,775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1,917,947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6,169,094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5,535,105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3,595,240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3,358,282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10,585,758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9,268,174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1,315,264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1,243,687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3,925,466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1,307,653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3,905,082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353,958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335,132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1,049,691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1,104,632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1,002,651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3,342,497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2,853,250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4,081,507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3,687,180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12,222,736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10,966,765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1,493,771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4,932,764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3,337,290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1,759,537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1,445,769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4,905,783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3,323,460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361,280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158,000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819,039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4,086,744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2,791,460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418,040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360,657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1,222,897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1,040,316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980,217</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927,112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2,863,847</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4,461,880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4,421,379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4,452,798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4,415,452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4,590,344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4,468,861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4,583,174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4,464,774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AND NINE MONTHS ENDED MAY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220" w:right="112" w:firstLine="3"/>
        <w:spacing w:after="0" w:line="261" w:lineRule="auto"/>
        <w:rPr>
          <w:sz w:val="20"/>
          <w:szCs w:val="20"/>
          <w:color w:val="auto"/>
        </w:rPr>
      </w:pPr>
      <w:r>
        <w:rPr>
          <w:rFonts w:ascii="Times New Roman" w:cs="Times New Roman" w:eastAsia="Times New Roman" w:hAnsi="Times New Roman"/>
          <w:sz w:val="18"/>
          <w:szCs w:val="18"/>
          <w:color w:val="auto"/>
        </w:rPr>
        <w:t>OTHER COMPREHENSIVE (LOSS) INCOME – 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7" w:lineRule="exact"/>
        <w:rPr>
          <w:sz w:val="20"/>
          <w:szCs w:val="20"/>
          <w:color w:val="auto"/>
        </w:rPr>
      </w:pPr>
    </w:p>
    <w:p>
      <w:pPr>
        <w:ind w:left="340" w:right="12" w:hanging="143"/>
        <w:spacing w:after="0" w:line="255" w:lineRule="auto"/>
        <w:rPr>
          <w:sz w:val="20"/>
          <w:szCs w:val="20"/>
          <w:color w:val="auto"/>
        </w:rPr>
      </w:pPr>
      <w:r>
        <w:rPr>
          <w:rFonts w:ascii="Times New Roman" w:cs="Times New Roman" w:eastAsia="Times New Roman" w:hAnsi="Times New Roman"/>
          <w:sz w:val="18"/>
          <w:szCs w:val="18"/>
          <w:color w:val="auto"/>
        </w:rPr>
        <w:t>COMPREHENSIVE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0"/>
                <w:szCs w:val="20"/>
                <w:color w:val="auto"/>
              </w:rPr>
            </w:pPr>
          </w:p>
        </w:tc>
        <w:tc>
          <w:tcPr>
            <w:tcW w:w="23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10"/>
        </w:trPr>
        <w:tc>
          <w:tcPr>
            <w:tcW w:w="20" w:type="dxa"/>
            <w:vAlign w:val="bottom"/>
          </w:tcPr>
          <w:p>
            <w:pPr>
              <w:spacing w:after="0"/>
              <w:rPr>
                <w:sz w:val="18"/>
                <w:szCs w:val="18"/>
                <w:color w:val="auto"/>
              </w:rPr>
            </w:pP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May 31, 2014  May 31, 2013</w:t>
            </w:r>
          </w:p>
        </w:tc>
        <w:tc>
          <w:tcPr>
            <w:tcW w:w="120" w:type="dxa"/>
            <w:vAlign w:val="bottom"/>
          </w:tcPr>
          <w:p>
            <w:pPr>
              <w:spacing w:after="0"/>
              <w:rPr>
                <w:sz w:val="18"/>
                <w:szCs w:val="18"/>
                <w:color w:val="auto"/>
              </w:rPr>
            </w:pP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May 31, 2014  May 31, 2013</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ind w:left="288" w:hanging="288"/>
        <w:spacing w:after="0"/>
        <w:tabs>
          <w:tab w:leader="none" w:pos="2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1,398,257   $  1,287,769   $  4,086,744   $  2,791,460</w:t>
      </w:r>
    </w:p>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472,315</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1,264,961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995,768</w:t>
            </w:r>
          </w:p>
        </w:tc>
        <w:tc>
          <w:tcPr>
            <w:tcW w:w="120" w:type="dxa"/>
            <w:vAlign w:val="bottom"/>
            <w:vMerge w:val="continue"/>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4,559,059</w:t>
            </w:r>
          </w:p>
        </w:tc>
        <w:tc>
          <w:tcPr>
            <w:tcW w:w="100" w:type="dxa"/>
            <w:vAlign w:val="bottom"/>
            <w:vMerge w:val="continue"/>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2,895,003</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405,333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352,519</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1,198,539</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1,087,206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859,628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643,249</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3,360,520</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1,807,797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92" w:space="720"/>
            <w:col w:w="4808"/>
          </w:cols>
          <w:pgMar w:left="240" w:top="26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type w:val="continuous"/>
        </w:sectPr>
      </w:pPr>
    </w:p>
    <w:bookmarkStart w:id="6" w:name="page7"/>
    <w:bookmarkEnd w:id="6"/>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NINE MONTHS ENDED MAY 31,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4,086,744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Depreciation expense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Amortization expense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64,736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in allowance on doubtful accounts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Receivables: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Trade, joint ventures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90,860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Income taxes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Inventories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Income tax payable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Accrued liabilities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411,211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(607,041)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the sale of investment in joint venture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134,606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7,307,895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subsidiary consolidation on cash</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Additions to patents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6,824,572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3,302,358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Investment by non-controlling interest</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305,996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4,235,531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4,314,258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4,137,547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7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8,549,789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3,176,157</w:t>
            </w:r>
          </w:p>
        </w:tc>
        <w:tc>
          <w:tcPr>
            <w:tcW w:w="0" w:type="dxa"/>
            <w:vAlign w:val="bottom"/>
          </w:tcPr>
          <w:p>
            <w:pPr>
              <w:spacing w:after="0"/>
              <w:rPr>
                <w:sz w:val="1"/>
                <w:szCs w:val="1"/>
                <w:color w:val="auto"/>
              </w:rPr>
            </w:pPr>
          </w:p>
        </w:tc>
      </w:tr>
      <w:tr>
        <w:trPr>
          <w:trHeight w:val="21"/>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5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50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48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7" w:name="page8"/>
    <w:bookmarkEnd w:id="7"/>
    <w:p>
      <w:pPr>
        <w:ind w:right="414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63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8"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2014 and August 31, 2013 and the results of their operations for the three and nine months ended May 31, 2014 and 2013 and their cash flows for the nine months ended May 31, 2014 and 2013, in conformity with accounting principles generally accepted in the United States of America (U.S. GAAP).</w:t>
      </w:r>
    </w:p>
    <w:p>
      <w:pPr>
        <w:spacing w:after="0" w:line="21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amounts reported in the consolidated financial statements for the previous reporting periods have been reclassified to conform to the current period presentation. These reclassifications did not have a material impact on the Company’s previously reported consolidated balance sheets or statements of cash flows.</w:t>
      </w:r>
    </w:p>
    <w:p>
      <w:pPr>
        <w:spacing w:after="0" w:line="203" w:lineRule="exact"/>
        <w:rPr>
          <w:sz w:val="20"/>
          <w:szCs w:val="20"/>
          <w:color w:val="auto"/>
        </w:rPr>
      </w:pPr>
    </w:p>
    <w:p>
      <w:pPr>
        <w:jc w:val="both"/>
        <w:ind w:right="86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2013. These consolidated financial statements also should be read in conjunction with the “Management’s Discussion and Analysis of Financial Condition and Results of Operations” section appearing in this report.</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May 31, 2014 are not necessarily indicative of the results that may be expected for the full fiscal year ending August 31, 2014.</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 2013</w:t>
            </w:r>
          </w:p>
        </w:tc>
      </w:tr>
      <w:tr>
        <w:trPr>
          <w:trHeight w:val="20"/>
        </w:trPr>
        <w:tc>
          <w:tcPr>
            <w:tcW w:w="4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3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1,323,073</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1,096,693</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4,211,941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4,014,856</w:t>
            </w:r>
          </w:p>
        </w:tc>
      </w:tr>
      <w:tr>
        <w:trPr>
          <w:trHeight w:val="230"/>
        </w:trPr>
        <w:tc>
          <w:tcPr>
            <w:tcW w:w="40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5,535,014</w:t>
            </w: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5,111,549</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 2013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4,582,259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4,613,879</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3,652,730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3,189,671</w:t>
            </w: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8,545,354</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8,113,915</w:t>
            </w:r>
          </w:p>
        </w:tc>
        <w:tc>
          <w:tcPr>
            <w:tcW w:w="0" w:type="dxa"/>
            <w:vAlign w:val="bottom"/>
          </w:tcPr>
          <w:p>
            <w:pPr>
              <w:spacing w:after="0"/>
              <w:rPr>
                <w:sz w:val="1"/>
                <w:szCs w:val="1"/>
                <w:color w:val="auto"/>
              </w:rPr>
            </w:pPr>
          </w:p>
        </w:tc>
      </w:tr>
      <w:tr>
        <w:trPr>
          <w:trHeight w:val="216"/>
        </w:trPr>
        <w:tc>
          <w:tcPr>
            <w:tcW w:w="8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(3,122,429)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(2,790,303)</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520" w:type="dxa"/>
            <w:vAlign w:val="bottom"/>
            <w:gridSpan w:val="2"/>
          </w:tcPr>
          <w:p>
            <w:pPr>
              <w:ind w:left="8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5,422,925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5,323,612</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8360" w:type="dxa"/>
            <w:vAlign w:val="bottom"/>
            <w:vMerge w:val="restart"/>
          </w:tcPr>
          <w:p>
            <w:pPr>
              <w:jc w:val="right"/>
              <w:ind w:right="30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0" w:type="dxa"/>
            <w:vAlign w:val="bottom"/>
          </w:tcPr>
          <w:p>
            <w:pPr>
              <w:spacing w:after="0"/>
              <w:rPr>
                <w:sz w:val="24"/>
                <w:szCs w:val="24"/>
                <w:color w:val="auto"/>
              </w:rPr>
            </w:pPr>
          </w:p>
        </w:tc>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83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PATENTS AND TRADEMARKS, NET</w:t>
            </w:r>
          </w:p>
        </w:tc>
        <w:tc>
          <w:tcPr>
            <w:tcW w:w="2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4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31, 2013</w:t>
            </w:r>
          </w:p>
        </w:tc>
      </w:tr>
      <w:tr>
        <w:trPr>
          <w:trHeight w:val="20"/>
        </w:trPr>
        <w:tc>
          <w:tcPr>
            <w:tcW w:w="4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0"/>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2,253,049</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2,064,128</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(1,068,225)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(1,003,489)</w:t>
            </w:r>
          </w:p>
        </w:tc>
      </w:tr>
      <w:tr>
        <w:trPr>
          <w:trHeight w:val="230"/>
        </w:trPr>
        <w:tc>
          <w:tcPr>
            <w:tcW w:w="400" w:type="dxa"/>
            <w:vAlign w:val="bottom"/>
            <w:shd w:val="clear" w:color="auto" w:fill="CCEEFF"/>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1,184,824</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1,060,639</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199"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approximate U.S. GAAP in all material respects. All material profits recorded on sales from the Company to its joint ventures of goods that remain in inventory, have been eliminated for financial reporting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joint venture in China, NTI Asean and all of the Company’s other joint ventures,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At May 31, 2014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$ 58,975,346</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$22,560,299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8,541,897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27,873,150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63,172,232</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24,920,587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8,561,641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29,690,004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14,208,070</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1,956,574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1,926,986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10,324,510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3,373,373</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1,321,199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1,198,335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45,590,789</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21,642,814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5,780,816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18,167,159</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Company’s share of joint ventures’ equity</w:t>
            </w:r>
          </w:p>
        </w:tc>
        <w:tc>
          <w:tcPr>
            <w:tcW w:w="2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22,103,275</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10,821,409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2,225,409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9,056,460</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share of joint ventures’ undistributed earnings</w:t>
            </w:r>
          </w:p>
        </w:tc>
        <w:tc>
          <w:tcPr>
            <w:tcW w:w="2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$ 19,681,808</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$10,790,504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2,175,409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6,715,895</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At August 31, 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0"/>
        </w:trPr>
        <w:tc>
          <w:tcPr>
            <w:tcW w:w="4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$63,052,410</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$25,955,136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11,200,355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25,896,919</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68,417,142</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28,391,787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11,226,755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28,798,600</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16,107,597</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9,455,475</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2,488,057</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871,886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1,616,171</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3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49,821,488</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24,819,783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7,274,751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17,726,954</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Company’s share of joint ventures’ equity</w:t>
            </w:r>
          </w:p>
        </w:tc>
        <w:tc>
          <w:tcPr>
            <w:tcW w:w="3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24,702,981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12,409,893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3,637,375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8,655,713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Company’s share of joint ventures’ undistributed earnings</w:t>
            </w:r>
          </w:p>
        </w:tc>
        <w:tc>
          <w:tcPr>
            <w:tcW w:w="3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$22,281,510</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$12,378,988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3,587,375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6,315,147</w:t>
            </w:r>
          </w:p>
        </w:tc>
      </w:tr>
      <w:tr>
        <w:trPr>
          <w:trHeight w:val="608"/>
        </w:trPr>
        <w:tc>
          <w:tcPr>
            <w:tcW w:w="4920" w:type="dxa"/>
            <w:vAlign w:val="bottom"/>
          </w:tcPr>
          <w:p>
            <w:pPr>
              <w:spacing w:after="0"/>
              <w:rPr>
                <w:sz w:val="24"/>
                <w:szCs w:val="24"/>
                <w:color w:val="auto"/>
              </w:rPr>
            </w:pPr>
          </w:p>
        </w:tc>
        <w:tc>
          <w:tcPr>
            <w:tcW w:w="208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49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492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6"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 May 31, 2014</w:t>
            </w:r>
          </w:p>
        </w:tc>
        <w:tc>
          <w:tcPr>
            <w:tcW w:w="940" w:type="dxa"/>
            <w:vAlign w:val="bottom"/>
            <w:tcBorders>
              <w:bottom w:val="single" w:sz="8" w:color="auto"/>
            </w:tcBorders>
          </w:tcPr>
          <w:p>
            <w:pPr>
              <w:spacing w:after="0"/>
              <w:rPr>
                <w:sz w:val="20"/>
                <w:szCs w:val="20"/>
                <w:color w:val="auto"/>
              </w:rPr>
            </w:pPr>
          </w:p>
        </w:tc>
      </w:tr>
      <w:tr>
        <w:trPr>
          <w:trHeight w:val="210"/>
        </w:trPr>
        <w:tc>
          <w:tcPr>
            <w:tcW w:w="5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88,213,101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29,020,416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11,952,115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47,240,570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41,609,619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15,000,023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5,550,166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21,059,430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9,960,639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5,574,387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1,543,155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1,913,097</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Company’s share of equity in income of joint ventures</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4,416,664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2,787,048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659,684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969,932</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Nine Months Ended May 31, 2013</w:t>
            </w:r>
          </w:p>
        </w:tc>
        <w:tc>
          <w:tcPr>
            <w:tcW w:w="940" w:type="dxa"/>
            <w:vAlign w:val="bottom"/>
            <w:tcBorders>
              <w:bottom w:val="single" w:sz="8" w:color="auto"/>
            </w:tcBorders>
          </w:tcPr>
          <w:p>
            <w:pPr>
              <w:spacing w:after="0"/>
              <w:rPr>
                <w:sz w:val="20"/>
                <w:szCs w:val="20"/>
                <w:color w:val="auto"/>
              </w:rPr>
            </w:pPr>
          </w:p>
        </w:tc>
      </w:tr>
      <w:tr>
        <w:trPr>
          <w:trHeight w:val="210"/>
        </w:trPr>
        <w:tc>
          <w:tcPr>
            <w:tcW w:w="5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All Other</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82,788,711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26,043,775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10,802,206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45,942,730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39,447,084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13,624,792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5,134,820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20,687,472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7,626,711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4,954,595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815,664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1,856,452</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Company’s share of equity in income of joint ventures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3,733,069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2,478,109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407,809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847,151</w:t>
            </w:r>
          </w:p>
        </w:tc>
      </w:tr>
    </w:tbl>
    <w:p>
      <w:pPr>
        <w:spacing w:after="0" w:line="20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w:t>
      </w:r>
    </w:p>
    <w:p>
      <w:pPr>
        <w:spacing w:after="0" w:line="20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May 31, 2014, NTI Asean bought out the other 50% owner in its joint venture in Singapore for $110,988, thereby increasing NTI Asean’s ownership in the joint venture from 50% to 100%. The Company did not make any other joint venture investments during the nine months ended May 31, 2014 and did not make any joint venture investments during the nine months ended May 31, 2013.</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30, 2013, the Company agreed to sell its indirect ownership interest in Mütec GmbH (Mütec), one of the Company’s joint ventures in Germany which manufactures proprietary electronic sensing instruments. As of May 31, 2014, $163,499 is due to the Company related to this transaction.</w:t>
      </w:r>
    </w:p>
    <w:p>
      <w:pPr>
        <w:spacing w:after="0" w:line="185"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August 31, 2013, Northern Technologies Holding Company, LLC (NTI LLC) had a term loan with a principal amount of $933,413 outstanding that NTI LLC obtained from PNC Bank, National Association (PNC Bank) in connection with the purchase of NTIC’s corporate headquarters in September 2006. This term loan was repaid in full on January 3, 2014 and as a result there was $0 outstanding as of May 31, 2014.</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 revolving line of credit with PNC Bank of $3,000,000. No amounts were outstanding under the line of credit as of both May 31, 2014 and August 31, 2013.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As of May 31, 2014, the Company was in compliance with all debt covenants.</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December 31, 2013, PNC Bank extended the maturity date of the line of credit from January 8, 2014 to January 7, 2015. All other terms of the line of credit and the loan agreement and other documents evidencing the line of credit remain the same.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ind w:left="640" w:hanging="632"/>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31, 2014, the Company did not purchase or retire any shares of its common stock. The following stock options to purchase shares of common stock were exercised during the nine months ended May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3"/>
          </w:tcPr>
          <w:p>
            <w:pPr>
              <w:jc w:val="center"/>
              <w:ind w:right="2200"/>
              <w:spacing w:after="0"/>
              <w:rPr>
                <w:sz w:val="20"/>
                <w:szCs w:val="20"/>
                <w:color w:val="auto"/>
              </w:rPr>
            </w:pPr>
            <w:r>
              <w:rPr>
                <w:rFonts w:ascii="Times New Roman" w:cs="Times New Roman" w:eastAsia="Times New Roman" w:hAnsi="Times New Roman"/>
                <w:sz w:val="18"/>
                <w:szCs w:val="18"/>
                <w:color w:val="auto"/>
                <w:w w:val="99"/>
              </w:rPr>
              <w:t>Options Exercised</w:t>
            </w:r>
          </w:p>
        </w:tc>
        <w:tc>
          <w:tcPr>
            <w:tcW w:w="3260" w:type="dxa"/>
            <w:vAlign w:val="bottom"/>
            <w:gridSpan w:val="2"/>
          </w:tcPr>
          <w:p>
            <w:pPr>
              <w:jc w:val="center"/>
              <w:ind w:right="222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48"/>
        </w:trPr>
        <w:tc>
          <w:tcPr>
            <w:tcW w:w="232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r>
      <w:tr>
        <w:trPr>
          <w:trHeight w:val="216"/>
        </w:trPr>
        <w:tc>
          <w:tcPr>
            <w:tcW w:w="36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44,000</w:t>
            </w:r>
          </w:p>
        </w:tc>
        <w:tc>
          <w:tcPr>
            <w:tcW w:w="4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$7.65</w:t>
            </w:r>
          </w:p>
        </w:tc>
        <w:tc>
          <w:tcPr>
            <w:tcW w:w="222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granted stock options under the Northern Technologies International Corporation Amended and Restated 2007 Stock Incentive Plan (the 2007 Plan) to purchase an aggregate of 56,373 shares of its common stock to various employees and directors during the nine months ended May 31, 2014. The weighted average per share exercise price of the stock options is $14.83, which is equal to the fair market value of the Company’s common stock on the date of grant.</w:t>
      </w:r>
    </w:p>
    <w:p>
      <w:pPr>
        <w:spacing w:after="0" w:line="20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31, 2013, the Company did not purchase or retire any shares of its common stock. The following stock options to purchase shares of common stock were exercised during the nine months ended May 31,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3"/>
          </w:tcPr>
          <w:p>
            <w:pPr>
              <w:ind w:left="2320"/>
              <w:spacing w:after="0"/>
              <w:rPr>
                <w:sz w:val="20"/>
                <w:szCs w:val="20"/>
                <w:color w:val="auto"/>
              </w:rPr>
            </w:pPr>
            <w:r>
              <w:rPr>
                <w:rFonts w:ascii="Times New Roman" w:cs="Times New Roman" w:eastAsia="Times New Roman" w:hAnsi="Times New Roman"/>
                <w:sz w:val="18"/>
                <w:szCs w:val="18"/>
                <w:color w:val="auto"/>
              </w:rPr>
              <w:t>Options Exercised</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r>
      <w:tr>
        <w:trPr>
          <w:trHeight w:val="48"/>
        </w:trPr>
        <w:tc>
          <w:tcPr>
            <w:tcW w:w="232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45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r>
      <w:tr>
        <w:trPr>
          <w:trHeight w:val="216"/>
        </w:trPr>
        <w:tc>
          <w:tcPr>
            <w:tcW w:w="3640" w:type="dxa"/>
            <w:vAlign w:val="bottom"/>
            <w:gridSpan w:val="2"/>
            <w:shd w:val="clear" w:color="auto" w:fill="CCEEFF"/>
          </w:tcPr>
          <w:p>
            <w:pPr>
              <w:jc w:val="center"/>
              <w:ind w:left="2210"/>
              <w:spacing w:after="0"/>
              <w:rPr>
                <w:sz w:val="20"/>
                <w:szCs w:val="20"/>
                <w:color w:val="auto"/>
              </w:rPr>
            </w:pPr>
            <w:r>
              <w:rPr>
                <w:rFonts w:ascii="Times New Roman" w:cs="Times New Roman" w:eastAsia="Times New Roman" w:hAnsi="Times New Roman"/>
                <w:sz w:val="18"/>
                <w:szCs w:val="18"/>
                <w:color w:val="auto"/>
              </w:rPr>
              <w:t>25,140</w:t>
            </w:r>
          </w:p>
        </w:tc>
        <w:tc>
          <w:tcPr>
            <w:tcW w:w="45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$ 9.95</w:t>
            </w:r>
          </w:p>
        </w:tc>
        <w:tc>
          <w:tcPr>
            <w:tcW w:w="222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4,000</w:t>
            </w:r>
          </w:p>
        </w:tc>
        <w:tc>
          <w:tcPr>
            <w:tcW w:w="45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8.57</w:t>
            </w:r>
          </w:p>
        </w:tc>
        <w:tc>
          <w:tcPr>
            <w:tcW w:w="222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jc w:val="center"/>
              <w:ind w:left="2210"/>
              <w:spacing w:after="0"/>
              <w:rPr>
                <w:sz w:val="20"/>
                <w:szCs w:val="20"/>
                <w:color w:val="auto"/>
              </w:rPr>
            </w:pPr>
            <w:r>
              <w:rPr>
                <w:rFonts w:ascii="Times New Roman" w:cs="Times New Roman" w:eastAsia="Times New Roman" w:hAnsi="Times New Roman"/>
                <w:sz w:val="18"/>
                <w:szCs w:val="18"/>
                <w:color w:val="auto"/>
              </w:rPr>
              <w:t>1,734</w:t>
            </w:r>
          </w:p>
        </w:tc>
        <w:tc>
          <w:tcPr>
            <w:tcW w:w="45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7.65</w:t>
            </w:r>
          </w:p>
        </w:tc>
        <w:tc>
          <w:tcPr>
            <w:tcW w:w="222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color w:val="auto"/>
              </w:rPr>
              <w:t>1,500</w:t>
            </w:r>
          </w:p>
        </w:tc>
        <w:tc>
          <w:tcPr>
            <w:tcW w:w="45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9.76</w:t>
            </w:r>
          </w:p>
        </w:tc>
        <w:tc>
          <w:tcPr>
            <w:tcW w:w="222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jc w:val="center"/>
              <w:ind w:left="2210"/>
              <w:spacing w:after="0"/>
              <w:rPr>
                <w:sz w:val="20"/>
                <w:szCs w:val="20"/>
                <w:color w:val="auto"/>
              </w:rPr>
            </w:pPr>
            <w:r>
              <w:rPr>
                <w:rFonts w:ascii="Times New Roman" w:cs="Times New Roman" w:eastAsia="Times New Roman" w:hAnsi="Times New Roman"/>
                <w:sz w:val="18"/>
                <w:szCs w:val="18"/>
                <w:color w:val="auto"/>
                <w:w w:val="96"/>
              </w:rPr>
              <w:t>666</w:t>
            </w:r>
          </w:p>
        </w:tc>
        <w:tc>
          <w:tcPr>
            <w:tcW w:w="45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7.75</w:t>
            </w:r>
          </w:p>
        </w:tc>
        <w:tc>
          <w:tcPr>
            <w:tcW w:w="222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granted stock options under the 2007 Plan to purchase an aggregate of 118,294 shares of its common stock to various employees and directors during the nine months ended May 31, 2013. The weighted average per share exercise price of the stock options is $10.25, which is equal to the fair market value of the Company’s common stock on the date of grant.</w:t>
      </w:r>
    </w:p>
    <w:p>
      <w:pPr>
        <w:spacing w:after="0" w:line="199" w:lineRule="exact"/>
        <w:rPr>
          <w:sz w:val="20"/>
          <w:szCs w:val="20"/>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 options to purchase shares of common stock were excluded from the computation of common share equivalents for the three and nine months ended May 31, 2014, as the exercise prices of such options were less than market price of a share of common stock. Options to purchase shares of common stock of 40,000 were excluded from the computation of common share equivalents for the three and nine months ended May 31, 2013, as the exercise prices of such options were greater than market price of a share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earnings per share computation for the three and nine months ended May 31, 2014 and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Numerators:</w:t>
            </w:r>
          </w:p>
        </w:tc>
        <w:tc>
          <w:tcPr>
            <w:tcW w:w="17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980,217</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927,112</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2,863,847</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1,751,144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4,461,880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4,421,379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4,452,798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128,464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47,482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130,376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4,590,344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4,468,861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4,583,174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94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0.64</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9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84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 w:name="page12"/>
    <w:bookmarkEnd w:id="11"/>
    <w:p>
      <w:pPr>
        <w:ind w:right="180"/>
        <w:spacing w:after="0" w:line="261"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03"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2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granted options to purchase an aggregate of 56,373 and 118,294 shares of its common stock during the nine months ended May 31, 2014 and 2013, respectively. The fair value of option grants is determined at date of grant, using the Black-Scholes option pricing model with the assumptions listed below. Based on these valuations, the Company recognized compensation expense of $345,319 and $213,374 during the nine months ended May 31, 2014 and 2013, respectively, related to the options that vested during such time period. As of May 31, 2014, the total compensation cost for non-vested options not yet recognized in the Company’s consolidated statements of operations was $395,280 net of estimated forfeitures. Additional stock-based compensation expense of $108,696 is expected through the remainder of fiscal year 2014, and expense of $186,598 and $99,986 is expected to be recognized during fiscal 2015 and fiscal 2016, respectively. Future option grants will impact the compensation expense recognized.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Company currently estimates a ten percent forfeiture rate for stock options and continually reviews this estimate for future periods.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option-pricing model with the following assumptions and results for the grants: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tcPr>
          <w:p>
            <w:pPr>
              <w:spacing w:after="0"/>
              <w:rPr>
                <w:sz w:val="20"/>
                <w:szCs w:val="20"/>
                <w:color w:val="auto"/>
              </w:rPr>
            </w:pPr>
          </w:p>
        </w:tc>
        <w:tc>
          <w:tcPr>
            <w:tcW w:w="23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9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May 31, 2014</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May 31, 2013</w:t>
            </w:r>
          </w:p>
        </w:tc>
        <w:tc>
          <w:tcPr>
            <w:tcW w:w="20" w:type="dxa"/>
            <w:vAlign w:val="bottom"/>
          </w:tcPr>
          <w:p>
            <w:pPr>
              <w:spacing w:after="0"/>
              <w:rPr>
                <w:sz w:val="18"/>
                <w:szCs w:val="18"/>
                <w:color w:val="auto"/>
              </w:rPr>
            </w:pPr>
          </w:p>
        </w:tc>
      </w:tr>
      <w:tr>
        <w:trPr>
          <w:trHeight w:val="210"/>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 (years)</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10</w:t>
            </w:r>
          </w:p>
        </w:tc>
        <w:tc>
          <w:tcPr>
            <w:tcW w:w="20" w:type="dxa"/>
            <w:vAlign w:val="bottom"/>
          </w:tcPr>
          <w:p>
            <w:pPr>
              <w:spacing w:after="0"/>
              <w:rPr>
                <w:sz w:val="18"/>
                <w:szCs w:val="18"/>
                <w:color w:val="auto"/>
              </w:rPr>
            </w:pPr>
          </w:p>
        </w:tc>
      </w:tr>
      <w:tr>
        <w:trPr>
          <w:trHeight w:val="234"/>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0.71%</w:t>
            </w:r>
          </w:p>
        </w:tc>
        <w:tc>
          <w:tcPr>
            <w:tcW w:w="20" w:type="dxa"/>
            <w:vAlign w:val="bottom"/>
          </w:tcPr>
          <w:p>
            <w:pPr>
              <w:spacing w:after="0"/>
              <w:rPr>
                <w:sz w:val="20"/>
                <w:szCs w:val="20"/>
                <w:color w:val="auto"/>
              </w:rPr>
            </w:pPr>
          </w:p>
        </w:tc>
      </w:tr>
    </w:tbl>
    <w:p>
      <w:pPr>
        <w:spacing w:after="0" w:line="2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nine months ended May 31, 2014 and 2013 was $8.57 and $5.53, respectively. The weighted average remaining contractual life of the options outstanding as of May 31, 2014 and 2013 was 5.44 years and 4.48 years, respectively.</w:t>
      </w:r>
    </w:p>
    <w:p>
      <w:pPr>
        <w:spacing w:after="0" w:line="185" w:lineRule="exact"/>
        <w:rPr>
          <w:sz w:val="20"/>
          <w:szCs w:val="20"/>
          <w:color w:val="auto"/>
        </w:rPr>
      </w:pPr>
    </w:p>
    <w:p>
      <w:pPr>
        <w:ind w:left="720" w:hanging="712"/>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AND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as a percentage of total consolidated net sales for the three and nine months ended May 31, 2014 and 2013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6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May 31, 2014</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May 31, 2014</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2013</w:t>
            </w: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38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3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0"/>
        </w:trPr>
        <w:tc>
          <w:tcPr>
            <w:tcW w:w="60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nine months ended May 31, 2014 and 2013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87"/>
        </w:trPr>
        <w:tc>
          <w:tcPr>
            <w:tcW w:w="34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Total Fees for</w:t>
            </w:r>
          </w:p>
        </w:tc>
      </w:tr>
      <w:tr>
        <w:trPr>
          <w:trHeight w:val="216"/>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0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Services Provided</w:t>
            </w:r>
          </w:p>
        </w:tc>
      </w:tr>
      <w:tr>
        <w:trPr>
          <w:trHeight w:val="238"/>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 Joint Ventures</w:t>
            </w: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478,979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524,724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257,215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204,777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170,079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177,432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152,157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113,339</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169,085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139,719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104,645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130,613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127,697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65,193</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85,246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71,489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55,322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33,351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231,961</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0"/>
        </w:trPr>
        <w:tc>
          <w:tcPr>
            <w:tcW w:w="34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2,001,775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1,917,947</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608"/>
        </w:trPr>
        <w:tc>
          <w:tcPr>
            <w:tcW w:w="3420" w:type="dxa"/>
            <w:vAlign w:val="bottom"/>
          </w:tcPr>
          <w:p>
            <w:pPr>
              <w:spacing w:after="0"/>
              <w:rPr>
                <w:sz w:val="24"/>
                <w:szCs w:val="24"/>
                <w:color w:val="auto"/>
              </w:rPr>
            </w:pPr>
          </w:p>
        </w:tc>
        <w:tc>
          <w:tcPr>
            <w:tcW w:w="2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05"/>
        </w:trPr>
        <w:tc>
          <w:tcPr>
            <w:tcW w:w="34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61"/>
        </w:trPr>
        <w:tc>
          <w:tcPr>
            <w:tcW w:w="3420" w:type="dxa"/>
            <w:vAlign w:val="bottom"/>
            <w:shd w:val="clear" w:color="auto" w:fill="808080"/>
          </w:tcPr>
          <w:p>
            <w:pPr>
              <w:spacing w:after="0"/>
              <w:rPr>
                <w:sz w:val="5"/>
                <w:szCs w:val="5"/>
                <w:color w:val="auto"/>
              </w:rPr>
            </w:pPr>
          </w:p>
        </w:tc>
        <w:tc>
          <w:tcPr>
            <w:tcW w:w="26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r>
    </w:tbl>
    <w:p>
      <w:pPr>
        <w:sectPr>
          <w:pgSz w:w="11900" w:h="16838" w:orient="portrait"/>
          <w:cols w:equalWidth="0" w:num="1">
            <w:col w:w="11440"/>
          </w:cols>
          <w:pgMar w:left="240" w:top="270" w:right="2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87"/>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Services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Total Fees for</w:t>
            </w: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0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0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Services Provided</w:t>
            </w:r>
          </w:p>
        </w:tc>
      </w:tr>
      <w:tr>
        <w:trPr>
          <w:trHeight w:val="238"/>
        </w:trPr>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to Joint Ventures</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1,590,612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1,468,622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784,326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742,213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510,769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548,618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469,242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379,650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431,112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471,074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390,794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381,043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371,635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332,806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305,619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282,329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168,005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269,155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245,426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229,230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147,741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507,084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677,094</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0"/>
        </w:trPr>
        <w:tc>
          <w:tcPr>
            <w:tcW w:w="6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6,169,094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5,535,105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nine months ended May 31, 2014 and 2013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3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May 31, 2013</w:t>
            </w:r>
          </w:p>
        </w:tc>
      </w:tr>
      <w:tr>
        <w:trPr>
          <w:trHeight w:val="20"/>
        </w:trPr>
        <w:tc>
          <w:tcPr>
            <w:tcW w:w="3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sales</w:t>
            </w:r>
          </w:p>
        </w:tc>
        <w:tc>
          <w:tcPr>
            <w:tcW w:w="2840" w:type="dxa"/>
            <w:vAlign w:val="bottom"/>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5,992,095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5,418,271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17,296,159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14,923,966</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Natur-Tec™ sales</w:t>
            </w:r>
          </w:p>
        </w:tc>
        <w:tc>
          <w:tcPr>
            <w:tcW w:w="2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928,725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458,762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2,152,769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1,491,164</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840" w:type="dxa"/>
            <w:vAlign w:val="bottom"/>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6,920,820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5,877,033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19,448,928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16,415,130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nine months ended May 31, 2014 and 2013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8"/>
                <w:szCs w:val="18"/>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2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0" w:type="dxa"/>
            <w:vAlign w:val="bottom"/>
          </w:tcPr>
          <w:p>
            <w:pPr>
              <w:spacing w:after="0"/>
              <w:rPr>
                <w:sz w:val="1"/>
                <w:szCs w:val="1"/>
                <w:color w:val="auto"/>
              </w:rPr>
            </w:pPr>
          </w:p>
        </w:tc>
      </w:tr>
      <w:tr>
        <w:trPr>
          <w:trHeight w:val="238"/>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0" w:type="dxa"/>
            <w:vAlign w:val="bottom"/>
          </w:tcPr>
          <w:p>
            <w:pPr>
              <w:spacing w:after="0"/>
              <w:rPr>
                <w:sz w:val="1"/>
                <w:szCs w:val="1"/>
                <w:color w:val="auto"/>
              </w:rPr>
            </w:pPr>
          </w:p>
        </w:tc>
      </w:tr>
      <w:tr>
        <w:trPr>
          <w:trHeight w:val="210"/>
        </w:trPr>
        <w:tc>
          <w:tcPr>
            <w:tcW w:w="29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ZERUST®</w:t>
            </w: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$ 3,288,809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$ 3,115,980</w:t>
            </w:r>
          </w:p>
        </w:tc>
        <w:tc>
          <w:tcPr>
            <w:tcW w:w="1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  $</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9,336,363</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  $</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8,383,345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Natur-Tec®</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695,778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367,485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1,635,815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1,260,305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684,735</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570,899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1,907,008</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1,735,599</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net cost of goods sold</w:t>
            </w:r>
          </w:p>
        </w:tc>
        <w:tc>
          <w:tcPr>
            <w:tcW w:w="980" w:type="dxa"/>
            <w:vAlign w:val="bottom"/>
            <w:gridSpan w:val="2"/>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$ 4,669,322</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gridSpan w:val="2"/>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$ 4,054,364</w:t>
            </w:r>
          </w:p>
        </w:tc>
        <w:tc>
          <w:tcPr>
            <w:tcW w:w="124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8"/>
              </w:rPr>
              <w:t>12,879,186</w:t>
            </w:r>
          </w:p>
        </w:tc>
        <w:tc>
          <w:tcPr>
            <w:tcW w:w="12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8"/>
              </w:rPr>
              <w:t>11,379,249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2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___________________________</w:t>
            </w: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60" w:right="600" w:hanging="352"/>
        <w:spacing w:after="0" w:line="183" w:lineRule="auto"/>
        <w:tabs>
          <w:tab w:leader="none" w:pos="360" w:val="left"/>
        </w:tabs>
        <w:numPr>
          <w:ilvl w:val="0"/>
          <w:numId w:val="11"/>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The percent of segment sales is calculated by dividing the direct cost of goods sold for each individual segment category by the net sales for each segment category.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type. Further allocation of Company expenses or assets, aside from amounts presented in the tables above, is not utilized in evaluating product performance, nor does such allocation occur for internal financial reporting.</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geographical distribution of key financial statement data is as follows: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7"/>
        </w:trPr>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of May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August 31,</w:t>
            </w:r>
          </w:p>
        </w:tc>
      </w:tr>
      <w:tr>
        <w:trPr>
          <w:trHeight w:val="238"/>
        </w:trPr>
        <w:tc>
          <w:tcPr>
            <w:tcW w:w="6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1,080,330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1,193,373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358,423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50,750,114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47,860,576</w:t>
            </w:r>
          </w:p>
        </w:tc>
      </w:tr>
      <w:tr>
        <w:trPr>
          <w:trHeight w:val="210"/>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52,188,867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49,053,949</w:t>
            </w:r>
          </w:p>
        </w:tc>
      </w:tr>
      <w:tr>
        <w:trPr>
          <w:trHeight w:val="21"/>
        </w:trPr>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r>
      <w:tr>
        <w:trPr>
          <w:trHeight w:val="453"/>
        </w:trPr>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r>
      <w:tr>
        <w:trPr>
          <w:trHeight w:val="20"/>
        </w:trPr>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712,125</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567,615</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1,865,137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1,699,084</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192,921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6,015,774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5,309,418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17,222,091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14,716,046</w:t>
            </w:r>
          </w:p>
        </w:tc>
      </w:tr>
      <w:tr>
        <w:trPr>
          <w:trHeight w:val="210"/>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6,920,820</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5,877,033</w:t>
            </w:r>
          </w:p>
        </w:tc>
        <w:tc>
          <w:tcPr>
            <w:tcW w:w="6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19,448,928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16,415,130</w:t>
            </w:r>
          </w:p>
        </w:tc>
      </w:tr>
      <w:tr>
        <w:trPr>
          <w:trHeight w:val="21"/>
        </w:trPr>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r>
      <w:tr>
        <w:trPr>
          <w:trHeight w:val="453"/>
        </w:trPr>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6500" w:type="dxa"/>
            <w:vAlign w:val="bottom"/>
          </w:tcPr>
          <w:p>
            <w:pPr>
              <w:spacing w:after="0"/>
              <w:rPr>
                <w:sz w:val="18"/>
                <w:szCs w:val="18"/>
                <w:color w:val="auto"/>
              </w:rPr>
            </w:pPr>
          </w:p>
        </w:tc>
        <w:tc>
          <w:tcPr>
            <w:tcW w:w="120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r>
      <w:tr>
        <w:trPr>
          <w:trHeight w:val="20"/>
        </w:trPr>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70,464</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(156,594)</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(263,353)</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1,694,695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1,650,365</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5,002,383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3,600,643</w:t>
            </w:r>
          </w:p>
        </w:tc>
      </w:tr>
      <w:tr>
        <w:trPr>
          <w:trHeight w:val="210"/>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1,765,231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1,493,771</w:t>
            </w:r>
          </w:p>
        </w:tc>
        <w:tc>
          <w:tcPr>
            <w:tcW w:w="6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4,932,764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3,337,290</w:t>
            </w:r>
          </w:p>
        </w:tc>
      </w:tr>
      <w:tr>
        <w:trPr>
          <w:trHeight w:val="21"/>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assets located in Brazil and India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85" w:lineRule="exact"/>
        <w:rPr>
          <w:sz w:val="20"/>
          <w:szCs w:val="20"/>
          <w:color w:val="auto"/>
        </w:rPr>
      </w:pPr>
    </w:p>
    <w:p>
      <w:pPr>
        <w:ind w:left="720" w:hanging="712"/>
        <w:spacing w:after="0"/>
        <w:tabs>
          <w:tab w:leader="none" w:pos="7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expenses costs related to product research and development as incurred. The Company incurred $3,342,497 and $2,853,250 of expense during the nine months ended May 31, 2014 and 2013, respectively, in connection with its research and development activities. These costs are net of reimbursements related to certain research and development contracts. Such reimbursements totaled $45,788 and $206,046 for the nine months ended May 31, 2014 and 2013, respectively. The net fees are accounted for in the “Research and Development Expenses” section of the consolidated statements of operations.</w:t>
      </w:r>
    </w:p>
    <w:p>
      <w:pPr>
        <w:spacing w:after="0" w:line="207" w:lineRule="exact"/>
        <w:rPr>
          <w:sz w:val="20"/>
          <w:szCs w:val="20"/>
          <w:color w:val="auto"/>
        </w:rPr>
      </w:pPr>
    </w:p>
    <w:p>
      <w:pPr>
        <w:ind w:left="720" w:hanging="712"/>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22, 2013, the Compensation Committee of the Board of Directors of the Company approved the material terms of an annual bonus plan for the Company’s executive officers as well as certain officers and employees for the fiscal year ending August 31, 2014. For fiscal 2014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2013 compared to a pre-established target EBITOI for fiscal 2014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2014. There was $1,063,000 for management bonuses accrued for nine months ended May 31, 2014 compared to a management bonus accrual of $580,000 for the nine months ended May 31, 2013.</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ind w:right="300"/>
        <w:spacing w:after="0" w:line="275" w:lineRule="auto"/>
        <w:rPr>
          <w:sz w:val="20"/>
          <w:szCs w:val="20"/>
          <w:color w:val="auto"/>
        </w:rPr>
      </w:pPr>
      <w:r>
        <w:rPr>
          <w:rFonts w:ascii="Times New Roman" w:cs="Times New Roman" w:eastAsia="Times New Roman" w:hAnsi="Times New Roman"/>
          <w:sz w:val="18"/>
          <w:szCs w:val="18"/>
          <w:color w:val="auto"/>
        </w:rPr>
        <w:t>The Company leases property located at 23205 Mercantile Road, Beachwood, Ohio. Remaining rentals payable under such leases are as follows: fiscal 2014 - $59,500 and thereafter - $0.</w:t>
      </w:r>
    </w:p>
    <w:p>
      <w:pPr>
        <w:spacing w:after="0" w:line="19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Three joint ventures accounted for 68.5% of the Company’s trade joint venture receivables at May 31, 2014, and two joint ventures accounted for 49.0% of the Company’s trade joint venture receivables at August 31, 2013.</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85" w:lineRule="exact"/>
        <w:rPr>
          <w:sz w:val="20"/>
          <w:szCs w:val="20"/>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2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as of</w:t>
            </w: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May 31, 2014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5,520,000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5,520,000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0"/>
        </w:trPr>
        <w:tc>
          <w:tcPr>
            <w:tcW w:w="3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as of</w:t>
            </w: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4180" w:type="dxa"/>
            <w:vAlign w:val="bottom"/>
            <w:gridSpan w:val="4"/>
          </w:tcPr>
          <w:p>
            <w:pPr>
              <w:ind w:left="2760"/>
              <w:spacing w:after="0"/>
              <w:rPr>
                <w:sz w:val="20"/>
                <w:szCs w:val="20"/>
                <w:color w:val="auto"/>
              </w:rPr>
            </w:pPr>
            <w:r>
              <w:rPr>
                <w:rFonts w:ascii="Times New Roman" w:cs="Times New Roman" w:eastAsia="Times New Roman" w:hAnsi="Times New Roman"/>
                <w:sz w:val="18"/>
                <w:szCs w:val="18"/>
                <w:b w:val="1"/>
                <w:bCs w:val="1"/>
                <w:color w:val="auto"/>
              </w:rPr>
              <w:t>August 31, 2013</w:t>
            </w:r>
          </w:p>
        </w:tc>
        <w:tc>
          <w:tcPr>
            <w:tcW w:w="14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86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1,020,000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20" w:hanging="712"/>
        <w:spacing w:after="0"/>
        <w:tabs>
          <w:tab w:leader="none" w:pos="7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fiscal years, and interim periods within those years, beginning after December 15, 2016, which means the first quarter of our fiscal year 2018. We are currently reviewing the revised guidance and assessing the potential impact on our consolidated financial statements.</w:t>
      </w:r>
    </w:p>
    <w:p>
      <w:pPr>
        <w:spacing w:after="0" w:line="21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April 2014, the FASB issued guidance that changes the criteria for determining which disposals can be presented as discontinued operations and modifies related disclosure requirements. Under the new guidance, a discontinued operation is defined as a component or group of components that is disposed of or is classified as held for sale and represents a strategic shift that has or will have a major effect on an entity’s operations and financial results. The change is effective for fiscal years, and interim reporting periods within those years, beginning on or after December 15, 2014, which means the first quarter of our fiscal year 2016, with early adoption permitted. The guidance applies prospectively to new disposals and new classifications of disposal groups as held for sale after the effective date. This new guidance will not affect our consolidated financial position, results of operations or cash flows.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60 countries either directly or via a network of joint ventures, independent distributors and agents. NTIC’s primary business is corrosion prevention marketed mainly under the ZERUST® brand. NTIC has been selling these proprietary ZERUST® products and services to the automotive, electronics, electrical, mechanical, military and retail consumer markets for over 35 years, and more recently, has expanded its target market to include the oil and gas industry. NTIC also sells a portfolio of bio-based and biodegradable (compostable) polymer resin compounds and finished products marketed under the Natur-Tec® brand. These products are intended to reduce NTIC’s customers’ carbon footprint and provide environmentally sound waste disposal options.</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majority owned joint venture holding company for NTIC’s joint venture investments in the Association of Southeast Asian Nations (ASEAN) region, and joint venture arrangements in North America, Europe and Asia.</w:t>
      </w:r>
    </w:p>
    <w:p>
      <w:pPr>
        <w:spacing w:after="0" w:line="2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21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across several countries either directly, through Zerust Brazil or through NTIC’s joint venture partners and other strategic partners. The sale of ZERUST® corrosion prevention solutions to customers in the oil and gas industry has typically involved a long sales cycle, often including a one- to multi-year trial period with each customer and a slow integration process thereafter.</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Natur-Tec® bio-based and biodegradable plastics are manufactured using NTIC’s patented and/or proprietary technologies and are intended to replace conventional petroleum-based plastics. The Natur-Tec® biopolymer resin compound portfolio include formulations that have been optimized for a variety of applications including blown-film extrusion, extrusion coating, injection molding, and engineered plastics. These resin compounds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its recently formed majority owned subsidiary in India, Northern Technologies India Private Limited (NTI India), and certain joint ventures.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NTIC’s Joint Venture Network</w:t>
      </w:r>
    </w:p>
    <w:p>
      <w:pPr>
        <w:spacing w:after="0" w:line="25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NTIC participates in 21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 resin compounds. NTIC has historically funded its investments in joint ventures with cash generated from operations.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21 joint ventures in its financial statements utilizing the equity method of accounting.</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results of Zerust Brazil, NTI India and NTI Asean are fully consolidated in NTIC’s consolidated financial statements. NTIC holds 85% of the equity and 85% of the voting rights of Zerust Brazil. Beginning in the first quarter of fiscal 2013, NTIC consolidated the results of NTI Asean, which effective as of September 1, 2012 is a majority owned subsidiary of NTIC. NTIC holds 60% of the equity and 60% of the voting rights of NTI Asean. NTI Asean holds investments in eight entities that operate in the following eight territories located in the ASEAN region: China, Indonesia, Korea, Malaysia, Philippines, Singapore, Taiwan and Thailand. As of May 31, 2014, NTIC consolidated the results of NTI India, which effective as of December 1, 2013 is a majority owned subsidiary. NTIC holds 90% of the equity and 90% of the voting rights of NTI India</w:t>
      </w:r>
    </w:p>
    <w:p>
      <w:pPr>
        <w:spacing w:after="0" w:line="21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NTIC considers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NTIC’s consolidated net sales increased 17.8% and 18.5% during the three and nine months ended May 31, 2014, respectively, compared to the three and nine months ended May 31, 2013. These increases were primarily a result of increased demand for ZERUST® rust and corrosion inhibiting packaging products and services and Natur-Tec® products. During the three and nine months ended May 31, 2014, 86.6% and 88.9% of NTIC’s consolidated net sales, respectively, were derived from sales of ZERUST® products and services, which increased 10.6% and 15.9% to $5,992,095 and $17,296,159 during the three and nine months ended May 31, 2014, respectively, compared to $5,418,271 and $14,923,966 during the three and nine months ended May 31, 2013, respectively, due to increased demand from both new and existing customers for new and existing products.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nine months ended May 31, 2014 included $1,043,604 of sales made to customers in the oil and gas industry compared to $487,439 for the prior fiscal year period. Overall demand for ZERUST® products and services depends heavily on the overall health of the markets in which NTIC sells its products, including the automotive market in particular.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8" w:name="page19"/>
    <w:bookmarkEnd w:id="18"/>
    <w:p>
      <w:pPr>
        <w:ind w:right="160"/>
        <w:spacing w:after="0" w:line="276" w:lineRule="auto"/>
        <w:rPr>
          <w:sz w:val="20"/>
          <w:szCs w:val="20"/>
          <w:color w:val="auto"/>
        </w:rPr>
      </w:pPr>
      <w:r>
        <w:rPr>
          <w:rFonts w:ascii="Times New Roman" w:cs="Times New Roman" w:eastAsia="Times New Roman" w:hAnsi="Times New Roman"/>
          <w:sz w:val="17"/>
          <w:szCs w:val="17"/>
          <w:color w:val="auto"/>
        </w:rPr>
        <w:t>During the three and nine months ended May 31, 2014, 13.4% and 11.1% of NTIC’s consolidated net sales were derived from sales of Natur-Tec® products compared to 7.8% and 9.1% during the three and nine months ended May 31, 2013, respectively. Net sales of Natur-Tec® products increased 102.4% and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44.4% during the three and nine months ended May 31, 2014 compared to the three and nine months ended May 31, 2013, respectively. These increases were primarily due to finished product sales both in North America and through NTIC’s newly formed majority owned subsidiary in India, Northern Technologies India Private Limited (NTI India).</w:t>
      </w: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 of goods sold as a percentage of net sales decreased to 67.5% during the three months ended May 31, 2014 compared to 69.0% during the three months ended May 31, 2013 and decreased to 66.2% during the nine months ended May 31, 2014 compared to 69.3% during the prior fiscal year period. These decreases were primarily as a result of start-up costs associated with a new customer recognized during the prior fiscal year periods.</w:t>
      </w:r>
    </w:p>
    <w:p>
      <w:pPr>
        <w:spacing w:after="0" w:line="20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NTIC’s equity in income of joint ventures increased 10.6% and 18.3% to $1,593,465 and $4,416,664, respectively, during the three and nine months ended May 31, 2014 compared to $1,440,335 and $3,733,069 during the three and nine months ended May 31, 2013, which were primarily a result of increases in sales at the joint ventures.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NTIC recognized a 4.4% and 11.5% increase in fees for services provided to joint ventures during the three and nine months ended May 31, 2014 compared to the three and nine months ended May 31, 2013, respectively. These increases were primarily a result of an increase in sales at the joint ventures as fees for services provided are a function of the net sales of NTIC’s joint ventures. Sales at the joint ventures were $30,162,725 and $88,213,101 during the three and nine months ended May 31, 2014 compared to $28,541,576 and $82,788,711 for the three and nine months ended May 31, 2013, and increase of 5.7% and 6.7%, respectively. Total net sales of NTIC’s joint ventures appear to be slightly improving from the depressed sales levels experienced as a result of the European economic slowdown over the past few years.</w:t>
      </w:r>
    </w:p>
    <w:p>
      <w:pPr>
        <w:spacing w:after="0" w:line="2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NTIC’s total operating expenses increased 11.5%, or $1,255,971, to $12,222,736 during the nine months ended May 31, 2014 compared to the nine months ended May 31, 2013. This increase was primarily the result of an increase in employee headcount and related employee expenses associated with selling expenses, general and administrative expenses and expenses incurred in support of joint ventures, and overall reflected NTIC’s efforts to support its new and existing business efforts.</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NTIC expenses all costs related to product research and development as incurred. NTIC incurred $3,342,497 and $2,853,250 of expense during the nine months ended May 31, 2014 and 2013, respectively, in connection with its research and development activities. These represent net amounts after being reduced by reimbursements related to certain research and development contracts. Such reimbursements totaled $45,788 and $206,046 for the nine months ended May 31, 2014 and 2013, respectively. NTIC anticipates that it will spend between $4,000,000 and $4,400,000 in total during fiscal 2014 on research and development activities related to its new technologies. This estimate is a net range after being reduced by anticipated reimbursements related to certain research and development contracts.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NTIC increased 5.7%, to $980,217, or $0.21 per diluted common share, for the three months ended May 31, 2014 compared to</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$927,112, or $0.21 per diluted common share, for the three months ended May 31, 2013. Net income attributable to NTIC increased 63.5%, to $2,863,847, or $0.63 per diluted common share, for the nine months ended May 31, 2014 compared to $1,751,144, or $0.39 per diluted common share, for the nine months ended May 31, 2013. These increases were primarily the result of increases in gross profit of NTIC’s North American businesses and increases in NTIC’s joint venture operations.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9" w:name="page20"/>
    <w:bookmarkEnd w:id="19"/>
    <w:p>
      <w:pPr>
        <w:ind w:right="140"/>
        <w:spacing w:after="0" w:line="266" w:lineRule="auto"/>
        <w:rPr>
          <w:sz w:val="20"/>
          <w:szCs w:val="20"/>
          <w:color w:val="auto"/>
        </w:rPr>
      </w:pPr>
      <w:r>
        <w:rPr>
          <w:rFonts w:ascii="Times New Roman" w:cs="Times New Roman" w:eastAsia="Times New Roman" w:hAnsi="Times New Roman"/>
          <w:sz w:val="18"/>
          <w:szCs w:val="18"/>
          <w:color w:val="auto"/>
        </w:rPr>
        <w:t>NTIC anticipates that its quarterly net income will continue to remain subject to significant volatility primarily due to the financial performance of its joint ventures and sales of its ZERUST® products and services into the oil and gas industry and Natur-Tec® bioplastics products, which sales fluctuate more on a quarterly basis than the traditional ZERUST® business.</w:t>
      </w: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NTIC’s working capital was $18,470,269 at May 31, 2014, including $8,549,789 in cash and cash equivalents compared to $13,270,452 at August 31, 2013, including $4,314,258 in cash and cash equivalents.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NTIC’s results of operations for the three and nine months ended May 31, 2014 and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7"/>
        </w:trPr>
        <w:tc>
          <w:tcPr>
            <w:tcW w:w="4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12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44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May 31, 2014</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May 31, 2013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6,056,078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5,041,096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$ 1,014,982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864,742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835,937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28,805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4,669,322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4,054,364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614,958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1,593,465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1,440,335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353,130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2,001,775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1,917,947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83,828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1,315,264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1,243,687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71,577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1,307,653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1,105,710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201,943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353,958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335,132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18,826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1,104,632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1,002,651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101,981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7"/>
        </w:trPr>
        <w:tc>
          <w:tcPr>
            <w:tcW w:w="4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12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44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May 31, 2014</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May 31, 2013</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$ 17,188,462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$ 14,296,686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$ 2,891,776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2,260,466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2,118,444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142,022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12,879,186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11,379,249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1,499,937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4,416,664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3,733,069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883,595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6,169,094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5,535,105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633,989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3,925,466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3,588,847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336,619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3,905,082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3,498,393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406,689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1,049,691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1,026,275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23,416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3,342,497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2,853,250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489,247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22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17.8% and 18.5% to $6,920,820 and $19,448,928, respectively, during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2014 compared to the three and nine months ended May 31, 2013. NTIC’s consolidated net sales excluding NTIC’s joint ventures increased 20.1% and 20.2% to $6,056,078 and $17,188,462, respectively, during the three and nine months ended May 31, 2014 compared to the same respective prior fiscal year periods. Net sales to joint ventures increased 3.4% and 6.7% to $864,742 and $2,260,466 during the three and nine months ended May 31, 2014, respectively, compared to the same respective prior fiscal year periods. This change was primarily due to variability in the timing of orders placed by our joint ventures.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category for the three and nine months ended May 31, 2014 and 2013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3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May 31, 2013</w:t>
            </w:r>
          </w:p>
        </w:tc>
      </w:tr>
      <w:tr>
        <w:trPr>
          <w:trHeight w:val="20"/>
        </w:trPr>
        <w:tc>
          <w:tcPr>
            <w:tcW w:w="3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sales</w:t>
            </w:r>
          </w:p>
        </w:tc>
        <w:tc>
          <w:tcPr>
            <w:tcW w:w="3300" w:type="dxa"/>
            <w:vAlign w:val="bottom"/>
            <w:gridSpan w:val="2"/>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5,992,095</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5,418,271</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17,296,159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14,923,966</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Natur-Tec® sales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928,725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458,762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2,152,769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1,491,164</w:t>
            </w:r>
          </w:p>
        </w:tc>
      </w:tr>
      <w:tr>
        <w:trPr>
          <w:trHeight w:val="216"/>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300" w:type="dxa"/>
            <w:vAlign w:val="bottom"/>
            <w:gridSpan w:val="2"/>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6,920,820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5,877,033</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19,448,928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16,415,130</w:t>
            </w:r>
          </w:p>
        </w:tc>
      </w:tr>
      <w:tr>
        <w:trPr>
          <w:trHeight w:val="608"/>
        </w:trPr>
        <w:tc>
          <w:tcPr>
            <w:tcW w:w="3500" w:type="dxa"/>
            <w:vAlign w:val="bottom"/>
          </w:tcPr>
          <w:p>
            <w:pPr>
              <w:spacing w:after="0"/>
              <w:rPr>
                <w:sz w:val="24"/>
                <w:szCs w:val="24"/>
                <w:color w:val="auto"/>
              </w:rPr>
            </w:pPr>
          </w:p>
        </w:tc>
        <w:tc>
          <w:tcPr>
            <w:tcW w:w="31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5"/>
        </w:trPr>
        <w:tc>
          <w:tcPr>
            <w:tcW w:w="35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61"/>
        </w:trPr>
        <w:tc>
          <w:tcPr>
            <w:tcW w:w="350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0" w:name="page21"/>
    <w:bookmarkEnd w:id="20"/>
    <w:p>
      <w:pPr>
        <w:ind w:right="180"/>
        <w:spacing w:after="0" w:line="242" w:lineRule="auto"/>
        <w:rPr>
          <w:sz w:val="20"/>
          <w:szCs w:val="20"/>
          <w:color w:val="auto"/>
        </w:rPr>
      </w:pPr>
      <w:r>
        <w:rPr>
          <w:rFonts w:ascii="Times New Roman" w:cs="Times New Roman" w:eastAsia="Times New Roman" w:hAnsi="Times New Roman"/>
          <w:sz w:val="18"/>
          <w:szCs w:val="18"/>
          <w:color w:val="auto"/>
        </w:rPr>
        <w:t>During the three and nine months ended May 31, 2014, 86.6% and 88.9% of NTIC’s consolidated net sales, respectively, were derived from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services, which increased 10.6% and 15.9% to $5,992,095 and $17,296,159 during the three and nine months ended May 31, 2014, respectively, compared to $5,418,271 and $14,923,966 during the three and nine months ended May 31, 2013, respectively, due to increased demand from existing customers and the addition of new customers. NTIC has strategically focused its sales efforts for ZERUST® products and services on customers with sizeable corrosion problems in industry sectors that offer sizable growth opportunities, including the oil and gas sector. The following table sets forth NTIC’s net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for the three and nine months ended May 31, 2014 and 2013: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7"/>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78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4,879,899</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4,471,919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407,980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861,312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27,609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250,884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112,649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138,235</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28"/>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5,992,095</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5,418,271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573,824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7"/>
        </w:trPr>
        <w:tc>
          <w:tcPr>
            <w:tcW w:w="6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78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2014</w:t>
            </w: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May 31, 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13,999,907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12,323,082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1,676,825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1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2,252,648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2,113,445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139,203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1,043,604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487,439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556,165</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8"/>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17,296,159</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14,923,966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2,372,193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2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NTIC anticipates that its sales of ZERUST® products and services into the oil and gas industry will continue to remain subject to significant volatility from quarter to quarter as sales are recognized.</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May 31, 2014, 13.4% and 11.1% of NTIC’s consolidated net sales, respectively, were derived from sales of Natur-Tec® products, which increased 102.4% and 44.4% to $928,725 and $2,152,769 during the three and nine months ended May 31, 2014, respectively, compared to the three and nine months ended May 31, 2013. These increases were primarily due to finished product sales both in North America and through NTIC’s newly formed majority owned subsidiary in India, Northern Technologies India Private Limited (NTI India).</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2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15.2% and 13.2% for the three and nine months ended May 31, 2014, respectively,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May 31, 2013 primarily as a result of increased net sales as described above. Cost of goods sold as a percentage of net sales decreased to 67.5% during the three months ended May 31, 2014 compared to 69.0% the three months ended May 31, 2013 and decreased to 66.2% during the nine months ended May 31, 2014 compared to 69.3% during the nine months ended May 31, 2013. These decreases were primarily the result of start-up costs associated with a new customer incurred during the prior fiscal year periods.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in Income of Joint Ventures. </w:t>
      </w:r>
      <w:r>
        <w:rPr>
          <w:rFonts w:ascii="Times New Roman" w:cs="Times New Roman" w:eastAsia="Times New Roman" w:hAnsi="Times New Roman"/>
          <w:sz w:val="18"/>
          <w:szCs w:val="18"/>
          <w:color w:val="auto"/>
        </w:rPr>
        <w:t>NTIC’s equity in income of joint ventures increased 10.6% and 18.3% to $1,593,465 and $4,416,664 during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May 31, 2014, respectively, compared to equity in income of joint ventures of $1,440,335 and $3,733,069 during the three and nine months ended May 31, 2013, respectively, primarily as a result of increases in sales at the joint ventures. Of the total equity in income of joint ventures, NTIC had equity in income of joint ventures of $2,787,048 attributable to EXCOR during the nine months ended May 31, 2014 compared to $2,478,109 attributable to EXCOR during the nine months ended May 31, 2013. Of the total equity in income of joint ventures, NTIC had equity in income of joint ventures of $659,684 attributable to NTIC’s joint venture in China during the nine months ended May 31, 2014 compared to $407,809 attributable to NTIC’s joint venture in China during the nine months ended May 31, 2013. NTIC had equity in income of all other joint ventures of $969,932 during the nine months ended May 31, 2014 compared to $847,151 during the nine months ended May 31, 2013.</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Fees for Services Provided to Joint Ventures. </w:t>
      </w:r>
      <w:r>
        <w:rPr>
          <w:rFonts w:ascii="Times New Roman" w:cs="Times New Roman" w:eastAsia="Times New Roman" w:hAnsi="Times New Roman"/>
          <w:sz w:val="18"/>
          <w:szCs w:val="18"/>
          <w:color w:val="auto"/>
        </w:rPr>
        <w:t>NTIC recognized fee income for services provided to joint ventures of $2,001,775 and $6,169,094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May 31, 2014, respectively, compared to $1,917,947 and $5,535,105 during the three and nine months ended May 31, 2013, respectively, representing an increase of 4.4% and 11.5%, respectively. Fee income for services provided to joint ventures are a function of the sales made by the various joint ventures of $30,162,725 and $88,213,101 during the three and nine months ended May 31, 2014 compared to $28,541,576 and $82,788,711 for the three and nine months ended May 31, 2013, respectively. Total net sales of NTIC’s joint ventures for the prior fiscal year periods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2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the total fee income for services provided to joint ventures, fees of $784,326 were attributable to EXCOR during the nine months ended May 31, 2014 compared to $742,213 attributable to EXCOR during the nine months ended May 31, 2013. Fees of $1,590,612 were attributable to NTIC’s joint venture in China during the nine months ended May 31, 2014 compared to $1,468,622 during the nine months ended May 31, 2013.</w:t>
      </w:r>
    </w:p>
    <w:p>
      <w:pPr>
        <w:spacing w:after="0" w:line="2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5.8% and 9.4% for the three and nine months ended May 31, 2014 compared to the same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fiscal 2013 due to increases in compensation and employee benefits, lab testing related expenses, commission expenses, travel and related expenses, and consulting expenses. Selling expenses as a percentage of net sales decreased slightly to 19.0% and 20.2% for the three and nine months ended May 31, 2014, from 21.1% and 21.9% during the three and nine months ended May 31, 2013.</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18.3% and 11.6% for the three and nine months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compared to the same respective periods in fiscal 2013 due to increases in consulting expenses to support new business development. As a percentage of net sales, general and administrative expenses increased to 18.9% and decreased to 20.1% for the three and nine months ended May 31, 2014 from 18.8% and 21.3% for the three and nine months ended May 31, 2013.</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Expenses Incurred in Support of Joint Ventures. </w:t>
      </w:r>
      <w:r>
        <w:rPr>
          <w:rFonts w:ascii="Times New Roman" w:cs="Times New Roman" w:eastAsia="Times New Roman" w:hAnsi="Times New Roman"/>
          <w:sz w:val="18"/>
          <w:szCs w:val="18"/>
          <w:color w:val="auto"/>
        </w:rPr>
        <w:t>Expenses incurred in support of NTIC’s joint ventures were $353,958 and $1,049,691 during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May 31, 2014, respectively, compared to $335,132 and $1,026,275 during the three and nine months ended May 31, 2013, respectively, representing an increase of 5.6% and 2.3%, respectively. These increases were due primarily to increased headcount to support anticipated expanding operations and anticipated sales growth.</w:t>
      </w:r>
    </w:p>
    <w:p>
      <w:pPr>
        <w:spacing w:after="0" w:line="20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10.2% for the three months ended May 31, 2014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fiscal 2013 and increased 17.1% for the nine months ended May 31, 2014 compared to the same period in fiscal 2013 primarily as a result of increased spending on headcount and field development associated with the new businesses.</w:t>
      </w:r>
    </w:p>
    <w:p>
      <w:pPr>
        <w:spacing w:after="0" w:line="201"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$1,369 and $5,728 during the three and nine months ended May 31, 2014,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$2,984 and $50,618 during the three and nine months ended May 31, 2013, respectively.</w:t>
      </w:r>
    </w:p>
    <w:p>
      <w:pPr>
        <w:spacing w:after="0" w:line="185"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$7,063 during the three months ended May 31, 2014 compared to $50,986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May 31, 2013 and decreased to $32,709 during the nine months ended May 31, 2014 compared to $64,448 during the nine months ended May 31, 2013.</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68" w:right="279" w:bottom="1440" w:gutter="0" w:footer="0" w:header="0"/>
        </w:sectPr>
      </w:pPr>
    </w:p>
    <w:bookmarkStart w:id="22" w:name="page23"/>
    <w:bookmarkEnd w:id="22"/>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Income before income tax expense increased to $1,759,537 and $4,905,783 for the three and nine months ended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2014, respectively, compared to $1,445,769 and $3,323,460 for the three and nine months ended May 31, 2013,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$361,280 and $819,039 during the three and nine months ended May 31, 2014, respectively, compared</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$158,000 and $532,000 during the three and nine months ended May 31, 2013, respectively. Income tax expense was calculated based on management’s estimate of NTIC’s annual effective income tax rate. NTIC’s annual effective income tax rate during the three and nine months ended May 31, 2014 and 2013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2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future domestic cash generation will be sufficient to meet NTIC’s future domestic cash needs. As a result, U.S. income and foreign withholding taxes have not been recognized on the cumulative undistributed earnings of $19,881,808 and $22,281,510 at May 31, 2014 and August 31, 2013, respectively. To the extent undistributed earnings of NTIC’s joint ventures are distributed in the future, they are not expected to result in any material additional income tax liability after the application of foreign tax credits</w:t>
      </w:r>
    </w:p>
    <w:p>
      <w:pPr>
        <w:spacing w:after="0" w:line="20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Foreign Currency Translations Adjustment. </w:t>
      </w:r>
      <w:r>
        <w:rPr>
          <w:rFonts w:ascii="Times New Roman" w:cs="Times New Roman" w:eastAsia="Times New Roman" w:hAnsi="Times New Roman"/>
          <w:sz w:val="18"/>
          <w:szCs w:val="18"/>
          <w:color w:val="auto"/>
        </w:rPr>
        <w:t>The volatility of the foreign currency translations adjustment was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of the U.S. dollar compared to the Euro and other foreign currencies during the three and nine months ended May 31, 2014 compared to the same respective periods in fiscal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As of May 31, 2014, NTIC’s working capital was $18,470,269, including $8,549,789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$13,270,452 at August 31, 2013, including $4,314,258 in cash and cash equivalents. This increase was due primarily to dividends received from joint ventures, including primarily EXCOR, and was offset in part by the use of $933,414 in cash to pay off in full NTIC’s term loan in January 2014 that was obtained in connection with the purchase of NTIC’s corporate headquarters in September 2006.</w:t>
      </w:r>
    </w:p>
    <w:p>
      <w:pPr>
        <w:spacing w:after="0" w:line="2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May 31, 2014,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23" w:name="page24"/>
    <w:bookmarkEnd w:id="23"/>
    <w:p>
      <w:pPr>
        <w:ind w:right="80"/>
        <w:spacing w:after="0" w:line="258" w:lineRule="auto"/>
        <w:rPr>
          <w:sz w:val="20"/>
          <w:szCs w:val="20"/>
          <w:color w:val="auto"/>
        </w:rPr>
      </w:pPr>
      <w:r>
        <w:rPr>
          <w:rFonts w:ascii="Times New Roman" w:cs="Times New Roman" w:eastAsia="Times New Roman" w:hAnsi="Times New Roman"/>
          <w:sz w:val="18"/>
          <w:szCs w:val="18"/>
          <w:color w:val="auto"/>
        </w:rPr>
        <w:t>The line of credit is governed under a loan agreement, which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2014, NTIC was in compliance with all loan agreement covenants and expects to remain in compliance with all loan agreement covenants during the remainder of fiscal 2014.</w:t>
      </w:r>
    </w:p>
    <w:p>
      <w:pPr>
        <w:spacing w:after="0" w:line="21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December 31, 2013, PNC Bank extended the maturity date of the line of credit from January 8, 2014 to January 7, 2015.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20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2014, NTIC expects to continue to invest in research and development and in marketing efforts and resources into the application of its corrosion prevention technology into the oil and gas industry and its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20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Net cash used in operating activities during the nine months ended May 31, 2014 was $607,041, which resulted principally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NTIC’s equity in income from joint ventures and increases in receivables, inventories and prepaid expenses and a decrease in accrued liabilities and income taxes payable, partially offset by NTIC’s net income, expensing of fair value of stock options vested, depreciation and amortization. Net cash used in operating activities during the nine months ended May 31, 2013 was $3,052,892, which resulted principally from NTIC’s equity in income from joint ventures and increases in receivables and inventories and a decrease in accounts payables, accrued liabilities and income taxes payable, partially offset by NTIC’s net income, depreciation and amortization.</w:t>
      </w:r>
    </w:p>
    <w:p>
      <w:pPr>
        <w:spacing w:after="0" w:line="21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4" w:name="page25"/>
    <w:bookmarkEnd w:id="24"/>
    <w:p>
      <w:pPr>
        <w:ind w:right="160"/>
        <w:spacing w:after="0" w:line="266" w:lineRule="auto"/>
        <w:rPr>
          <w:sz w:val="20"/>
          <w:szCs w:val="20"/>
          <w:color w:val="auto"/>
        </w:rPr>
      </w:pPr>
      <w:r>
        <w:rPr>
          <w:rFonts w:ascii="Times New Roman" w:cs="Times New Roman" w:eastAsia="Times New Roman" w:hAnsi="Times New Roman"/>
          <w:sz w:val="18"/>
          <w:szCs w:val="18"/>
          <w:color w:val="auto"/>
        </w:rPr>
        <w:t>NTIC experienced a decrease in receivables and an increase in inventory as of May 31, 2014 compared to August 31, 2013 due to the increase in cash collections and a desire to stock more products to shorten lead times and anticipate customer demand. Trade receivables excluding joint ventures as of May 31, 2014 decreased $64,082 compared to August 31, 2013, primarily related to miscellaneous differences in the timing of collections.</w:t>
      </w: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as of May 31, 2014 decreased seven days to an average of 49 days from balances outstanding from these customers as of August 31, 2013.</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May 31, 2014 decreased $90,860 compared to August 31, 2013 primarily due to the timing of payments. There was a decrease of outstanding balances from trade receivables from joint ventures as of May 31, 2014 of 38 days from an average of 120 days from balances outstanding from these customers compared to August 31, 2013. The significant average days outstanding of trade receivables from joint ventures as of May 31, 2014 were primarily due to the receivable balance at NTIC’s joint venture in India, Korea and China.</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May 31, 2014 increased $387,356 compared to August 31, 2013, which resulted in an increase of six days of fees receivable outstanding as of May 31, 2014 to an average of 130 days compared to August 31, 2013.</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May 31, 2014 was $6,824,572, which was comprised primarily of $7,307,895 in dividends received from joint ventures. These amounts were partially offset by additions to property and equipment and additions to patents. Net cash provided by investing activities for the nine months ended May 31, 2013 was $3,302,358, which was comprised of dividends received from joint ventures and the effect of the NTI Asean consolidation on cash, partially offset by additions to property and equipment and additions to patents.</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May 31, 2014 was $1,990,134, which resulted from a dividend paid to a non-controlling interest and repayment of the bank loan for NTIC’s corporate headquarters building, and partially offset by proceeds from NTIC’s employee stock purchase plan and stock option exercises. Net cash used in financing activities for the nine months ended May 31, 2013 was $1,196,170, which resulted from a dividend received from non-controlling interest and principal payments on the bank loan for NTIC’s corporate headquarters building, partially offset by proceeds from option exercises and NTIC’s employee stock purchase plan.</w:t>
      </w:r>
    </w:p>
    <w:p>
      <w:pPr>
        <w:spacing w:after="0" w:line="209"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$428,536 on capital expenditures during the nine months ended May 31, 2014 and expects to spend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of approximately $500,000 on capital expenditures during fiscal 2014. Such anticipated capital expenditures for fiscal 2014 relate primarily to the additional expansion of its laboratory facilities and purchase of equipment in Circle Pines, Minnesota.</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NTIC has a lease agreement for approximately 17,000 square feet of office, manufacturing, laboratory and warehouse space in Beachwood, Ohio, requiring monthly payments of $17,500, which are adjusted annually according to the annual consumer price index, through November 2014. NTIC had no other material lease or other material capital commitments as of May 31, 2014.</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NTIC has no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in the U.S.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89"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May 31, 2014, NTIC had no borrowings under the line of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2013, other than the policy described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and NTIC’s majority owned subsidiary in Brazil, Zerust Prevenção de Corrosão S.A., NTIC’s majority owned holding company, NTI Asean LLC, and NTIC’s majority owned subsidiary in India, Northern Technologies India Private Limited. NTIC’s consolidated financial statements do not include the accounts of any of its joint ventures.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21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07" w:lineRule="exact"/>
        <w:rPr>
          <w:sz w:val="20"/>
          <w:szCs w:val="20"/>
          <w:color w:val="auto"/>
        </w:rPr>
      </w:pPr>
    </w:p>
    <w:p>
      <w:pPr>
        <w:ind w:left="980" w:right="34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the European sovereign debt crisis and turmoil and disruption in the global credit and financial markets on NTIC’s business;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U.S. automotive industry on NTIC’s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5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w:t>
      </w:r>
    </w:p>
    <w:p>
      <w:pPr>
        <w:spacing w:after="0" w:line="188"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88" w:lineRule="exact"/>
        <w:rPr>
          <w:rFonts w:ascii="Times New Roman" w:cs="Times New Roman" w:eastAsia="Times New Roman" w:hAnsi="Times New Roman"/>
          <w:sz w:val="18"/>
          <w:szCs w:val="18"/>
          <w:color w:val="auto"/>
        </w:rPr>
      </w:pPr>
    </w:p>
    <w:p>
      <w:pPr>
        <w:ind w:left="980" w:right="520" w:hanging="324"/>
        <w:spacing w:after="0" w:line="228"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in NTIC’s sales of ZERUST® products and services into oil and gas industry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NTIC’s equity income of joint ventures, which variability in sales and equity in income of joint venture in turn, subject NTIC’s earnings to quarterly fluctuations;</w:t>
      </w:r>
    </w:p>
    <w:p>
      <w:pPr>
        <w:spacing w:after="0" w:line="224"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and import duties and taxes;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w:t>
      </w:r>
    </w:p>
    <w:p>
      <w:pPr>
        <w:spacing w:after="0" w:line="252" w:lineRule="exact"/>
        <w:rPr>
          <w:rFonts w:ascii="Times New Roman" w:cs="Times New Roman" w:eastAsia="Times New Roman" w:hAnsi="Times New Roman"/>
          <w:sz w:val="18"/>
          <w:szCs w:val="18"/>
          <w:color w:val="auto"/>
        </w:rPr>
      </w:pPr>
    </w:p>
    <w:p>
      <w:pPr>
        <w:ind w:left="980" w:right="60" w:hanging="324"/>
        <w:spacing w:after="0" w:line="228"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the often lengthy and extensive sales process involved in selling such products and services;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66" w:right="279" w:bottom="1440" w:gutter="0" w:footer="0" w:header="0"/>
        </w:sectPr>
      </w:pPr>
    </w:p>
    <w:bookmarkStart w:id="27" w:name="page28"/>
    <w:bookmarkEnd w:id="27"/>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52" w:lineRule="exact"/>
        <w:rPr>
          <w:rFonts w:ascii="Times New Roman" w:cs="Times New Roman" w:eastAsia="Times New Roman" w:hAnsi="Times New Roman"/>
          <w:sz w:val="18"/>
          <w:szCs w:val="18"/>
          <w:color w:val="auto"/>
        </w:rPr>
      </w:pPr>
    </w:p>
    <w:p>
      <w:pPr>
        <w:ind w:left="980" w:right="340" w:hanging="324"/>
        <w:spacing w:after="0" w:line="21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services and NTIC’s ability to grow market share and succeed in penetrating other existing and new markets;</w:t>
      </w:r>
    </w:p>
    <w:p>
      <w:pPr>
        <w:spacing w:after="0" w:line="226" w:lineRule="exact"/>
        <w:rPr>
          <w:rFonts w:ascii="Times New Roman" w:cs="Times New Roman" w:eastAsia="Times New Roman" w:hAnsi="Times New Roman"/>
          <w:sz w:val="18"/>
          <w:szCs w:val="18"/>
          <w:color w:val="auto"/>
        </w:rPr>
      </w:pPr>
    </w:p>
    <w:p>
      <w:pPr>
        <w:ind w:left="980" w:right="40" w:hanging="324"/>
        <w:spacing w:after="0" w:line="21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services, and the effect of such competition on NTIC’s and its joint ventures’ pricing, net sales and margins;</w:t>
      </w:r>
    </w:p>
    <w:p>
      <w:pPr>
        <w:spacing w:after="0" w:line="2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 including in particular its single supply source for its base bioplastics resins;</w:t>
      </w:r>
    </w:p>
    <w:p>
      <w:pPr>
        <w:spacing w:after="0" w:line="252"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88" w:lineRule="exact"/>
        <w:rPr>
          <w:rFonts w:ascii="Times New Roman" w:cs="Times New Roman" w:eastAsia="Times New Roman" w:hAnsi="Times New Roman"/>
          <w:sz w:val="18"/>
          <w:szCs w:val="18"/>
          <w:color w:val="auto"/>
        </w:rPr>
      </w:pPr>
    </w:p>
    <w:p>
      <w:pPr>
        <w:ind w:left="980" w:hanging="324"/>
        <w:spacing w:after="0" w:line="21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the manufacturing of certain select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rust and corrosion inhibiting products in house at NTIC’s corporate headquarters location in Circle Pines, Minnesota;</w:t>
      </w:r>
    </w:p>
    <w:p>
      <w:pPr>
        <w:spacing w:after="0" w:line="226" w:lineRule="exact"/>
        <w:rPr>
          <w:rFonts w:ascii="Times New Roman" w:cs="Times New Roman" w:eastAsia="Times New Roman" w:hAnsi="Times New Roman"/>
          <w:sz w:val="18"/>
          <w:szCs w:val="18"/>
          <w:color w:val="auto"/>
        </w:rPr>
      </w:pPr>
    </w:p>
    <w:p>
      <w:pPr>
        <w:ind w:left="980" w:right="100" w:hanging="324"/>
        <w:spacing w:after="0" w:line="228"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installation and usage of new and existing products, especially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rust and corrosion inhibiting products designed for the oil and gas industry where NTIC could be subject to substantial claims in the event of an oil leak or other problem or disaster;</w:t>
      </w:r>
    </w:p>
    <w:p>
      <w:pPr>
        <w:spacing w:after="0" w:line="22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 and</w:t>
      </w:r>
    </w:p>
    <w:p>
      <w:pPr>
        <w:spacing w:after="0" w:line="252"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and comply with its other U.S. public reporting company obligations, especially in light of its upcoming transition from a “smaller reporting company” to an “accelerated filer” under federal securities laws, and anticipated increased costs and diversion of management’s time and attention associated with such compliance activities.</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2013 under the heading “Part I. Item 1A. Risk Factors.”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3 is inapplicable to NTIC as a smaller reporting company and has been omitted pursuant to Item 305(e) of SEC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May 31, 2014 that has materially affected, or is reasonably likely to materially affect NTIC’s internal control over financial reporting.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9" w:name="page30"/>
    <w:bookmarkEnd w:id="29"/>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31, 2014, NTIC did not issue any shares of its common stock or other equity securities of NTIC that were not registered under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May 31, 2014, NTIC did not purchase any shares of its common stock or other equity securities of NTIC.</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1"/>
                <w:szCs w:val="21"/>
                <w:color w:val="auto"/>
              </w:rPr>
            </w:pPr>
          </w:p>
        </w:tc>
        <w:tc>
          <w:tcPr>
            <w:tcW w:w="10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10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Act of 2002 (furnished herewith)</w:t>
            </w:r>
          </w:p>
        </w:tc>
      </w:tr>
    </w:tbl>
    <w:p>
      <w:pPr>
        <w:ind w:left="1380" w:right="200" w:hanging="933"/>
        <w:spacing w:after="0" w:line="254"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Northern Technologies International Corporation’s Quarterly Report on Form 10-Q for the fiscal quarter ended May 31, 2014, formatted in XBRL (Extensible Business Reporting Language): (i) the unaudited Consolidated Balance Sheets, (ii) the unaudited Consolidated Statements of Operations, (iii) the unaudited Consolidated Statements of Comprehensive Income, (iv) the unaudited Consolidated Statements of Cash Flows, and (v) Notes to Condensed Financial Statements (filed herewith)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174625</wp:posOffset>
            </wp:positionV>
            <wp:extent cx="1140460" cy="677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04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11, 2014</w:t>
            </w:r>
          </w:p>
        </w:tc>
        <w:tc>
          <w:tcPr>
            <w:tcW w:w="7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21"/>
        </w:trPr>
        <w:tc>
          <w:tcPr>
            <w:tcW w:w="3520" w:type="dxa"/>
            <w:vAlign w:val="bottom"/>
          </w:tcPr>
          <w:p>
            <w:pPr>
              <w:spacing w:after="0"/>
              <w:rPr>
                <w:sz w:val="19"/>
                <w:szCs w:val="19"/>
                <w:color w:val="auto"/>
              </w:rPr>
            </w:pPr>
          </w:p>
        </w:tc>
        <w:tc>
          <w:tcPr>
            <w:tcW w:w="7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03"/>
        </w:trPr>
        <w:tc>
          <w:tcPr>
            <w:tcW w:w="3520" w:type="dxa"/>
            <w:vAlign w:val="bottom"/>
          </w:tcPr>
          <w:p>
            <w:pPr>
              <w:spacing w:after="0"/>
              <w:rPr>
                <w:sz w:val="17"/>
                <w:szCs w:val="17"/>
                <w:color w:val="auto"/>
              </w:rPr>
            </w:pPr>
          </w:p>
        </w:tc>
        <w:tc>
          <w:tcPr>
            <w:tcW w:w="790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(Principal Financial and Accounting Officer and</w:t>
            </w:r>
          </w:p>
        </w:tc>
      </w:tr>
      <w:tr>
        <w:trPr>
          <w:trHeight w:val="210"/>
        </w:trPr>
        <w:tc>
          <w:tcPr>
            <w:tcW w:w="3520" w:type="dxa"/>
            <w:vAlign w:val="bottom"/>
          </w:tcPr>
          <w:p>
            <w:pPr>
              <w:spacing w:after="0"/>
              <w:rPr>
                <w:sz w:val="18"/>
                <w:szCs w:val="18"/>
                <w:color w:val="auto"/>
              </w:rPr>
            </w:pPr>
          </w:p>
        </w:tc>
        <w:tc>
          <w:tcPr>
            <w:tcW w:w="790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Duly Authorized to Sign on Behalf of the Registrant)</w:t>
            </w:r>
          </w:p>
        </w:tc>
      </w:tr>
      <w:tr>
        <w:trPr>
          <w:trHeight w:val="857"/>
        </w:trPr>
        <w:tc>
          <w:tcPr>
            <w:tcW w:w="3520" w:type="dxa"/>
            <w:vAlign w:val="bottom"/>
          </w:tcPr>
          <w:p>
            <w:pPr>
              <w:spacing w:after="0"/>
              <w:rPr>
                <w:sz w:val="24"/>
                <w:szCs w:val="24"/>
                <w:color w:val="auto"/>
              </w:rPr>
            </w:pPr>
          </w:p>
        </w:tc>
        <w:tc>
          <w:tcPr>
            <w:tcW w:w="79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30</w:t>
            </w:r>
          </w:p>
        </w:tc>
      </w:tr>
      <w:tr>
        <w:trPr>
          <w:trHeight w:val="105"/>
        </w:trPr>
        <w:tc>
          <w:tcPr>
            <w:tcW w:w="3520" w:type="dxa"/>
            <w:vAlign w:val="bottom"/>
          </w:tcPr>
          <w:p>
            <w:pPr>
              <w:spacing w:after="0"/>
              <w:rPr>
                <w:sz w:val="9"/>
                <w:szCs w:val="9"/>
                <w:color w:val="auto"/>
              </w:rPr>
            </w:pPr>
          </w:p>
        </w:tc>
        <w:tc>
          <w:tcPr>
            <w:tcW w:w="7900" w:type="dxa"/>
            <w:vAlign w:val="bottom"/>
          </w:tcPr>
          <w:p>
            <w:pPr>
              <w:spacing w:after="0"/>
              <w:rPr>
                <w:sz w:val="9"/>
                <w:szCs w:val="9"/>
                <w:color w:val="auto"/>
              </w:rPr>
            </w:pPr>
          </w:p>
        </w:tc>
      </w:tr>
      <w:tr>
        <w:trPr>
          <w:trHeight w:val="61"/>
        </w:trPr>
        <w:tc>
          <w:tcPr>
            <w:tcW w:w="3520" w:type="dxa"/>
            <w:vAlign w:val="bottom"/>
            <w:shd w:val="clear" w:color="auto" w:fill="808080"/>
          </w:tcPr>
          <w:p>
            <w:pPr>
              <w:spacing w:after="0"/>
              <w:rPr>
                <w:sz w:val="5"/>
                <w:szCs w:val="5"/>
                <w:color w:val="auto"/>
              </w:rPr>
            </w:pPr>
          </w:p>
        </w:tc>
        <w:tc>
          <w:tcPr>
            <w:tcW w:w="79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6"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4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160" w:type="dxa"/>
            <w:vAlign w:val="bottom"/>
            <w:tcBorders>
              <w:top w:val="single" w:sz="8" w:color="auto"/>
              <w:right w:val="single" w:sz="8" w:color="auto"/>
            </w:tcBorders>
          </w:tcPr>
          <w:p>
            <w:pPr>
              <w:spacing w:after="0"/>
              <w:rPr>
                <w:sz w:val="18"/>
                <w:szCs w:val="18"/>
                <w:color w:val="auto"/>
              </w:rPr>
            </w:pPr>
          </w:p>
        </w:tc>
        <w:tc>
          <w:tcPr>
            <w:tcW w:w="3840" w:type="dxa"/>
            <w:vAlign w:val="bottom"/>
            <w:tcBorders>
              <w:top w:val="single" w:sz="8" w:color="auto"/>
              <w:right w:val="single" w:sz="8" w:color="auto"/>
            </w:tcBorders>
          </w:tcPr>
          <w:p>
            <w:pPr>
              <w:spacing w:after="0"/>
              <w:rPr>
                <w:sz w:val="18"/>
                <w:szCs w:val="18"/>
                <w:color w:val="auto"/>
              </w:rPr>
            </w:pPr>
          </w:p>
        </w:tc>
      </w:tr>
      <w:tr>
        <w:trPr>
          <w:trHeight w:val="265"/>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6160" w:type="dxa"/>
            <w:vAlign w:val="bottom"/>
            <w:tcBorders>
              <w:bottom w:val="single" w:sz="8" w:color="auto"/>
              <w:right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78"/>
        </w:trPr>
        <w:tc>
          <w:tcPr>
            <w:tcW w:w="1440" w:type="dxa"/>
            <w:vAlign w:val="bottom"/>
            <w:tcBorders>
              <w:left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rPr>
              <w:t>31.1</w:t>
            </w:r>
          </w:p>
        </w:tc>
        <w:tc>
          <w:tcPr>
            <w:tcW w:w="616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w:t>
            </w:r>
          </w:p>
        </w:tc>
        <w:tc>
          <w:tcPr>
            <w:tcW w:w="384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840" w:type="dxa"/>
            <w:vAlign w:val="bottom"/>
            <w:tcBorders>
              <w:right w:val="single" w:sz="8" w:color="auto"/>
            </w:tcBorders>
          </w:tcPr>
          <w:p>
            <w:pPr>
              <w:spacing w:after="0"/>
              <w:rPr>
                <w:sz w:val="18"/>
                <w:szCs w:val="18"/>
                <w:color w:val="auto"/>
              </w:rPr>
            </w:pPr>
          </w:p>
        </w:tc>
      </w:tr>
      <w:tr>
        <w:trPr>
          <w:trHeight w:val="234"/>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2002</w:t>
            </w:r>
          </w:p>
        </w:tc>
        <w:tc>
          <w:tcPr>
            <w:tcW w:w="3840" w:type="dxa"/>
            <w:vAlign w:val="bottom"/>
            <w:tcBorders>
              <w:bottom w:val="single" w:sz="8" w:color="auto"/>
              <w:right w:val="single" w:sz="8" w:color="auto"/>
            </w:tcBorders>
          </w:tcPr>
          <w:p>
            <w:pPr>
              <w:spacing w:after="0"/>
              <w:rPr>
                <w:sz w:val="20"/>
                <w:szCs w:val="20"/>
                <w:color w:val="auto"/>
              </w:rPr>
            </w:pPr>
          </w:p>
        </w:tc>
      </w:tr>
      <w:tr>
        <w:trPr>
          <w:trHeight w:val="191"/>
        </w:trPr>
        <w:tc>
          <w:tcPr>
            <w:tcW w:w="14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31.2</w:t>
            </w:r>
          </w:p>
        </w:tc>
        <w:tc>
          <w:tcPr>
            <w:tcW w:w="6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w:t>
            </w:r>
          </w:p>
        </w:tc>
        <w:tc>
          <w:tcPr>
            <w:tcW w:w="38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840" w:type="dxa"/>
            <w:vAlign w:val="bottom"/>
            <w:tcBorders>
              <w:right w:val="single" w:sz="8" w:color="auto"/>
            </w:tcBorders>
          </w:tcPr>
          <w:p>
            <w:pPr>
              <w:spacing w:after="0"/>
              <w:rPr>
                <w:sz w:val="18"/>
                <w:szCs w:val="18"/>
                <w:color w:val="auto"/>
              </w:rPr>
            </w:pPr>
          </w:p>
        </w:tc>
      </w:tr>
      <w:tr>
        <w:trPr>
          <w:trHeight w:val="234"/>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2002</w:t>
            </w:r>
          </w:p>
        </w:tc>
        <w:tc>
          <w:tcPr>
            <w:tcW w:w="3840" w:type="dxa"/>
            <w:vAlign w:val="bottom"/>
            <w:tcBorders>
              <w:bottom w:val="single" w:sz="8" w:color="auto"/>
              <w:right w:val="single" w:sz="8" w:color="auto"/>
            </w:tcBorders>
          </w:tcPr>
          <w:p>
            <w:pPr>
              <w:spacing w:after="0"/>
              <w:rPr>
                <w:sz w:val="20"/>
                <w:szCs w:val="20"/>
                <w:color w:val="auto"/>
              </w:rPr>
            </w:pPr>
          </w:p>
        </w:tc>
      </w:tr>
      <w:tr>
        <w:trPr>
          <w:trHeight w:val="191"/>
        </w:trPr>
        <w:tc>
          <w:tcPr>
            <w:tcW w:w="14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32.1</w:t>
            </w:r>
          </w:p>
        </w:tc>
        <w:tc>
          <w:tcPr>
            <w:tcW w:w="6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38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Furnished herewith</w:t>
            </w:r>
          </w:p>
        </w:tc>
      </w:tr>
      <w:tr>
        <w:trPr>
          <w:trHeight w:val="234"/>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840" w:type="dxa"/>
            <w:vAlign w:val="bottom"/>
            <w:tcBorders>
              <w:bottom w:val="single" w:sz="8" w:color="auto"/>
              <w:right w:val="single" w:sz="8" w:color="auto"/>
            </w:tcBorders>
          </w:tcPr>
          <w:p>
            <w:pPr>
              <w:spacing w:after="0"/>
              <w:rPr>
                <w:sz w:val="20"/>
                <w:szCs w:val="20"/>
                <w:color w:val="auto"/>
              </w:rPr>
            </w:pPr>
          </w:p>
        </w:tc>
      </w:tr>
      <w:tr>
        <w:trPr>
          <w:trHeight w:val="191"/>
        </w:trPr>
        <w:tc>
          <w:tcPr>
            <w:tcW w:w="14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32.2</w:t>
            </w:r>
          </w:p>
        </w:tc>
        <w:tc>
          <w:tcPr>
            <w:tcW w:w="6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38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Furnished herewith</w:t>
            </w:r>
          </w:p>
        </w:tc>
      </w:tr>
      <w:tr>
        <w:trPr>
          <w:trHeight w:val="234"/>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840" w:type="dxa"/>
            <w:vAlign w:val="bottom"/>
            <w:tcBorders>
              <w:bottom w:val="single" w:sz="8" w:color="auto"/>
              <w:right w:val="single" w:sz="8" w:color="auto"/>
            </w:tcBorders>
          </w:tcPr>
          <w:p>
            <w:pPr>
              <w:spacing w:after="0"/>
              <w:rPr>
                <w:sz w:val="20"/>
                <w:szCs w:val="20"/>
                <w:color w:val="auto"/>
              </w:rPr>
            </w:pPr>
          </w:p>
        </w:tc>
      </w:tr>
      <w:tr>
        <w:trPr>
          <w:trHeight w:val="191"/>
        </w:trPr>
        <w:tc>
          <w:tcPr>
            <w:tcW w:w="14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101</w:t>
            </w:r>
          </w:p>
        </w:tc>
        <w:tc>
          <w:tcPr>
            <w:tcW w:w="61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following materials from Northern Technologies International Corporation’s</w:t>
            </w:r>
          </w:p>
        </w:tc>
        <w:tc>
          <w:tcPr>
            <w:tcW w:w="38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May 31, 2014,</w:t>
            </w:r>
          </w:p>
        </w:tc>
        <w:tc>
          <w:tcPr>
            <w:tcW w:w="384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unaudited</w:t>
            </w:r>
          </w:p>
        </w:tc>
        <w:tc>
          <w:tcPr>
            <w:tcW w:w="384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Consolidated Balance Sheets, (ii) the unaudited Consolidated Statements of</w:t>
            </w:r>
          </w:p>
        </w:tc>
        <w:tc>
          <w:tcPr>
            <w:tcW w:w="384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Operations, (iii) the unaudited Consolidated Statements of Comprehensive Income,</w:t>
            </w:r>
          </w:p>
        </w:tc>
        <w:tc>
          <w:tcPr>
            <w:tcW w:w="3840" w:type="dxa"/>
            <w:vAlign w:val="bottom"/>
            <w:tcBorders>
              <w:right w:val="single" w:sz="8" w:color="auto"/>
            </w:tcBorders>
          </w:tcPr>
          <w:p>
            <w:pPr>
              <w:spacing w:after="0"/>
              <w:rPr>
                <w:sz w:val="18"/>
                <w:szCs w:val="18"/>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(iv) the unaudited Consolidated Statements of Cash Flows, and (v) Notes to</w:t>
            </w:r>
          </w:p>
        </w:tc>
        <w:tc>
          <w:tcPr>
            <w:tcW w:w="3840" w:type="dxa"/>
            <w:vAlign w:val="bottom"/>
            <w:tcBorders>
              <w:right w:val="single" w:sz="8" w:color="auto"/>
            </w:tcBorders>
          </w:tcPr>
          <w:p>
            <w:pPr>
              <w:spacing w:after="0"/>
              <w:rPr>
                <w:sz w:val="18"/>
                <w:szCs w:val="18"/>
                <w:color w:val="auto"/>
              </w:rPr>
            </w:pPr>
          </w:p>
        </w:tc>
      </w:tr>
      <w:tr>
        <w:trPr>
          <w:trHeight w:val="234"/>
        </w:trPr>
        <w:tc>
          <w:tcPr>
            <w:tcW w:w="144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Condensed Financial Statements</w:t>
            </w:r>
          </w:p>
        </w:tc>
        <w:tc>
          <w:tcPr>
            <w:tcW w:w="3840" w:type="dxa"/>
            <w:vAlign w:val="bottom"/>
            <w:tcBorders>
              <w:right w:val="single" w:sz="8" w:color="auto"/>
            </w:tcBorders>
          </w:tcPr>
          <w:p>
            <w:pPr>
              <w:spacing w:after="0"/>
              <w:rPr>
                <w:sz w:val="20"/>
                <w:szCs w:val="20"/>
                <w:color w:val="auto"/>
              </w:rPr>
            </w:pPr>
          </w:p>
        </w:tc>
      </w:tr>
      <w:tr>
        <w:trPr>
          <w:trHeight w:val="216"/>
        </w:trPr>
        <w:tc>
          <w:tcPr>
            <w:tcW w:w="1440" w:type="dxa"/>
            <w:vAlign w:val="bottom"/>
            <w:tcBorders>
              <w:left w:val="single" w:sz="8" w:color="auto"/>
              <w:bottom w:val="single" w:sz="8" w:color="auto"/>
              <w:right w:val="single" w:sz="8" w:color="auto"/>
            </w:tcBorders>
          </w:tcPr>
          <w:p>
            <w:pPr>
              <w:spacing w:after="0"/>
              <w:rPr>
                <w:sz w:val="18"/>
                <w:szCs w:val="18"/>
                <w:color w:val="auto"/>
              </w:rPr>
            </w:pPr>
          </w:p>
        </w:tc>
        <w:tc>
          <w:tcPr>
            <w:tcW w:w="6160" w:type="dxa"/>
            <w:vAlign w:val="bottom"/>
            <w:tcBorders>
              <w:bottom w:val="single" w:sz="8" w:color="auto"/>
              <w:right w:val="single" w:sz="8" w:color="auto"/>
            </w:tcBorders>
          </w:tcPr>
          <w:p>
            <w:pPr>
              <w:spacing w:after="0"/>
              <w:rPr>
                <w:sz w:val="18"/>
                <w:szCs w:val="18"/>
                <w:color w:val="auto"/>
              </w:rPr>
            </w:pPr>
          </w:p>
        </w:tc>
        <w:tc>
          <w:tcPr>
            <w:tcW w:w="3840" w:type="dxa"/>
            <w:vAlign w:val="bottom"/>
            <w:tcBorders>
              <w:bottom w:val="single" w:sz="8" w:color="auto"/>
              <w:right w:val="single" w:sz="8" w:color="auto"/>
            </w:tcBorders>
          </w:tcPr>
          <w:p>
            <w:pPr>
              <w:spacing w:after="0"/>
              <w:rPr>
                <w:sz w:val="18"/>
                <w:szCs w:val="18"/>
                <w:color w:val="auto"/>
              </w:rPr>
            </w:pPr>
          </w:p>
        </w:tc>
      </w:tr>
      <w:tr>
        <w:trPr>
          <w:trHeight w:val="696"/>
        </w:trPr>
        <w:tc>
          <w:tcPr>
            <w:tcW w:w="1440" w:type="dxa"/>
            <w:vAlign w:val="bottom"/>
          </w:tcPr>
          <w:p>
            <w:pPr>
              <w:spacing w:after="0"/>
              <w:rPr>
                <w:sz w:val="24"/>
                <w:szCs w:val="24"/>
                <w:color w:val="auto"/>
              </w:rPr>
            </w:pPr>
          </w:p>
        </w:tc>
        <w:tc>
          <w:tcPr>
            <w:tcW w:w="616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31</w:t>
            </w:r>
          </w:p>
        </w:tc>
        <w:tc>
          <w:tcPr>
            <w:tcW w:w="384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140" w:right="460" w:firstLine="2"/>
        <w:spacing w:after="0" w:line="266" w:lineRule="auto"/>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140" w:right="80" w:firstLine="2"/>
        <w:spacing w:after="0" w:line="266" w:lineRule="auto"/>
        <w:tabs>
          <w:tab w:leader="none" w:pos="15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200" w:firstLine="2"/>
        <w:spacing w:after="0" w:line="282" w:lineRule="auto"/>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140" w:right="60" w:firstLine="2"/>
        <w:spacing w:after="0" w:line="266" w:lineRule="auto"/>
        <w:tabs>
          <w:tab w:leader="none" w:pos="15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40" w:right="340" w:firstLine="2"/>
        <w:spacing w:after="0" w:line="282" w:lineRule="auto"/>
        <w:tabs>
          <w:tab w:leader="none" w:pos="15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100" w:firstLine="2"/>
        <w:spacing w:after="0" w:line="282" w:lineRule="auto"/>
        <w:tabs>
          <w:tab w:leader="none" w:pos="153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-119380</wp:posOffset>
            </wp:positionV>
            <wp:extent cx="1286510" cy="3517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6510" cy="351790"/>
                    </a:xfrm>
                    <a:prstGeom prst="rect">
                      <a:avLst/>
                    </a:prstGeom>
                    <a:noFill/>
                  </pic:spPr>
                </pic:pic>
              </a:graphicData>
            </a:graphic>
          </wp:anchor>
        </w:drawing>
      </w:r>
    </w:p>
    <w:p>
      <w:pPr>
        <w:spacing w:after="0" w:line="3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140" w:right="460" w:firstLine="2"/>
        <w:spacing w:after="0" w:line="266" w:lineRule="auto"/>
        <w:tabs>
          <w:tab w:leader="none" w:pos="15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140" w:right="20" w:firstLine="2"/>
        <w:spacing w:after="0" w:line="266" w:lineRule="auto"/>
        <w:tabs>
          <w:tab w:leader="none" w:pos="15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140" w:firstLine="2"/>
        <w:spacing w:after="0" w:line="282" w:lineRule="auto"/>
        <w:tabs>
          <w:tab w:leader="none" w:pos="15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right="60" w:firstLine="2"/>
        <w:spacing w:after="0" w:line="266" w:lineRule="auto"/>
        <w:tabs>
          <w:tab w:leader="none" w:pos="15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40" w:right="300" w:firstLine="2"/>
        <w:spacing w:after="0" w:line="282" w:lineRule="auto"/>
        <w:tabs>
          <w:tab w:leader="none" w:pos="15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firstLine="2"/>
        <w:spacing w:after="0" w:line="282" w:lineRule="auto"/>
        <w:tabs>
          <w:tab w:leader="none" w:pos="1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-22225</wp:posOffset>
            </wp:positionV>
            <wp:extent cx="1140460" cy="677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0460" cy="677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11,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ectPr>
          <w:pgSz w:w="11900" w:h="16838" w:orient="portrait"/>
          <w:cols w:equalWidth="0" w:num="2">
            <w:col w:w="5000" w:space="720"/>
            <w:col w:w="5700"/>
          </w:cols>
          <w:pgMar w:left="240" w:top="117" w:right="239" w:bottom="1440" w:gutter="0" w:footer="0" w:header="0"/>
          <w:type w:val="continuous"/>
        </w:sectPr>
      </w:pP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type w:val="continuous"/>
        </w:sectPr>
      </w:pPr>
    </w:p>
    <w:bookmarkStart w:id="34" w:name="page35"/>
    <w:bookmarkEnd w:id="34"/>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2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May 31, 2014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620" w:hanging="964"/>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20" w:right="120" w:hanging="964"/>
        <w:spacing w:after="0" w:line="28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286510" cy="3517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651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2014</w:t>
      </w:r>
    </w:p>
    <w:p>
      <w:pPr>
        <w:sectPr>
          <w:pgSz w:w="11900" w:h="16838" w:orient="portrait"/>
          <w:cols w:equalWidth="0" w:num="1">
            <w:col w:w="11420"/>
          </w:cols>
          <w:pgMar w:left="240" w:top="117"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May 31, 2014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07" w:lineRule="exact"/>
        <w:rPr>
          <w:sz w:val="20"/>
          <w:szCs w:val="20"/>
          <w:color w:val="auto"/>
        </w:rPr>
      </w:pPr>
    </w:p>
    <w:p>
      <w:pPr>
        <w:ind w:left="1620" w:hanging="964"/>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620" w:right="120" w:hanging="964"/>
        <w:spacing w:after="0" w:line="282"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140460" cy="677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04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11, 2014</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1"/>
    </w:lvl>
  </w:abstractNum>
  <w:abstractNum w:abstractNumId="12">
    <w:nsid w:val="519B500D"/>
    <w:multiLevelType w:val="hybridMultilevel"/>
    <w:lvl w:ilvl="0">
      <w:lvlJc w:val="left"/>
      <w:lvlText w:val="%1."/>
      <w:numFmt w:val="decimal"/>
      <w:start w:val="12"/>
    </w:lvl>
  </w:abstractNum>
  <w:abstractNum w:abstractNumId="13">
    <w:nsid w:val="431BD7B7"/>
    <w:multiLevelType w:val="hybridMultilevel"/>
    <w:lvl w:ilvl="0">
      <w:lvlJc w:val="left"/>
      <w:lvlText w:val="%1."/>
      <w:numFmt w:val="decimal"/>
      <w:start w:val="13"/>
    </w:lvl>
  </w:abstractNum>
  <w:abstractNum w:abstractNumId="14">
    <w:nsid w:val="3F2DBA31"/>
    <w:multiLevelType w:val="hybridMultilevel"/>
    <w:lvl w:ilvl="0">
      <w:lvlJc w:val="left"/>
      <w:lvlText w:val="%1."/>
      <w:numFmt w:val="decimal"/>
      <w:start w:val="14"/>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2019-12-06T05:00:13Z</dcterms:created>
  <dcterms:modified xsi:type="dcterms:W3CDTF">2019-12-06T05:00:13Z</dcterms:modified>
</cp:coreProperties>
</file>