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120" w:right="2320" w:hanging="4112"/>
        <w:spacing w:after="0" w:line="517" w:lineRule="auto"/>
        <w:tabs>
          <w:tab w:leader="none" w:pos="29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2018</w:t>
      </w:r>
    </w:p>
    <w:p>
      <w:pPr>
        <w:spacing w:after="0" w:line="175" w:lineRule="exact"/>
        <w:rPr>
          <w:sz w:val="24"/>
          <w:szCs w:val="24"/>
          <w:color w:val="auto"/>
        </w:rPr>
      </w:pPr>
    </w:p>
    <w:p>
      <w:pPr>
        <w:ind w:left="2960" w:right="1960" w:hanging="2952"/>
        <w:spacing w:after="0" w:line="530" w:lineRule="auto"/>
        <w:tabs>
          <w:tab w:leader="none" w:pos="31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8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4201 Woodland Road</w:t>
            </w:r>
          </w:p>
        </w:tc>
        <w:tc>
          <w:tcPr>
            <w:tcW w:w="3680" w:type="dxa"/>
            <w:vAlign w:val="bottom"/>
          </w:tcPr>
          <w:p>
            <w:pPr>
              <w:spacing w:after="0"/>
              <w:rPr>
                <w:sz w:val="24"/>
                <w:szCs w:val="24"/>
                <w:color w:val="auto"/>
              </w:rPr>
            </w:pPr>
          </w:p>
        </w:tc>
      </w:tr>
      <w:tr>
        <w:trPr>
          <w:trHeight w:val="216"/>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P.O. Box 69</w:t>
            </w:r>
          </w:p>
        </w:tc>
        <w:tc>
          <w:tcPr>
            <w:tcW w:w="3680" w:type="dxa"/>
            <w:vAlign w:val="bottom"/>
          </w:tcPr>
          <w:p>
            <w:pPr>
              <w:spacing w:after="0"/>
              <w:rPr>
                <w:sz w:val="18"/>
                <w:szCs w:val="18"/>
                <w:color w:val="auto"/>
              </w:rPr>
            </w:pPr>
          </w:p>
        </w:tc>
      </w:tr>
      <w:tr>
        <w:trPr>
          <w:trHeight w:val="220"/>
        </w:trPr>
        <w:tc>
          <w:tcPr>
            <w:tcW w:w="5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Circle Pines, Minnesota</w:t>
            </w:r>
          </w:p>
        </w:tc>
        <w:tc>
          <w:tcPr>
            <w:tcW w:w="3680" w:type="dxa"/>
            <w:vAlign w:val="bottom"/>
          </w:tcPr>
          <w:p>
            <w:pPr>
              <w:jc w:val="right"/>
              <w:ind w:right="1330"/>
              <w:spacing w:after="0"/>
              <w:rPr>
                <w:sz w:val="20"/>
                <w:szCs w:val="20"/>
                <w:color w:val="auto"/>
              </w:rPr>
            </w:pPr>
            <w:r>
              <w:rPr>
                <w:rFonts w:ascii="Arial" w:cs="Arial" w:eastAsia="Arial" w:hAnsi="Arial"/>
                <w:sz w:val="18"/>
                <w:szCs w:val="18"/>
                <w:b w:val="1"/>
                <w:bCs w:val="1"/>
                <w:color w:val="auto"/>
              </w:rPr>
              <w:t>55014</w:t>
            </w:r>
          </w:p>
        </w:tc>
      </w:tr>
      <w:tr>
        <w:trPr>
          <w:trHeight w:val="230"/>
        </w:trPr>
        <w:tc>
          <w:tcPr>
            <w:tcW w:w="582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310"/>
              <w:spacing w:after="0"/>
              <w:rPr>
                <w:sz w:val="20"/>
                <w:szCs w:val="20"/>
                <w:color w:val="auto"/>
              </w:rPr>
            </w:pPr>
            <w:r>
              <w:rPr>
                <w:rFonts w:ascii="Arial" w:cs="Arial" w:eastAsia="Arial" w:hAnsi="Arial"/>
                <w:sz w:val="18"/>
                <w:szCs w:val="18"/>
                <w:color w:val="auto"/>
                <w:w w:val="94"/>
              </w:rPr>
              <w:t>(Zip Code)</w:t>
            </w:r>
          </w:p>
        </w:tc>
      </w:tr>
      <w:tr>
        <w:trPr>
          <w:trHeight w:val="418"/>
        </w:trPr>
        <w:tc>
          <w:tcPr>
            <w:tcW w:w="5820" w:type="dxa"/>
            <w:vAlign w:val="bottom"/>
          </w:tcPr>
          <w:p>
            <w:pPr>
              <w:jc w:val="center"/>
              <w:ind w:left="3650"/>
              <w:spacing w:after="0"/>
              <w:rPr>
                <w:sz w:val="20"/>
                <w:szCs w:val="20"/>
                <w:color w:val="auto"/>
              </w:rPr>
            </w:pPr>
            <w:r>
              <w:rPr>
                <w:rFonts w:ascii="Arial" w:cs="Arial" w:eastAsia="Arial" w:hAnsi="Arial"/>
                <w:sz w:val="18"/>
                <w:szCs w:val="18"/>
                <w:b w:val="1"/>
                <w:bCs w:val="1"/>
                <w:color w:val="auto"/>
                <w:w w:val="90"/>
              </w:rPr>
              <w:t>(763) 225-6600</w:t>
            </w:r>
          </w:p>
        </w:tc>
        <w:tc>
          <w:tcPr>
            <w:tcW w:w="3680" w:type="dxa"/>
            <w:vAlign w:val="bottom"/>
          </w:tcPr>
          <w:p>
            <w:pPr>
              <w:spacing w:after="0"/>
              <w:rPr>
                <w:sz w:val="24"/>
                <w:szCs w:val="24"/>
                <w:color w:val="auto"/>
              </w:rPr>
            </w:pPr>
          </w:p>
        </w:tc>
      </w:tr>
      <w:tr>
        <w:trPr>
          <w:trHeight w:val="230"/>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9500" w:type="dxa"/>
            <w:vAlign w:val="bottom"/>
            <w:gridSpan w:val="2"/>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414"/>
        </w:trPr>
        <w:tc>
          <w:tcPr>
            <w:tcW w:w="5820" w:type="dxa"/>
            <w:vAlign w:val="bottom"/>
          </w:tcPr>
          <w:p>
            <w:pPr>
              <w:jc w:val="center"/>
              <w:ind w:right="1310"/>
              <w:spacing w:after="0"/>
              <w:rPr>
                <w:sz w:val="20"/>
                <w:szCs w:val="20"/>
                <w:color w:val="auto"/>
              </w:rPr>
            </w:pPr>
            <w:r>
              <w:rPr>
                <w:rFonts w:ascii="Arial" w:cs="Arial" w:eastAsia="Arial" w:hAnsi="Arial"/>
                <w:sz w:val="18"/>
                <w:szCs w:val="18"/>
                <w:color w:val="auto"/>
                <w:w w:val="90"/>
              </w:rPr>
              <w:t>Title of each class</w:t>
            </w:r>
          </w:p>
        </w:tc>
        <w:tc>
          <w:tcPr>
            <w:tcW w:w="3680" w:type="dxa"/>
            <w:vAlign w:val="bottom"/>
          </w:tcPr>
          <w:p>
            <w:pPr>
              <w:jc w:val="center"/>
              <w:ind w:left="4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8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Common Stock, par value $0.02 per share</w:t>
            </w:r>
          </w:p>
        </w:tc>
        <w:tc>
          <w:tcPr>
            <w:tcW w:w="368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820" w:type="dxa"/>
            <w:vAlign w:val="bottom"/>
          </w:tcPr>
          <w:p>
            <w:pPr>
              <w:spacing w:after="0"/>
              <w:rPr>
                <w:sz w:val="20"/>
                <w:szCs w:val="20"/>
                <w:color w:val="auto"/>
              </w:rPr>
            </w:pPr>
          </w:p>
        </w:tc>
        <w:tc>
          <w:tcPr>
            <w:tcW w:w="368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(Nasdaq Global Market)</w:t>
            </w:r>
          </w:p>
        </w:tc>
      </w:tr>
    </w:tbl>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7" w:lineRule="exact"/>
        <w:rPr>
          <w:sz w:val="24"/>
          <w:szCs w:val="24"/>
          <w:color w:val="auto"/>
        </w:rPr>
      </w:pPr>
    </w:p>
    <w:p>
      <w:pPr>
        <w:ind w:left="320" w:right="1300" w:firstLine="4"/>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740" w:firstLine="30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1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90" w:right="239" w:bottom="0" w:gutter="0" w:footer="0" w:header="0"/>
        </w:sectPr>
      </w:pPr>
    </w:p>
    <w:p>
      <w:pPr>
        <w:spacing w:after="0" w:line="14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2280" w:space="620"/>
            <w:col w:w="2040" w:space="720"/>
            <w:col w:w="2540" w:space="720"/>
            <w:col w:w="2500"/>
          </w:cols>
          <w:pgMar w:left="240" w:top="490" w:right="239" w:bottom="0" w:gutter="0" w:footer="0" w:header="0"/>
          <w:type w:val="continuous"/>
        </w:sectPr>
      </w:pPr>
    </w:p>
    <w:p>
      <w:pPr>
        <w:ind w:left="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90" w:right="239" w:bottom="0" w:gutter="0" w:footer="0" w:header="0"/>
          <w:type w:val="continuous"/>
        </w:sectPr>
      </w:pPr>
    </w:p>
    <w:p>
      <w:pPr>
        <w:spacing w:after="0" w:line="214" w:lineRule="exact"/>
        <w:rPr>
          <w:sz w:val="24"/>
          <w:szCs w:val="24"/>
          <w:color w:val="auto"/>
        </w:rPr>
      </w:pPr>
    </w:p>
    <w:p>
      <w:pPr>
        <w:jc w:val="both"/>
        <w:ind w:firstLine="3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2018 (the last business day of the registrant’s second fiscal quarter) as reported by the Nasdaq Global Market on that date was $84.1 million.</w:t>
      </w:r>
    </w:p>
    <w:p>
      <w:pPr>
        <w:sectPr>
          <w:pgSz w:w="11900" w:h="16838" w:orient="portrait"/>
          <w:cols w:equalWidth="0" w:num="1">
            <w:col w:w="11420"/>
          </w:cols>
          <w:pgMar w:left="240" w:top="490" w:right="239" w:bottom="0" w:gutter="0" w:footer="0" w:header="0"/>
          <w:type w:val="continuous"/>
        </w:sectPr>
      </w:pPr>
    </w:p>
    <w:bookmarkStart w:id="1" w:name="page2"/>
    <w:bookmarkEnd w:id="1"/>
    <w:p>
      <w:pPr>
        <w:ind w:left="320"/>
        <w:spacing w:after="0"/>
        <w:rPr>
          <w:sz w:val="20"/>
          <w:szCs w:val="20"/>
          <w:color w:val="auto"/>
        </w:rPr>
      </w:pPr>
      <w:r>
        <w:rPr>
          <w:rFonts w:ascii="Arial" w:cs="Arial" w:eastAsia="Arial" w:hAnsi="Arial"/>
          <w:sz w:val="18"/>
          <w:szCs w:val="18"/>
          <w:color w:val="auto"/>
        </w:rPr>
        <w:t>As of November 9, 2018, 4,542,177 shares of common stock of the registrant were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12"/>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2019 Annual Meeting of Stockholders to be held January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60" w:type="dxa"/>
            <w:vAlign w:val="bottom"/>
            <w:gridSpan w:val="14"/>
          </w:tcPr>
          <w:p>
            <w:pPr>
              <w:jc w:val="center"/>
              <w:ind w:right="206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gridSpan w:val="10"/>
          </w:tcPr>
          <w:p>
            <w:pPr>
              <w:jc w:val="center"/>
              <w:ind w:right="3400"/>
              <w:spacing w:after="0"/>
              <w:rPr>
                <w:sz w:val="20"/>
                <w:szCs w:val="20"/>
                <w:color w:val="auto"/>
              </w:rPr>
            </w:pPr>
            <w:r>
              <w:rPr>
                <w:rFonts w:ascii="Arial" w:cs="Arial" w:eastAsia="Arial" w:hAnsi="Arial"/>
                <w:sz w:val="18"/>
                <w:szCs w:val="18"/>
                <w:b w:val="1"/>
                <w:bCs w:val="1"/>
                <w:color w:val="auto"/>
                <w:w w:val="97"/>
              </w:rPr>
              <w:t>FISCAL YEAR ENDED AUGUST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78"/>
              </w:rPr>
              <w:t>Page</w:t>
            </w: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BUSINESS</w:t>
              </w:r>
            </w:hyperlink>
          </w:p>
        </w:tc>
        <w:tc>
          <w:tcPr>
            <w:tcW w:w="8900" w:type="dxa"/>
            <w:vAlign w:val="bottom"/>
            <w:gridSpan w:val="16"/>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1A.</w:t>
              </w:r>
            </w:hyperlink>
          </w:p>
        </w:tc>
        <w:tc>
          <w:tcPr>
            <w:tcW w:w="26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84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1B.</w:t>
              </w:r>
            </w:hyperlink>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180" w:type="dxa"/>
            <w:vAlign w:val="bottom"/>
            <w:gridSpan w:val="2"/>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PROPERTIES</w:t>
              </w:r>
            </w:hyperlink>
          </w:p>
        </w:tc>
        <w:tc>
          <w:tcPr>
            <w:tcW w:w="1760" w:type="dxa"/>
            <w:vAlign w:val="bottom"/>
            <w:tcBorders>
              <w:top w:val="single" w:sz="8" w:color="0000EE"/>
            </w:tcBorders>
            <w:gridSpan w:val="6"/>
          </w:tcPr>
          <w:p>
            <w:pPr>
              <w:spacing w:after="0"/>
              <w:rPr>
                <w:sz w:val="24"/>
                <w:szCs w:val="24"/>
                <w:color w:val="auto"/>
              </w:rPr>
            </w:pPr>
          </w:p>
        </w:tc>
        <w:tc>
          <w:tcPr>
            <w:tcW w:w="690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LEGAL PROCEEDINGS</w:t>
              </w:r>
            </w:hyperlink>
          </w:p>
        </w:tc>
        <w:tc>
          <w:tcPr>
            <w:tcW w:w="7840" w:type="dxa"/>
            <w:vAlign w:val="bottom"/>
            <w:gridSpan w:val="13"/>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180" w:type="dxa"/>
            <w:vAlign w:val="bottom"/>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4A.</w:t>
              </w:r>
            </w:hyperlink>
          </w:p>
        </w:tc>
        <w:tc>
          <w:tcPr>
            <w:tcW w:w="260" w:type="dxa"/>
            <w:vAlign w:val="bottom"/>
          </w:tcPr>
          <w:p>
            <w:pPr>
              <w:spacing w:after="0"/>
              <w:rPr>
                <w:sz w:val="24"/>
                <w:szCs w:val="24"/>
                <w:color w:val="auto"/>
              </w:rPr>
            </w:pPr>
          </w:p>
        </w:tc>
        <w:tc>
          <w:tcPr>
            <w:tcW w:w="37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EXECUTIVE OFFICERS OF THE REGISTRANT</w:t>
              </w:r>
            </w:hyperlink>
          </w:p>
        </w:tc>
        <w:tc>
          <w:tcPr>
            <w:tcW w:w="5980" w:type="dxa"/>
            <w:vAlign w:val="bottom"/>
            <w:gridSpan w:val="8"/>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80" w:type="dxa"/>
            <w:vAlign w:val="bottom"/>
          </w:tcPr>
          <w:p>
            <w:pPr>
              <w:spacing w:after="0"/>
              <w:rPr>
                <w:sz w:val="24"/>
                <w:szCs w:val="24"/>
                <w:color w:val="auto"/>
              </w:rPr>
            </w:pPr>
          </w:p>
        </w:tc>
      </w:tr>
      <w:tr>
        <w:trPr>
          <w:trHeight w:val="412"/>
        </w:trPr>
        <w:tc>
          <w:tcPr>
            <w:tcW w:w="100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w:t>
              </w:r>
            </w:hyperlink>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c>
          <w:tcPr>
            <w:tcW w:w="18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MARKET FOR REGISTRANT’S COMMON EQUITY, RELATED STOCKHOLDER MATTERS AND ISSUER PURCHASES</w:t>
              </w:r>
            </w:hyperlink>
          </w:p>
        </w:tc>
        <w:tc>
          <w:tcPr>
            <w:tcW w:w="360" w:type="dxa"/>
            <w:vAlign w:val="bottom"/>
            <w:gridSpan w:val="2"/>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c>
          <w:tcPr>
            <w:tcW w:w="18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OF EQUITY SECURITIES</w:t>
              </w:r>
            </w:hyperlink>
          </w:p>
        </w:tc>
        <w:tc>
          <w:tcPr>
            <w:tcW w:w="770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180" w:type="dxa"/>
            <w:vAlign w:val="bottom"/>
            <w:gridSpan w:val="2"/>
          </w:tcPr>
          <w:p>
            <w:pPr>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7.</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MANAGEMENT’S DISCUSSION AND ANALYSIS OF FINANCIAL CONDITION AND RESULTS OF OPERATIONS</w:t>
              </w:r>
            </w:hyperlink>
          </w:p>
        </w:tc>
        <w:tc>
          <w:tcPr>
            <w:tcW w:w="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7A.</w:t>
              </w:r>
            </w:hyperlink>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80" w:type="dxa"/>
            <w:vAlign w:val="bottom"/>
            <w:gridSpan w:val="2"/>
          </w:tcPr>
          <w:p>
            <w:pPr>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53</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tcBorders>
            <w:gridSpan w:val="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Item 8.</w:t>
              </w:r>
            </w:hyperlink>
          </w:p>
        </w:tc>
        <w:tc>
          <w:tcPr>
            <w:tcW w:w="120" w:type="dxa"/>
            <w:vAlign w:val="bottom"/>
            <w:tcBorders>
              <w:top w:val="single" w:sz="8" w:color="0000EE"/>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6140" w:type="dxa"/>
            <w:vAlign w:val="bottom"/>
            <w:tcBorders>
              <w:top w:val="single" w:sz="8" w:color="0000EE"/>
            </w:tcBorders>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3580" w:type="dxa"/>
            <w:vAlign w:val="bottom"/>
            <w:gridSpan w:val="5"/>
          </w:tcPr>
          <w:p>
            <w:pPr>
              <w:spacing w:after="0"/>
              <w:rPr>
                <w:sz w:val="24"/>
                <w:szCs w:val="24"/>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Item 9.</w:t>
              </w:r>
            </w:hyperlink>
          </w:p>
        </w:tc>
        <w:tc>
          <w:tcPr>
            <w:tcW w:w="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83</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9A.</w:t>
              </w:r>
            </w:hyperlink>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CONTROLS AND PROCEDURES</w:t>
              </w:r>
            </w:hyperlink>
          </w:p>
        </w:tc>
        <w:tc>
          <w:tcPr>
            <w:tcW w:w="180" w:type="dxa"/>
            <w:vAlign w:val="bottom"/>
            <w:gridSpan w:val="2"/>
          </w:tcPr>
          <w:p>
            <w:pPr>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83</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tcBorders>
              <w:top w:val="single" w:sz="8" w:color="0000EE"/>
            </w:tcBorders>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9B.</w:t>
              </w:r>
            </w:hyperlink>
          </w:p>
        </w:tc>
        <w:tc>
          <w:tcPr>
            <w:tcW w:w="260" w:type="dxa"/>
            <w:vAlign w:val="bottom"/>
          </w:tcPr>
          <w:p>
            <w:pPr>
              <w:spacing w:after="0"/>
              <w:rPr>
                <w:sz w:val="24"/>
                <w:szCs w:val="24"/>
                <w:color w:val="auto"/>
              </w:rPr>
            </w:pPr>
          </w:p>
        </w:tc>
        <w:tc>
          <w:tcPr>
            <w:tcW w:w="2600" w:type="dxa"/>
            <w:vAlign w:val="bottom"/>
            <w:tcBorders>
              <w:top w:val="single" w:sz="8" w:color="0000EE"/>
            </w:tcBorders>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7120" w:type="dxa"/>
            <w:vAlign w:val="bottom"/>
            <w:gridSpan w:val="10"/>
          </w:tcPr>
          <w:p>
            <w:pPr>
              <w:spacing w:after="0"/>
              <w:rPr>
                <w:sz w:val="24"/>
                <w:szCs w:val="24"/>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83</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00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PART III</w:t>
              </w:r>
            </w:hyperlink>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18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40" w:type="dxa"/>
            <w:vAlign w:val="bottom"/>
            <w:gridSpan w:val="6"/>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10.</w:t>
              </w:r>
            </w:hyperlink>
          </w:p>
        </w:tc>
        <w:tc>
          <w:tcPr>
            <w:tcW w:w="26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180" w:type="dxa"/>
            <w:vAlign w:val="bottom"/>
            <w:gridSpan w:val="2"/>
          </w:tcPr>
          <w:p>
            <w:pPr>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1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tcBorders>
              <w:top w:val="single" w:sz="8" w:color="0000EE"/>
            </w:tcBorders>
            <w:gridSpan w:val="6"/>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11.</w:t>
              </w:r>
            </w:hyperlink>
          </w:p>
        </w:tc>
        <w:tc>
          <w:tcPr>
            <w:tcW w:w="260" w:type="dxa"/>
            <w:vAlign w:val="bottom"/>
          </w:tcPr>
          <w:p>
            <w:pPr>
              <w:spacing w:after="0"/>
              <w:rPr>
                <w:sz w:val="24"/>
                <w:szCs w:val="24"/>
                <w:color w:val="auto"/>
              </w:rPr>
            </w:pPr>
          </w:p>
        </w:tc>
        <w:tc>
          <w:tcPr>
            <w:tcW w:w="5800" w:type="dxa"/>
            <w:vAlign w:val="bottom"/>
            <w:tcBorders>
              <w:top w:val="single" w:sz="8" w:color="0000EE"/>
            </w:tcBorders>
            <w:gridSpan w:val="1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3920" w:type="dxa"/>
            <w:vAlign w:val="bottom"/>
            <w:gridSpan w:val="6"/>
          </w:tcPr>
          <w:p>
            <w:pPr>
              <w:spacing w:after="0"/>
              <w:rPr>
                <w:sz w:val="24"/>
                <w:szCs w:val="24"/>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1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5"/>
            <w:shd w:val="clear" w:color="auto" w:fill="0000EE"/>
          </w:tcPr>
          <w:p>
            <w:pPr>
              <w:spacing w:after="0" w:line="20" w:lineRule="exact"/>
              <w:rPr>
                <w:sz w:val="1"/>
                <w:szCs w:val="1"/>
                <w:color w:val="auto"/>
              </w:rPr>
            </w:pPr>
          </w:p>
        </w:tc>
        <w:tc>
          <w:tcPr>
            <w:tcW w:w="6960" w:type="dxa"/>
            <w:vAlign w:val="bottom"/>
            <w:tcBorders>
              <w:left w:val="single" w:sz="8" w:color="0000EE"/>
            </w:tcBorders>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Item 12.</w:t>
              </w:r>
            </w:hyperlink>
          </w:p>
        </w:tc>
        <w:tc>
          <w:tcPr>
            <w:tcW w:w="26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SECURITY OWNERSHIP OF CERTAIN BENEFICIAL OWNERS AND MANAGEMENT AND RELATED STOCKHOLDER</w:t>
              </w:r>
            </w:hyperlink>
          </w:p>
        </w:tc>
        <w:tc>
          <w:tcPr>
            <w:tcW w:w="34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85</w:t>
              </w:r>
            </w:hyperlink>
          </w:p>
        </w:tc>
        <w:tc>
          <w:tcPr>
            <w:tcW w:w="18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MATTERS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Item 13.</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CERTAIN RELATIONSHIPS AND RELATED TRANSACTIONS, AND DIRECTOR INDEPENDENCE</w:t>
              </w:r>
            </w:hyperlink>
          </w:p>
        </w:tc>
        <w:tc>
          <w:tcPr>
            <w:tcW w:w="12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Item 14.</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Pr>
          <w:p>
            <w:pPr>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PRINCIPAL ACCOUNTING FEES AND SERVICES</w:t>
              </w:r>
            </w:hyperlink>
          </w:p>
        </w:tc>
        <w:tc>
          <w:tcPr>
            <w:tcW w:w="37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PART IV</w:t>
              </w:r>
            </w:hyperlink>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15.</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 FINANCIAL STATEMENT SCHEDULES</w:t>
              </w:r>
            </w:hyperlink>
          </w:p>
        </w:tc>
        <w:tc>
          <w:tcPr>
            <w:tcW w:w="12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r>
      <w:tr>
        <w:trPr>
          <w:trHeight w:val="20"/>
        </w:trPr>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9960" w:type="dxa"/>
            <w:vAlign w:val="bottom"/>
            <w:gridSpan w:val="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1200" w:type="dxa"/>
            <w:vAlign w:val="bottom"/>
            <w:gridSpan w:val="2"/>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____________________</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24"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more recently,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6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One of NTIC’s strategic initiatives is to expand into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that industry’s infrastructure consists primarily of metals that</w:t>
      </w:r>
    </w:p>
    <w:p>
      <w:pPr>
        <w:ind w:right="100"/>
        <w:spacing w:after="0" w:line="219" w:lineRule="auto"/>
        <w:rPr>
          <w:sz w:val="20"/>
          <w:szCs w:val="20"/>
          <w:color w:val="auto"/>
        </w:rPr>
      </w:pPr>
      <w:r>
        <w:rPr>
          <w:rFonts w:ascii="Arial" w:cs="Arial" w:eastAsia="Arial" w:hAnsi="Arial"/>
          <w:sz w:val="17"/>
          <w:szCs w:val="17"/>
          <w:color w:val="auto"/>
        </w:rPr>
        <w:t>are highly susceptible to corrosion. NTIC believes that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will minimize maintenance downtime on critical oil and gas industry infrastructure, extend its service life, and reduce the risk of environmental pollution caused to corrosion-related leaks.</w:t>
      </w:r>
    </w:p>
    <w:p>
      <w:pPr>
        <w:spacing w:after="0" w:line="206"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in several countries either directly, through its subsidiaries, or indirectly, through its joint venture partners and third parties.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very long sales cycle, often including multi-year trial periods with each customer, and then followed by a slow integration process thereafter.</w:t>
      </w:r>
    </w:p>
    <w:p>
      <w:pPr>
        <w:spacing w:after="0" w:line="20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ware items such as disposable cutlery, drinking straws, food-handling gloves and</w:t>
      </w:r>
    </w:p>
    <w:p>
      <w:pPr>
        <w:spacing w:after="0" w:line="3"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w:t>
      </w:r>
    </w:p>
    <w:p>
      <w:pPr>
        <w:spacing w:after="0" w:line="2" w:lineRule="exact"/>
        <w:rPr>
          <w:sz w:val="20"/>
          <w:szCs w:val="20"/>
          <w:color w:val="auto"/>
        </w:rPr>
      </w:pPr>
    </w:p>
    <w:p>
      <w:pPr>
        <w:jc w:val="both"/>
        <w:ind w:right="320"/>
        <w:spacing w:after="0" w:line="184" w:lineRule="auto"/>
        <w:rPr>
          <w:sz w:val="20"/>
          <w:szCs w:val="20"/>
          <w:color w:val="auto"/>
        </w:rPr>
      </w:pPr>
      <w:r>
        <w:rPr>
          <w:rFonts w:ascii="Arial" w:cs="Arial" w:eastAsia="Arial" w:hAnsi="Arial"/>
          <w:sz w:val="18"/>
          <w:szCs w:val="18"/>
          <w:color w:val="auto"/>
        </w:rPr>
        <w:t>to strengthen and expand its North American distribution network for finished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 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wholly-owned subsidiary in China, NTIC Shanghai, its majority-owned subsidiary in India, Natur-Tec India Private Limited (Natur-Tec India), and through distributors and certain joint ventures.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NTIC’s Subsidiaries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NTIC has ownership interests in six operating subsidiaries in North America, South America, Europe and Asia. The following table sets forth a list of NTIC’s operating subsidiaries as of November 9, 2018, the country in which the subsidiary is organized and NTIC’s ownership percentage in each subsidiary: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580" w:type="dxa"/>
            <w:vAlign w:val="bottom"/>
            <w:gridSpan w:val="2"/>
          </w:tcPr>
          <w:p>
            <w:pPr>
              <w:ind w:left="3580"/>
              <w:spacing w:after="0"/>
              <w:rPr>
                <w:sz w:val="20"/>
                <w:szCs w:val="20"/>
                <w:color w:val="auto"/>
              </w:rPr>
            </w:pPr>
            <w:r>
              <w:rPr>
                <w:rFonts w:ascii="Arial" w:cs="Arial" w:eastAsia="Arial" w:hAnsi="Arial"/>
                <w:sz w:val="18"/>
                <w:szCs w:val="18"/>
                <w:b w:val="1"/>
                <w:bCs w:val="1"/>
                <w:color w:val="auto"/>
              </w:rPr>
              <w:t>Subsidiary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Mexico</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India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these subsidiaries are fully consolidated in NTIC’s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participates in a total of 20 active joint venture arrangements located across North America, Europe and Asia. Each of these joint ventures generally manufactures and markets products for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9, 2018,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580" w:type="dxa"/>
            <w:vAlign w:val="bottom"/>
            <w:gridSpan w:val="2"/>
          </w:tcPr>
          <w:p>
            <w:pPr>
              <w:ind w:left="3460"/>
              <w:spacing w:after="0"/>
              <w:rPr>
                <w:sz w:val="20"/>
                <w:szCs w:val="20"/>
                <w:color w:val="auto"/>
              </w:rPr>
            </w:pPr>
            <w:r>
              <w:rPr>
                <w:rFonts w:ascii="Arial" w:cs="Arial" w:eastAsia="Arial" w:hAnsi="Arial"/>
                <w:sz w:val="18"/>
                <w:szCs w:val="18"/>
                <w:b w:val="1"/>
                <w:bCs w:val="1"/>
                <w:color w:val="auto"/>
              </w:rPr>
              <w:t>Joint Venture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France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KORROSIONSSCHUTZ – TECHNOLOGIEN UND PRODUKTE GMBH</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Germany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Sweden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Russia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Finland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India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United Kingdom</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Czech Republic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Poland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Turkey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Ukraine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57"/>
        </w:trPr>
        <w:tc>
          <w:tcPr>
            <w:tcW w:w="858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14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6"/>
              </w:rPr>
              <w:t xml:space="preserve">South Korea </w:t>
            </w:r>
            <w:r>
              <w:rPr>
                <w:rFonts w:ascii="Arial" w:cs="Arial" w:eastAsia="Arial" w:hAnsi="Arial"/>
                <w:sz w:val="29"/>
                <w:szCs w:val="29"/>
                <w:color w:val="auto"/>
                <w:w w:val="86"/>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148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5"/>
              </w:rPr>
              <w:t xml:space="preserve">Taiwan </w:t>
            </w:r>
            <w:r>
              <w:rPr>
                <w:rFonts w:ascii="Arial" w:cs="Arial" w:eastAsia="Arial" w:hAnsi="Arial"/>
                <w:sz w:val="29"/>
                <w:szCs w:val="29"/>
                <w:color w:val="auto"/>
                <w:w w:val="85"/>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58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14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6"/>
              </w:rPr>
              <w:t xml:space="preserve">Indonesia </w:t>
            </w:r>
            <w:r>
              <w:rPr>
                <w:rFonts w:ascii="Arial" w:cs="Arial" w:eastAsia="Arial" w:hAnsi="Arial"/>
                <w:sz w:val="29"/>
                <w:szCs w:val="29"/>
                <w:color w:val="auto"/>
                <w:w w:val="86"/>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148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8"/>
              </w:rPr>
              <w:t xml:space="preserve">Thailand </w:t>
            </w:r>
            <w:r>
              <w:rPr>
                <w:rFonts w:ascii="Arial" w:cs="Arial" w:eastAsia="Arial" w:hAnsi="Arial"/>
                <w:sz w:val="29"/>
                <w:szCs w:val="29"/>
                <w:color w:val="auto"/>
                <w:w w:val="88"/>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58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14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 xml:space="preserve">Malaysia </w:t>
            </w:r>
            <w:r>
              <w:rPr>
                <w:rFonts w:ascii="Arial" w:cs="Arial" w:eastAsia="Arial" w:hAnsi="Arial"/>
                <w:sz w:val="29"/>
                <w:szCs w:val="29"/>
                <w:color w:val="auto"/>
                <w:w w:val="88"/>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148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8"/>
              </w:rPr>
              <w:t xml:space="preserve">Philippines </w:t>
            </w:r>
            <w:r>
              <w:rPr>
                <w:rFonts w:ascii="Arial" w:cs="Arial" w:eastAsia="Arial" w:hAnsi="Arial"/>
                <w:sz w:val="29"/>
                <w:szCs w:val="29"/>
                <w:color w:val="auto"/>
                <w:w w:val="88"/>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42"/>
        </w:trPr>
        <w:tc>
          <w:tcPr>
            <w:tcW w:w="858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1480" w:type="dxa"/>
            <w:vAlign w:val="bottom"/>
            <w:gridSpan w:val="2"/>
          </w:tcPr>
          <w:p>
            <w:pPr>
              <w:jc w:val="center"/>
              <w:ind w:right="120"/>
              <w:spacing w:after="0" w:line="242" w:lineRule="exact"/>
              <w:rPr>
                <w:sz w:val="20"/>
                <w:szCs w:val="20"/>
                <w:color w:val="auto"/>
              </w:rPr>
            </w:pPr>
            <w:r>
              <w:rPr>
                <w:rFonts w:ascii="Arial" w:cs="Arial" w:eastAsia="Arial" w:hAnsi="Arial"/>
                <w:sz w:val="17"/>
                <w:szCs w:val="17"/>
                <w:color w:val="auto"/>
                <w:w w:val="87"/>
              </w:rPr>
              <w:t xml:space="preserve">Singapore </w:t>
            </w:r>
            <w:r>
              <w:rPr>
                <w:rFonts w:ascii="Arial" w:cs="Arial" w:eastAsia="Arial" w:hAnsi="Arial"/>
                <w:sz w:val="28"/>
                <w:szCs w:val="28"/>
                <w:color w:val="auto"/>
                <w:w w:val="87"/>
                <w:vertAlign w:val="superscript"/>
              </w:rPr>
              <w:t>(1)(2)</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Indirect ownership interest through NTI Asean.</w:t>
      </w:r>
    </w:p>
    <w:p>
      <w:pPr>
        <w:spacing w:after="0" w:line="2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NTI Asean owns 100% of this joint venture.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it in the notes to NTIC’s consolidated financial statements and in this section of this report.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more information regarding NTIC’s joint ventures and their effect on NTIC’s operating results, see NTIC’s consolidated financial statements in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and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80"/>
        <w:spacing w:after="0" w:line="341" w:lineRule="auto"/>
        <w:rPr>
          <w:sz w:val="20"/>
          <w:szCs w:val="20"/>
          <w:color w:val="auto"/>
        </w:rPr>
      </w:pPr>
      <w:r>
        <w:rPr>
          <w:rFonts w:ascii="Arial" w:cs="Arial" w:eastAsia="Arial" w:hAnsi="Arial"/>
          <w:sz w:val="16"/>
          <w:szCs w:val="16"/>
          <w:color w:val="auto"/>
        </w:rPr>
        <w:t>NTIC derives revenues directly and/or indirectly through its subsidiaries and joint ventures from two 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w:t>
      </w:r>
    </w:p>
    <w:p>
      <w:pPr>
        <w:spacing w:after="0" w:line="6" w:lineRule="exact"/>
        <w:rPr>
          <w:sz w:val="20"/>
          <w:szCs w:val="20"/>
          <w:color w:val="auto"/>
        </w:rPr>
      </w:pPr>
    </w:p>
    <w:p>
      <w:pPr>
        <w:ind w:right="380"/>
        <w:spacing w:after="0" w:line="210"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fiscal 2018, 80.5% of NTIC’s consolidated net sales were derived from developing, manufacturing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NTIC’s consolidated net sales in fiscal 2018 included $41,374,305 in sales of</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an increase of 26.2% over such sales in fiscal 2017. Corrosion not only damages the appearance of metal products and components but also negatively impacts their mechanical performance. This applies to the rusting of ferrous metals (iron</w:t>
      </w:r>
    </w:p>
    <w:p>
      <w:pPr>
        <w:ind w:right="20"/>
        <w:spacing w:after="0" w:line="217" w:lineRule="auto"/>
        <w:rPr>
          <w:sz w:val="20"/>
          <w:szCs w:val="20"/>
          <w:color w:val="auto"/>
        </w:rPr>
      </w:pPr>
      <w:r>
        <w:rPr>
          <w:rFonts w:ascii="Arial" w:cs="Arial" w:eastAsia="Arial" w:hAnsi="Arial"/>
          <w:sz w:val="18"/>
          <w:szCs w:val="18"/>
          <w:color w:val="auto"/>
        </w:rPr>
        <w:t>and steel) and the deterioration by oxidation of nonferrous metals (aluminum, copper, brass, etc.).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 w:name="page8"/>
    <w:bookmarkEnd w:id="7"/>
    <w:p>
      <w:pPr>
        <w:ind w:right="120"/>
        <w:spacing w:after="0" w:line="227"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Electron scanning shows that once the contents are removed</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NTIC was first to develop the means of infusing volatile corrosion inhibiting chemical systems (VCIs) into polyethylene and polypropylene resins. Combining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chemical systems with polyethylene and polypropylene resins permitted NTIC to introduce a line of plastic packaging products in the form of low and high-density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plastic and paper packaging products come in various thicknesses,</w:t>
      </w:r>
    </w:p>
    <w:p>
      <w:pPr>
        <w:spacing w:after="0" w:line="4" w:lineRule="exact"/>
        <w:rPr>
          <w:sz w:val="20"/>
          <w:szCs w:val="20"/>
          <w:color w:val="auto"/>
        </w:rPr>
      </w:pPr>
    </w:p>
    <w:p>
      <w:pPr>
        <w:ind w:right="340"/>
        <w:spacing w:after="0" w:line="204" w:lineRule="auto"/>
        <w:rPr>
          <w:sz w:val="20"/>
          <w:szCs w:val="20"/>
          <w:color w:val="auto"/>
        </w:rPr>
      </w:pPr>
      <w:r>
        <w:rPr>
          <w:rFonts w:ascii="Arial" w:cs="Arial" w:eastAsia="Arial" w:hAnsi="Arial"/>
          <w:sz w:val="18"/>
          <w:szCs w:val="18"/>
          <w:color w:val="auto"/>
        </w:rPr>
        <w:t>strength enhancements, protection types, shapes and sizes. This product line also includes items such as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or bio-solvent based, and are marketed under brand names including Axxatec</w:t>
      </w:r>
      <w:r>
        <w:rPr>
          <w:rFonts w:ascii="Arial" w:cs="Arial" w:eastAsia="Arial" w:hAnsi="Arial"/>
          <w:sz w:val="26"/>
          <w:szCs w:val="26"/>
          <w:color w:val="auto"/>
          <w:vertAlign w:val="superscript"/>
        </w:rPr>
        <w:t>™</w:t>
      </w:r>
      <w:r>
        <w:rPr>
          <w:rFonts w:ascii="Arial" w:cs="Arial" w:eastAsia="Arial" w:hAnsi="Arial"/>
          <w:sz w:val="16"/>
          <w:szCs w:val="16"/>
          <w:color w:val="auto"/>
        </w:rPr>
        <w:t>, Axxanol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Z-Maxx</w:t>
      </w:r>
      <w:r>
        <w:rPr>
          <w:rFonts w:ascii="Arial" w:cs="Arial" w:eastAsia="Arial" w:hAnsi="Arial"/>
          <w:sz w:val="26"/>
          <w:szCs w:val="26"/>
          <w:color w:val="auto"/>
          <w:vertAlign w:val="superscript"/>
        </w:rPr>
        <w:t>™</w:t>
      </w:r>
      <w:r>
        <w:rPr>
          <w:rFonts w:ascii="Arial" w:cs="Arial" w:eastAsia="Arial" w:hAnsi="Arial"/>
          <w:sz w:val="16"/>
          <w:szCs w:val="16"/>
          <w:color w:val="auto"/>
        </w:rPr>
        <w:t>. These liquids and coatings provide powerful corrosion protection in aggressive environments, such as salt air, high humidity and/or high temperatures. Products are formulated for most metal types and protection</w:t>
      </w:r>
    </w:p>
    <w:p>
      <w:pPr>
        <w:spacing w:after="0" w:line="3" w:lineRule="exact"/>
        <w:rPr>
          <w:sz w:val="20"/>
          <w:szCs w:val="20"/>
          <w:color w:val="auto"/>
        </w:rPr>
      </w:pPr>
    </w:p>
    <w:p>
      <w:pPr>
        <w:ind w:right="420"/>
        <w:spacing w:after="0" w:line="205" w:lineRule="auto"/>
        <w:rPr>
          <w:sz w:val="20"/>
          <w:szCs w:val="20"/>
          <w:color w:val="auto"/>
        </w:rPr>
      </w:pPr>
      <w:r>
        <w:rPr>
          <w:rFonts w:ascii="Arial" w:cs="Arial" w:eastAsia="Arial" w:hAnsi="Arial"/>
          <w:sz w:val="18"/>
          <w:szCs w:val="18"/>
          <w:color w:val="auto"/>
        </w:rPr>
        <w:t>levels. For exceptionally harsh environments, customers may choose to use a combination of NTIC’s liquids and coatings with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plastic and/or paper products to achieve robust corrosion protection during manufacturing, shipping and warehousing stages.</w:t>
      </w:r>
    </w:p>
    <w:p>
      <w:pPr>
        <w:spacing w:after="0" w:line="203"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name.</w:t>
      </w:r>
    </w:p>
    <w:p>
      <w:pPr>
        <w:spacing w:after="0" w:line="58" w:lineRule="exact"/>
        <w:rPr>
          <w:sz w:val="20"/>
          <w:szCs w:val="20"/>
          <w:color w:val="auto"/>
        </w:rPr>
      </w:pPr>
    </w:p>
    <w:p>
      <w:pPr>
        <w:ind w:right="40"/>
        <w:spacing w:after="0" w:line="210"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Plastabs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Tube Strip. These diffusers</w:t>
      </w:r>
    </w:p>
    <w:p>
      <w:pPr>
        <w:spacing w:after="0" w:line="2"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are designed to protect metals within enclosures, like switch gearboxes and electronic cabinets, or can be used as added protection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sectPr>
      </w:pPr>
    </w:p>
    <w:bookmarkStart w:id="8" w:name="page9"/>
    <w:bookmarkEnd w:id="8"/>
    <w:p>
      <w:pPr>
        <w:ind w:right="260"/>
        <w:spacing w:after="0" w:line="216" w:lineRule="auto"/>
        <w:rPr>
          <w:sz w:val="20"/>
          <w:szCs w:val="20"/>
          <w:color w:val="auto"/>
        </w:rPr>
      </w:pPr>
      <w:r>
        <w:rPr>
          <w:rFonts w:ascii="Arial" w:cs="Arial" w:eastAsia="Arial" w:hAnsi="Arial"/>
          <w:sz w:val="17"/>
          <w:szCs w:val="17"/>
          <w:i w:val="1"/>
          <w:iCs w:val="1"/>
          <w:color w:val="auto"/>
        </w:rPr>
        <w:t>Z-CIS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Technical Services</w:t>
      </w:r>
      <w:r>
        <w:rPr>
          <w:rFonts w:ascii="Arial" w:cs="Arial" w:eastAsia="Arial" w:hAnsi="Arial"/>
          <w:sz w:val="17"/>
          <w:szCs w:val="17"/>
          <w:color w:val="auto"/>
        </w:rPr>
        <w:t>. As an on-going effort to help NTIC’s customers improve and control their processes in terms of corrosion management, NTIC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and offers unique corrosion management and consulting services to target customers. This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inhibition system (known as Z-CIS</w:t>
      </w:r>
      <w:r>
        <w:rPr>
          <w:rFonts w:ascii="Arial" w:cs="Arial" w:eastAsia="Arial" w:hAnsi="Arial"/>
          <w:sz w:val="28"/>
          <w:szCs w:val="28"/>
          <w:color w:val="auto"/>
          <w:vertAlign w:val="superscript"/>
        </w:rPr>
        <w:t>®</w:t>
      </w:r>
      <w:r>
        <w:rPr>
          <w:rFonts w:ascii="Arial" w:cs="Arial" w:eastAsia="Arial" w:hAnsi="Arial"/>
          <w:sz w:val="17"/>
          <w:szCs w:val="17"/>
          <w:color w:val="auto"/>
        </w:rPr>
        <w:t>) leverages NTIC’s global network to dispatch highly-trained technical service engineers to customer sites to solve complex corrosion problems. Several major automotive companies and their automotive parts suppliers have used NTIC’s Z-CIS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system.</w:t>
      </w:r>
    </w:p>
    <w:p>
      <w:pPr>
        <w:spacing w:after="0" w:line="83" w:lineRule="exact"/>
        <w:rPr>
          <w:sz w:val="20"/>
          <w:szCs w:val="20"/>
          <w:color w:val="auto"/>
        </w:rPr>
      </w:pPr>
    </w:p>
    <w:p>
      <w:pPr>
        <w:ind w:right="320"/>
        <w:spacing w:after="0"/>
        <w:rPr>
          <w:sz w:val="20"/>
          <w:szCs w:val="20"/>
          <w:color w:val="auto"/>
        </w:rPr>
      </w:pPr>
      <w:r>
        <w:rPr>
          <w:rFonts w:ascii="Arial" w:cs="Arial" w:eastAsia="Arial" w:hAnsi="Arial"/>
          <w:sz w:val="16"/>
          <w:szCs w:val="16"/>
          <w:i w:val="1"/>
          <w:iCs w:val="1"/>
          <w:color w:val="auto"/>
        </w:rPr>
        <w:t>ZERUST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engineered corrosion</w:t>
      </w:r>
      <w:r>
        <w:rPr>
          <w:rFonts w:ascii="Arial" w:cs="Arial" w:eastAsia="Arial" w:hAnsi="Arial"/>
          <w:sz w:val="16"/>
          <w:szCs w:val="16"/>
          <w:i w:val="1"/>
          <w:iCs w:val="1"/>
          <w:color w:val="auto"/>
        </w:rPr>
        <w:t xml:space="preserve"> </w:t>
      </w:r>
      <w:r>
        <w:rPr>
          <w:rFonts w:ascii="Arial" w:cs="Arial" w:eastAsia="Arial" w:hAnsi="Arial"/>
          <w:sz w:val="16"/>
          <w:szCs w:val="16"/>
          <w:color w:val="auto"/>
        </w:rPr>
        <w:t>inhibiting solutions specifically for the mitigation of corrosion of the types of capital assets used in the petroleum and chemical process industries and has</w:t>
      </w:r>
    </w:p>
    <w:p>
      <w:pPr>
        <w:ind w:right="20"/>
        <w:spacing w:after="0" w:line="269" w:lineRule="auto"/>
        <w:rPr>
          <w:sz w:val="20"/>
          <w:szCs w:val="20"/>
          <w:color w:val="auto"/>
        </w:rPr>
      </w:pPr>
      <w:r>
        <w:rPr>
          <w:rFonts w:ascii="Arial" w:cs="Arial" w:eastAsia="Arial" w:hAnsi="Arial"/>
          <w:sz w:val="16"/>
          <w:szCs w:val="16"/>
          <w:color w:val="auto"/>
        </w:rPr>
        <w:t>targeted the sale of these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solutions to potential customers in the oil and gas industry. NTIC’s consolidated net sales in fiscal 2018 included $3,066,953 in sales made to customers in the oil and gas industry, an increase of 78.3% over such sales in fiscal 2017. This increase is influenced by the increase in crude oil prices that have led to clients spending more money on maintenance projects than in fiscal 2017 as well as the deployment of ZERUST® Zerion products for the protection of new pipelines during construction. Projects in Europe and the Middle East are a small but strategically important part of the sales growth picture.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w:t>
      </w:r>
    </w:p>
    <w:p>
      <w:pPr>
        <w:jc w:val="both"/>
        <w:ind w:right="420"/>
        <w:spacing w:after="0" w:line="217" w:lineRule="auto"/>
        <w:rPr>
          <w:sz w:val="20"/>
          <w:szCs w:val="20"/>
          <w:color w:val="auto"/>
        </w:rPr>
      </w:pPr>
      <w:r>
        <w:rPr>
          <w:rFonts w:ascii="Arial" w:cs="Arial" w:eastAsia="Arial" w:hAnsi="Arial"/>
          <w:sz w:val="18"/>
          <w:szCs w:val="18"/>
          <w:color w:val="auto"/>
        </w:rPr>
        <w:t>corrosion that can greatly increase economic losses.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NTIC’s rust and corrosion inhibiting products for the oil and gas industry include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Flange Savers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ReCAST-R VCI Dispensers, Zerust</w:t>
      </w:r>
    </w:p>
    <w:p>
      <w:pPr>
        <w:ind w:right="400"/>
        <w:spacing w:after="0" w:line="218" w:lineRule="auto"/>
        <w:rPr>
          <w:sz w:val="20"/>
          <w:szCs w:val="20"/>
          <w:color w:val="auto"/>
        </w:rPr>
      </w:pPr>
      <w:r>
        <w:rPr>
          <w:rFonts w:ascii="Arial" w:cs="Arial" w:eastAsia="Arial" w:hAnsi="Arial"/>
          <w:sz w:val="17"/>
          <w:szCs w:val="17"/>
          <w:color w:val="auto"/>
        </w:rPr>
        <w:t>ReCAST-SSB solutions and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chemicals, including Zerion powders and gels, in addition to many of the standard industrial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previously described.</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Flange Savers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specially designed covers that have been impregnated with a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w:t>
      </w:r>
    </w:p>
    <w:p>
      <w:pPr>
        <w:spacing w:after="0" w:line="2"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auto"/>
        </w:rPr>
        <w:t>maintenance, operational and safety problems.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Flange Savers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20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ReCAST-R VCI Dispensers protect the interior surfaces of aboveground storage tank roofs by delivering proprietary inhibitor formulations into the vapor space between the surface of the product and the tank roof. Certain grades of oil contain sulphur and emit corrosive acid gas vapors that destroy the internal surfaces of aboveground storage tank roofs and their support structures above the stored product. Each system is tailored to a customer’s requirements, depending upon specific environmental conditions, product stored, tank diameter and type of metal and can be applied on both new and existing tank roofs.</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tank bottom spaces that are susceptible to significant corrosion. Tank bottoms are typically made of steel plates which are in direct contact with the foundation surface that may be concrete, sand/soil or asphalt/bitumen. It is typically not possible to protect this underside surface with traditional coatings. Cathodic protection (CP) systems can only provide</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partial protection, but also have significant limitations that cause failures well ahead of the expected service life of a tank. The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solutions provide effective protection even to areas that cannot be addressed with CP. This is an engineered solution where each system is tailored to a customer’s requirements depending on factors including the tank foundation design, specific environmental conditions, and tank diameter.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Zerion line of powder-based inhibitor solutions include:</w:t>
      </w:r>
    </w:p>
    <w:p>
      <w:pPr>
        <w:spacing w:after="0" w:line="124" w:lineRule="exact"/>
        <w:rPr>
          <w:sz w:val="20"/>
          <w:szCs w:val="20"/>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Zerion FVS is a unique inhibitor blend that is used in both the SSB Solutions and in internal pipeline protection. This “best-in-class” product has been successfully deployed at multiple client sites in the North and South America as well as parts of Asia.</w:t>
      </w:r>
    </w:p>
    <w:p>
      <w:pPr>
        <w:spacing w:after="0" w:line="170"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 internals.</w:t>
      </w:r>
    </w:p>
    <w:p>
      <w:pPr>
        <w:spacing w:after="0" w:line="146" w:lineRule="exact"/>
        <w:rPr>
          <w:rFonts w:ascii="Arial" w:cs="Arial" w:eastAsia="Arial" w:hAnsi="Arial"/>
          <w:sz w:val="17"/>
          <w:szCs w:val="17"/>
          <w:color w:val="auto"/>
        </w:rPr>
      </w:pPr>
    </w:p>
    <w:p>
      <w:pPr>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good for sealed void spaces, protection of large/complex assets like heat exchangers and heater-treaters.</w:t>
      </w:r>
    </w:p>
    <w:p>
      <w:pPr>
        <w:spacing w:after="0" w:line="181" w:lineRule="exact"/>
        <w:rPr>
          <w:rFonts w:ascii="Arial" w:cs="Arial" w:eastAsia="Arial" w:hAnsi="Arial"/>
          <w:sz w:val="18"/>
          <w:szCs w:val="18"/>
          <w:color w:val="auto"/>
        </w:rPr>
      </w:pPr>
    </w:p>
    <w:p>
      <w:pPr>
        <w:ind w:left="660" w:hanging="328"/>
        <w:spacing w:after="0" w:line="21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allows VCIs to release while conserving a Sol-V proprietary blend of soluble corrosion inhibitors (SCIs) until water enters the system. Typical applications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207" w:lineRule="exact"/>
        <w:rPr>
          <w:sz w:val="20"/>
          <w:szCs w:val="20"/>
          <w:color w:val="auto"/>
        </w:rPr>
      </w:pPr>
    </w:p>
    <w:p>
      <w:pPr>
        <w:ind w:right="300"/>
        <w:spacing w:after="0" w:line="210"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NTIC manufactures and sells a range of biobased and compostable (fully biodegradable) polymer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NTIC’s consolidated net sales in fiscal 2018 included $10,050,516 in sales of Natur-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resins and finished products, an increase of 48.2% over such sales in fiscal 2017. Market drivers such as volatile petroleum prices, reduced dependence on foreign oil, reduced carbon footprints, and environmentally responsible end-of-life solutions have increased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Resin Compounds. </w:t>
      </w: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resin compounds are produced by blending commercially available base resins, such as Ecoflex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BASF, Ingeo</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w:t>
      </w:r>
      <w:r>
        <w:rPr>
          <w:rFonts w:ascii="Arial" w:cs="Arial" w:eastAsia="Arial" w:hAnsi="Arial"/>
          <w:sz w:val="16"/>
          <w:szCs w:val="16"/>
          <w:i w:val="1"/>
          <w:iCs w:val="1"/>
          <w:color w:val="auto"/>
        </w:rPr>
        <w:t xml:space="preserve"> </w:t>
      </w:r>
      <w:r>
        <w:rPr>
          <w:rFonts w:ascii="Arial" w:cs="Arial" w:eastAsia="Arial" w:hAnsi="Arial"/>
          <w:sz w:val="16"/>
          <w:szCs w:val="16"/>
          <w:color w:val="auto"/>
        </w:rPr>
        <w:t>from NatureWorks LLC, with organic and inorganic fillers, and proprietary polymer modifiers and compatabilizers,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formulations that exhibit unique and stable morphology.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0" w:name="page11"/>
    <w:bookmarkEnd w:id="10"/>
    <w:p>
      <w:pPr>
        <w:ind w:right="620"/>
        <w:spacing w:after="0" w:line="210"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are available in several grades tailored for a variety of applications, such as blown-film extrusion, extrusion coating and injection molding.</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flexible film resin compounds are fully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w:t>
      </w:r>
    </w:p>
    <w:p>
      <w:pPr>
        <w:spacing w:after="0" w:line="2"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(Biodegradable Products Institute) in the United States and TÜV Austria in Europe.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film resin compounds can be used to produce film for applications, such as bags, including compost bags, lawn and leaf bags, pet waste bags and carry-out bags, agricultural film and consumer and industrial packaging. Natur-Tec® film resin compounds are also used to produce bags and covers for branded apparel packaging and to manufacture specialty food service ware items, such as compostable drinking straws, and disposable food-handling gloves.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extrusion coating resin compounds are biobased and biodegradable and are designed to replace conventional plastic materials</w:t>
      </w:r>
    </w:p>
    <w:p>
      <w:pPr>
        <w:ind w:right="400"/>
        <w:spacing w:after="0" w:line="234" w:lineRule="auto"/>
        <w:rPr>
          <w:sz w:val="20"/>
          <w:szCs w:val="20"/>
          <w:color w:val="auto"/>
        </w:rPr>
      </w:pPr>
      <w:r>
        <w:rPr>
          <w:rFonts w:ascii="Arial" w:cs="Arial" w:eastAsia="Arial" w:hAnsi="Arial"/>
          <w:sz w:val="16"/>
          <w:szCs w:val="16"/>
          <w:color w:val="auto"/>
        </w:rPr>
        <w:t>for extrusion coating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w:t>
      </w:r>
    </w:p>
    <w:p>
      <w:pPr>
        <w:ind w:right="200"/>
        <w:spacing w:after="0" w:line="234" w:lineRule="auto"/>
        <w:rPr>
          <w:sz w:val="20"/>
          <w:szCs w:val="20"/>
          <w:color w:val="auto"/>
        </w:rPr>
      </w:pPr>
      <w:r>
        <w:rPr>
          <w:rFonts w:ascii="Arial" w:cs="Arial" w:eastAsia="Arial" w:hAnsi="Arial"/>
          <w:sz w:val="16"/>
          <w:szCs w:val="16"/>
          <w:color w:val="auto"/>
        </w:rPr>
        <w:t>requirements of international standards for compostable plastics, such as ASTM D6400.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provide good adhesion to paper, an excellent print surface and good heat seal strength and the coating material is suitable for food contact applications including both hot</w:t>
      </w:r>
    </w:p>
    <w:p>
      <w:pPr>
        <w:spacing w:after="0" w:line="2" w:lineRule="exact"/>
        <w:rPr>
          <w:sz w:val="20"/>
          <w:szCs w:val="20"/>
          <w:color w:val="auto"/>
        </w:rPr>
      </w:pPr>
    </w:p>
    <w:p>
      <w:pPr>
        <w:ind w:right="60"/>
        <w:spacing w:after="0" w:line="205" w:lineRule="auto"/>
        <w:rPr>
          <w:sz w:val="20"/>
          <w:szCs w:val="20"/>
          <w:color w:val="auto"/>
        </w:rPr>
      </w:pPr>
      <w:r>
        <w:rPr>
          <w:rFonts w:ascii="Arial" w:cs="Arial" w:eastAsia="Arial" w:hAnsi="Arial"/>
          <w:sz w:val="18"/>
          <w:szCs w:val="18"/>
          <w:color w:val="auto"/>
        </w:rPr>
        <w:t>and cold applications.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 compounds can be used for coating paper and paperboards for the manufacture of disposable cups, plates and other food service ware items.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biobased and compostable and are designed to replace conventional plastic materials for</w:t>
      </w:r>
    </w:p>
    <w:p>
      <w:pPr>
        <w:ind w:right="480"/>
        <w:spacing w:after="0" w:line="234" w:lineRule="auto"/>
        <w:rPr>
          <w:sz w:val="20"/>
          <w:szCs w:val="20"/>
          <w:color w:val="auto"/>
        </w:rPr>
      </w:pPr>
      <w:r>
        <w:rPr>
          <w:rFonts w:ascii="Arial" w:cs="Arial" w:eastAsia="Arial" w:hAnsi="Arial"/>
          <w:sz w:val="16"/>
          <w:szCs w:val="16"/>
          <w:color w:val="auto"/>
        </w:rPr>
        <w:t>injection molded plastic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w:t>
      </w:r>
    </w:p>
    <w:p>
      <w:pPr>
        <w:ind w:right="280"/>
        <w:spacing w:after="0" w:line="206" w:lineRule="auto"/>
        <w:rPr>
          <w:sz w:val="20"/>
          <w:szCs w:val="20"/>
          <w:color w:val="auto"/>
        </w:rPr>
      </w:pPr>
      <w:r>
        <w:rPr>
          <w:rFonts w:ascii="Arial" w:cs="Arial" w:eastAsia="Arial" w:hAnsi="Arial"/>
          <w:sz w:val="16"/>
          <w:szCs w:val="16"/>
          <w:color w:val="auto"/>
        </w:rPr>
        <w:t>D6400 and EN 13432.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injection molding resin compounds are made with at least 90% of biobased/renewable</w:t>
      </w:r>
    </w:p>
    <w:p>
      <w:pPr>
        <w:spacing w:after="0" w:line="1"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resource-based materials per the ASTM D6866 standard and are meant to enhance sustainability by replacing petroleum-based plastics.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and compostable trash bags, agricultural film and other single-use disposable</w:t>
      </w:r>
    </w:p>
    <w:p>
      <w:pPr>
        <w:ind w:right="380"/>
        <w:spacing w:after="0" w:line="182" w:lineRule="auto"/>
        <w:rPr>
          <w:sz w:val="20"/>
          <w:szCs w:val="20"/>
          <w:color w:val="auto"/>
        </w:rPr>
      </w:pPr>
      <w:r>
        <w:rPr>
          <w:rFonts w:ascii="Arial" w:cs="Arial" w:eastAsia="Arial" w:hAnsi="Arial"/>
          <w:sz w:val="17"/>
          <w:szCs w:val="17"/>
          <w:color w:val="auto"/>
        </w:rPr>
        <w:t>products, such as compostable cutlery, as well as food and consumer goods packaging that are currently marketed under the Natur-Bag</w:t>
      </w:r>
      <w:r>
        <w:rPr>
          <w:rFonts w:ascii="Arial" w:cs="Arial" w:eastAsia="Arial" w:hAnsi="Arial"/>
          <w:sz w:val="27"/>
          <w:szCs w:val="27"/>
          <w:color w:val="auto"/>
          <w:vertAlign w:val="superscript"/>
        </w:rPr>
        <w:t>®</w:t>
      </w:r>
      <w:r>
        <w:rPr>
          <w:rFonts w:ascii="Arial" w:cs="Arial" w:eastAsia="Arial" w:hAnsi="Arial"/>
          <w:sz w:val="17"/>
          <w:szCs w:val="17"/>
          <w:color w:val="auto"/>
        </w:rPr>
        <w:t xml:space="preserve"> or Natur-Ware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brands.</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offers 15 different compostable trash bag sizes, from 3-gallon to 96-gallon. The bags are available in various SKU configurations from retail packs that are sold to the consumer either through retail outlets or through online stores, and industrial case packs that are sold to</w:t>
      </w:r>
    </w:p>
    <w:p>
      <w:pPr>
        <w:ind w:right="520"/>
        <w:spacing w:after="0" w:line="182" w:lineRule="auto"/>
        <w:rPr>
          <w:sz w:val="20"/>
          <w:szCs w:val="20"/>
          <w:color w:val="auto"/>
        </w:rPr>
      </w:pPr>
      <w:r>
        <w:rPr>
          <w:rFonts w:ascii="Arial" w:cs="Arial" w:eastAsia="Arial" w:hAnsi="Arial"/>
          <w:sz w:val="17"/>
          <w:szCs w:val="17"/>
          <w:color w:val="auto"/>
        </w:rPr>
        <w:t>commercial and industrial customers primarily through wholesalers and distributors. The Natur-Bag</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are manufactured from the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flexible film resin compounds and thus are fully biodegradable and compostable.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w:t>
      </w:r>
    </w:p>
    <w:p>
      <w:pPr>
        <w:spacing w:after="0" w:line="199" w:lineRule="auto"/>
        <w:rPr>
          <w:sz w:val="20"/>
          <w:szCs w:val="20"/>
          <w:color w:val="auto"/>
        </w:rPr>
      </w:pPr>
      <w:r>
        <w:rPr>
          <w:rFonts w:ascii="Arial" w:cs="Arial" w:eastAsia="Arial" w:hAnsi="Arial"/>
          <w:sz w:val="18"/>
          <w:szCs w:val="18"/>
          <w:color w:val="auto"/>
        </w:rPr>
        <w:t>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cutlery can be composted along with food scraps in zero-waste programs.</w:t>
      </w:r>
    </w:p>
    <w:p>
      <w:pPr>
        <w:spacing w:after="0" w:line="144" w:lineRule="exact"/>
        <w:rPr>
          <w:sz w:val="20"/>
          <w:szCs w:val="20"/>
          <w:color w:val="auto"/>
        </w:rPr>
      </w:pPr>
    </w:p>
    <w:p>
      <w:pPr>
        <w:jc w:val="both"/>
        <w:ind w:right="120"/>
        <w:spacing w:after="0" w:line="221" w:lineRule="auto"/>
        <w:rPr>
          <w:sz w:val="20"/>
          <w:szCs w:val="20"/>
          <w:color w:val="auto"/>
        </w:rPr>
      </w:pPr>
      <w:r>
        <w:rPr>
          <w:rFonts w:ascii="Arial" w:cs="Arial" w:eastAsia="Arial" w:hAnsi="Arial"/>
          <w:sz w:val="18"/>
          <w:szCs w:val="18"/>
          <w:color w:val="auto"/>
        </w:rPr>
        <w:t>Both Natur-Bag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Natur-Ware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are fully certified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the United States, NTIC markets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rust and corrosion inhibiting products and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w:t>
      </w:r>
    </w:p>
    <w:p>
      <w:pPr>
        <w:spacing w:after="0" w:line="2" w:lineRule="exact"/>
        <w:rPr>
          <w:sz w:val="20"/>
          <w:szCs w:val="20"/>
          <w:color w:val="auto"/>
        </w:rPr>
      </w:pPr>
    </w:p>
    <w:p>
      <w:pPr>
        <w:ind w:right="500"/>
        <w:spacing w:after="0" w:line="205" w:lineRule="auto"/>
        <w:rPr>
          <w:sz w:val="20"/>
          <w:szCs w:val="20"/>
          <w:color w:val="auto"/>
        </w:rPr>
      </w:pPr>
      <w:r>
        <w:rPr>
          <w:rFonts w:ascii="Arial" w:cs="Arial" w:eastAsia="Arial" w:hAnsi="Arial"/>
          <w:sz w:val="18"/>
          <w:szCs w:val="18"/>
          <w:color w:val="auto"/>
        </w:rPr>
        <w:t>Prior to placing an order, NTIC’s technical service consultants work directly with the end users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performance requirements.</w:t>
      </w:r>
    </w:p>
    <w:p>
      <w:pPr>
        <w:spacing w:after="0" w:line="20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 In China, NTIC sells its products and services through NTIC China. NTIC has a wholly-owned subsidiary to conduct its business in Mexico.</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With respect to the sales and marketing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 term relationships with key oil and gas industry clients. NTIC also engages in certain direct marketing activities to build its brand within the oil and gas industry, such as traditional advertising and</w:t>
      </w:r>
    </w:p>
    <w:p>
      <w:pPr>
        <w:spacing w:after="0" w:line="1" w:lineRule="exact"/>
        <w:rPr>
          <w:sz w:val="20"/>
          <w:szCs w:val="20"/>
          <w:color w:val="auto"/>
        </w:rPr>
      </w:pPr>
    </w:p>
    <w:p>
      <w:pPr>
        <w:ind w:right="100"/>
        <w:spacing w:after="0" w:line="217" w:lineRule="auto"/>
        <w:rPr>
          <w:sz w:val="20"/>
          <w:szCs w:val="20"/>
          <w:color w:val="auto"/>
        </w:rPr>
      </w:pPr>
      <w:r>
        <w:rPr>
          <w:rFonts w:ascii="Arial" w:cs="Arial" w:eastAsia="Arial" w:hAnsi="Arial"/>
          <w:sz w:val="18"/>
          <w:szCs w:val="18"/>
          <w:color w:val="auto"/>
        </w:rPr>
        <w:t>direct mail campaigns and presence and participation at selected key trade shows and technical forums. NTIC continues to believe the sale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will involve long sales cycles, likely including multi-year trial periods with each customer and a slow integration process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In the United States, NTIC markets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national and regional distributors and independent manufacturer’s sales representatives and two NTIC direct sales employees as of August 31,</w:t>
      </w:r>
    </w:p>
    <w:p>
      <w:pPr>
        <w:ind w:right="560"/>
        <w:spacing w:after="0" w:line="234" w:lineRule="auto"/>
        <w:rPr>
          <w:sz w:val="20"/>
          <w:szCs w:val="20"/>
          <w:color w:val="auto"/>
        </w:rPr>
      </w:pPr>
      <w:r>
        <w:rPr>
          <w:rFonts w:ascii="Arial" w:cs="Arial" w:eastAsia="Arial" w:hAnsi="Arial"/>
          <w:sz w:val="16"/>
          <w:szCs w:val="16"/>
          <w:color w:val="auto"/>
        </w:rPr>
        <w:t>2018.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include individual consumers as well as commercial and institutional organizations such as corporations and government agencies, and educational organizations such as universities and school districts. NTIC is also targeting key national and</w:t>
      </w:r>
    </w:p>
    <w:p>
      <w:pPr>
        <w:spacing w:after="0" w:line="2" w:lineRule="exact"/>
        <w:rPr>
          <w:sz w:val="20"/>
          <w:szCs w:val="20"/>
          <w:color w:val="auto"/>
        </w:rPr>
      </w:pPr>
    </w:p>
    <w:p>
      <w:pPr>
        <w:jc w:val="both"/>
        <w:ind w:right="360"/>
        <w:spacing w:after="0" w:line="195" w:lineRule="auto"/>
        <w:rPr>
          <w:sz w:val="20"/>
          <w:szCs w:val="20"/>
          <w:color w:val="auto"/>
        </w:rPr>
      </w:pPr>
      <w:r>
        <w:rPr>
          <w:rFonts w:ascii="Arial" w:cs="Arial" w:eastAsia="Arial" w:hAnsi="Arial"/>
          <w:sz w:val="18"/>
          <w:szCs w:val="18"/>
          <w:color w:val="auto"/>
        </w:rPr>
        <w:t>regional retailers utilizing independent sales agents. Target customers for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include film extruders and injection molders who would purchase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to manufacture and sell their own finished biobased and compostable end products, such as film, bags and cutlery.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Internationally, NTIC uses Natur-Tec India, and its joint ventures and a network of international distributors to market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w:t>
      </w:r>
    </w:p>
    <w:p>
      <w:pPr>
        <w:jc w:val="both"/>
        <w:ind w:right="400"/>
        <w:spacing w:after="0" w:line="231" w:lineRule="auto"/>
        <w:rPr>
          <w:sz w:val="20"/>
          <w:szCs w:val="20"/>
          <w:color w:val="auto"/>
        </w:rPr>
      </w:pPr>
      <w:r>
        <w:rPr>
          <w:rFonts w:ascii="Arial" w:cs="Arial" w:eastAsia="Arial" w:hAnsi="Arial"/>
          <w:sz w:val="17"/>
          <w:szCs w:val="17"/>
          <w:color w:val="auto"/>
        </w:rPr>
        <w:t>finished products. In November 2014, NTIC entered into an agreement with NatureWorks LLC for joint marketing and sales of Ingeo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based packaging solutions to customers in India. With Indian government mandates banning the use of non-biodegradable plastics in certain types of food and consumer packaging, NTIC expects the market in India for bioplastic packaging solutions to continue to grow substantially.</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distribution networks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Nonetheless, the</w:t>
      </w:r>
    </w:p>
    <w:p>
      <w:pPr>
        <w:spacing w:after="0" w:line="3"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commoditization of certain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have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20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respect to NTIC’s corrosion prevention solutions for use in the oil and gas industry, NTIC’s primary barrier to entry is a combination of conservatism, complacency, and confidence in old approaches, as well as the complexity of the buying organizations. Some of NTIC’s competitors with respect to its</w:t>
      </w:r>
    </w:p>
    <w:p>
      <w:pPr>
        <w:ind w:right="60"/>
        <w:spacing w:after="0" w:line="232" w:lineRule="auto"/>
        <w:rPr>
          <w:sz w:val="20"/>
          <w:szCs w:val="20"/>
          <w:color w:val="auto"/>
        </w:rPr>
      </w:pPr>
      <w:r>
        <w:rPr>
          <w:rFonts w:ascii="Arial" w:cs="Arial" w:eastAsia="Arial" w:hAnsi="Arial"/>
          <w:sz w:val="18"/>
          <w:szCs w:val="18"/>
          <w:color w:val="auto"/>
        </w:rPr>
        <w:t>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shelf life, place of manufacture and price. Because of price competition, NTIC’s margins on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wholly-owned subsidiary, Excor Korrosionsforschung GmbH, to conduct research into new fields of corrosion inhibiting packaging and the applications engineering of such products in</w:t>
      </w:r>
    </w:p>
    <w:p>
      <w:pPr>
        <w:spacing w:after="0" w:line="2"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conjunction with NTIC’s domestic research and development operations. With respect to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NTIC anticipates that it will spend between $3,200,000 and $3,600,000 in fiscal 2019 on research and development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United States covering various corrosion inhibiting technologies, systems and applications, and now owns several patents in these areas. These patents, as well as patent applications, have been extended to the countries of strategic relevance to NTIC including, such countries as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 &amp; 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with several new applications pending.</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jc w:val="both"/>
        <w:ind w:right="540"/>
        <w:spacing w:after="0" w:line="227"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are manufactured according to NTIC’s specifications primarily by selected independent sub-contractors under trade secrecy agreements and/or license agreements. In addition, NTIC manufactures select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consisting primarily of liquids and powders, in-house at its corporate headquarters location in Circle Pines, Minnesota.</w:t>
      </w:r>
    </w:p>
    <w:p>
      <w:pPr>
        <w:spacing w:after="0" w:line="206" w:lineRule="exact"/>
        <w:rPr>
          <w:sz w:val="20"/>
          <w:szCs w:val="20"/>
          <w:color w:val="auto"/>
        </w:rPr>
      </w:pPr>
    </w:p>
    <w:p>
      <w:pPr>
        <w:jc w:val="both"/>
        <w:ind w:right="320"/>
        <w:spacing w:after="0" w:line="272" w:lineRule="auto"/>
        <w:rPr>
          <w:sz w:val="20"/>
          <w:szCs w:val="20"/>
          <w:color w:val="auto"/>
        </w:rPr>
      </w:pPr>
      <w:r>
        <w:rPr>
          <w:rFonts w:ascii="Arial" w:cs="Arial" w:eastAsia="Arial" w:hAnsi="Arial"/>
          <w:sz w:val="16"/>
          <w:szCs w:val="16"/>
          <w:color w:val="auto"/>
        </w:rPr>
        <w:t>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produced at facilities in India, China, Malaysia and California, USA.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manufactured using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by selected sub-contractors.</w:t>
      </w:r>
    </w:p>
    <w:p>
      <w:pPr>
        <w:spacing w:after="0" w:line="5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w:t>
      </w:r>
    </w:p>
    <w:p>
      <w:pPr>
        <w:spacing w:after="0" w:line="46"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respect to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delays in obtaining such base resins. In addition, a few raw materials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purchased parts used in NTIC’s rust and corrosion inhibiting products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had an order backlog of $1,242,000 as of August 31, 2018, compared to $668,000 as of August 31, 2017, which was generally across all business units and which these sales will be realized during first quarter of fiscal 2019. These are orders that are held by NTIC pending release instructions from the customers to be used in just-in-time production. Customers generally place orders on an “as needed” basis and expect delivery within a relatively short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do not require further FDA approval prior to the sale of its products.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August 31, 2018, NTIC had 72 full-time employees located in North America, consisting of 28 in sales and marketing, 22 in research and development and lab, 15 in administration and 7 in production. As of August 31, 2018, NTIC’s wholly-owned subsidiary in China had 35 full-time employees, its majority-owned subsidiary in Brazil had 20 full-time employees, its majority-owned subsidiary in India had 9 full-time employees, its wholly owned subsidiary in Mexico had no employees and its holding company, NTI Asean, had no full-time employees. There are no unions representing NTIC’s employees and NTIC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00" w:right="560" w:hanging="244"/>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00" w:hanging="244"/>
        <w:spacing w:after="0" w:line="214" w:lineRule="auto"/>
        <w:tabs>
          <w:tab w:leader="none" w:pos="90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The variability in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from joint venture in turn, subject NTIC’s earnings to quarterly fluctuations;</w:t>
      </w:r>
    </w:p>
    <w:p>
      <w:pPr>
        <w:spacing w:after="0" w:line="203" w:lineRule="exact"/>
        <w:rPr>
          <w:rFonts w:ascii="Arial" w:cs="Arial" w:eastAsia="Arial" w:hAnsi="Arial"/>
          <w:sz w:val="31"/>
          <w:szCs w:val="31"/>
          <w:color w:val="auto"/>
          <w:vertAlign w:val="superscript"/>
        </w:rPr>
      </w:pPr>
    </w:p>
    <w:p>
      <w:pPr>
        <w:ind w:left="900" w:right="200" w:hanging="244"/>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and taxes and tariffs;</w:t>
      </w:r>
    </w:p>
    <w:p>
      <w:pPr>
        <w:spacing w:after="0" w:line="170" w:lineRule="exact"/>
        <w:rPr>
          <w:rFonts w:ascii="Arial" w:cs="Arial" w:eastAsia="Arial" w:hAnsi="Arial"/>
          <w:sz w:val="18"/>
          <w:szCs w:val="18"/>
          <w:color w:val="auto"/>
        </w:rPr>
      </w:pPr>
    </w:p>
    <w:p>
      <w:pPr>
        <w:ind w:left="900" w:right="240" w:hanging="244"/>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00" w:right="180" w:hanging="244"/>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00" w:right="120" w:hanging="244"/>
        <w:spacing w:after="0" w:line="18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00" w:right="360" w:hanging="244"/>
        <w:spacing w:after="0" w:line="186" w:lineRule="auto"/>
        <w:tabs>
          <w:tab w:leader="none" w:pos="9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00" w:right="60" w:hanging="244"/>
        <w:spacing w:after="0" w:line="186" w:lineRule="auto"/>
        <w:tabs>
          <w:tab w:leader="none" w:pos="9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900" w:right="760" w:hanging="244"/>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NTIC’s operations in China and risks associated therewith, the termination of the joint venture agreements with Tianjin Zerust, and the anticipated liquidation of Tianjin Zerust and the effect of all these events on NTIC’s business and future operating results;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 w:name="page18"/>
    <w:bookmarkEnd w:id="17"/>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recently enacted Tax Cuts and Jobs Act;</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and China, and in the automotive industry, may negatively impact NTIC’s business, operating results and financial condition.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and world economies may suffer from uncertainty, volatility, disruption and other adverse conditions, and those conditions may adversely impact the business community and the financial markets. Adverse economic and financial market conditions may negatively affect NTIC’s customers and its markets, and thus negatively impact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continue to be weak or even deteriorate, then NTIC’s business, financial condition and operating results, including its ability to grow and expand its business and operations, could be materially and adversely affected.</w:t>
      </w:r>
    </w:p>
    <w:p>
      <w:pPr>
        <w:spacing w:after="0" w:line="179"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NTIC’s operating results are especially dependent upon the economic health of the economies in the United States, Europe and China. Since a significant portion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are sold to customers in the automotive industry, adverse economic conditions affecting the automotive industry, in particular, may result in another adverse effect on NTIC’s net sales and its other operating results. Accordingly, any weakness in the global economy, and in particular in the United States, Europe and China, and in the automotive industry, may negatively impact NTIC’s business, operating results and financial condition.</w:t>
      </w:r>
    </w:p>
    <w:p>
      <w:pPr>
        <w:spacing w:after="0" w:line="2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to trade regulation, quotas, duties or tariffs, caused by the changing U.S. and geopolitical environments or otherwise, may negatively impact NTIC’s business, operating results and financial condition.</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U.S. government has taken actions or made proposals that are intended to address trade imbalances, specifically with China, among other countries, which include encouraging increased production in the United States. These actions and proposals have resulted or could result in increased customs duties and the renegotiation of some U.S. trade agreements. NTIC engages in sales outside of the United States. When custom duties are implemented or increased, it also may cause the trading partners of the United States to take actions with respect to U.S. imports in their respective countries. Any changes or potential changes in trade policies in the United States and the potential corresponding actions by other countries in which NTIC does business could adversely and materially affect NTIC’s business, results of operations or financial condition.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80"/>
        <w:spacing w:after="0" w:line="342" w:lineRule="auto"/>
        <w:rPr>
          <w:sz w:val="20"/>
          <w:szCs w:val="20"/>
          <w:color w:val="auto"/>
        </w:rPr>
      </w:pPr>
      <w:r>
        <w:rPr>
          <w:rFonts w:ascii="Arial" w:cs="Arial" w:eastAsia="Arial" w:hAnsi="Arial"/>
          <w:sz w:val="16"/>
          <w:szCs w:val="16"/>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and it is not known how the recent withdrawal by the United States from the Trans-Pacific Partnership trade agreement may also affect NTIC’s suppliers. NTIC is unable to predict the prospects for a global economic recovery, but the longer the duration of such adverse and uncertain economic conditions, the greater the risks NTIC faces in operating its business.</w:t>
      </w:r>
    </w:p>
    <w:p>
      <w:pPr>
        <w:spacing w:after="0" w:line="175"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2018, NTIC recognized $6,142,139 in fees and $3,697,503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6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$7,527,383 during fiscal 2018, NTIC had equity in income from joint ventures of $5,549,765 attributable to EXCOR. Of the total fee income for services provided to joint ventures of $6,142,139 during fiscal 2018, fees of $900,316 was attributable to EXCOR. Accordingly, if sales of NTIC’s products and services by this joint venture were to decline significantly or if NTIC’s relationships with this joint venture were to deteriorate significantly such that it terminated or were not motivated to sell NTIC’s products and services, NTIC’s operating results likely would be adversely affected.</w:t>
      </w:r>
    </w:p>
    <w:p>
      <w:pPr>
        <w:spacing w:after="0" w:line="16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sells products and services directly, through its wholly-owned and majority-owned subsidiaries,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subjects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20"/>
        <w:spacing w:after="0" w:line="272" w:lineRule="auto"/>
        <w:rPr>
          <w:sz w:val="20"/>
          <w:szCs w:val="20"/>
          <w:color w:val="auto"/>
        </w:rPr>
      </w:pPr>
      <w:r>
        <w:rPr>
          <w:rFonts w:ascii="Arial" w:cs="Arial" w:eastAsia="Arial" w:hAnsi="Arial"/>
          <w:sz w:val="17"/>
          <w:szCs w:val="17"/>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NTIC sells its products directly or indirectly through NTIC China, Zerust Brazil, Natur-Tec India, Zerust Mexico,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78" w:lineRule="exact"/>
        <w:rPr>
          <w:sz w:val="20"/>
          <w:szCs w:val="20"/>
          <w:color w:val="auto"/>
        </w:rPr>
      </w:pPr>
    </w:p>
    <w:p>
      <w:pPr>
        <w:ind w:left="660" w:right="2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or terrorist 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Furthermore, in June 2016, the United Kingdom held a referendum in which voters approved an exit from the European Union, commonly referred to as “Brexit.” As a result of the referendum, negotiations have commenced to determine the future terms of the United Kingdom’s relationship with the European Union, including the terms of trade between the United Kingdom and the European Union either during a transitional period or more permanently. Although it is unknown what those terms will be, it is possible that there will be greater restrictions on the movement of goods and people between the United Kingdom and European Union countries and increased regulatory complexities, which could affect NTIC’s ability to sell its products in certain European Union countries. Brexit could lead to legal uncertainty and potentially divergent national laws and regulations as the United Kingdom determines which European Union laws to replace or replicate. Brexit could adversely affect European and worldwide economic and market conditions and could contribute to instability in global financial and foreign exchange markets, including volatility in the value of the British pound and Euro. In addition, other European countries may seek to conduct referenda with respect to continuing membership with the European Union. NTIC does not know to what extent these changes will impact its business. Any of these effects of Brexit, and others that NTIC cannot anticipate, could adversely affect its business, operations and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NTIC China may be adversely affected by China’s evolving economic, political and social conditions.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and changes in the rates of methods of taxation.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These laws, regulations and interpretations could impose restrictions on NTIC’s and NTIC China’s ownership or operations or NTIC’s interests in China and could adversely affect NTIC’s business, results of operations or financial condition.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Intellectual property rights are difficult to enforce in China, which could harm NTIC’s business, results of operations or financial condition.</w:t>
      </w:r>
    </w:p>
    <w:p>
      <w:pPr>
        <w:spacing w:after="0" w:line="2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Chinese commercial law is relatively undeveloped compared with the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Chinese legal system may adversely affect the operations of NTIC China.</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or financial condition.</w:t>
      </w:r>
    </w:p>
    <w:p>
      <w:pPr>
        <w:spacing w:after="0" w:line="1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jc w:val="both"/>
        <w:ind w:right="260"/>
        <w:spacing w:after="0" w:line="264"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NTIC’s revenue and earnings.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w:t>
      </w:r>
    </w:p>
    <w:p>
      <w:pPr>
        <w:spacing w:after="0" w:line="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its business and operating results. In particular, NTIC has experienced more intense competition with respect to many of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and services, which has led to decreased pricing and smaller margins for NTIC. Recently, NTIC has experienced lower margins on its contracts with Chinese automotive customers. NTIC anticipates that such intense competition likely will continue and that new competitors may emerge, including plastic extrusion companies, which would continue to adversely affect NTIC’s operating results.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generate a significant portion of NTIC’s net sales and the net sales of NTIC’s joint ventures. During fiscal 2018, 80.5%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5" w:right="279" w:bottom="1440" w:gutter="0" w:footer="0" w:header="0"/>
        </w:sectPr>
      </w:pPr>
    </w:p>
    <w:bookmarkStart w:id="25" w:name="page26"/>
    <w:bookmarkEnd w:id="25"/>
    <w:p>
      <w:pPr>
        <w:ind w:right="160"/>
        <w:spacing w:after="0" w:line="228"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is dedicating a sufficient amount of resources to ensure the success of these strategic initiatives. The sale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60"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06" w:lineRule="exact"/>
        <w:rPr>
          <w:sz w:val="20"/>
          <w:szCs w:val="20"/>
          <w:color w:val="auto"/>
        </w:rPr>
      </w:pPr>
    </w:p>
    <w:p>
      <w:pPr>
        <w:jc w:val="both"/>
        <w:ind w:right="160"/>
        <w:spacing w:after="0" w:line="231"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will continue to require resources during fiscal 2019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08"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5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3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NTIC’s dependence on manufacturing and logistical services provided by contractors could give rise to product defect or warranty liability.</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uses third 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products defects could harm NTIC’s reputation amongst its customers.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NTIC uses certain raw materials and components in its products, including in particular plastic resins, which are subject to price increases. Changes to international trade agreements could result in additional tariffs, duties or other charges on raw materials or components we import into the U.S. Increases in prices for raw materials and components used in NTIC’s products could adversely affect NTIC’s gross margins and other operating results.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600"/>
        <w:spacing w:after="0" w:line="210"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02"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w:t>
      </w:r>
    </w:p>
    <w:p>
      <w:pPr>
        <w:ind w:right="180"/>
        <w:spacing w:after="0" w:line="234" w:lineRule="auto"/>
        <w:rPr>
          <w:sz w:val="20"/>
          <w:szCs w:val="20"/>
          <w:color w:val="auto"/>
        </w:rPr>
      </w:pPr>
      <w:r>
        <w:rPr>
          <w:rFonts w:ascii="Arial" w:cs="Arial" w:eastAsia="Arial" w:hAnsi="Arial"/>
          <w:sz w:val="16"/>
          <w:szCs w:val="16"/>
          <w:color w:val="auto"/>
        </w:rPr>
        <w:t>is still developing. The commercial success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viability of market opportunities for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w:t>
      </w:r>
    </w:p>
    <w:p>
      <w:pPr>
        <w:spacing w:after="0" w:line="2"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the commercial and other support for bioplastics. While NTIC expects to be able to command a premium price for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 widening gap in the pricing for bioplastics versus petroleum-based plastics may reduce the size of the addressable market for NTIC’s</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finished products.</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reforms could adversely affect NTIC’s business, results of operations or financial conditions.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December 22, 2017, the U.S. government enacted comprehensive tax legislation referred to as the Tax Cuts and Jobs Act (Tax Reform Act). The Tax Reform Act makes broad and complex changes to the U.S. corporate income tax system and includes a Transition Toll Tax (Toll Tax), which is a one-time mandatory deemed repatriation tax on accumulated foreign subsidiaries’ previously untaxed foreign earnings. The Toll Tax will be paid over an eight-year period, starting in 2018, and will not accrue interest. The Tax Reform Act also imposed a global intangible low-taxed income tax (GILTI), which is a new tax on certain off-shore earnings at an effective rate of 10.5% for tax years beginning after December 31, 2017 (increasing to 13.125% for tax years beginning after December 31, 2025) with a partial offset for foreign tax credits. NTIC continues to analyze the impact the Tax Reform Act may have on NTIC’s business, results of operations or financial conditions. U.S Treasury regulations, administrative interpretations or court decisions interpreting the Tax Reform Act may require changes in NTIC’s estimates, which could have a material adverse effect on NTIC’s business, results of operations or financial conditions.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may grow its business through additional joint ventures, subsidiaries, alliances and acquisitions, which could be risky and harm its business.</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1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5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3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sale of ZERUST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rust and corrosion inhibiting products into the oil and gas industry is especially risky in light of the hazards typically associated</w:t>
      </w:r>
    </w:p>
    <w:p>
      <w:pPr>
        <w:ind w:right="480"/>
        <w:spacing w:after="0" w:line="218" w:lineRule="auto"/>
        <w:rPr>
          <w:sz w:val="20"/>
          <w:szCs w:val="20"/>
          <w:color w:val="auto"/>
        </w:rPr>
      </w:pPr>
      <w:r>
        <w:rPr>
          <w:rFonts w:ascii="Arial" w:cs="Arial" w:eastAsia="Arial" w:hAnsi="Arial"/>
          <w:sz w:val="17"/>
          <w:szCs w:val="17"/>
          <w:b w:val="1"/>
          <w:bCs w:val="1"/>
          <w:i w:val="1"/>
          <w:iCs w:val="1"/>
          <w:color w:val="auto"/>
        </w:rPr>
        <w:t>with such operations and the significant amount of potential liability involved, which could adversely affect NTIC’s business if 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rust and corrosion inhibiting products are involved, even if the cause of such events was not related to NTIC’s products.</w:t>
      </w:r>
    </w:p>
    <w:p>
      <w:pPr>
        <w:spacing w:after="0" w:line="207"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the past, NTIC has experienced some seasonality with respect to the sale of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into the oil and gas industry, with sales during parts of the second and third fiscal quarters being adversely affected by winter in the United States. In addition, the sale of NTIC’s</w:t>
      </w:r>
    </w:p>
    <w:p>
      <w:pPr>
        <w:ind w:right="100"/>
        <w:spacing w:after="0" w:line="217"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particularly in the United States, have been and may continue to be hampered by low global crude oil prices, which NTIC believes constrains capital improvement budgets of its existing and prospective customers and may result in personnel turnover at its oil and gas customers or prospects.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weather could have a material adverse effect on our business.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could be materially and adversely affected by severe weather. Our customers, including in particular our oil and gas customers, may have operations located in parts of the southern United States or other places and may be adversely affected by hurricanes and tropical storms, resulting in reduced demand for our products and services or increased operating costs. Furthermore, our customers and raw material suppliers’ operations may be adversely affected by such hurricanes and other extreme or seasonal weather conditions. Adverse weather can also directly impede our own operations. Repercussions of severe weather conditions may include:</w:t>
      </w:r>
    </w:p>
    <w:p>
      <w:pPr>
        <w:spacing w:after="0" w:line="188" w:lineRule="exact"/>
        <w:rPr>
          <w:sz w:val="20"/>
          <w:szCs w:val="20"/>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curtailment of services or reduced demand for products;</w:t>
      </w:r>
    </w:p>
    <w:p>
      <w:pPr>
        <w:spacing w:after="0" w:line="23" w:lineRule="exact"/>
        <w:rPr>
          <w:rFonts w:ascii="Arial" w:cs="Arial" w:eastAsia="Arial" w:hAnsi="Arial"/>
          <w:sz w:val="18"/>
          <w:szCs w:val="18"/>
          <w:color w:val="auto"/>
        </w:rPr>
      </w:pP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weather-related damage to facilities and equipment, resulting in suspension of operations;</w:t>
      </w:r>
    </w:p>
    <w:p>
      <w:pPr>
        <w:spacing w:after="0" w:line="9" w:lineRule="exact"/>
        <w:rPr>
          <w:rFonts w:ascii="Arial" w:cs="Arial" w:eastAsia="Arial" w:hAnsi="Arial"/>
          <w:sz w:val="18"/>
          <w:szCs w:val="18"/>
          <w:color w:val="auto"/>
        </w:rPr>
      </w:pPr>
    </w:p>
    <w:p>
      <w:pPr>
        <w:ind w:left="700" w:right="600" w:hanging="327"/>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deliver equipment, personnel and products to job sites in accordance with contract schedules or increased transportation or other operating costs; and</w:t>
      </w:r>
    </w:p>
    <w:p>
      <w:pPr>
        <w:ind w:left="700" w:hanging="32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delay our operations and materially increase our operating and capital costs.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NTIC’s current management, other than its President and Chief Executive Officer, does not have any material stock ownership in NTIC.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2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The manufacture, sale and use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comply with all FDA requirements.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However, failure to comply with FDA regulations could subject NTIC to administrative, civil or criminal penalties.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10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business could be negatively impacted by cyber security threats.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a quarterly basis, NTIC typically provides projected annual financial information, including its anticipated annual net sales and net earnings. These financial projections are based on management’s then-current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timing of its various field trials with prospective customers in the oil and gas industry, its ability to increase sales of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w:t>
      </w:r>
    </w:p>
    <w:p>
      <w:pPr>
        <w:spacing w:after="0" w:line="206" w:lineRule="auto"/>
        <w:rPr>
          <w:sz w:val="20"/>
          <w:szCs w:val="20"/>
          <w:color w:val="auto"/>
        </w:rPr>
      </w:pPr>
      <w:r>
        <w:rPr>
          <w:rFonts w:ascii="Arial" w:cs="Arial" w:eastAsia="Arial" w:hAnsi="Arial"/>
          <w:sz w:val="16"/>
          <w:szCs w:val="16"/>
          <w:color w:val="auto"/>
        </w:rPr>
        <w:t>of the typical size of individual orders and overall size of NTIC’s net sales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the timing of one or more orders can materially affect NTIC’s quarterly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the comparisons to prior year quarters. Furthermore, since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for the oil</w:t>
      </w:r>
    </w:p>
    <w:p>
      <w:pPr>
        <w:spacing w:after="0" w:line="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and gas industry typically carry higher margins than other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the amount of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has concluded that NTIC’s internal control over financial reporting was effective as of August 31, 2018, no assurance can be provided that NTIC’s management will reach a similar conclusion as of any later date. NTIC’s failure to maintain effective internal control over financial reporting may have an adverse effect on its stock price.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could adversely affect NTIC’s operating results and financial condition.</w:t>
      </w:r>
    </w:p>
    <w:p>
      <w:pPr>
        <w:spacing w:after="0" w:line="181"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business is subject to a number of other miscellaneous risks that may adversely affect NTIC’s operating results, financial condition or business, such as natural or man-made disasters, an unexpected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number of shares of NTIC’s common stock being traded daily is often very low and on some trading days, there is no trading volume at all. During fiscal 2018, the daily trading volume ranged from zero shares to 47,000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2018, the sale price of NTIC’s common stock ranged from a low of $15.75 per share to a high of $41.90 per share, and the daily trading volume ranged from zero shares to 47,000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 its annual projected financial guidance.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November 9, 2018, NTIC had 4,542,177 shares of common stock outstanding, of which 21.0%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November 9, 2018, Inter Alia Holding Company, or Inter Alia, beneficially owned approximately 13.3% of NTIC’s outstanding common stock. Inter Alia is an entity partially owned by G. Patrick Lynch, NTIC’s President and Chief Executive Officer and a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 Additionally, NTIC has contract warehousing agreements in place in California and Indiana to hold and release stock products to customers. NTIC’s subsidiaries in Brazil, India, Mexico and China all lease office, warehouse and laboratory space. NTIC’s management considers its current properties suitable and adequate for its current and foreseeable needs.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August 31, 2018, NTIC is not able to reasonably estimate the amount of any recovery to NTI Asean, if any.</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NTIC is subject to various ongoing or threatened legal actions and proceedings, including those that arise in the ordinary course of business, which may include employment matters and breach of contract disputes. Such matters are subject to many uncertainties and to outcomes that are not predictable with assurance and that may not be known for extended periods of time. In the opinion of management, the outcome of such routine ongoing litigation is not expected to have a material adverse effect on NTIC’s results of operations or financial condition.</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51</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44</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 and Corporate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right="14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9,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 with NTIC</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49</w:t>
            </w:r>
          </w:p>
        </w:tc>
        <w:tc>
          <w:tcPr>
            <w:tcW w:w="7300" w:type="dxa"/>
            <w:vAlign w:val="bottom"/>
            <w:shd w:val="clear" w:color="auto" w:fill="CCEEFF"/>
          </w:tcPr>
          <w:p>
            <w:pPr>
              <w:ind w:left="120"/>
              <w:spacing w:after="0" w:line="251" w:lineRule="exact"/>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3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45</w:t>
            </w: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Director – Global Market Development – Oil &amp; Gas</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30.61</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2018,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25, 2018</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r>
        <w:trPr>
          <w:trHeight w:val="230"/>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25,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August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22, 2018</w:t>
            </w:r>
          </w:p>
        </w:tc>
      </w:tr>
    </w:tbl>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October 24, 2018, NTIC’s Board of Directors declared a cash dividend of $0.12 per share of NTIC’s common stock, payable on November 21, 2018 to stockholders of record on November 7, 2018.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2018, there were 167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fourth quarter of fiscal 2018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 (or</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Purchased as Part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Shares</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(or Units) Purchased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Average Price Paid Per</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Share (or Unit)</w:t>
            </w: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2018 through June 30, 2018</w:t>
            </w:r>
          </w:p>
        </w:tc>
        <w:tc>
          <w:tcPr>
            <w:tcW w:w="18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July 1, 2018 through July 31, 2018</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August 1, 2018 through August 31, 2018</w:t>
            </w:r>
          </w:p>
        </w:tc>
        <w:tc>
          <w:tcPr>
            <w:tcW w:w="18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August 31, 2018, up to $2,640,548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tables set forth certain of NTIC’s selected consolidated financial data as of the dates and for the years indicated. The selected consolidated financial data was derived from NTIC’s consolidated financial statements. The audited consolidated financial statements as of August 31, 2018 and 2017 and for the fiscal years ended August 31, 2018 and 2017 are included elsewhere in this report. The audited consolidated financial statements as of August 31, 2016, 2015 and 2014 and for the fiscal years ended August 31, 2016, 2015 and 2014 are not included in this report. Historical results are not necessarily indicative of the results to be expected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Fiscal Year Ended August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48,516,749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36,346,645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30,211,660</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27,491,392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23,601,514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sales, to joint ventures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2,908,072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3,222,478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2,721,905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2,831,301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3,224,594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51,424,821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39,569,123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32,933,565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30,322,693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34,165,440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26,316,511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22,320,156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20,555,932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17,803,153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17,259,381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13,252,612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10,613,409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9,766,761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7,527,383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5,898,908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4,743,831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5,936,565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5,920,603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6,142,139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5,452,687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5,137,710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5,715,491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8,142,863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joint venture operations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13,669,522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11,351,595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9,881,541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11,652,056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14,063,466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10,886,011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9,283,310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6,255,353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5,820,748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8,500,490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7,807,563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8,232,369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8,399,146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6,801,545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3,524,953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2,912,393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4,724,596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4,047,279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4,368,752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22,911,454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20,003,266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19,212,318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18,267,173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16,392,035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8,017,449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4,600,941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3,151,644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99,463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43,539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Impairment on investment at carrying value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(1,883,668)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8,098,950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4,624,098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(572,182)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3,166,034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6,663,074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876,103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699,519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626,120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648,674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7,222,847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3,924,579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(1,198,302)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2,517,360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5,538,412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521,481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502,453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727,789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1,432,040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NTIC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6,701,366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3,422,126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1,789,571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4,106,372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Net income (loss) attributable to NTIC per common</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4"/>
                <w:szCs w:val="24"/>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Weighted-average common shares assumed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4,538,838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4,528,611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4,537,504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4,521,788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4,685,202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4,577,359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4,537,504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4,649,060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4,579,498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4,163,023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6,360,201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2,623,981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3,300,110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3,766,984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2,027,441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30,567,773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26,067,618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20,942,171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19,275,612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22,319,966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63,549,233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56,612,693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51,070,050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51,565,648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54,057,775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7,730,182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4,894,617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3,994,102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3,671,841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2,742,310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2,857,448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2,540,973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3,019,702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3,837,257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53,076,741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48,860,628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44,543,975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44,874,105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45,753,863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55,819,051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51,718,076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47,075,948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47,893,807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49,591,120</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Fiscal Year Ended August 31,</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608,687</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5,735,691</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2,055,607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(755,545)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7,422,912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7,457,380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used in by financing activities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(2,372,124)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(270,247)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(874,652)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(1,814,418)</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63,839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11,646</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1. Business—Forward-Looking Statements” and under the heading “Part I. Item 1A. Risk Factors</w:t>
      </w:r>
      <w:r>
        <w:rPr>
          <w:rFonts w:ascii="Arial" w:cs="Arial" w:eastAsia="Arial" w:hAnsi="Arial"/>
          <w:sz w:val="17"/>
          <w:szCs w:val="17"/>
          <w:color w:val="auto"/>
        </w:rPr>
        <w:t>.” The following discussion of the results of the operations and financial condition of NTIC should be read in conjunction with NTIC’s consolidated financial statements and the related notes thereto included under “</w:t>
      </w:r>
      <w:r>
        <w:rPr>
          <w:rFonts w:ascii="Arial" w:cs="Arial" w:eastAsia="Arial" w:hAnsi="Arial"/>
          <w:sz w:val="17"/>
          <w:szCs w:val="17"/>
          <w:i w:val="1"/>
          <w:iCs w:val="1"/>
          <w:color w:val="auto"/>
        </w:rPr>
        <w:t>Part II. Item 8. Financial Statements and Supplementary Data</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12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61" w:lineRule="exact"/>
        <w:rPr>
          <w:rFonts w:ascii="Arial" w:cs="Arial" w:eastAsia="Arial" w:hAnsi="Arial"/>
          <w:sz w:val="18"/>
          <w:szCs w:val="18"/>
          <w:color w:val="auto"/>
        </w:rPr>
      </w:pPr>
    </w:p>
    <w:p>
      <w:pPr>
        <w:jc w:val="both"/>
        <w:ind w:left="660" w:right="10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NTIC’s Subsidiaries and Joint Venture Network</w:t>
      </w:r>
      <w:r>
        <w:rPr>
          <w:rFonts w:ascii="Arial" w:cs="Arial" w:eastAsia="Arial" w:hAnsi="Arial"/>
          <w:sz w:val="18"/>
          <w:szCs w:val="18"/>
          <w:color w:val="auto"/>
        </w:rPr>
        <w:t>. This section provides a brief overview of NTIC’s subsidiaries and its joint venture network, the</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ventures which are considered individually significant to NTIC’s consolidated assets and income and how NTIC’s joint ventures are accounted for by NTIC.</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Financial Overview</w:t>
      </w:r>
      <w:r>
        <w:rPr>
          <w:rFonts w:ascii="Arial" w:cs="Arial" w:eastAsia="Arial" w:hAnsi="Arial"/>
          <w:sz w:val="16"/>
          <w:szCs w:val="16"/>
          <w:color w:val="auto"/>
        </w:rPr>
        <w:t>. This section provides a brief summary of NTIC’s financial results and financial condition for fiscal 2018 compared to 2017.</w:t>
      </w:r>
    </w:p>
    <w:p>
      <w:pPr>
        <w:spacing w:after="0" w:line="248" w:lineRule="exact"/>
        <w:rPr>
          <w:rFonts w:ascii="Arial" w:cs="Arial" w:eastAsia="Arial" w:hAnsi="Arial"/>
          <w:sz w:val="16"/>
          <w:szCs w:val="16"/>
          <w:color w:val="auto"/>
        </w:rPr>
      </w:pPr>
    </w:p>
    <w:p>
      <w:pPr>
        <w:ind w:left="660" w:right="62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This section provides an analysis of the significant line items in NTIC’s consolidated statements of operations.</w:t>
      </w:r>
    </w:p>
    <w:p>
      <w:pPr>
        <w:spacing w:after="0" w:line="225" w:lineRule="exact"/>
        <w:rPr>
          <w:rFonts w:ascii="Arial" w:cs="Arial" w:eastAsia="Arial" w:hAnsi="Arial"/>
          <w:sz w:val="18"/>
          <w:szCs w:val="18"/>
          <w:color w:val="auto"/>
        </w:rPr>
      </w:pPr>
    </w:p>
    <w:p>
      <w:pPr>
        <w:ind w:left="660" w:right="58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1" w:name="page42"/>
    <w:bookmarkEnd w:id="41"/>
    <w:p>
      <w:pPr>
        <w:ind w:left="660" w:right="52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176" w:lineRule="exact"/>
        <w:rPr>
          <w:rFonts w:ascii="Arial" w:cs="Arial" w:eastAsia="Arial" w:hAnsi="Arial"/>
          <w:sz w:val="18"/>
          <w:szCs w:val="18"/>
          <w:color w:val="auto"/>
        </w:rPr>
      </w:pPr>
    </w:p>
    <w:p>
      <w:pPr>
        <w:ind w:left="660" w:right="40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references Note 2 to NTIC’s consolidated financial statements, which summarizes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issued accounting pronouncements on NTIC’s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4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8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ind w:right="80"/>
        <w:spacing w:after="0" w:line="244"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ware items, such as disposable cutlery, drinking straws, food-</w:t>
      </w:r>
    </w:p>
    <w:p>
      <w:pPr>
        <w:spacing w:after="0" w:line="3"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handling gloves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w:t>
      </w:r>
    </w:p>
    <w:p>
      <w:pPr>
        <w:spacing w:after="0" w:line="2" w:lineRule="exact"/>
        <w:rPr>
          <w:sz w:val="20"/>
          <w:szCs w:val="20"/>
          <w:color w:val="auto"/>
        </w:rPr>
      </w:pPr>
    </w:p>
    <w:p>
      <w:pPr>
        <w:jc w:val="both"/>
        <w:ind w:right="20"/>
        <w:spacing w:after="0" w:line="208" w:lineRule="auto"/>
        <w:rPr>
          <w:sz w:val="20"/>
          <w:szCs w:val="20"/>
          <w:color w:val="auto"/>
        </w:rPr>
      </w:pPr>
      <w:r>
        <w:rPr>
          <w:rFonts w:ascii="Arial" w:cs="Arial" w:eastAsia="Arial" w:hAnsi="Arial"/>
          <w:sz w:val="17"/>
          <w:szCs w:val="17"/>
          <w:color w:val="auto"/>
        </w:rPr>
        <w:t>and, therefore, continues to strengthen and expand its North American distribution network for finished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products. Internationally, NTIC sells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both directly and through its wholly-owned subsidiary in China, NTIC China,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NTIC has ownership interests in six operating subsidiaries in North America, South America, Europe and Asia. The following table sets forth a list of NTIC’s operating subsidiaries as of November 9, 2018, the country in which the subsidiary is organized and NTIC’s ownership percentage in each subsidiary: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8580" w:type="dxa"/>
            <w:vAlign w:val="bottom"/>
            <w:gridSpan w:val="2"/>
          </w:tcPr>
          <w:p>
            <w:pPr>
              <w:ind w:left="3580"/>
              <w:spacing w:after="0"/>
              <w:rPr>
                <w:sz w:val="20"/>
                <w:szCs w:val="20"/>
                <w:color w:val="auto"/>
              </w:rPr>
            </w:pPr>
            <w:r>
              <w:rPr>
                <w:rFonts w:ascii="Arial" w:cs="Arial" w:eastAsia="Arial" w:hAnsi="Arial"/>
                <w:sz w:val="18"/>
                <w:szCs w:val="18"/>
                <w:b w:val="1"/>
                <w:bCs w:val="1"/>
                <w:color w:val="auto"/>
              </w:rPr>
              <w:t>Subsidiary 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Country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Mexico</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India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it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NTIC’s consolidated net sales increased 30.0% during fiscal 2018 compared to fiscal 2017. This increase was primarily a result of increased demand of ZERUST® rust and corrosion inhibiting packaging products and services and the addition of new customers in North America and China and an increase in sales of Natur-Tec® products.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2018, 80.5%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26.2% to</w:t>
      </w:r>
    </w:p>
    <w:p>
      <w:pPr>
        <w:ind w:right="60"/>
        <w:spacing w:after="0" w:line="289" w:lineRule="auto"/>
        <w:rPr>
          <w:sz w:val="20"/>
          <w:szCs w:val="20"/>
          <w:color w:val="auto"/>
        </w:rPr>
      </w:pPr>
      <w:r>
        <w:rPr>
          <w:rFonts w:ascii="Arial" w:cs="Arial" w:eastAsia="Arial" w:hAnsi="Arial"/>
          <w:sz w:val="16"/>
          <w:szCs w:val="16"/>
          <w:color w:val="auto"/>
        </w:rPr>
        <w:t>$41,374,305 during fiscal 2018 compared to $32,789,283 during fiscal 2017. This increase was due to increased demand of ZERUST® rust and corrosion inhibiting packaging products and services and the addition of new customers in North America and China.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fiscal 2018 included $3,066,953 of sales made to customers in the oil and gas industry compared to $1,720,162 for fiscal 2017. Overall demand for ZERUST® products and services depends heavily on the overall health of the markets in which NTIC sells its products, including the automotive, oil and gas, agriculture, and mining markets in particular.</w:t>
      </w:r>
    </w:p>
    <w:p>
      <w:pPr>
        <w:spacing w:after="0" w:line="171"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During fiscal 2018, 19.5%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compared to 17.1% during fiscal 2017. Net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increased 48.2% to $10,050,516 during fiscal 2018 compared to fiscal 2017 primarily due to an increase in finished product sales in North America and finished product sales at NTIC’s majority owned subsidiary in India, Natur-Tec India Private Limited (Natur-Tec India).</w:t>
      </w:r>
    </w:p>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Cost of goods sold as a percentage of net sales decreased slightly to 66.4% during fiscal 2018 compared to 66.5% during fiscal 2017. This decrease was primarily as a result of increased net sales and cost reductions realized on the raw materials associated with NTIC’s ZERUST® industrial products.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equity in income from joint ventures increased 27.6% to $7,527,383 during fiscal 2018 compared to $5,898,908 during fiscal 2017. This increase was primarily due to a corresponding increase in net sales at the joint ventures, which were $120,060,897 during fiscal 2018, compared to $101,261,132 during fiscal 2017. The increase in the net sales of NTIC’s joint ventures was due primarily to higher sales from existing customers for new and existing products due to increased demand. The increase in net sales of NTIC’s joint ventures resulted in a corresponding increase in fees for services provided to joint ventures as such fees are a function of net sales of NTIC’s joint ventures.</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NTIC’s total operating expenses increased $2,908,188, or 14.5%, to $22,911,454 during fiscal 2018 compared to $20,003,266 in fiscal 2017. This increase was primarily due to an increase in NTIC’s personnel expenses in North America and China, including an increase in the management bonus accrual of $1,138,000.</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NTIC spent $3,524,953 in fiscal 2018 in connection with its research and development activities, compared to $2,912,393 in fiscal 2017. NTIC anticipates that it will spend between $3,200,000 and $3,600,000 in fiscal 2019 on research and development activities.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 w:name="page45"/>
    <w:bookmarkEnd w:id="44"/>
    <w:p>
      <w:pPr>
        <w:spacing w:after="0" w:line="257" w:lineRule="auto"/>
        <w:rPr>
          <w:sz w:val="20"/>
          <w:szCs w:val="20"/>
          <w:color w:val="auto"/>
        </w:rPr>
      </w:pPr>
      <w:r>
        <w:rPr>
          <w:rFonts w:ascii="Arial" w:cs="Arial" w:eastAsia="Arial" w:hAnsi="Arial"/>
          <w:sz w:val="18"/>
          <w:szCs w:val="18"/>
          <w:color w:val="auto"/>
        </w:rPr>
        <w:t>Net income attributable to NTIC increased to $6,701,366, or $1.43 per diluted common share, for fiscal 2018 compared to net income of $3,422,126, or $0.75 per diluted common share, for fiscal 2017. This increase was primarily the result of the increase in net sales and corresponding gross profit, as well as the increase in income from joint venture operations, partially offset by the increase in operating expenses, as previously described. This increase was partially offset by the impact of the one-time provisional adjustment of $700,000 related to the Tax Cuts and Jobs Act (Tax Reform Act), as described in more detail below.</w:t>
      </w:r>
    </w:p>
    <w:p>
      <w:pPr>
        <w:spacing w:after="0" w:line="188"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NTIC anticipates that its quarterly net income will continue to remain subject to significant volatility primarily due to the financial performance of its subsidiaries and joint ventures and sales of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the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bioplastics products, which sales</w:t>
      </w:r>
    </w:p>
    <w:p>
      <w:pPr>
        <w:spacing w:after="0" w:line="1" w:lineRule="exact"/>
        <w:rPr>
          <w:sz w:val="20"/>
          <w:szCs w:val="20"/>
          <w:color w:val="auto"/>
        </w:rPr>
      </w:pPr>
    </w:p>
    <w:p>
      <w:pPr>
        <w:ind w:right="180"/>
        <w:spacing w:after="0" w:line="204" w:lineRule="auto"/>
        <w:rPr>
          <w:sz w:val="20"/>
          <w:szCs w:val="20"/>
          <w:color w:val="auto"/>
        </w:rPr>
      </w:pPr>
      <w:r>
        <w:rPr>
          <w:rFonts w:ascii="Arial" w:cs="Arial" w:eastAsia="Arial" w:hAnsi="Arial"/>
          <w:sz w:val="18"/>
          <w:szCs w:val="18"/>
          <w:color w:val="auto"/>
        </w:rPr>
        <w:t>fluctuate more on a quarterly basis than the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NTIC also anticipates that its operating results during the next few quarters will remain volatile primarily as a result of the changes in its Chinese operations.</w:t>
      </w:r>
    </w:p>
    <w:p>
      <w:pPr>
        <w:spacing w:after="0" w:line="20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NTIC’s working capital, as defined as current assets less current liabilities, was $22,837,591 at August 31, 2018, including $4,163,023, in cash and cash equivalents and $3,300,110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2018, the Company’s Board of Directors declared quarterly cash dividends of $0.10 per share. On October 24, 2018, the Company’s Board of Directors announced an increase in the quarterly cash dividend of 20% to $0.12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19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17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Cost of Goods Sold</w:t>
      </w:r>
      <w:r>
        <w:rPr>
          <w:rFonts w:ascii="Arial" w:cs="Arial" w:eastAsia="Arial" w:hAnsi="Arial"/>
          <w:sz w:val="16"/>
          <w:szCs w:val="16"/>
          <w:color w:val="auto"/>
        </w:rPr>
        <w:t>. Most of NTIC’s products are manufactured by third parties and its cost of goods sold for those products consists primarily of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invoiced by its third-party vendors. For the portion of products that NTIC manufactures, NTIC’s cost of goods sold for those products consists primarily of</w:t>
      </w:r>
    </w:p>
    <w:p>
      <w:pPr>
        <w:ind w:right="40"/>
        <w:spacing w:after="0" w:line="221" w:lineRule="auto"/>
        <w:rPr>
          <w:sz w:val="20"/>
          <w:szCs w:val="20"/>
          <w:color w:val="auto"/>
        </w:rPr>
      </w:pPr>
      <w:r>
        <w:rPr>
          <w:rFonts w:ascii="Arial" w:cs="Arial" w:eastAsia="Arial" w:hAnsi="Arial"/>
          <w:sz w:val="17"/>
          <w:szCs w:val="17"/>
          <w:color w:val="auto"/>
        </w:rPr>
        <w:t>direct labor, allocated manufacturing overhead, raw materials and components. NTIC’s margins on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24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each joint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Fees for Services Provided to Joint Ventures</w:t>
      </w:r>
      <w:r>
        <w:rPr>
          <w:rFonts w:ascii="Arial" w:cs="Arial" w:eastAsia="Arial" w:hAnsi="Arial"/>
          <w:sz w:val="16"/>
          <w:szCs w:val="16"/>
          <w:color w:val="auto"/>
        </w:rPr>
        <w:t>. NTIC provides certain services to its joint ventures including consulting, legal, travel, insurance, technical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stock-based compensation, finance, legal, information technology and human resources functions.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any borrowings under NTIC’s line of credit with PNC Bank,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(PNC Bank).</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Income tax expense includes federal income taxes, foreign withholding taxes, income tax of consolidated entities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state income tax and 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to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2018 and fiscal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34"/>
        </w:trPr>
        <w:tc>
          <w:tcPr>
            <w:tcW w:w="324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Fiscal 2018</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Net Sales</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2017</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Net Sales</w:t>
            </w: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48,516,749</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36,346,645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12,170,104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2,908,072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3,222,478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(314,406)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34,165,440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26,316,511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7,848,929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7,527,383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5,898,908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1,628,475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3"/>
              </w:rPr>
              <w:t>Fees for services provided to joint ventures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6,142,139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5,452,687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689,452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Selling expenses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10,886,011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9,283,310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1,602,701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8,500,490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7,807,563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692,927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3,524,953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2,912,393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612,560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30.0% to $51,424,821 during fiscal 2018 compared to $39,569,123 during fiscal 2017. NTIC’s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net sales to unaffiliated customers excluding NTIC’s joint ventures increased 33.5% to $48,516,749 during fiscal 2018 compared to $36,346,645</w:t>
      </w:r>
    </w:p>
    <w:p>
      <w:pPr>
        <w:jc w:val="both"/>
        <w:ind w:right="100"/>
        <w:spacing w:after="0" w:line="231" w:lineRule="auto"/>
        <w:rPr>
          <w:sz w:val="20"/>
          <w:szCs w:val="20"/>
          <w:color w:val="auto"/>
        </w:rPr>
      </w:pPr>
      <w:r>
        <w:rPr>
          <w:rFonts w:ascii="Arial" w:cs="Arial" w:eastAsia="Arial" w:hAnsi="Arial"/>
          <w:sz w:val="17"/>
          <w:szCs w:val="17"/>
          <w:color w:val="auto"/>
        </w:rPr>
        <w:t>during fiscal 2017. These increases were primarily a result of increased demand from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the addition of new customers in North America and China and an increase in sales of Natur-Tec® products. Net sales to joint ventures decreased 9.8% to $2,908,072 in fiscal 2018 compared to fiscal 2017. This decrease was primarily a result of timing differences on various shipments to joint ventures.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2018 and fiscal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Fiscal 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Total 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41,374,305</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32,789,283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8,585,022</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70"/>
        </w:trPr>
        <w:tc>
          <w:tcPr>
            <w:tcW w:w="562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Total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10,050,516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6,779,840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3,270,676</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51,424,821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11,855,698</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2018, 80.5%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26.2% to</w:t>
      </w:r>
    </w:p>
    <w:p>
      <w:pPr>
        <w:ind w:right="160"/>
        <w:spacing w:after="0" w:line="205" w:lineRule="auto"/>
        <w:rPr>
          <w:sz w:val="20"/>
          <w:szCs w:val="20"/>
          <w:color w:val="auto"/>
        </w:rPr>
      </w:pPr>
      <w:r>
        <w:rPr>
          <w:rFonts w:ascii="Arial" w:cs="Arial" w:eastAsia="Arial" w:hAnsi="Arial"/>
          <w:sz w:val="16"/>
          <w:szCs w:val="16"/>
          <w:color w:val="auto"/>
        </w:rPr>
        <w:t>$41,374,305 compared to $32,789,283 during fiscal 2017. This increase was due to increased demand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and the additional of new customers in North America and China and increased demand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products and services.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w:t>
      </w:r>
    </w:p>
    <w:p>
      <w:pPr>
        <w:spacing w:after="0" w:line="4" w:lineRule="exact"/>
        <w:rPr>
          <w:sz w:val="20"/>
          <w:szCs w:val="20"/>
          <w:color w:val="auto"/>
        </w:rPr>
      </w:pPr>
    </w:p>
    <w:p>
      <w:pPr>
        <w:ind w:right="480"/>
        <w:spacing w:after="0" w:line="218" w:lineRule="auto"/>
        <w:rPr>
          <w:sz w:val="20"/>
          <w:szCs w:val="20"/>
          <w:color w:val="auto"/>
        </w:rPr>
      </w:pPr>
      <w:r>
        <w:rPr>
          <w:rFonts w:ascii="Arial" w:cs="Arial" w:eastAsia="Arial" w:hAnsi="Arial"/>
          <w:sz w:val="17"/>
          <w:szCs w:val="17"/>
          <w:color w:val="auto"/>
        </w:rPr>
        <w:t>opportunities, including the oil and gas sector. Overall 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depends heavily on the overall health of the market segments to which NTIC sells its products, including the automotive, oil and gas, agriculture, and mining markets in particular.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fiscal 2018 and fiscal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0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Fiscal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Fiscal 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37"/>
        </w:trPr>
        <w:tc>
          <w:tcPr>
            <w:tcW w:w="40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industrial net sales</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35,399,280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27,846,643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7,552,637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57"/>
        </w:trPr>
        <w:tc>
          <w:tcPr>
            <w:tcW w:w="4000" w:type="dxa"/>
            <w:vAlign w:val="bottom"/>
          </w:tcPr>
          <w:p>
            <w:pPr>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venture net sales</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2,908,072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3,222,478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(314,406)</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40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&amp; gas net sales</w:t>
            </w:r>
          </w:p>
        </w:tc>
        <w:tc>
          <w:tcPr>
            <w:tcW w:w="15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3,066,953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1,720,162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1,346,791</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64"/>
        </w:trPr>
        <w:tc>
          <w:tcPr>
            <w:tcW w:w="4000" w:type="dxa"/>
            <w:vAlign w:val="bottom"/>
          </w:tcPr>
          <w:p>
            <w:pPr>
              <w:ind w:left="180"/>
              <w:spacing w:after="0" w:line="264" w:lineRule="exact"/>
              <w:rPr>
                <w:sz w:val="20"/>
                <w:szCs w:val="20"/>
                <w:color w:val="auto"/>
              </w:rPr>
            </w:pPr>
            <w:r>
              <w:rPr>
                <w:rFonts w:ascii="Arial" w:cs="Arial" w:eastAsia="Arial" w:hAnsi="Arial"/>
                <w:sz w:val="18"/>
                <w:szCs w:val="18"/>
                <w:color w:val="auto"/>
              </w:rPr>
              <w:t>Total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41,374,305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32,789,283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8,585,022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NTIC anticipates that its sales of ZERUST® products and services into the oil and gas industry will continue to remain volatile from quarter to quarter as sales are recognized due to the average order size and the timing of sales, as well as oil prices.</w:t>
      </w:r>
    </w:p>
    <w:p>
      <w:pPr>
        <w:spacing w:after="0" w:line="192" w:lineRule="exact"/>
        <w:rPr>
          <w:sz w:val="20"/>
          <w:szCs w:val="20"/>
          <w:color w:val="auto"/>
        </w:rPr>
      </w:pPr>
    </w:p>
    <w:p>
      <w:pPr>
        <w:ind w:right="80"/>
        <w:spacing w:after="0" w:line="227" w:lineRule="auto"/>
        <w:rPr>
          <w:sz w:val="20"/>
          <w:szCs w:val="20"/>
          <w:color w:val="auto"/>
        </w:rPr>
      </w:pPr>
      <w:r>
        <w:rPr>
          <w:rFonts w:ascii="Arial" w:cs="Arial" w:eastAsia="Arial" w:hAnsi="Arial"/>
          <w:sz w:val="16"/>
          <w:szCs w:val="16"/>
          <w:color w:val="auto"/>
        </w:rPr>
        <w:t>During fiscal 2018, 19.5%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compared to 17.1% during fiscal 2017.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increased 48.2% to $10,050,516 during fiscal 2018 compared to $6,779,840 during fiscal 2017. This increase was primarily due to an increase in finished product sales in North America and finished products sales at NTIC’ majority-owned subsidiary in India, Natur-Tec India.</w:t>
      </w:r>
    </w:p>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29.8% in fiscal 2018 compared to fiscal 2017 primarily as a result of the increase in net sales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Cost of goods sold as a percentage of net sales decreased slightly to 66.4% during fiscal 2018 compared to 66.5% during fiscal 2017, primarily due to product mix and the different gross profits realized on different products.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Equity in Income from Joint Ventures</w:t>
      </w:r>
      <w:r>
        <w:rPr>
          <w:rFonts w:ascii="Arial" w:cs="Arial" w:eastAsia="Arial" w:hAnsi="Arial"/>
          <w:sz w:val="16"/>
          <w:szCs w:val="16"/>
          <w:color w:val="auto"/>
        </w:rPr>
        <w:t>. NTIC’s equity in income from joint ventures increased 27.6% to $7,527,383 during fiscal 2018 compared to $5,898,908</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2017. This increase was primarily a result of improved profitability at the joint ventures. Of the total equity in income from joint ventures, NTIC had equity in income from joint ventures of $5,549,765 attributable to EXCOR during fiscal 2018 compared to $4,185,988 attributable to EXCOR during fiscal 2017. NTIC had equity in income of all other joint ventures of $1,977,618 during fiscal 2018 compared to $1,712,920 during fiscal 2017.</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$6,142,139 during fiscal 2018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$5,452,687 during fiscal 2017, representing an increase of 12.6% or $689,452. Fee income for services provided to joint ventures is traditionally a function of the sales made by NTIC’s joint ventures. Total net sales of NTIC’s joint ventures increased $18,799,765 during fiscal 2018 compared to $101,261,132 during fiscal 2017, representing an increase of 18.6%. Net sales of NTIC’s joint ventures are not included in NTIC’s product sales and are not included in NTIC’s consolidated financial statements. Of the total fee income for services provided to joint ventures, fees of $900,316 were attributable to EXCOR during fiscal 2018 compared to $838,627 attributable to EXCOR during fiscal 2017.</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17.3% in fiscal 2018 compared to fiscal 2017 due primarily to increases in operating expenses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ZERUST® sales efforts, consisting primarily of selling and personnel expense. Selling expenses as a percentage of net sales decreased to 21.2% for fiscal 2018 compared to 23.5% in fiscal 2017 primarily due to the significant increase in net sales, partially offset by the increase in selling expenses, as previously described.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8.9% in fiscal 2018 compared to fiscal 2017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compensation expense and an increase in operating expenses at NTIC China. As a percentage of net sales, general and administrative expenses decreased to 16.5% for fiscal 2018 from 19.7% for fiscal 2017. This decrease was due primarily to the significant increase in net sales, partially offset by the increase in general and administrative expenses as previously described.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8" w:name="page49"/>
    <w:bookmarkEnd w:id="48"/>
    <w:p>
      <w:pPr>
        <w:ind w:right="240"/>
        <w:spacing w:after="0" w:line="308"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increased 21.0% in fiscal 2018 compared to fiscal 2017 due primarily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research and development activities associated with the development of new products during the current fiscal year period.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$99,463 in fiscal 2018 compared to $43,539 in fiscal 2017 due to increased levels of invested cash.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$17,962 in fiscal 2018 compared to $20,382 in fiscal 2017.</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incurred income before income tax expense equal to $8,098,950 for fiscal 2018 compared to income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$4,624,098 for fiscal 2017.</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$876,103 during fiscal 2018 compared to $699,519 during fiscal 2017 for an effective tax rate of 10.8% and</w:t>
      </w:r>
      <w:r>
        <w:rPr>
          <w:rFonts w:ascii="Arial" w:cs="Arial" w:eastAsia="Arial" w:hAnsi="Arial"/>
          <w:sz w:val="18"/>
          <w:szCs w:val="18"/>
          <w:i w:val="1"/>
          <w:iCs w:val="1"/>
          <w:color w:val="auto"/>
        </w:rPr>
        <w:t xml:space="preserve"> </w:t>
      </w:r>
      <w:r>
        <w:rPr>
          <w:rFonts w:ascii="Arial" w:cs="Arial" w:eastAsia="Arial" w:hAnsi="Arial"/>
          <w:sz w:val="18"/>
          <w:szCs w:val="18"/>
          <w:color w:val="auto"/>
        </w:rPr>
        <w:t>15.1%, respectively. NTIC’s annual effective income tax rate during fiscal 2018 and 2017 was lower than the statutory rate primarily due to NTIC’s equity in income of joint ventures being recognized based on after-tax earnings of these entities.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Reform Act makes broad and complex changes to the U.S. tax code that has affected the Company’s fiscal year ending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 The Company is subject to a blended U.S. tax rate of 25.7% for the fiscal year ending August 31, 2018 as a result of the reduction of the U.S. federal corporate tax rate from 35% to 21% effective January 1, 2018.</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Reform Act resulted in an increase in income tax expense of $632,523 recognized during fiscal 2018 due to the re-measurement of the Company’s net deferred tax assets to reflect the reduction in the U.S. corporate income tax rate.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Net Income Attributable to NTIC</w:t>
      </w:r>
      <w:r>
        <w:rPr>
          <w:rFonts w:ascii="Arial" w:cs="Arial" w:eastAsia="Arial" w:hAnsi="Arial"/>
          <w:sz w:val="17"/>
          <w:szCs w:val="17"/>
          <w:color w:val="auto"/>
        </w:rPr>
        <w:t>. Net income attributable to NTIC increased to $6,701,366, or $1.43, per diluted common share, for fiscal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$3,422,126, or $0.75, per diluted common share, for fiscal 2017, an increase of $3,279,240 or $0.68 per diluted share. This increase was primarily the result of the increases in net sales and corresponding gross profit, as well as the increases in income from joint venture operations, partially offset by the increase in operating expenses. The increase was also partially offset by the significant impact of the one-time provisional adjustment of $700,000 related to the Tax Reform Act. The impact from the enactment of the Tax Reform Act was driven by the provisional re-measurement of deferred tax assets and liabilities, which resulted in a non-cash discrete tax charge of $700,000 during fiscal 2018.</w:t>
      </w:r>
    </w:p>
    <w:p>
      <w:pPr>
        <w:spacing w:after="0" w:line="17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i w:val="1"/>
          <w:iCs w:val="1"/>
          <w:color w:val="auto"/>
        </w:rPr>
        <w:t>Other Comprehensive Income - Foreign Currency Translations Adjustment</w:t>
      </w:r>
      <w:r>
        <w:rPr>
          <w:rFonts w:ascii="Arial" w:cs="Arial" w:eastAsia="Arial" w:hAnsi="Arial"/>
          <w:sz w:val="17"/>
          <w:szCs w:val="17"/>
          <w:color w:val="auto"/>
        </w:rPr>
        <w:t>. The changes in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 of the U.S. dollar compared to the Euro and other foreign currencies during fiscal 2018 compared to fiscal 2017.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2018, NTIC’s working capital was $22,837,591, including $4,163,023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$3,300,110 in available for sale securities, compared to working capital of $21,173,001, including $6,360,201 in cash and cash equivalents as of August 31, 2017 and $3,766,984 in available for sale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2018, NTIC had a revolving line of credit with PNC Bank of $3,000,000, with no amounts outstanding.</w:t>
      </w:r>
    </w:p>
    <w:p>
      <w:pPr>
        <w:spacing w:after="0" w:line="225"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fiscal 2019, NTIC expects to continue to invest in NTIC China, Zerust Mexico, NTI Europe, research and development and in marketing efforts and resources into the application of its corrosion prevention</w:t>
      </w:r>
    </w:p>
    <w:p>
      <w:pPr>
        <w:spacing w:after="0" w:line="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technology into the oil and gas industry and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Uses of Cash and Cash Flow. </w:t>
      </w:r>
      <w:r>
        <w:rPr>
          <w:rFonts w:ascii="Arial" w:cs="Arial" w:eastAsia="Arial" w:hAnsi="Arial"/>
          <w:sz w:val="18"/>
          <w:szCs w:val="18"/>
          <w:color w:val="auto"/>
        </w:rPr>
        <w:t>Net cash provided by operating activities during fiscal 2018 was $608,687, which resulted primarily from NTIC’s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received from joint ventures, and increases in accounts payable, accrued liabilities, depreciation and amortization, partially offset by NTIC’s equity in income from joint ventures, increases in trade receivables excluding joint ventures, inventories, and prepaid expenses and other. Net cash provided by operating activities during fiscal 2017 was $5,735,691, which resulted principally from dividends received from NTIC’s joint ventures, net income, an increase in accounts payable and depreciation and amortization, partially offset by NTIC’s equity in income from joint ventures and an increase in trade receivables.</w:t>
      </w:r>
    </w:p>
    <w:p>
      <w:pPr>
        <w:spacing w:after="0" w:line="19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right="200"/>
        <w:spacing w:after="0" w:line="271" w:lineRule="auto"/>
        <w:rPr>
          <w:sz w:val="20"/>
          <w:szCs w:val="20"/>
          <w:color w:val="auto"/>
        </w:rPr>
      </w:pPr>
      <w:r>
        <w:rPr>
          <w:rFonts w:ascii="Arial" w:cs="Arial" w:eastAsia="Arial" w:hAnsi="Arial"/>
          <w:sz w:val="17"/>
          <w:szCs w:val="17"/>
          <w:color w:val="auto"/>
        </w:rPr>
        <w:t>NTIC experienced an increase in trade receivables as of August 31, 2018 compared to August 31, 2017. Trade receivables excluding joint ventures as of August 31, 2018 increased $4,077,477 compared to August 31, 2017, primarily related to longer collection terms in India and China and the increase in overall sales in all territories. Outstanding trade receivables excluding joint ventures balances as of August 31, 2018 increased 15 days to an average of 75 days from balances outstanding from these customers as of August 31, 2017. Outstanding trade receivables from joint ventures as of August 31, 2018 increased $69,754 compared to August 31, 2017 primarily due to the timing of payments. Outstanding balances from trade receivables from joint ventures decreased as of August 31, 2018 by an average of 17 days from an average of 96 days from balances outstanding from these customers compared to August 31, 2017. The average days outstanding of trade receivables from joint ventures as of August 31, 2018 were primarily due to the receivables balances at NTIC’s joint ventures in South Korea and Thailand.</w:t>
      </w:r>
    </w:p>
    <w:p>
      <w:pPr>
        <w:spacing w:after="0" w:line="1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Outstanding receivables for services provided to joint ventures as of August 31, 2018 increased $54,311 compared to August 31, 2017 and decreased by an average of 7 days from fees receivable outstanding as of August 31, 2018 to an average of 80 days compared to August 31, 2017.</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Net cash used in investing activities during fiscal 2018 was $300,109, which was primarily the result of additions to property and equipment and additions to patents, partially offset by proceeds from the sale of available for sale securities. Net cash used in investing activities during fiscal 2017 was $2,607,915, which was primarily the result of cash used in the purchase of available for sale securities, additions to property and equipment, and additions to patents.</w:t>
      </w:r>
    </w:p>
    <w:p>
      <w:pPr>
        <w:spacing w:after="0" w:line="147"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Net cash used in financing activities for fiscal 2018 was $2,372,124, which resulted from dividends paid on NTIC common stock and a dividend paid by a consolidated subsidiary to a non-controlling interest, partially offset by proceeds from stock option exercises and purchases under NTIC’s employee stock purchase plan. Net cash used in financing activities for fiscal 2017 was $226,690, which resulted from a dividend paid to a non-controlling interest and the repurchase of common stock, partially offset by proceeds from NTIC’s employee stock purchase plan and stock option exercises.</w:t>
      </w:r>
    </w:p>
    <w:p>
      <w:pPr>
        <w:spacing w:after="0" w:line="15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August 31, 2018, up to $2,640,548 in shares of NTIC common stock remained available for repurchase under NTIC’s stock repurchase program.</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During fiscal 2018, the Company’s Board of Directors declared cash dividends on the following dates in the following amounts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25, 2018</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r>
        <w:trPr>
          <w:trHeight w:val="230"/>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25,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August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22, 2018</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220"/>
        <w:spacing w:after="0" w:line="279" w:lineRule="auto"/>
        <w:rPr>
          <w:sz w:val="20"/>
          <w:szCs w:val="20"/>
          <w:color w:val="auto"/>
        </w:rPr>
      </w:pPr>
      <w:r>
        <w:rPr>
          <w:rFonts w:ascii="Arial" w:cs="Arial" w:eastAsia="Arial" w:hAnsi="Arial"/>
          <w:sz w:val="17"/>
          <w:szCs w:val="17"/>
          <w:color w:val="auto"/>
        </w:rPr>
        <w:t>On October 24, 2018, NTIC’s Board of Directors declared a cash dividend of $0.12 per share of NTIC’s common stock, payable on November 21, 2018 to stockholders of record on November 7, 2018.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$680,502 on capital expenditures during fiscal 2018, which related primarily to the purchase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NTIC expects to spend an aggregate of approximately $600,000 to $900,000 on capital expenditures during fiscal 2019, which it expects will relate primarily to the purchase of new equipment.</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Set forth below is information concerning NTIC’s known contractual obligations as of August 31, 2018 that are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by year starting with the twelve months ending August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vMerge w:val="restart"/>
          </w:tcPr>
          <w:p>
            <w:pPr>
              <w:ind w:left="1540"/>
              <w:spacing w:after="0"/>
              <w:rPr>
                <w:sz w:val="20"/>
                <w:szCs w:val="20"/>
                <w:color w:val="auto"/>
              </w:rPr>
            </w:pPr>
            <w:r>
              <w:rPr>
                <w:rFonts w:ascii="Arial" w:cs="Arial" w:eastAsia="Arial" w:hAnsi="Arial"/>
                <w:sz w:val="18"/>
                <w:szCs w:val="18"/>
                <w:b w:val="1"/>
                <w:bCs w:val="1"/>
                <w:color w:val="auto"/>
              </w:rPr>
              <w:t>Contractual</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Less than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9"/>
              </w:rPr>
              <w:t>More than</w:t>
            </w:r>
          </w:p>
        </w:tc>
        <w:tc>
          <w:tcPr>
            <w:tcW w:w="0" w:type="dxa"/>
            <w:vAlign w:val="bottom"/>
          </w:tcPr>
          <w:p>
            <w:pPr>
              <w:spacing w:after="0"/>
              <w:rPr>
                <w:sz w:val="1"/>
                <w:szCs w:val="1"/>
                <w:color w:val="auto"/>
              </w:rPr>
            </w:pPr>
          </w:p>
        </w:tc>
      </w:tr>
      <w:tr>
        <w:trPr>
          <w:trHeight w:val="234"/>
        </w:trPr>
        <w:tc>
          <w:tcPr>
            <w:tcW w:w="4120" w:type="dxa"/>
            <w:vAlign w:val="bottom"/>
            <w:gridSpan w:val="2"/>
          </w:tcPr>
          <w:p>
            <w:pPr>
              <w:ind w:left="1560"/>
              <w:spacing w:after="0"/>
              <w:rPr>
                <w:sz w:val="20"/>
                <w:szCs w:val="20"/>
                <w:color w:val="auto"/>
              </w:rPr>
            </w:pPr>
            <w:r>
              <w:rPr>
                <w:rFonts w:ascii="Arial" w:cs="Arial" w:eastAsia="Arial" w:hAnsi="Arial"/>
                <w:sz w:val="18"/>
                <w:szCs w:val="18"/>
                <w:b w:val="1"/>
                <w:bCs w:val="1"/>
                <w:color w:val="auto"/>
              </w:rPr>
              <w:t>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3-5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 obligations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214,460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131,840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131,840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79,166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Inflation in the United States and abroad historically has had little effect on NTIC. Although NTIC’s business historically has not been seasonal, NTIC believes there is now some seasonality in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2018, NTIC had no borrowings under the line of credit.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9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NTIC established its joint venture network approximately 30 years ago as a method to increase its worldwide distribution network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20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subsidiaries, Northern Technologies Holding Company, LLC, NTIC (Shanghai) Co., Ltd., NTIC Europe GmbH and ZERUST-EXCOR MEXICO, S. de R.L. de C.V, and NTIC’s majority-owned subsidiary in Brazil, Zerust Prevenção de Corrosão S.A., NTIC’s majority-owned holding company, NTI Asean LLC, and NTIC’s majority-owned subsidiary in India, Natur-Tec India Private Limited. NTIC’s consolidated financial statements do not include the accounts of any of its joint ventures.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at Carrying Value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(excluding NTIC China, Zerust Brazil, Natur-Tec India, NTI Asean, Zerust Mexico, NTI Europe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2018, NTIC had no borrowings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8"/>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74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900" w:type="dxa"/>
            <w:vAlign w:val="bottom"/>
            <w:gridSpan w:val="9"/>
          </w:tcPr>
          <w:p>
            <w:pPr>
              <w:spacing w:after="0"/>
              <w:rPr>
                <w:sz w:val="20"/>
                <w:szCs w:val="20"/>
                <w:color w:val="auto"/>
              </w:rPr>
            </w:pPr>
            <w:r>
              <w:rPr>
                <w:rFonts w:ascii="Arial" w:cs="Arial" w:eastAsia="Arial" w:hAnsi="Arial"/>
                <w:sz w:val="18"/>
                <w:szCs w:val="18"/>
                <w:color w:val="auto"/>
              </w:rPr>
              <w:t>The following items are included herein: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196"/>
        </w:trPr>
        <w:tc>
          <w:tcPr>
            <w:tcW w:w="1090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Balance Sheets as of August 31, 2018 and 2017</w:t>
              </w:r>
            </w:hyperlink>
          </w:p>
        </w:tc>
        <w:tc>
          <w:tcPr>
            <w:tcW w:w="646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200" w:type="dxa"/>
            <w:vAlign w:val="bottom"/>
            <w:gridSpan w:val="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Operations for the years ended August 31, 2018 and 2017</w:t>
              </w:r>
            </w:hyperlink>
          </w:p>
        </w:tc>
        <w:tc>
          <w:tcPr>
            <w:tcW w:w="4700" w:type="dxa"/>
            <w:vAlign w:val="bottom"/>
            <w:gridSpan w:val="3"/>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120" w:type="dxa"/>
            <w:vAlign w:val="bottom"/>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Comprehensive Income for the years ended August 31, 2018 and 2017</w:t>
              </w:r>
            </w:hyperlink>
          </w:p>
        </w:tc>
        <w:tc>
          <w:tcPr>
            <w:tcW w:w="37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12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Equity for the years ended August 31, 2018 and 2017</w:t>
              </w:r>
            </w:hyperlink>
          </w:p>
        </w:tc>
        <w:tc>
          <w:tcPr>
            <w:tcW w:w="37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90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August 31, 2018 and 2017</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4660" w:type="dxa"/>
            <w:vAlign w:val="bottom"/>
            <w:gridSpan w:val="2"/>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66">
              <w:r>
                <w:rPr>
                  <w:rFonts w:ascii="Arial" w:cs="Arial" w:eastAsia="Arial" w:hAnsi="Arial"/>
                  <w:sz w:val="18"/>
                  <w:szCs w:val="18"/>
                  <w:color w:val="0000EE"/>
                  <w:w w:val="86"/>
                </w:rPr>
                <w:t>62-83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Northern Technologies International Corporation and Subsidiaries (the "Company") as of August 31, 2018 and 2017, the related consolidated statements of operations, comprehensive income, equity, and cash flows, for each of the two years in the period ended August 31, 2018, and the related notes (collectively referred to as the "consolidated financial statements"). We also have audited the Company’s internal control over financial reporting as of August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our opinion, the consolidated financial statements present fairly, in all material respects, the financial position of the Company as of August 31, 2018 and 2017, and the results of its operations and its cash flows for each of the two years in the period ended August 31, 2018, in conformity with accounting principles generally accepted in the United States of America. Also in our opinion, the Company maintained, in all material respects, effective internal control over financial reporting as of August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31, 2018</w:t>
            </w:r>
          </w:p>
        </w:tc>
        <w:tc>
          <w:tcPr>
            <w:tcW w:w="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August 31,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4,163,023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3,300,110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52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$50,000 as of August 31, 2018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$40,000 at August 31, 2017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9,920,108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5,912,631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1,357,255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9,130,861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1,661,577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30,567,773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26,067,618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22,950,995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1,551,536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25,812,637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23,185,413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3,905,034</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2,747,303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1,006,953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7,730,182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COMMITMENTS AND CONTINGENCIES (Note 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Common stock, $0.02 par value per share; authorized 15,000,000 shares as of August 31, 2018 and 10,000,000</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as of August 31, 2017; issued and outstanding 4,541,303 and 4,535,018, respectively</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90,826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14,619,777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14,163,509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41,963,341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37,077,483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(3,597,199)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53,076,745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48,860,628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55,819,054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51,718,076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704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48,516,749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36,346,645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2,908,072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3,222,478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51,424,821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39,569,123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34,165,440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26,316,511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17,259,381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13,252,612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from joint ventures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7,527,383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5,898,908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6,142,139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5,452,687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joint venture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13,669,522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11,351,595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Selling expenses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10,886,011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9,283,310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7,807,563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3,524,953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2,912,393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22,911,454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20,003,266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8,017,449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8,098,950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4,624,098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699,519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7,222,847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3,924,579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521,481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502,453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6,701,366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3,422,126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5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ASSUMED OUTSTANDING:</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4,538,838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4,528,611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4,685,202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4,577,359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3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7,222,847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3,924,579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OTHER COMPREHENSIVE INCOME (LOSS) – FOREIGN CURRENCY TRANSLATION ADJUSTMENT</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6,060,092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4,477,154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484,861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5,575,231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3,960,679</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YEARS ENDED AUGUST 31, 2018 AND 2017 </w:t>
      </w: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60" w:type="dxa"/>
            <w:vAlign w:val="bottom"/>
            <w:gridSpan w:val="5"/>
          </w:tcPr>
          <w:p>
            <w:pPr>
              <w:ind w:left="6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Retained</w:t>
            </w: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Controlling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4,533,416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13,798,567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33,655,357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(3,009,617)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2,540,973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47,075,948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(14,525)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Dividend received by non-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controlling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3,422,126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538,553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516,475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AT AUGUST 31, 2017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4,535,018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14,163,509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37,077,483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(2,471,064)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2,857,448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51,718,076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27,913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(1,815,508)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(1,815,508)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received by non-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controlling</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6,701,366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(1,126,135)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484,861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6,060,092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4,541,303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14,619,777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41,963,341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(3,597,199)</w:t>
            </w: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2,742,309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55,819,054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7,222,847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413,010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853,555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3,697,503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6,377,054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disposal of property and equipment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186,808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(4,372,619)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Trade,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(1,317,269)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1,641,132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1,720,376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5,735,691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(1,518,596)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Dividends paid on NTIC common stock</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(1,815,508)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(2,372,124)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2,964,927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6,360,201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4,163,023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 and market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services in over 60 countries either directly or via a network of joint ventures, independent distributors and agents. The Company’s</w:t>
      </w:r>
    </w:p>
    <w:p>
      <w:pPr>
        <w:ind w:right="160"/>
        <w:spacing w:after="0" w:line="247" w:lineRule="auto"/>
        <w:rPr>
          <w:sz w:val="20"/>
          <w:szCs w:val="20"/>
          <w:color w:val="auto"/>
        </w:rPr>
      </w:pPr>
      <w:r>
        <w:rPr>
          <w:rFonts w:ascii="Arial" w:cs="Arial" w:eastAsia="Arial" w:hAnsi="Arial"/>
          <w:sz w:val="16"/>
          <w:szCs w:val="16"/>
          <w:color w:val="auto"/>
        </w:rPr>
        <w:t>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certified compostable (fully</w:t>
      </w:r>
    </w:p>
    <w:p>
      <w:pPr>
        <w:spacing w:after="0" w:line="2" w:lineRule="exact"/>
        <w:rPr>
          <w:sz w:val="20"/>
          <w:szCs w:val="20"/>
          <w:color w:val="auto"/>
        </w:rPr>
      </w:pPr>
    </w:p>
    <w:p>
      <w:pPr>
        <w:ind w:right="460"/>
        <w:spacing w:after="0" w:line="234" w:lineRule="auto"/>
        <w:rPr>
          <w:sz w:val="20"/>
          <w:szCs w:val="20"/>
          <w:color w:val="auto"/>
        </w:rPr>
      </w:pPr>
      <w:r>
        <w:rPr>
          <w:rFonts w:ascii="Arial" w:cs="Arial" w:eastAsia="Arial" w:hAnsi="Arial"/>
          <w:sz w:val="16"/>
          <w:szCs w:val="16"/>
          <w:color w:val="auto"/>
        </w:rPr>
        <w:t>biodegradable) polymer resin compounds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These products are intended to reduce the Company’s customers’ carbon footprint and provide environmentally sound disposal options. The Company’s two operating segments are ZERUST and Natur-Tec.</w:t>
      </w:r>
    </w:p>
    <w:p>
      <w:pPr>
        <w:spacing w:after="0" w:line="204"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The Company participates, either directly or indirectly, in 20 active joint venture arrangements in North America, Europe and Asia. Each of these joint ventures generally manufactures and markets products in the geographic territory to which it is assigned. While most of the Company’s joint ventures</w:t>
      </w:r>
    </w:p>
    <w:p>
      <w:pPr>
        <w:spacing w:after="0" w:line="224" w:lineRule="auto"/>
        <w:rPr>
          <w:sz w:val="20"/>
          <w:szCs w:val="20"/>
          <w:color w:val="auto"/>
        </w:rPr>
      </w:pPr>
      <w:r>
        <w:rPr>
          <w:rFonts w:ascii="Arial" w:cs="Arial" w:eastAsia="Arial" w:hAnsi="Arial"/>
          <w:sz w:val="18"/>
          <w:szCs w:val="18"/>
          <w:color w:val="auto"/>
        </w:rPr>
        <w:t>exclusively sell rust and corrosion inhibiting products, some of the joint ventures also sell the Company’s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NTIC evaluates its voting and variable interests in entities on a qualitative and quantitative basis. NTIC consolidates entities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and, NTIC’s majority-owned subsidiary in India, Natur-Tec India Private Limited (Natur-Tec India), NTIC’s majority-owned subsidiary in Brazil, Zerust Prevenção de Corrosão S.A. (Zerust Brazil) and NTIC’s majority-owned holding company, NTI Asean LLC (NTI Asean). NTIC’s consolidated financial statements do not include the accounts of any of its joint ventures.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90% of Natur-Tec India, 85% of Zerust Brazil and 60% of NTI Asean. The remaining ownership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non-controlling interests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the Company maintains control.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6" w:name="page67"/>
    <w:bookmarkEnd w:id="66"/>
    <w:p>
      <w:pPr>
        <w:ind w:right="6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from the sale of its products when persuasive evidence of an arrangement exists, the product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delivered, the price is fixed and determinable and collection of the resulting receivable is reasonably assured. These criteria are met when risk of loss and title pass to the customer, distributor or joint venture entity. Sales and use taxes charged to customers are reported on a net basis.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Trade Receivable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$50,000 as of August 31, 2018 and $40,000 as of August 31, 2017.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Trade Receivables from Joint Ventures </w:t>
      </w:r>
      <w:r>
        <w:rPr>
          <w:rFonts w:ascii="Arial" w:cs="Arial" w:eastAsia="Arial" w:hAnsi="Arial"/>
          <w:sz w:val="16"/>
          <w:szCs w:val="16"/>
          <w:color w:val="auto"/>
        </w:rPr>
        <w:t>– Trade receivables from joint ventures arise from sales of products the Company makes to its joint ventures.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an allowance for doubtful accounts related to its joint venture receivables is not necessary as of August 31, 2018 or 2017.</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Fees for Services Provided to Joint Ventures – </w:t>
      </w:r>
      <w:r>
        <w:rPr>
          <w:rFonts w:ascii="Arial" w:cs="Arial" w:eastAsia="Arial" w:hAnsi="Arial"/>
          <w:sz w:val="17"/>
          <w:szCs w:val="17"/>
          <w:color w:val="auto"/>
        </w:rPr>
        <w:t>The Company provides services to its joint ventures including consulting, legal, travel, insurance,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ind w:right="4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net realizable value.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Buildings and improvements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Machinery and equipment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Patents and Trademarks </w:t>
      </w:r>
      <w:r>
        <w:rPr>
          <w:rFonts w:ascii="Arial" w:cs="Arial" w:eastAsia="Arial" w:hAnsi="Arial"/>
          <w:sz w:val="17"/>
          <w:szCs w:val="17"/>
          <w:color w:val="auto"/>
        </w:rPr>
        <w:t>– Patents and Trademarks, including acquisition costs, are stated at cost, less accumulated amortization. Amortization is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Investments in Joint Ventures </w:t>
      </w:r>
      <w:r>
        <w:rPr>
          <w:rFonts w:ascii="Arial" w:cs="Arial" w:eastAsia="Arial" w:hAnsi="Arial"/>
          <w:sz w:val="16"/>
          <w:szCs w:val="16"/>
          <w:color w:val="auto"/>
        </w:rPr>
        <w:t>- Investments in the Company’s joint ventures are accounted for using the equity method. Under the equity method,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recorded at cost and are adjusted for dividends, distributed and undistributed earnings and losses, changes in foreign currency exchange rates and additional investments. In the event the Company’s share of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have positive equity as of August 31, 2018 and 2017. The Company considers any of its joint ventures to be significant and discloses entity specific financial information if the joint venture’s income or assets make up more than 20% of the Company’s total assets or income.</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classifies distributions received from its joint ventures based on the nature of the distributions, generally, as a return on its investment in operating activities on the consolidated statements of cash flows.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right="8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asset and liability method of accounting for income taxes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makes an adjustment to the deferred tax asset valuation allowance, which would reduce the provision for income taxes.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Foreign Currency Translation (Accumulated Other Comprehensive Income (Loss)) </w:t>
      </w:r>
      <w:r>
        <w:rPr>
          <w:rFonts w:ascii="Arial" w:cs="Arial" w:eastAsia="Arial" w:hAnsi="Arial"/>
          <w:sz w:val="16"/>
          <w:szCs w:val="16"/>
          <w:color w:val="auto"/>
        </w:rPr>
        <w:t>- The functional currency of NTIC China, Zerust Brazil, Natur-Tec India,</w:t>
      </w:r>
      <w:r>
        <w:rPr>
          <w:rFonts w:ascii="Arial" w:cs="Arial" w:eastAsia="Arial" w:hAnsi="Arial"/>
          <w:sz w:val="16"/>
          <w:szCs w:val="16"/>
          <w:i w:val="1"/>
          <w:iCs w:val="1"/>
          <w:color w:val="auto"/>
        </w:rPr>
        <w:t xml:space="preserve"> </w:t>
      </w:r>
      <w:r>
        <w:rPr>
          <w:rFonts w:ascii="Arial" w:cs="Arial" w:eastAsia="Arial" w:hAnsi="Arial"/>
          <w:sz w:val="16"/>
          <w:szCs w:val="16"/>
          <w:color w:val="auto"/>
        </w:rPr>
        <w:t>Zerust Mexico,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(excluding NTIC China, Zerust Brazil, Natur-Tec India, NTI Asean, Zerust Mexico, NTI Europe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from joint ventures reflected in the Company’s consolidated statements of operations.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ind w:right="4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 of cash and cash equivalents, available for sale securities, short-term accounts and notes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payable, trade accounts payables, and other accrued expenses approximate fair value because of the short maturity of those instruments.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Company issues authorized but unissued shares of common stock upon the exercise of stock options.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The Company has evaluated events occurring after the date of the consolidated financial statements for events requiring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consolidated financial statements in conformity with accounting principles generally accepted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2015, the Financial Accounting Standards Board (FASB) issued Accounting Standards Update (ASU) No. 2015-11, “</w:t>
      </w:r>
      <w:r>
        <w:rPr>
          <w:rFonts w:ascii="Arial" w:cs="Arial" w:eastAsia="Arial" w:hAnsi="Arial"/>
          <w:sz w:val="17"/>
          <w:szCs w:val="17"/>
          <w:i w:val="1"/>
          <w:iCs w:val="1"/>
          <w:color w:val="auto"/>
        </w:rPr>
        <w:t>Inventory</w:t>
      </w:r>
      <w:r>
        <w:rPr>
          <w:rFonts w:ascii="Arial" w:cs="Arial" w:eastAsia="Arial" w:hAnsi="Arial"/>
          <w:sz w:val="17"/>
          <w:szCs w:val="17"/>
          <w:color w:val="auto"/>
        </w:rPr>
        <w:t>,” which modifies the subsequent measurement of inventories recorded under a first-in-first-out or average cost method. Under the new standard, such inventories are required to be measured at the lower of cost and net realizable value. The Company has adopted this new standard in the first quarter of fiscal 2018 on a prospective basis. The adoption of this standard did not have a material impact on the Company’s consolidated financial statements.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March 2016, the FASB issued ASU No.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Method of Accounting.</w:t>
      </w:r>
      <w:r>
        <w:rPr>
          <w:rFonts w:ascii="Arial" w:cs="Arial" w:eastAsia="Arial" w:hAnsi="Arial"/>
          <w:sz w:val="17"/>
          <w:szCs w:val="17"/>
          <w:color w:val="auto"/>
        </w:rPr>
        <w:t>” Among other things, the amendments in ASU 2016-07 eliminate the requirement that when an investment qualifies for use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Company adopted this new standard in the first quarter of fiscal 2018 on a prospective basis. The adoption of this standard did not have a material impact on the Company’s consolidated financial statements.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0" w:name="page71"/>
    <w:bookmarkEnd w:id="70"/>
    <w:p>
      <w:pPr>
        <w:jc w:val="both"/>
        <w:ind w:right="14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which is intended to simplify several aspects of the accounting for share-based payment award transactions. The Company adopted this new guidance in the first quarter of fiscal 2018. The adoption of this guidance did not have a material effect on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guidance creating Accounting Standards Codification (ASC) Section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which establishes a comprehensive new model for the recognition of revenue from contracts with customers. This model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core principle that revenue should be recognized to depict the transfer of promised goods or services to customers in an amount that reflects the consideration to which the entity expects to be entitled in exchange for those goods or services. The Company has performed a review of the requirements of the new guidance and has identified which of its revenue streams will be within the scope of ASC 606. The Company has applied the five-step model of the new standard to a selection of contracts within each of its revenue streams and has compared the results to its current accounting practices. The Company is expecting to utilize the modified retrospective transition method of adoption. The Company is continuing to work through the remaining steps of the adoption plan to facilitate adoption effective September 1, 2018. As part of this, the Company is assessing changes that might be necessary to information technology systems, processes, and internal controls to capture new data and address changes in financial reporting. The Company will be revising its revenue recognition accounting policy and expanding revenue disclosures to reflect the requirements of ASC 606, which include disclosures related to the nature, amount, timing and uncertainty of revenue and cash flows arising from contracts with customers. Additionally, qualitative and quantitative disclosures are required about customer contracts, significant judgments and assets recognized from the costs to obtain or fulfill a contract. Based on its assessment to date, the Company does not expect the adoption of this standard to have a material impact on the way it recognizes revenue.</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more than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2020. The Company is currently assessing the effect that ASU No. 2016-02 will have on its consolidated financial statements.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ASU No. 2016-15 eliminates the diversity in practice related to the classification of certain cash receipts and payments for debt prepayments or extinguishment costs, the maturing of a zero-coupon bond, the settlement of contingent liabilities arising from a business combination, proceeds from insurance settlements, distributions from certain equity method investees and beneficial interests obtained in a financial asset securitization. ASU No. 2016-15 designates the appropriate cash flow classification, including requirements to allocate certain components of these cash receipts and payments among operating, investing and financing activities. The guidance is effective for fiscal years beginning after December 15, 2017. Early adoption is permitted. The Company is currently evaluating the effects of adopting ASU No. 2016-15 on its consolidated financial statements.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xml:space="preserve"> (Topic 220) </w:t>
      </w:r>
      <w:r>
        <w:rPr>
          <w:rFonts w:ascii="Arial" w:cs="Arial" w:eastAsia="Arial" w:hAnsi="Arial"/>
          <w:sz w:val="17"/>
          <w:szCs w:val="17"/>
          <w:i w:val="1"/>
          <w:iCs w:val="1"/>
          <w:color w:val="auto"/>
        </w:rPr>
        <w:t>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December 2017, the Securities and Exchange Commission (SEC) issued Staff Accounting Bulletin (SAB) No. 118 (as further clarified by FASB ASU No. 2018-05,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“Amendments to SEC Paragraphs Pursuant to SEC Staff Accounting Bulletin No. 118”) to provide guidance for companies that may not have completed their accounting for the income tax effects of the Tax Reform Act in the period of enactment, which is the period that includes December 22, 2017. SAB No. 118 provides for a provisional one-year measurement period for entities to finalize their accounting for certain income tax effects related to the Tax Reform Act. SAB No. 118 provides guidance where: (i) the accounting for the income tax effect of the Tax Reform Act is complete and reported in the Tax Reform Act’s enactment period, (ii) the accounting for the income tax effect of the Tax Reform Act is incomplete and reported as provisional amounts based on reasonable estimates (to the extent determinable) subject to adjustments during a limited measurement period until complete, and (iii) accounting for the income tax effect of the Tax Reform Act is not reasonably estimable (no related provisional amounts are reported in the enactment period) and entities would continue to apply accounting based on tax law provisions in effect prior to the Tax Reform Act enactment until provisional amounts are reasonably estimable. SAB No. 118 requires disclosure of the reasons for incomplete accounting additional information or analysis needed, among other relevant information (see Note 14 - Income Taxes).</w:t>
      </w:r>
    </w:p>
    <w:p>
      <w:pPr>
        <w:spacing w:after="0" w:line="1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38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538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1,746,916</w:t>
            </w:r>
          </w:p>
        </w:tc>
      </w:tr>
      <w:tr>
        <w:trPr>
          <w:trHeight w:val="230"/>
        </w:trPr>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2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7,306,372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5,709,636</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9,130,861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7,456,552</w:t>
            </w:r>
          </w:p>
        </w:tc>
      </w:tr>
      <w:tr>
        <w:trPr>
          <w:trHeight w:val="20"/>
        </w:trPr>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31, 2018</w:t>
            </w:r>
          </w:p>
        </w:tc>
        <w:tc>
          <w:tcPr>
            <w:tcW w:w="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August 31, 2017</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3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6,927,484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6,847,177</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4,680,072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4,171,387</w:t>
            </w:r>
          </w:p>
        </w:tc>
      </w:tr>
      <w:tr>
        <w:trPr>
          <w:trHeight w:val="210"/>
        </w:trPr>
        <w:tc>
          <w:tcPr>
            <w:tcW w:w="54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11,917,921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11,328,929</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(3,969,267)</w:t>
            </w:r>
          </w:p>
        </w:tc>
      </w:tr>
      <w:tr>
        <w:trPr>
          <w:trHeight w:val="223"/>
        </w:trPr>
        <w:tc>
          <w:tcPr>
            <w:tcW w:w="5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r>
      <w:tr>
        <w:trPr>
          <w:trHeight w:val="20"/>
        </w:trPr>
        <w:tc>
          <w:tcPr>
            <w:tcW w:w="5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628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2,824,440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2,737,959</w:t>
            </w:r>
          </w:p>
        </w:tc>
      </w:tr>
      <w:tr>
        <w:trPr>
          <w:trHeight w:val="23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(1,415,870)</w:t>
            </w:r>
          </w:p>
        </w:tc>
      </w:tr>
      <w:tr>
        <w:trPr>
          <w:trHeight w:val="223"/>
        </w:trPr>
        <w:tc>
          <w:tcPr>
            <w:tcW w:w="62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r>
      <w:tr>
        <w:trPr>
          <w:trHeight w:val="20"/>
        </w:trPr>
        <w:tc>
          <w:tcPr>
            <w:tcW w:w="6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$252,313 and $119,033 for the years ended August 31, 2018 and 2017, respectively. Amortization expense is estimated to approximate $260,000 in each of the next five fiscal years.</w:t>
      </w:r>
    </w:p>
    <w:p>
      <w:pPr>
        <w:spacing w:after="0" w:line="18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that remain on the balance sheet on sales from the Company to its joint ventures and from joint ventures to other joint ventures have been eliminated for financial reporting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ventures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2018</w:t>
            </w:r>
          </w:p>
        </w:tc>
        <w:tc>
          <w:tcPr>
            <w:tcW w:w="11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58,086,747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27,354,788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30,731,959</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62,803,261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30,033,750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32,769,511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4,535,954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11,455,932</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403,653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46,407,722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25,497,796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20,909,926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22,950,995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12,748,899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10,195,263</w:t>
            </w: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20,921,783</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12,717,994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8,203,789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2018</w:t>
            </w:r>
          </w:p>
        </w:tc>
      </w:tr>
      <w:tr>
        <w:trPr>
          <w:trHeight w:val="223"/>
        </w:trPr>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120,060,897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47,537,949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72,522,948</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53,348,459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25,584,666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27,763,793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15,300,276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11,095,523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4,204,753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7,527,383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5,549,765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1,977,618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Northern Technologies International Corporation’s dividends received from joint ventures</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3,697,503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2,357,544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1,339,959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2017</w:t>
            </w:r>
          </w:p>
        </w:tc>
        <w:tc>
          <w:tcPr>
            <w:tcW w:w="11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51,518,210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22,142,514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29,375,696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55,633,891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24,301,194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31,332,697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10,648,507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181,210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40,334,607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19,831,627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20,502,980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20,035,074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9,915,816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10,119,258</w:t>
            </w: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17,960,860</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9,884,911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8,075,949</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Fiscal Year Ended August 31, 2017</w:t>
            </w:r>
          </w:p>
        </w:tc>
      </w:tr>
      <w:tr>
        <w:trPr>
          <w:trHeight w:val="223"/>
        </w:trPr>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101,261,132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39,849,757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61,411,375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44,861,300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21,133,632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23,727,668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11,839,933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8,369,728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3,470,205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5,898,908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4,185,988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1,712,920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Northern Technologies International Corporation’s dividends received from joint ventures</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6,377,054</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5,379,062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fiscal 2018 or fiscal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both August 31, 2018 and 2017.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The line of credit matures on January 7, 2019.</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2018, the Company was in compliance with all debt covenants.</w:t>
      </w:r>
    </w:p>
    <w:p>
      <w:pPr>
        <w:spacing w:after="0" w:line="18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August 31, 2018 and 2017 with PNC Bank. The availability of advances under the line of credit are reduced by the face amount of any letter of credit issued and outstanding (whether or not drawn) under the revolving credit facility.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August 31, 2018, the Company had $88,831 of letters of credit with JP Morgan Chase Bank that are performance based and set to expire between 2020 and 2022.</w:t>
      </w:r>
    </w:p>
    <w:p>
      <w:pPr>
        <w:spacing w:after="0" w:line="16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2018,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25, 2018</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r>
        <w:trPr>
          <w:trHeight w:val="230"/>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25,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August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22, 2018</w:t>
            </w: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2018, up to $2,640,548 in shares of common stock remained available for repurchase under the stock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the Company did not repurchase or retire any shares of its common stock.</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2018, stock options to purchase an aggregate of 6,407 shares of common stock were exercised at a weighted average exercise price of $11.59 per share, some of the shares were cashless exercises, the resulting net shares issued were 4,410.</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During fiscal 2017, the Company repurchased and retired 14,525 shares of its common stock at an average price of $13.51 per share. During fiscal 2017, stock options to purchase an aggregate of 12,000 shares of common stock at an exercise price of $10.25 per share were exercised.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both"/>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56,677 shares of its common stock to various employees and directors during fiscal 2017. The weighted average per share exercise price of the stock options is $13.40, which was equal to the fair market value of the Company’s common stock on the date of grant.</w:t>
      </w:r>
    </w:p>
    <w:p>
      <w:pPr>
        <w:spacing w:after="0" w:line="18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held its 2018 Annual Meeting of Stockholders (2018 Annual Meeting) on January 12, 2018. At the 2018 Annual Meeting, a proposal to approve an amendment to the Company’s Restated Certificate of Incorporation to increase the Company’s authorized shares of common stock from 10,000,000 to 15,000,000 (Share Increase Amendment) was approved by the Company’s stockholders by the required vote. The Share Increase Amendment was filed with the Office of the Secretary of State of the State of Delaware on January 16, 2018 and it became effective the same day. In determining that the Share Increase Amendment was approved by the required vote, votes cast by brokers, banks or other nominees without instruction from the beneficial owners of certain of our outstanding shares were counted in favor of the proposal in accordance with the rules of the New York Stock Exchange that govern how brokers may cast such votes. Because a disclosure in the definitive proxy statement for the 2018 Annual Meeting, which was filed on Schedule 14A with the Securities and Exchange Commission (SEC) on November 27, 2017 (2018 Proxy Statement), anticipated that brokers would not have discretion to vote for the proposal to approve the Share Increase Amendment, a question has been raised as to the validity of the vote taken on the proposal to approve the Share Increase Amendment. The Company believes that the Share Increase Amendment was properly approved and is effective. However, because the description of the authority of brokers to vote on proposals without instruction in the 2018 Proxy Statement may create some uncertainty as to the effect of the vote obtained at the 2018 Annual Meeting and out of an abundance of caution, the Company intends to ask its stockholders at either a special meeting or the next annual meeting of the Company’s stockholders to ratify the filing and effectiveness of the Share Increase Amendment pursuant to Delaware law in order to eliminate any uncertainty related to the effectiveness of the Share Increase Amendment. The Company has not issued, or reserved for issuance, and will not issue, or reserve for issuance, any of the additional 5,000,000 authorized shares as part of the Share Increase Amendment unless the vote at the special or annual meeting of the Company’s stockholders is in favor of the ratification of the Share Increase Amendment.</w:t>
      </w:r>
    </w:p>
    <w:p>
      <w:pPr>
        <w:spacing w:after="0" w:line="17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earnings per share computation: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7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2018</w:t>
            </w: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6,701,366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Basic-weighted shares outstanding</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4,538,838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4,528,611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4,685,202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4,577,359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no shares excluded from the computation of diluted income per share as of August 31, 2018. Excluded from the computation of diluted earnings per share as of August 31, 2017 were options outstanding to purchase 48,067 shares of common stock.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 these plans.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August 31, 2018, only stock options and stock bonuses had been granted under the 2007 Plan.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985 and 1,098 shares on March 1, 2018 and 2017, and 890 and 3,029 shares on September 1, 2017 and 2016, respectively, under the ESPP.</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risk-free interest rate is based on U.S. treasury rates appropriate for the expected term. Dividend yield and expected volatility are estimated using historical amounts that are anticipated to be consistent with current values. Expected life of the option is based on the life of the option agreements. Based on these valuations, the Company recognized compensation expense of $413,010 and $391,664 during fiscal 2018 and fiscal 2017, respectively, related to the options that vested during such time. As of August 31, 2018, the total compensation cost for non-vested options not yet recognized in the Company’s consolidated statements of operations was $219,135. Stock-based compensation expense of $153,901 and $65,234 is expected to be recognized during fiscal 2019 and 2020, respectively, based on outstanding options as of August 31, 2018. Future option grants will impact the compensation expense recognized. Stock-based compensation expense is included in general and administrative expense on the consolidated statements of operations.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August 31, 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2.18%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45.9%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3"/>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1.87%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3"/>
              </w:rPr>
              <w:t>1.63%</w:t>
            </w:r>
          </w:p>
        </w:tc>
        <w:tc>
          <w:tcPr>
            <w:tcW w:w="0" w:type="dxa"/>
            <w:vAlign w:val="bottom"/>
          </w:tcPr>
          <w:p>
            <w:pPr>
              <w:spacing w:after="0"/>
              <w:rPr>
                <w:sz w:val="1"/>
                <w:szCs w:val="1"/>
                <w:color w:val="auto"/>
              </w:rPr>
            </w:pPr>
          </w:p>
        </w:tc>
      </w:tr>
      <w:tr>
        <w:trPr>
          <w:trHeight w:val="418"/>
        </w:trPr>
        <w:tc>
          <w:tcPr>
            <w:tcW w:w="71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48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7"/>
                <w:szCs w:val="17"/>
                <w:color w:val="auto"/>
              </w:rPr>
            </w:pPr>
          </w:p>
        </w:tc>
        <w:tc>
          <w:tcPr>
            <w:tcW w:w="1440" w:type="dxa"/>
            <w:vAlign w:val="bottom"/>
            <w:gridSpan w:val="4"/>
          </w:tcPr>
          <w:p>
            <w:pPr>
              <w:jc w:val="center"/>
              <w:ind w:right="120"/>
              <w:spacing w:after="0" w:line="202" w:lineRule="exact"/>
              <w:rPr>
                <w:sz w:val="20"/>
                <w:szCs w:val="20"/>
                <w:color w:val="auto"/>
              </w:rPr>
            </w:pPr>
            <w:r>
              <w:rPr>
                <w:rFonts w:ascii="Arial" w:cs="Arial" w:eastAsia="Arial" w:hAnsi="Arial"/>
                <w:sz w:val="18"/>
                <w:szCs w:val="18"/>
                <w:b w:val="1"/>
                <w:bCs w:val="1"/>
                <w:color w:val="auto"/>
                <w:w w:val="87"/>
              </w:rPr>
              <w:t>Average Exercise</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August 31, 2016</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283,181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56,677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Options terminated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Outstanding at August 31, 2017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307,858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348,703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7,737,763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267,850</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6,007,547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per share fair value of options granted during fiscal 2018 and fiscal 2017 was $7.75 and $7.69, respectively. The weighted average remaining contractual life of the options outstanding and exercisable options outstanding as of August 31, 2018 and 2017 was 6.27 years and 5.60 years, respectively.</w:t>
      </w:r>
    </w:p>
    <w:p>
      <w:pPr>
        <w:spacing w:after="0" w:line="177"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60"/>
        <w:spacing w:after="0" w:line="252" w:lineRule="auto"/>
        <w:rPr>
          <w:sz w:val="20"/>
          <w:szCs w:val="20"/>
          <w:color w:val="auto"/>
        </w:rPr>
      </w:pPr>
      <w:r>
        <w:rPr>
          <w:rFonts w:ascii="Arial" w:cs="Arial" w:eastAsia="Arial" w:hAnsi="Arial"/>
          <w:sz w:val="16"/>
          <w:szCs w:val="16"/>
          <w:color w:val="auto"/>
        </w:rPr>
        <w:t>The Company’s chief operating decision maker (CODM) is its Chief Executive Officer. The Company’s business is organized into two reportable segments: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Natur-Tec</w:t>
      </w:r>
      <w:r>
        <w:rPr>
          <w:rFonts w:ascii="Arial" w:cs="Arial" w:eastAsia="Arial" w:hAnsi="Arial"/>
          <w:sz w:val="26"/>
          <w:szCs w:val="26"/>
          <w:color w:val="auto"/>
          <w:vertAlign w:val="superscript"/>
        </w:rPr>
        <w:t>®</w:t>
      </w:r>
      <w:r>
        <w:rPr>
          <w:rFonts w:ascii="Arial" w:cs="Arial" w:eastAsia="Arial" w:hAnsi="Arial"/>
          <w:sz w:val="16"/>
          <w:szCs w:val="16"/>
          <w:color w:val="auto"/>
        </w:rPr>
        <w:t>.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w:t>
      </w:r>
    </w:p>
    <w:p>
      <w:pPr>
        <w:spacing w:after="0" w:line="3" w:lineRule="exact"/>
        <w:rPr>
          <w:sz w:val="20"/>
          <w:szCs w:val="20"/>
          <w:color w:val="auto"/>
        </w:rPr>
      </w:pPr>
    </w:p>
    <w:p>
      <w:pPr>
        <w:ind w:right="140"/>
        <w:spacing w:after="0" w:line="205" w:lineRule="auto"/>
        <w:rPr>
          <w:sz w:val="20"/>
          <w:szCs w:val="20"/>
          <w:color w:val="auto"/>
        </w:rPr>
      </w:pPr>
      <w:r>
        <w:rPr>
          <w:rFonts w:ascii="Arial" w:cs="Arial" w:eastAsia="Arial" w:hAnsi="Arial"/>
          <w:sz w:val="18"/>
          <w:szCs w:val="18"/>
          <w:color w:val="auto"/>
        </w:rPr>
        <w:t>industry. The Company also sells a portfolio of bio-based and compostable (fully biodegradable) polymer resins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w w:val="96"/>
              </w:rPr>
              <w:t>The following tables present the Company’s business segment information in fiscal 2018 and fiscal 2017:</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2017</w:t>
            </w:r>
          </w:p>
        </w:tc>
      </w:tr>
      <w:tr>
        <w:trPr>
          <w:trHeight w:val="237"/>
        </w:trPr>
        <w:tc>
          <w:tcPr>
            <w:tcW w:w="8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41,374,305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32,789,283</w:t>
            </w:r>
          </w:p>
        </w:tc>
      </w:tr>
      <w:tr>
        <w:trPr>
          <w:trHeight w:val="270"/>
        </w:trPr>
        <w:tc>
          <w:tcPr>
            <w:tcW w:w="810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4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10,050,516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6,779,840</w:t>
            </w: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51,424,821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r>
      <w:tr>
        <w:trPr>
          <w:trHeight w:val="20"/>
        </w:trPr>
        <w:tc>
          <w:tcPr>
            <w:tcW w:w="8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w w:val="95"/>
              </w:rPr>
              <w:t>The following table sets forth the Company’s cost of goods sold for fiscal 2018 and fiscal 2017 by segment: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2017</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ZERUST®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24,326,493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18,996,264</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7,303,439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4,925,061</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2,535,508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2,395,186</w:t>
            </w: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cost of goods sold</w:t>
            </w: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34,165,440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26,316,511</w:t>
            </w:r>
          </w:p>
        </w:tc>
      </w:tr>
      <w:tr>
        <w:trPr>
          <w:trHeight w:val="20"/>
        </w:trPr>
        <w:tc>
          <w:tcPr>
            <w:tcW w:w="8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Net sales by geographic location were as follows: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7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25,301,243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21,787,694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Outside the U.S.A. to: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2,908,072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3,222,478</w:t>
            </w:r>
          </w:p>
        </w:tc>
      </w:tr>
      <w:tr>
        <w:trPr>
          <w:trHeight w:val="230"/>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Unaffiliated customers</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23,215,506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14,558,951</w:t>
            </w:r>
          </w:p>
        </w:tc>
      </w:tr>
      <w:tr>
        <w:trPr>
          <w:trHeight w:val="223"/>
        </w:trPr>
        <w:tc>
          <w:tcPr>
            <w:tcW w:w="7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51,424,821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39,569,123</w:t>
            </w:r>
          </w:p>
        </w:tc>
      </w:tr>
      <w:tr>
        <w:trPr>
          <w:trHeight w:val="20"/>
        </w:trPr>
        <w:tc>
          <w:tcPr>
            <w:tcW w:w="7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2018 and fiscal 2017,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Fiscal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Fiscal 2017</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838,628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Poland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775,319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661,226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759,418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641,699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Sweden</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472,819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410,842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Thailand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429,319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448,013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Czech</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314,834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South Korea</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376,002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322,677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United Kingdom</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295,761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292,225</w:t>
            </w:r>
          </w:p>
        </w:tc>
      </w:tr>
      <w:tr>
        <w:trPr>
          <w:trHeight w:val="23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358,747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377,961</w:t>
            </w:r>
          </w:p>
        </w:tc>
      </w:tr>
      <w:tr>
        <w:trPr>
          <w:trHeight w:val="223"/>
        </w:trPr>
        <w:tc>
          <w:tcPr>
            <w:tcW w:w="490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6,142,139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5,452,687</w:t>
            </w:r>
          </w:p>
        </w:tc>
      </w:tr>
      <w:tr>
        <w:trPr>
          <w:trHeight w:val="20"/>
        </w:trPr>
        <w:tc>
          <w:tcPr>
            <w:tcW w:w="4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9"/>
              </w:rPr>
              <w:t>See Note 6 for additional details on geographical information regarding equity in income from joint ventures.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The geographical distribution of total long-lived assets and net sales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At August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At August 31,</w:t>
            </w:r>
          </w:p>
        </w:tc>
      </w:tr>
      <w:tr>
        <w:trPr>
          <w:trHeight w:val="234"/>
        </w:trPr>
        <w:tc>
          <w:tcPr>
            <w:tcW w:w="8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228,458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71,677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54,646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India</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14,712</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6,862,381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7,047,675</w:t>
            </w: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94"/>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Fiscal Year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85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Ended August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 August</w:t>
            </w:r>
          </w:p>
        </w:tc>
      </w:tr>
      <w:tr>
        <w:trPr>
          <w:trHeight w:val="234"/>
        </w:trPr>
        <w:tc>
          <w:tcPr>
            <w:tcW w:w="8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31, 2017</w:t>
            </w: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12,507,039</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7,225,659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3,093,697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2,394,730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3,052,741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1,816,929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7,470,101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6,344,111</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25,301,243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21,787,694</w:t>
            </w: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51,424,821</w:t>
            </w:r>
          </w:p>
        </w:tc>
        <w:tc>
          <w:tcPr>
            <w:tcW w:w="1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39,569,123</w:t>
            </w: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w:t>
      </w:r>
    </w:p>
    <w:p>
      <w:pPr>
        <w:spacing w:after="0" w:line="120"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$219,379 and $202,559 for fiscal 2018 and fiscal 2017, respectively.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2018 and fiscal 2017, the Company made consulting payments of $144,000 and $137,666, respectively, to Bioplastic Polymers LLC, an entity owned by Ramani Narayan, Ph.D., a director of the Company, and paid royalties of $0 and $10,136, respectively, based on net sales of the Company’s bioplastics products.</w:t>
      </w:r>
    </w:p>
    <w:p>
      <w:pPr>
        <w:spacing w:after="0" w:line="177"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or Tax Reform Act. The Tax Reform Act makes broad and complex changes to the U.S. tax code that will affect the Company’s fiscal year ending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 The Company is subject to a blended U.S. federal tax rate of 25.7% for the fiscal year ending August 31, 2018 as a result of the reduction of the U.S. federal corporate tax rate from 35% to 21% effective January 1, 2018.</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Company recognized provisional amounts for certain income tax effects of the Tax Reform Act in its 2018 interim consolidated financial statements for the period ended February 28, 2018 in accordance with SAB No. 118, which provides SEC staff guidance for the application of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in the reporting period in which the Tax Reform Act was signed into law. SAB No. 118 provides a one-year measurement period beginning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enactment of the Tax Reform Act during which the Company can record adjustments to the provisional amounts previously recorded. Accordingly, the Company’s deferred tax assets and liabilities were re-measured to reflect the reduction in the U.S. corporate income tax rate from 35% to 21% effective January 1, 2018 resulting in provisional income tax expense of $700,000, and a corresponding decrease of $700,000 in net deferred tax assets recognized during the year ended August 31, 2018.</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the Company calculated a provisional deemed repatriation tax of $489,000, which the Company expects to fully offset with foreign tax credit carryforwards for which the Company had not previously recognized a tax benefit, resulting in no change in income tax expense for the year ended August 31, 2018.</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completed its accounting for the income tax effects of the Tax Reform Act during the three months ended August 31, 2018. For fiscal 2018, the Company recorded tax expense of $632,523 due to the re-measurement of the Company’s net deferred tax assets to reflect the reduction in the U.S. corporate income tax rate which included income tax expense of $700,000 recognized during the interim period ended February 28, 2018, and a tax benefit of $67,477 recorded upon completion of the accounting for the income tax effects of the Tax Reform Act during the three months ended August 31, 2018. The re-measurement of the Company’s net deferred tax assets to reflect the reduction in the U.S. corporate income tax rate increased the Company’s fiscal 2018 effective tax rate by approximately 7.8%.</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the Company completed its accounting for the deemed repatriation tax during the year ended August 31, 2018. The Company recognized deemed repatriation tax of $604,000 for fiscal 2018, which was fully offset with foreign tax credit carryforwards for which the Company had not previously recognized a tax benefit, resulting in no change to income tax expense for fiscal 2018 due to the utilization of foreign tax credit carryforwards.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w w:val="93"/>
              </w:rPr>
              <w:t>The provision for income taxes for the fiscal years ended August 31, 2018 and 2017 approximates the following: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c>
          <w:tcPr>
            <w:tcW w:w="0" w:type="dxa"/>
            <w:vAlign w:val="bottom"/>
          </w:tcPr>
          <w:p>
            <w:pPr>
              <w:spacing w:after="0"/>
              <w:rPr>
                <w:sz w:val="1"/>
                <w:szCs w:val="1"/>
                <w:color w:val="auto"/>
              </w:rPr>
            </w:pPr>
          </w:p>
        </w:tc>
      </w:tr>
      <w:tr>
        <w:trPr>
          <w:trHeight w:val="223"/>
        </w:trPr>
        <w:tc>
          <w:tcPr>
            <w:tcW w:w="83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754,000</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672,000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477,000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(25.7% in fiscal 2018 and 35% in fiscal 2017) with the provisions for income taxes for the fiscal years ended August 31, 2018 and 2017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7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 and investment at carrying value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3,159,000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Deemed repatriation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4,011,000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Deferred rate change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633,000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r>
      <w:tr>
        <w:trPr>
          <w:trHeight w:val="223"/>
        </w:trPr>
        <w:tc>
          <w:tcPr>
            <w:tcW w:w="7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700,000</w:t>
            </w:r>
          </w:p>
        </w:tc>
      </w:tr>
      <w:tr>
        <w:trPr>
          <w:trHeight w:val="20"/>
        </w:trPr>
        <w:tc>
          <w:tcPr>
            <w:tcW w:w="7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has not provided U.S. income taxes or foreign withholding taxes with respect to its portion of the cumulative undistributed earnings of certain foreign subsidiaries and joint ventures that are essentially permanent in duration. The Tax Reform Act generally eliminated U.S. federal income taxes on dividends received from the Company’s foreign subsidiaries and joint ventures after December 31, 2017. However, the Company will still be subject to foreign withholding taxes upon repatriation of any undistributed earnings that are not essentially permanent in duration. The Company recorded tax expense of $79,000 and $3,000 during fiscal 2018 and fiscal 2017, respectively, representing foreign withholding taxes to be paid with respect to the portion of the cumulative undistributed earnings of foreign subsidiaries and joint ventures that the Company determined were not essentially permanent in duration.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right="120"/>
        <w:spacing w:after="0" w:line="264"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2018 and 2017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August 31,</w:t>
            </w:r>
          </w:p>
        </w:tc>
        <w:tc>
          <w:tcPr>
            <w:tcW w:w="9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430,600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Inventory costs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58,900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87,000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joint venture expenses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63,700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74,000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695,800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1,317,700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241,600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5,789,600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6,105,700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credit and loss carryforwards</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3,241,200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3,473,100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10,477,300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11,624,600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(9,578,700)</w:t>
            </w: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after valuation allowance</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1,822,800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2,045,900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(206,000)</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w:t>
            </w:r>
          </w:p>
        </w:tc>
      </w:tr>
      <w:tr>
        <w:trPr>
          <w:trHeight w:val="210"/>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2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(289,300)</w:t>
            </w: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1,552,000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1,756,600</w:t>
            </w:r>
          </w:p>
        </w:tc>
      </w:tr>
      <w:tr>
        <w:trPr>
          <w:trHeight w:val="20"/>
        </w:trPr>
        <w:tc>
          <w:tcPr>
            <w:tcW w:w="6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August 31, 2018, the Company had foreign tax credit carryforwards of approximately $5,789,600 which will begin to expire if not utilized prior to August 31, 2021. In addition, the Company had federal and state tax credit carryforwards of $2,865,000 as of August 31, 2018 which begin to expire in fiscal 2019. These federal and state tax credit carryforwards consist primarily of federal and Minnesota research and development credit carryforwards. The Company also has foreign net operating loss carryforwards of $376,100 as of August 31, 2018, which will begin to expire in fiscal 2021.</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August 31, 2018, the Company has recorded a valuation allowance of $5,789,600 with respect to the foreign tax credit carryforwards. In addition, the Company has recorded a valuation allowance of $2,864,900 with respect to federal and state tax credit carryforwards.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August 31, 2017, the Company had recorded a valuation allowance of $6,105,700 with respect to the foreign tax credit carryforwards. In addition, the Company had recorded a valuation allowance of $2,855,100 with respect to federal and state tax credit carryforwards and had recorded a valuation allowance of $618,000 with respect to its foreign net operating loss carryforwards.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records a tax valuation allowance to reduce deferred tax assets to the amount expected to be realized when it is more likely than not that some portion or all its deferred tax assets will not be realized. The Company determined based on all available evidence, including historical data and projections of future results, that it is more likely than not that all its deferred tax assets, except for its foreign tax credit carryforward and federal and Minnesota research and development credit carryforwards will be fully realized. The Company determined that its deferred tax asset related to foreign tax credit carryforwards will not be realized due to insufficient foreign source taxable income within the carryforward period and the fact that for ordering purposes the foreign tax credit carryforwards are not allowed to be utilized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The following is a tabular reconciliation of the total amounts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Gross unrecognized tax benefits –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Gross decreases - prior period tax 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increases –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Gross unrecognized tax benefits – 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Fiscal Year Ended August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238,000</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16,000</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341" w:right="239" w:bottom="1440" w:gutter="0" w:footer="0" w:header="0"/>
        </w:sectPr>
      </w:pPr>
    </w:p>
    <w:p>
      <w:pPr>
        <w:spacing w:after="0" w:line="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as of both August 31, 2018 and August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2018, the Company is no longer subject to federal, state, local, or foreign examinations by tax authorities for years prior to August 31, 2015.</w:t>
      </w:r>
    </w:p>
    <w:p>
      <w:pPr>
        <w:spacing w:after="0" w:line="166"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31, 2018, the Compensation Committee of the Board of Directors of the Company approved the material terms of an annual bonus plan for the Company’s executive officers as well as certain officers and employees for the fiscal year ending August 31, 2019. For fiscal 2019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2019 compared to a pre-established target EBITOI for fiscal 2019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2019.</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84" w:name="page85"/>
    <w:bookmarkEnd w:id="84"/>
    <w:p>
      <w:pPr>
        <w:ind w:right="300"/>
        <w:spacing w:after="0" w:line="277" w:lineRule="auto"/>
        <w:rPr>
          <w:sz w:val="20"/>
          <w:szCs w:val="20"/>
          <w:color w:val="auto"/>
        </w:rPr>
      </w:pPr>
      <w:r>
        <w:rPr>
          <w:rFonts w:ascii="Arial" w:cs="Arial" w:eastAsia="Arial" w:hAnsi="Arial"/>
          <w:sz w:val="18"/>
          <w:szCs w:val="18"/>
          <w:color w:val="auto"/>
        </w:rPr>
        <w:t>On August 26, 2017, the Compensation Committee of the Board of Directors of the Company approved the material terms of an annual bonus plan for the Company’s executive officers as well as certain officers and employees for the fiscal year ending August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Accrued bonuses as of August 31, 2018 and 2017 were $2,153,000 and $1,015,000, respectively.</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Thailand and India) accounted for 74.1% of the Company’s trade joint venture receivables as of August 31, 2018, and three joint ventures (consisting of the Company’s joint ventures in South Korea, India and Thailand) accounted for 60.7% of the Company’s trade joint venture receivables as of August 31, 2017.</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August 31, 2018, the amount of liability, if any, with respect to these matters, individually or in the aggregate, will not materially affect the Company’s consolidated results of operations, financial position or cash flows.</w:t>
      </w:r>
    </w:p>
    <w:p>
      <w:pPr>
        <w:spacing w:after="0" w:line="16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has leases for office and warehouse space in the United States of America, China, India, Germany and Brazil with monthly rents ranging from $576 to $9,729, which expire at various dates through August 31, 2022. Future minimum rents due under these leases are as follows for each of the next five years ended August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Fiscal 2019</w:t>
            </w:r>
          </w:p>
        </w:tc>
        <w:tc>
          <w:tcPr>
            <w:tcW w:w="49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131,840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Fiscal 2020</w:t>
            </w:r>
          </w:p>
        </w:tc>
        <w:tc>
          <w:tcPr>
            <w:tcW w:w="4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66,762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Fiscal 2021</w:t>
            </w:r>
          </w:p>
        </w:tc>
        <w:tc>
          <w:tcPr>
            <w:tcW w:w="4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12,404</w:t>
            </w:r>
          </w:p>
        </w:tc>
      </w:tr>
      <w:tr>
        <w:trPr>
          <w:trHeight w:val="23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Fiscal 2022</w:t>
            </w:r>
          </w:p>
        </w:tc>
        <w:tc>
          <w:tcPr>
            <w:tcW w:w="45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3,454</w:t>
            </w:r>
          </w:p>
        </w:tc>
      </w:tr>
      <w:tr>
        <w:trPr>
          <w:trHeight w:val="223"/>
        </w:trPr>
        <w:tc>
          <w:tcPr>
            <w:tcW w:w="534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214,460</w:t>
            </w:r>
          </w:p>
        </w:tc>
      </w:tr>
      <w:tr>
        <w:trPr>
          <w:trHeight w:val="20"/>
        </w:trPr>
        <w:tc>
          <w:tcPr>
            <w:tcW w:w="5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STATEMENTS OF CASH FLOWS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4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August 31,</w:t>
            </w:r>
          </w:p>
        </w:tc>
        <w:tc>
          <w:tcPr>
            <w:tcW w:w="940" w:type="dxa"/>
            <w:vAlign w:val="bottom"/>
            <w:tcBorders>
              <w:bottom w:val="single" w:sz="8" w:color="auto"/>
            </w:tcBorders>
          </w:tcPr>
          <w:p>
            <w:pPr>
              <w:spacing w:after="0"/>
              <w:rPr>
                <w:sz w:val="20"/>
                <w:szCs w:val="20"/>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8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876,103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699,519</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20,382</w:t>
            </w:r>
          </w:p>
        </w:tc>
      </w:tr>
      <w:tr>
        <w:trPr>
          <w:trHeight w:val="418"/>
        </w:trPr>
        <w:tc>
          <w:tcPr>
            <w:tcW w:w="40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defined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are quoted prices in active markets for identical assets or liabilities.</w:t>
      </w:r>
    </w:p>
    <w:p>
      <w:pPr>
        <w:spacing w:after="0" w:line="23" w:lineRule="exact"/>
        <w:rPr>
          <w:sz w:val="20"/>
          <w:szCs w:val="20"/>
          <w:color w:val="auto"/>
        </w:rPr>
      </w:pPr>
    </w:p>
    <w:p>
      <w:pPr>
        <w:ind w:left="1140" w:right="20" w:hanging="809"/>
        <w:spacing w:after="0" w:line="265" w:lineRule="auto"/>
        <w:rPr>
          <w:sz w:val="20"/>
          <w:szCs w:val="20"/>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340"/>
        <w:spacing w:after="0"/>
        <w:rPr>
          <w:sz w:val="20"/>
          <w:szCs w:val="20"/>
          <w:color w:val="auto"/>
        </w:rPr>
      </w:pPr>
      <w:r>
        <w:rPr>
          <w:rFonts w:ascii="Arial" w:cs="Arial" w:eastAsia="Arial" w:hAnsi="Arial"/>
          <w:sz w:val="18"/>
          <w:szCs w:val="18"/>
          <w:color w:val="auto"/>
        </w:rPr>
        <w:t>Level 3 - Inputs are unobservable for the asset or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August 31, 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3,766,984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available for sale securities. These are valued using quoted market prices in an active market.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2018 or August 31, 2017. When a determination is made to classify an asset or liability within Level 3, the determination is based upon the significance of the unobservable inputs to the overall fair value measurement.</w:t>
      </w:r>
    </w:p>
    <w:p>
      <w:pPr>
        <w:spacing w:after="0" w:line="154"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October 24, 2018, NTIC’s Board of Directors declared a cash dividend of $0.12 per share of NTIC’s common stock, payable on November 21, 2018 to stockholders of record on November 7,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 of Baker Tilly Virchow Krause, LLP, NTIC’s independent registered public accounting firm, regarding the effectiveness of NTIC’s internal control over financial reporting is included in this report in “Part II. Item 8, Financial Statements and Supplementary Data” under “Report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2018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in the “Stock Ownership—Section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fourth quarter of fiscal 2018,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2018. NTIC’s equity compensation plans as of August 31, 2018 were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 automatic annual grant of $10,000 in options to purchase shares of NTIC common stock to NTIC’s Chairman of the Board in consideration for his services as Chairman on the first day of each fiscal year and automatic initial pro rata grants of $50,000 in options to purchase shares of NTIC common stock to NTIC’s new directors in consideration for their services as directors of NTIC, options and other awards granted in the future under the Northern Technologies International Corporation Amended and Restated 2007 Stock Incentive Plan or the new Northern Technologies International Corporation 2019 Stock Incentive Plan, if approved by NTIC’s stockholders, are within the discretion of the Board of Directors and the Compensation Committee of the Board of Directors and therefore cannot be ascertained at this time.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 to</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 Issued Upon Exercise</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Outstanding Options,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Options, Warrants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Rights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(a))</w:t>
            </w: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348,703</w:t>
            </w:r>
            <w:r>
              <w:rPr>
                <w:rFonts w:ascii="Arial" w:cs="Arial" w:eastAsia="Arial" w:hAnsi="Arial"/>
                <w:sz w:val="15"/>
                <w:szCs w:val="15"/>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188,044</w:t>
            </w:r>
            <w:r>
              <w:rPr>
                <w:rFonts w:ascii="Arial" w:cs="Arial" w:eastAsia="Arial" w:hAnsi="Arial"/>
                <w:sz w:val="15"/>
                <w:szCs w:val="15"/>
                <w:color w:val="auto"/>
              </w:rPr>
              <w:t>(3)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348,703</w:t>
            </w:r>
            <w:r>
              <w:rPr>
                <w:rFonts w:ascii="Arial" w:cs="Arial" w:eastAsia="Arial" w:hAnsi="Arial"/>
                <w:sz w:val="15"/>
                <w:szCs w:val="15"/>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188,044</w:t>
            </w:r>
            <w:r>
              <w:rPr>
                <w:rFonts w:ascii="Arial" w:cs="Arial" w:eastAsia="Arial" w:hAnsi="Arial"/>
                <w:sz w:val="15"/>
                <w:szCs w:val="15"/>
                <w:color w:val="auto"/>
              </w:rPr>
              <w:t>(3)</w:t>
            </w:r>
          </w:p>
        </w:tc>
      </w:tr>
      <w:tr>
        <w:trPr>
          <w:trHeight w:val="230"/>
        </w:trPr>
        <w:tc>
          <w:tcPr>
            <w:tcW w:w="4540" w:type="dxa"/>
            <w:vAlign w:val="bottom"/>
          </w:tcPr>
          <w:p>
            <w:pPr>
              <w:spacing w:after="0"/>
              <w:rPr>
                <w:sz w:val="20"/>
                <w:szCs w:val="20"/>
                <w:color w:val="auto"/>
              </w:rPr>
            </w:pPr>
          </w:p>
        </w:tc>
        <w:tc>
          <w:tcPr>
            <w:tcW w:w="3260" w:type="dxa"/>
            <w:vAlign w:val="bottom"/>
            <w:gridSpan w:val="3"/>
          </w:tcPr>
          <w:p>
            <w:pPr>
              <w:jc w:val="right"/>
              <w:ind w:right="1010"/>
              <w:spacing w:after="0"/>
              <w:rPr>
                <w:sz w:val="20"/>
                <w:szCs w:val="20"/>
                <w:color w:val="auto"/>
              </w:rPr>
            </w:pPr>
            <w:r>
              <w:rPr>
                <w:rFonts w:ascii="Arial" w:cs="Arial" w:eastAsia="Arial" w:hAnsi="Arial"/>
                <w:sz w:val="18"/>
                <w:szCs w:val="18"/>
                <w:color w:val="auto"/>
                <w:w w:val="97"/>
              </w:rPr>
              <w:t>______________________</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14" w:lineRule="exact"/>
        <w:rPr>
          <w:sz w:val="20"/>
          <w:szCs w:val="20"/>
          <w:color w:val="auto"/>
        </w:rPr>
      </w:pPr>
    </w:p>
    <w:p>
      <w:pPr>
        <w:ind w:left="660" w:right="20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2018 under the Northern Technologies International Corporation Amended and Restated 2007 Stock Incentive Plan.</w:t>
      </w:r>
    </w:p>
    <w:p>
      <w:pPr>
        <w:spacing w:after="0" w:line="170" w:lineRule="exact"/>
        <w:rPr>
          <w:rFonts w:ascii="Arial" w:cs="Arial" w:eastAsia="Arial" w:hAnsi="Arial"/>
          <w:sz w:val="18"/>
          <w:szCs w:val="18"/>
          <w:color w:val="auto"/>
        </w:rPr>
      </w:pPr>
    </w:p>
    <w:p>
      <w:pPr>
        <w:ind w:left="660" w:right="100" w:hanging="652"/>
        <w:spacing w:after="0" w:line="23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3"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includes 140,417 shares remaining available at August 31, 2018 for future issuance under Northern Technologies International Corporation Amended and Restated 2007 Stock Incentive Plan and 47,627 shares available at August 31, 2018 for future issuance under the Northern Technologies International Corporation Employee Stock Purchase Plan.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91" w:name="page92"/>
    <w:bookmarkEnd w:id="9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center"/>
              <w:ind w:right="1480"/>
              <w:spacing w:after="0"/>
              <w:rPr>
                <w:sz w:val="20"/>
                <w:szCs w:val="20"/>
                <w:color w:val="auto"/>
              </w:rPr>
            </w:pPr>
            <w:r>
              <w:rPr>
                <w:rFonts w:ascii="Arial" w:cs="Arial" w:eastAsia="Arial" w:hAnsi="Arial"/>
                <w:sz w:val="18"/>
                <w:szCs w:val="18"/>
                <w:b w:val="1"/>
                <w:bCs w:val="1"/>
                <w:color w:val="auto"/>
                <w:w w:val="93"/>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Arial" w:cs="Arial" w:eastAsia="Arial" w:hAnsi="Arial"/>
                <w:sz w:val="18"/>
                <w:szCs w:val="18"/>
                <w:color w:val="auto"/>
                <w:w w:val="87"/>
              </w:rPr>
              <w:t>3.1</w:t>
            </w:r>
          </w:p>
        </w:tc>
        <w:tc>
          <w:tcPr>
            <w:tcW w:w="5560" w:type="dxa"/>
            <w:vAlign w:val="bottom"/>
          </w:tcPr>
          <w:p>
            <w:pPr>
              <w:ind w:left="80"/>
              <w:spacing w:after="0" w:line="170" w:lineRule="exact"/>
              <w:rPr>
                <w:sz w:val="20"/>
                <w:szCs w:val="20"/>
                <w:color w:val="auto"/>
              </w:rPr>
            </w:pPr>
            <w:r>
              <w:rPr>
                <w:rFonts w:ascii="Arial" w:cs="Arial" w:eastAsia="Arial" w:hAnsi="Arial"/>
                <w:sz w:val="18"/>
                <w:szCs w:val="18"/>
                <w:color w:val="auto"/>
              </w:rPr>
              <w:t>Restated Certificate of Incorporation of Northern Technologies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40" w:type="dxa"/>
            <w:vAlign w:val="bottom"/>
            <w:gridSpan w:val="13"/>
          </w:tcPr>
          <w:p>
            <w:pPr>
              <w:jc w:val="center"/>
              <w:ind w:right="260"/>
              <w:spacing w:after="0" w:line="170"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Incorporated by reference to Exhibit 3.1 to NTIC’s Quarterly</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International Corporation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14"/>
          </w:tcPr>
          <w:p>
            <w:pPr>
              <w:jc w:val="center"/>
              <w:ind w:right="200"/>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Report on Form 10-Q for the fiscal quarter ended February 28,</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2009 (File No. 001-11038)</w:t>
              </w:r>
            </w:hyperlink>
          </w:p>
        </w:tc>
        <w:tc>
          <w:tcPr>
            <w:tcW w:w="128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3.2</w:t>
            </w:r>
          </w:p>
        </w:tc>
        <w:tc>
          <w:tcPr>
            <w:tcW w:w="5560" w:type="dxa"/>
            <w:vAlign w:val="bottom"/>
          </w:tcPr>
          <w:p>
            <w:pPr>
              <w:ind w:left="80"/>
              <w:spacing w:after="0"/>
              <w:rPr>
                <w:sz w:val="20"/>
                <w:szCs w:val="20"/>
                <w:color w:val="auto"/>
              </w:rPr>
            </w:pPr>
            <w:r>
              <w:rPr>
                <w:rFonts w:ascii="Arial" w:cs="Arial" w:eastAsia="Arial" w:hAnsi="Arial"/>
                <w:sz w:val="18"/>
                <w:szCs w:val="18"/>
                <w:color w:val="auto"/>
                <w:w w:val="96"/>
              </w:rPr>
              <w:t>Certificate of Amendment to the Restated Certificate of Incorporation of</w:t>
            </w:r>
          </w:p>
        </w:tc>
        <w:tc>
          <w:tcPr>
            <w:tcW w:w="60" w:type="dxa"/>
            <w:vAlign w:val="bottom"/>
          </w:tcPr>
          <w:p>
            <w:pPr>
              <w:spacing w:after="0"/>
              <w:rPr>
                <w:sz w:val="24"/>
                <w:szCs w:val="24"/>
                <w:color w:val="auto"/>
              </w:rPr>
            </w:pPr>
          </w:p>
        </w:tc>
        <w:tc>
          <w:tcPr>
            <w:tcW w:w="4840" w:type="dxa"/>
            <w:vAlign w:val="bottom"/>
            <w:gridSpan w:val="15"/>
          </w:tcPr>
          <w:p>
            <w:pPr>
              <w:jc w:val="center"/>
              <w:ind w:right="60"/>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4"/>
              </w:rPr>
              <w:t>Northern Technologies International Corporation dated January 16, 2018</w:t>
            </w: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on Form 8-K as filed with the Securities and Exchange</w:t>
              </w:r>
            </w:hyperlink>
          </w:p>
        </w:tc>
        <w:tc>
          <w:tcPr>
            <w:tcW w:w="6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gridSpan w:val="11"/>
          </w:tcPr>
          <w:p>
            <w:pPr>
              <w:jc w:val="center"/>
              <w:ind w:right="460"/>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Commission on January 16, 2018 (File No. 001-11038)</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3.3</w:t>
            </w:r>
          </w:p>
        </w:tc>
        <w:tc>
          <w:tcPr>
            <w:tcW w:w="5560" w:type="dxa"/>
            <w:vAlign w:val="bottom"/>
          </w:tcPr>
          <w:p>
            <w:pPr>
              <w:ind w:left="80"/>
              <w:spacing w:after="0"/>
              <w:rPr>
                <w:sz w:val="20"/>
                <w:szCs w:val="20"/>
                <w:color w:val="auto"/>
              </w:rPr>
            </w:pPr>
            <w:r>
              <w:rPr>
                <w:rFonts w:ascii="Arial" w:cs="Arial" w:eastAsia="Arial" w:hAnsi="Arial"/>
                <w:sz w:val="18"/>
                <w:szCs w:val="18"/>
                <w:color w:val="auto"/>
                <w:w w:val="97"/>
              </w:rPr>
              <w:t>Amended and Restated Bylaws of Northern Technologies International</w:t>
            </w:r>
          </w:p>
        </w:tc>
        <w:tc>
          <w:tcPr>
            <w:tcW w:w="60" w:type="dxa"/>
            <w:vAlign w:val="bottom"/>
          </w:tcPr>
          <w:p>
            <w:pPr>
              <w:spacing w:after="0"/>
              <w:rPr>
                <w:sz w:val="24"/>
                <w:szCs w:val="24"/>
                <w:color w:val="auto"/>
              </w:rPr>
            </w:pPr>
          </w:p>
        </w:tc>
        <w:tc>
          <w:tcPr>
            <w:tcW w:w="4840" w:type="dxa"/>
            <w:vAlign w:val="bottom"/>
            <w:gridSpan w:val="15"/>
          </w:tcPr>
          <w:p>
            <w:pPr>
              <w:jc w:val="center"/>
              <w:ind w:right="60"/>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3.1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Corporation</w:t>
            </w: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8"/>
          </w:tcPr>
          <w:p>
            <w:pPr>
              <w:jc w:val="center"/>
              <w:ind w:right="420"/>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on Form 8-K as filed with the Securities and Exchange</w:t>
              </w:r>
            </w:hyperlink>
          </w:p>
        </w:tc>
        <w:tc>
          <w:tcPr>
            <w:tcW w:w="6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12"/>
          </w:tcPr>
          <w:p>
            <w:pPr>
              <w:jc w:val="center"/>
              <w:ind w:right="360"/>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Commission on November 24, 2008 (File No. 001-11038)</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Specimen Stock Certificate Representing Common Stock of Northern</w:t>
            </w:r>
          </w:p>
        </w:tc>
        <w:tc>
          <w:tcPr>
            <w:tcW w:w="60" w:type="dxa"/>
            <w:vAlign w:val="bottom"/>
          </w:tcPr>
          <w:p>
            <w:pPr>
              <w:spacing w:after="0"/>
              <w:rPr>
                <w:sz w:val="24"/>
                <w:szCs w:val="24"/>
                <w:color w:val="auto"/>
              </w:rPr>
            </w:pPr>
          </w:p>
        </w:tc>
        <w:tc>
          <w:tcPr>
            <w:tcW w:w="4840" w:type="dxa"/>
            <w:vAlign w:val="bottom"/>
            <w:gridSpan w:val="15"/>
          </w:tcPr>
          <w:p>
            <w:pPr>
              <w:jc w:val="center"/>
              <w:ind w:right="60"/>
              <w:spacing w:after="0"/>
              <w:rPr>
                <w:sz w:val="20"/>
                <w:szCs w:val="20"/>
                <w:color w:val="auto"/>
              </w:rPr>
            </w:pPr>
            <w:r>
              <w:rPr>
                <w:rFonts w:ascii="Arial" w:cs="Arial" w:eastAsia="Arial" w:hAnsi="Arial"/>
                <w:sz w:val="18"/>
                <w:szCs w:val="18"/>
                <w:color w:val="auto"/>
                <w:w w:val="92"/>
              </w:rPr>
              <w:t>Incorporated by reference to Exhibit 4.1 to NTIC’s Registration</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Technologies International Corporation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14"/>
          </w:tcPr>
          <w:p>
            <w:pPr>
              <w:jc w:val="center"/>
              <w:ind w:right="200"/>
              <w:spacing w:after="0"/>
              <w:rPr>
                <w:sz w:val="20"/>
                <w:szCs w:val="20"/>
                <w:color w:val="auto"/>
              </w:rPr>
            </w:pPr>
            <w:r>
              <w:rPr>
                <w:rFonts w:ascii="Arial" w:cs="Arial" w:eastAsia="Arial" w:hAnsi="Arial"/>
                <w:sz w:val="18"/>
                <w:szCs w:val="18"/>
                <w:color w:val="auto"/>
                <w:w w:val="90"/>
              </w:rPr>
              <w:t>Statement on Form 10 (File No. 001-19331) (Filed on paper -</w:t>
            </w:r>
          </w:p>
        </w:tc>
      </w:tr>
      <w:tr>
        <w:trPr>
          <w:trHeight w:val="230"/>
        </w:trPr>
        <w:tc>
          <w:tcPr>
            <w:tcW w:w="9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40" w:type="dxa"/>
            <w:vAlign w:val="bottom"/>
            <w:gridSpan w:val="15"/>
          </w:tcPr>
          <w:p>
            <w:pPr>
              <w:jc w:val="center"/>
              <w:ind w:right="60"/>
              <w:spacing w:after="0"/>
              <w:rPr>
                <w:sz w:val="20"/>
                <w:szCs w:val="20"/>
                <w:color w:val="auto"/>
              </w:rPr>
            </w:pPr>
            <w:r>
              <w:rPr>
                <w:rFonts w:ascii="Arial" w:cs="Arial" w:eastAsia="Arial" w:hAnsi="Arial"/>
                <w:sz w:val="18"/>
                <w:szCs w:val="18"/>
                <w:color w:val="auto"/>
                <w:w w:val="92"/>
              </w:rPr>
              <w:t>hyperlink is not required pursuant to Rule 105 of Regulation S-T)</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10.1</w:t>
            </w:r>
          </w:p>
        </w:tc>
        <w:tc>
          <w:tcPr>
            <w:tcW w:w="5560" w:type="dxa"/>
            <w:vAlign w:val="bottom"/>
          </w:tcPr>
          <w:p>
            <w:pPr>
              <w:ind w:left="80"/>
              <w:spacing w:after="0"/>
              <w:rPr>
                <w:sz w:val="20"/>
                <w:szCs w:val="20"/>
                <w:color w:val="auto"/>
              </w:rPr>
            </w:pPr>
            <w:r>
              <w:rPr>
                <w:rFonts w:ascii="Arial" w:cs="Arial" w:eastAsia="Arial" w:hAnsi="Arial"/>
                <w:sz w:val="18"/>
                <w:szCs w:val="18"/>
                <w:color w:val="auto"/>
                <w:w w:val="94"/>
              </w:rPr>
              <w:t>Northern Technologies International Corporation Amended and Restated</w:t>
            </w:r>
          </w:p>
        </w:tc>
        <w:tc>
          <w:tcPr>
            <w:tcW w:w="4900" w:type="dxa"/>
            <w:vAlign w:val="bottom"/>
            <w:gridSpan w:val="16"/>
          </w:tcPr>
          <w:p>
            <w:pPr>
              <w:jc w:val="center"/>
              <w:ind w:right="20"/>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2007 Stock Incentive Plan*</w:t>
            </w: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9"/>
          </w:tcPr>
          <w:p>
            <w:pPr>
              <w:jc w:val="center"/>
              <w:ind w:right="460"/>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Commission on January 24, 2011 (File No. 001-11038)</w:t>
              </w:r>
            </w:hyperlink>
          </w:p>
        </w:tc>
        <w:tc>
          <w:tcPr>
            <w:tcW w:w="460" w:type="dxa"/>
            <w:vAlign w:val="bottom"/>
            <w:gridSpan w:val="6"/>
          </w:tcPr>
          <w:p>
            <w:pPr>
              <w:spacing w:after="0"/>
              <w:rPr>
                <w:sz w:val="17"/>
                <w:szCs w:val="17"/>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8"/>
          </w:tcPr>
          <w:p>
            <w:pPr>
              <w:jc w:val="center"/>
              <w:ind w:right="1680"/>
              <w:spacing w:after="0"/>
              <w:rPr>
                <w:sz w:val="20"/>
                <w:szCs w:val="20"/>
                <w:color w:val="auto"/>
              </w:rPr>
            </w:pPr>
            <w:r>
              <w:rPr>
                <w:rFonts w:ascii="Arial" w:cs="Arial" w:eastAsia="Arial" w:hAnsi="Arial"/>
                <w:sz w:val="18"/>
                <w:szCs w:val="18"/>
                <w:b w:val="1"/>
                <w:bCs w:val="1"/>
                <w:color w:val="auto"/>
                <w:w w:val="93"/>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Arial" w:cs="Arial" w:eastAsia="Arial" w:hAnsi="Arial"/>
                <w:sz w:val="18"/>
                <w:szCs w:val="18"/>
                <w:color w:val="auto"/>
                <w:w w:val="85"/>
              </w:rPr>
              <w:t>10.2</w:t>
            </w:r>
          </w:p>
        </w:tc>
        <w:tc>
          <w:tcPr>
            <w:tcW w:w="5560" w:type="dxa"/>
            <w:vAlign w:val="bottom"/>
          </w:tcPr>
          <w:p>
            <w:pPr>
              <w:ind w:left="80"/>
              <w:spacing w:after="0" w:line="170" w:lineRule="exact"/>
              <w:rPr>
                <w:sz w:val="20"/>
                <w:szCs w:val="20"/>
                <w:color w:val="auto"/>
              </w:rPr>
            </w:pPr>
            <w:r>
              <w:rPr>
                <w:rFonts w:ascii="Arial" w:cs="Arial" w:eastAsia="Arial" w:hAnsi="Arial"/>
                <w:sz w:val="18"/>
                <w:szCs w:val="18"/>
                <w:color w:val="auto"/>
                <w:w w:val="98"/>
              </w:rPr>
              <w:t>Form of Incentive Stock Option Agreement for Northern Technologies</w:t>
            </w:r>
          </w:p>
        </w:tc>
        <w:tc>
          <w:tcPr>
            <w:tcW w:w="4900" w:type="dxa"/>
            <w:vAlign w:val="bottom"/>
            <w:tcBorders>
              <w:bottom w:val="single" w:sz="8" w:color="0000EE"/>
            </w:tcBorders>
            <w:gridSpan w:val="30"/>
          </w:tcPr>
          <w:p>
            <w:pPr>
              <w:jc w:val="center"/>
              <w:ind w:right="20"/>
              <w:spacing w:after="0" w:line="170"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Incorporated by reference to Exhibit 10.2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0"/>
          </w:tcPr>
          <w:p>
            <w:pPr>
              <w:jc w:val="center"/>
              <w:ind w:right="480"/>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10.3</w:t>
            </w:r>
          </w:p>
        </w:tc>
        <w:tc>
          <w:tcPr>
            <w:tcW w:w="10460" w:type="dxa"/>
            <w:vAlign w:val="bottom"/>
            <w:gridSpan w:val="31"/>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Form of Non-Statutory Stock Option Agreement for Northern Technologies </w:t>
            </w:r>
            <w:hyperlink r:id="rId116">
              <w:r>
                <w:rPr>
                  <w:rFonts w:ascii="Arial" w:cs="Arial" w:eastAsia="Arial" w:hAnsi="Arial"/>
                  <w:sz w:val="18"/>
                  <w:szCs w:val="18"/>
                  <w:color w:val="0000EE"/>
                  <w:w w:val="91"/>
                </w:rPr>
                <w:t>Incorporated by reference to Exhibit 10.3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20"/>
          </w:tcPr>
          <w:p>
            <w:pPr>
              <w:jc w:val="center"/>
              <w:ind w:right="480"/>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10.4</w:t>
            </w:r>
          </w:p>
        </w:tc>
        <w:tc>
          <w:tcPr>
            <w:tcW w:w="5560" w:type="dxa"/>
            <w:vAlign w:val="bottom"/>
          </w:tcPr>
          <w:p>
            <w:pPr>
              <w:ind w:left="80"/>
              <w:spacing w:after="0"/>
              <w:rPr>
                <w:sz w:val="20"/>
                <w:szCs w:val="20"/>
                <w:color w:val="auto"/>
              </w:rPr>
            </w:pPr>
            <w:r>
              <w:rPr>
                <w:rFonts w:ascii="Arial" w:cs="Arial" w:eastAsia="Arial" w:hAnsi="Arial"/>
                <w:sz w:val="18"/>
                <w:szCs w:val="18"/>
                <w:color w:val="auto"/>
              </w:rPr>
              <w:t>Form of Restricted Stock Agreement for Northern Technologies</w:t>
            </w:r>
          </w:p>
        </w:tc>
        <w:tc>
          <w:tcPr>
            <w:tcW w:w="4900" w:type="dxa"/>
            <w:vAlign w:val="bottom"/>
            <w:tcBorders>
              <w:bottom w:val="single" w:sz="8" w:color="0000EE"/>
            </w:tcBorders>
            <w:gridSpan w:val="30"/>
          </w:tcPr>
          <w:p>
            <w:pPr>
              <w:jc w:val="center"/>
              <w:ind w:right="20"/>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 Exhibit 10.4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6"/>
              </w:rPr>
              <w:t>International Corporation Amended and Restated 2007 Stock Incentive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0"/>
          </w:tcPr>
          <w:p>
            <w:pPr>
              <w:jc w:val="center"/>
              <w:ind w:right="480"/>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Commission on January 24, 2011 (File No. 001-11038)</w:t>
              </w:r>
            </w:hyperlink>
          </w:p>
        </w:tc>
        <w:tc>
          <w:tcPr>
            <w:tcW w:w="460" w:type="dxa"/>
            <w:vAlign w:val="bottom"/>
            <w:gridSpan w:val="9"/>
          </w:tcPr>
          <w:p>
            <w:pPr>
              <w:spacing w:after="0"/>
              <w:rPr>
                <w:sz w:val="17"/>
                <w:szCs w:val="17"/>
                <w:color w:val="auto"/>
              </w:rPr>
            </w:pPr>
          </w:p>
        </w:tc>
      </w:tr>
      <w:tr>
        <w:trPr>
          <w:trHeight w:val="62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10.5</w:t>
            </w:r>
          </w:p>
        </w:tc>
        <w:tc>
          <w:tcPr>
            <w:tcW w:w="5560" w:type="dxa"/>
            <w:vAlign w:val="bottom"/>
          </w:tcPr>
          <w:p>
            <w:pPr>
              <w:ind w:left="80"/>
              <w:spacing w:after="0"/>
              <w:rPr>
                <w:sz w:val="20"/>
                <w:szCs w:val="20"/>
                <w:color w:val="auto"/>
              </w:rPr>
            </w:pPr>
            <w:r>
              <w:rPr>
                <w:rFonts w:ascii="Arial" w:cs="Arial" w:eastAsia="Arial" w:hAnsi="Arial"/>
                <w:sz w:val="18"/>
                <w:szCs w:val="18"/>
                <w:color w:val="auto"/>
                <w:w w:val="90"/>
              </w:rPr>
              <w:t>Northern Technologies International Corporation Employee Stock Purchase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6"/>
          </w:tcPr>
          <w:p>
            <w:pPr>
              <w:jc w:val="cente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Incorporated by reference to Exhibit 10.11 to NTIC’s Annual</w:t>
              </w:r>
            </w:hyperlink>
          </w:p>
        </w:tc>
        <w:tc>
          <w:tcPr>
            <w:tcW w:w="24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EE"/>
            </w:tcBorders>
            <w:gridSpan w:val="26"/>
          </w:tcPr>
          <w:p>
            <w:pPr>
              <w:jc w:val="cente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Report on Form 10-KSB for the fiscal year ended August 31, 2006</w:t>
              </w:r>
            </w:hyperlink>
          </w:p>
        </w:tc>
        <w:tc>
          <w:tcPr>
            <w:tcW w:w="4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(File No. 001-11038)</w:t>
              </w:r>
            </w:hyperlink>
          </w:p>
        </w:tc>
        <w:tc>
          <w:tcPr>
            <w:tcW w:w="1720" w:type="dxa"/>
            <w:vAlign w:val="bottom"/>
            <w:gridSpan w:val="12"/>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10.6</w:t>
            </w:r>
          </w:p>
        </w:tc>
        <w:tc>
          <w:tcPr>
            <w:tcW w:w="10460" w:type="dxa"/>
            <w:vAlign w:val="bottom"/>
            <w:gridSpan w:val="31"/>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Material Terms of Northern Technologies International Corporation Annual </w:t>
            </w:r>
            <w:hyperlink r:id="rId119">
              <w:r>
                <w:rPr>
                  <w:rFonts w:ascii="Arial" w:cs="Arial" w:eastAsia="Arial" w:hAnsi="Arial"/>
                  <w:sz w:val="18"/>
                  <w:szCs w:val="18"/>
                  <w:color w:val="0000EE"/>
                  <w:w w:val="92"/>
                </w:rPr>
                <w:t>Incorporated by reference to Exhibit 10.6 to NTIC’s Annual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Bonus Plan*</w:t>
            </w: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gridSpan w:val="26"/>
          </w:tcPr>
          <w:p>
            <w:pPr>
              <w:jc w:val="center"/>
              <w:ind w:right="60"/>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on Form 10-K for the fiscal year ended August 31, 2015 (File No.</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780" w:type="dxa"/>
            <w:vAlign w:val="bottom"/>
            <w:tcBorders>
              <w:top w:val="single" w:sz="8" w:color="0000EE"/>
            </w:tcBorders>
            <w:gridSpan w:val="12"/>
          </w:tcPr>
          <w:p>
            <w:pPr>
              <w:jc w:val="center"/>
              <w:ind w:left="1870"/>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001-11038)</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10.7</w:t>
            </w:r>
          </w:p>
        </w:tc>
        <w:tc>
          <w:tcPr>
            <w:tcW w:w="5560" w:type="dxa"/>
            <w:vAlign w:val="bottom"/>
          </w:tcPr>
          <w:p>
            <w:pPr>
              <w:ind w:left="80"/>
              <w:spacing w:after="0"/>
              <w:rPr>
                <w:sz w:val="20"/>
                <w:szCs w:val="20"/>
                <w:color w:val="auto"/>
              </w:rPr>
            </w:pPr>
            <w:r>
              <w:rPr>
                <w:rFonts w:ascii="Arial" w:cs="Arial" w:eastAsia="Arial" w:hAnsi="Arial"/>
                <w:sz w:val="18"/>
                <w:szCs w:val="18"/>
                <w:color w:val="auto"/>
              </w:rPr>
              <w:t>Form of Indemnification Agreement between Northern Technologies</w:t>
            </w:r>
          </w:p>
        </w:tc>
        <w:tc>
          <w:tcPr>
            <w:tcW w:w="4900" w:type="dxa"/>
            <w:vAlign w:val="bottom"/>
            <w:tcBorders>
              <w:bottom w:val="single" w:sz="8" w:color="0000EE"/>
            </w:tcBorders>
            <w:gridSpan w:val="30"/>
          </w:tcPr>
          <w:p>
            <w:pPr>
              <w:jc w:val="center"/>
              <w:ind w:right="20"/>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International Corporation and its Directors and Officers*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0"/>
          </w:tcPr>
          <w:p>
            <w:pPr>
              <w:jc w:val="center"/>
              <w:ind w:right="480"/>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on Form 8-K as filed with the Securities and Exchange</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22"/>
          </w:tcPr>
          <w:p>
            <w:pPr>
              <w:jc w:val="center"/>
              <w:ind w:right="360"/>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Commission on November 24, 2008 (File No. 001-11038)</w:t>
              </w:r>
            </w:hyperlink>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10.8</w:t>
            </w:r>
          </w:p>
        </w:tc>
        <w:tc>
          <w:tcPr>
            <w:tcW w:w="5560" w:type="dxa"/>
            <w:vAlign w:val="bottom"/>
          </w:tcPr>
          <w:p>
            <w:pPr>
              <w:ind w:left="80"/>
              <w:spacing w:after="0"/>
              <w:rPr>
                <w:sz w:val="20"/>
                <w:szCs w:val="20"/>
                <w:color w:val="auto"/>
              </w:rPr>
            </w:pPr>
            <w:r>
              <w:rPr>
                <w:rFonts w:ascii="Arial" w:cs="Arial" w:eastAsia="Arial" w:hAnsi="Arial"/>
                <w:sz w:val="18"/>
                <w:szCs w:val="18"/>
                <w:color w:val="auto"/>
                <w:w w:val="98"/>
              </w:rPr>
              <w:t>Agreement dated as of May 25, 2009 between Northern Technologies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EE"/>
            </w:tcBorders>
            <w:gridSpan w:val="18"/>
          </w:tcPr>
          <w:p>
            <w:pPr>
              <w:jc w:val="cente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Incorporated by reference to Exhibit 10.2 to NTIC’s Quarterly</w:t>
              </w:r>
            </w:hyperlink>
          </w:p>
        </w:tc>
        <w:tc>
          <w:tcPr>
            <w:tcW w:w="20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International Corporation and Sunggyu Lee, Ph.D.*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bottom w:val="single" w:sz="8" w:color="0000EE"/>
            </w:tcBorders>
            <w:gridSpan w:val="22"/>
          </w:tcPr>
          <w:p>
            <w:pPr>
              <w:jc w:val="center"/>
              <w:ind w:right="20"/>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Report on Form 10-Q for the fiscal quarter ended May 31, 2009</w:t>
              </w:r>
            </w:hyperlink>
          </w:p>
        </w:tc>
        <w:tc>
          <w:tcPr>
            <w:tcW w:w="14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60" w:type="dxa"/>
            <w:vAlign w:val="bottom"/>
            <w:gridSpan w:val="1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(File No. 001-11038)</w:t>
              </w:r>
            </w:hyperlink>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10.9</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Description of Non-Employee Director Compensation Arrangements*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6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Filed herewith</w:t>
              </w:r>
            </w:hyperlink>
          </w:p>
        </w:tc>
        <w:tc>
          <w:tcPr>
            <w:tcW w:w="180" w:type="dxa"/>
            <w:vAlign w:val="bottom"/>
            <w:tcBorders>
              <w:top w:val="single" w:sz="8" w:color="0000EE"/>
            </w:tcBorders>
          </w:tcPr>
          <w:p>
            <w:pPr>
              <w:spacing w:after="0"/>
              <w:rPr>
                <w:sz w:val="24"/>
                <w:szCs w:val="24"/>
                <w:color w:val="auto"/>
              </w:rPr>
            </w:pPr>
          </w:p>
        </w:tc>
        <w:tc>
          <w:tcPr>
            <w:tcW w:w="1740" w:type="dxa"/>
            <w:vAlign w:val="bottom"/>
            <w:gridSpan w:val="13"/>
          </w:tcPr>
          <w:p>
            <w:pPr>
              <w:spacing w:after="0"/>
              <w:rPr>
                <w:sz w:val="24"/>
                <w:szCs w:val="24"/>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10.10</w:t>
            </w:r>
          </w:p>
        </w:tc>
        <w:tc>
          <w:tcPr>
            <w:tcW w:w="5560" w:type="dxa"/>
            <w:vAlign w:val="bottom"/>
          </w:tcPr>
          <w:p>
            <w:pPr>
              <w:ind w:left="80"/>
              <w:spacing w:after="0"/>
              <w:rPr>
                <w:sz w:val="20"/>
                <w:szCs w:val="20"/>
                <w:color w:val="auto"/>
              </w:rPr>
            </w:pPr>
            <w:r>
              <w:rPr>
                <w:rFonts w:ascii="Arial" w:cs="Arial" w:eastAsia="Arial" w:hAnsi="Arial"/>
                <w:sz w:val="18"/>
                <w:szCs w:val="18"/>
                <w:color w:val="auto"/>
              </w:rPr>
              <w:t>Executive Employment Agreement dated as of November 18, 2011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6"/>
          </w:tcPr>
          <w:p>
            <w:pPr>
              <w:jc w:val="cente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by reference to Exhibit 10.13 to NTIC’s Annual</w:t>
              </w:r>
            </w:hyperlink>
          </w:p>
        </w:tc>
        <w:tc>
          <w:tcPr>
            <w:tcW w:w="24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4"/>
              </w:rPr>
              <w:t>between Northern Technologies International Corporation and G. Patrick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20"/>
          </w:tcPr>
          <w:p>
            <w:pPr>
              <w:jc w:val="cente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Report on Form 10-K for the fiscal year ended August 31, 2011</w:t>
              </w:r>
            </w:hyperlink>
          </w:p>
        </w:tc>
        <w:tc>
          <w:tcPr>
            <w:tcW w:w="16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Lynch*</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(File No. 001-11038)</w:t>
              </w:r>
            </w:hyperlink>
          </w:p>
        </w:tc>
        <w:tc>
          <w:tcPr>
            <w:tcW w:w="1680" w:type="dxa"/>
            <w:vAlign w:val="bottom"/>
            <w:gridSpan w:val="11"/>
          </w:tcPr>
          <w:p>
            <w:pPr>
              <w:spacing w:after="0"/>
              <w:rPr>
                <w:sz w:val="17"/>
                <w:szCs w:val="17"/>
                <w:color w:val="auto"/>
              </w:rPr>
            </w:pPr>
          </w:p>
        </w:tc>
      </w:tr>
      <w:tr>
        <w:trPr>
          <w:trHeight w:val="412"/>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Confidential Information, Inventions Assignment, Noncompetition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EE"/>
            </w:tcBorders>
            <w:gridSpan w:val="16"/>
          </w:tcPr>
          <w:p>
            <w:pPr>
              <w:jc w:val="cente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Incorporated by reference to Exhibit 10.14 to NTIC’s Annual</w:t>
              </w:r>
            </w:hyperlink>
          </w:p>
        </w:tc>
        <w:tc>
          <w:tcPr>
            <w:tcW w:w="24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9"/>
              </w:rPr>
              <w:t>Non-Solicitation Agreement dated as of November 18, 2011 between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20"/>
          </w:tcPr>
          <w:p>
            <w:pPr>
              <w:jc w:val="cente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Report on Form 10-K for the fiscal year ended August 31, 2011</w:t>
              </w:r>
            </w:hyperlink>
          </w:p>
        </w:tc>
        <w:tc>
          <w:tcPr>
            <w:tcW w:w="16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6"/>
              </w:rPr>
              <w:t>Northern Technologies International Corporation and G. Patrick Lynch*</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(File No. 001-11038)</w:t>
              </w:r>
            </w:hyperlink>
          </w:p>
        </w:tc>
        <w:tc>
          <w:tcPr>
            <w:tcW w:w="1680" w:type="dxa"/>
            <w:vAlign w:val="bottom"/>
            <w:gridSpan w:val="11"/>
          </w:tcPr>
          <w:p>
            <w:pPr>
              <w:spacing w:after="0"/>
              <w:rPr>
                <w:sz w:val="17"/>
                <w:szCs w:val="17"/>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1"/>
          </w:tcPr>
          <w:p>
            <w:pPr>
              <w:jc w:val="center"/>
              <w:ind w:right="1680"/>
              <w:spacing w:after="0"/>
              <w:rPr>
                <w:sz w:val="20"/>
                <w:szCs w:val="20"/>
                <w:color w:val="auto"/>
              </w:rPr>
            </w:pPr>
            <w:r>
              <w:rPr>
                <w:rFonts w:ascii="Arial" w:cs="Arial" w:eastAsia="Arial" w:hAnsi="Arial"/>
                <w:sz w:val="18"/>
                <w:szCs w:val="18"/>
                <w:b w:val="1"/>
                <w:bCs w:val="1"/>
                <w:color w:val="auto"/>
                <w:w w:val="93"/>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3"/>
              </w:rPr>
              <w:t>10.12</w:t>
            </w:r>
          </w:p>
        </w:tc>
        <w:tc>
          <w:tcPr>
            <w:tcW w:w="5560" w:type="dxa"/>
            <w:vAlign w:val="bottom"/>
          </w:tcPr>
          <w:p>
            <w:pPr>
              <w:ind w:left="80"/>
              <w:spacing w:after="0" w:line="170" w:lineRule="exact"/>
              <w:rPr>
                <w:sz w:val="20"/>
                <w:szCs w:val="20"/>
                <w:color w:val="auto"/>
              </w:rPr>
            </w:pPr>
            <w:r>
              <w:rPr>
                <w:rFonts w:ascii="Arial" w:cs="Arial" w:eastAsia="Arial" w:hAnsi="Arial"/>
                <w:sz w:val="18"/>
                <w:szCs w:val="18"/>
                <w:color w:val="auto"/>
              </w:rPr>
              <w:t>Executive Employment Agreement dated as of November 18, 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EE"/>
            </w:tcBorders>
            <w:gridSpan w:val="9"/>
          </w:tcPr>
          <w:p>
            <w:pPr>
              <w:jc w:val="center"/>
              <w:spacing w:after="0" w:line="170"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Incorporated by reference to Exhibit 10.15 to NTIC’s Annual</w:t>
              </w:r>
            </w:hyperlink>
          </w:p>
        </w:tc>
        <w:tc>
          <w:tcPr>
            <w:tcW w:w="240" w:type="dxa"/>
            <w:vAlign w:val="bottom"/>
            <w:gridSpan w:val="6"/>
          </w:tcPr>
          <w:p>
            <w:pPr>
              <w:spacing w:after="0"/>
              <w:rPr>
                <w:sz w:val="14"/>
                <w:szCs w:val="1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2"/>
              </w:rPr>
              <w:t>between Northern Technologies International Corporation and Matthew 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5"/>
          </w:tcPr>
          <w:p>
            <w:pPr>
              <w:jc w:val="cente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Report on Form 10-K for the fiscal year ended August 31, 2011</w:t>
              </w:r>
            </w:hyperlink>
          </w:p>
        </w:tc>
        <w:tc>
          <w:tcPr>
            <w:tcW w:w="16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Wolsfeld*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(File No. 001-11038)</w:t>
              </w:r>
            </w:hyperlink>
          </w:p>
        </w:tc>
        <w:tc>
          <w:tcPr>
            <w:tcW w:w="1680" w:type="dxa"/>
            <w:vAlign w:val="bottom"/>
            <w:gridSpan w:val="10"/>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10.13</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Confidential Information, Inventions Assignment, Noncompetition and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EE"/>
            </w:tcBorders>
            <w:gridSpan w:val="9"/>
          </w:tcPr>
          <w:p>
            <w:pPr>
              <w:jc w:val="cente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Incorporated by reference to Exhibit 10.16 to NTIC’s Annual</w:t>
              </w:r>
            </w:hyperlink>
          </w:p>
        </w:tc>
        <w:tc>
          <w:tcPr>
            <w:tcW w:w="24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9"/>
              </w:rPr>
              <w:t>Non-Solicitation Agreement dated as of November 18, 2011 between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EE"/>
            </w:tcBorders>
            <w:gridSpan w:val="15"/>
          </w:tcPr>
          <w:p>
            <w:pPr>
              <w:jc w:val="cente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Report on Form 10-K for the fiscal year ended August 31, 2011</w:t>
              </w:r>
            </w:hyperlink>
          </w:p>
        </w:tc>
        <w:tc>
          <w:tcPr>
            <w:tcW w:w="16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Northern Technologies International Corporation and Matthew C.</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1"/>
          </w:tcPr>
          <w:p>
            <w:pPr>
              <w:jc w:val="center"/>
              <w:ind w:right="1680"/>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(File No. 001-11038)</w:t>
              </w:r>
            </w:hyperlink>
          </w:p>
        </w:tc>
      </w:tr>
      <w:tr>
        <w:trPr>
          <w:trHeight w:val="237"/>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Wolsfeld*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10.14</w:t>
            </w:r>
          </w:p>
        </w:tc>
        <w:tc>
          <w:tcPr>
            <w:tcW w:w="10460" w:type="dxa"/>
            <w:vAlign w:val="bottom"/>
            <w:gridSpan w:val="21"/>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Committed Line of Credit Note dated as of January </w:t>
            </w:r>
            <w:hyperlink r:id="rId127">
              <w:r>
                <w:rPr>
                  <w:rFonts w:ascii="Arial" w:cs="Arial" w:eastAsia="Arial" w:hAnsi="Arial"/>
                  <w:sz w:val="18"/>
                  <w:szCs w:val="18"/>
                  <w:color w:val="0000EE"/>
                  <w:w w:val="91"/>
                </w:rPr>
                <w:t>Incorporated by reference to Exhibit 10.2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7"/>
              </w:rPr>
              <w:t>10, 2011 issued by Northern Technologies International Corporation to</w:t>
            </w: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2"/>
          </w:tcPr>
          <w:p>
            <w:pPr>
              <w:jc w:val="center"/>
              <w:ind w:right="460"/>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PNC Bank, National 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Commission on January 12, 2011 (File No. 001-11038)</w:t>
              </w:r>
            </w:hyperlink>
          </w:p>
        </w:tc>
        <w:tc>
          <w:tcPr>
            <w:tcW w:w="460" w:type="dxa"/>
            <w:vAlign w:val="bottom"/>
            <w:gridSpan w:val="7"/>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10.15</w:t>
            </w:r>
          </w:p>
        </w:tc>
        <w:tc>
          <w:tcPr>
            <w:tcW w:w="5560" w:type="dxa"/>
            <w:vAlign w:val="bottom"/>
          </w:tcPr>
          <w:p>
            <w:pPr>
              <w:ind w:left="80"/>
              <w:spacing w:after="0"/>
              <w:rPr>
                <w:sz w:val="20"/>
                <w:szCs w:val="20"/>
                <w:color w:val="auto"/>
              </w:rPr>
            </w:pPr>
            <w:r>
              <w:rPr>
                <w:rFonts w:ascii="Arial" w:cs="Arial" w:eastAsia="Arial" w:hAnsi="Arial"/>
                <w:sz w:val="18"/>
                <w:szCs w:val="18"/>
                <w:color w:val="auto"/>
              </w:rPr>
              <w:t>Loan Agreement dated as of January 10, 2011 between Northern</w:t>
            </w:r>
          </w:p>
        </w:tc>
        <w:tc>
          <w:tcPr>
            <w:tcW w:w="4900" w:type="dxa"/>
            <w:vAlign w:val="bottom"/>
            <w:gridSpan w:val="20"/>
          </w:tcPr>
          <w:p>
            <w:pPr>
              <w:jc w:val="center"/>
              <w:ind w:right="20"/>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Incorporated by reference to Exhibit 10.6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Technologies International Corporation and PNC Bank, National</w:t>
            </w: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12"/>
          </w:tcPr>
          <w:p>
            <w:pPr>
              <w:jc w:val="center"/>
              <w:ind w:right="460"/>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on Form 8-K as filed with the Securities and Exchange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7"/>
          </w:tcPr>
          <w:p>
            <w:pPr>
              <w:jc w:val="cente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Commission on January 12, 2011 (File No. 001-11038)</w:t>
              </w:r>
            </w:hyperlink>
          </w:p>
        </w:tc>
        <w:tc>
          <w:tcPr>
            <w:tcW w:w="460" w:type="dxa"/>
            <w:vAlign w:val="bottom"/>
            <w:gridSpan w:val="7"/>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10.16</w:t>
            </w:r>
          </w:p>
        </w:tc>
        <w:tc>
          <w:tcPr>
            <w:tcW w:w="5560" w:type="dxa"/>
            <w:vAlign w:val="bottom"/>
          </w:tcPr>
          <w:p>
            <w:pPr>
              <w:ind w:left="80"/>
              <w:spacing w:after="0"/>
              <w:rPr>
                <w:sz w:val="20"/>
                <w:szCs w:val="20"/>
                <w:color w:val="auto"/>
              </w:rPr>
            </w:pPr>
            <w:r>
              <w:rPr>
                <w:rFonts w:ascii="Arial" w:cs="Arial" w:eastAsia="Arial" w:hAnsi="Arial"/>
                <w:sz w:val="18"/>
                <w:szCs w:val="18"/>
                <w:color w:val="auto"/>
                <w:w w:val="92"/>
              </w:rPr>
              <w:t>Waiver and First Amendment to Loan Documents dated as of January 10,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Incorporated by reference to Exhibit 10.6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gridSpan w:val="20"/>
          </w:tcPr>
          <w:p>
            <w:pPr>
              <w:jc w:val="cente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Bank, National Association</w:t>
            </w: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2011 (File No. 001-11038)</w:t>
              </w:r>
            </w:hyperlink>
          </w:p>
        </w:tc>
        <w:tc>
          <w:tcPr>
            <w:tcW w:w="134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10.17</w:t>
            </w:r>
          </w:p>
        </w:tc>
        <w:tc>
          <w:tcPr>
            <w:tcW w:w="5560" w:type="dxa"/>
            <w:vAlign w:val="bottom"/>
          </w:tcPr>
          <w:p>
            <w:pPr>
              <w:ind w:left="80"/>
              <w:spacing w:after="0"/>
              <w:rPr>
                <w:sz w:val="20"/>
                <w:szCs w:val="20"/>
                <w:color w:val="auto"/>
              </w:rPr>
            </w:pPr>
            <w:r>
              <w:rPr>
                <w:rFonts w:ascii="Arial" w:cs="Arial" w:eastAsia="Arial" w:hAnsi="Arial"/>
                <w:sz w:val="18"/>
                <w:szCs w:val="18"/>
                <w:color w:val="auto"/>
                <w:w w:val="92"/>
              </w:rPr>
              <w:t>Waiver and Second Amendment to Loan Documents dated December 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3"/>
              </w:rPr>
              <w:t>2012 between Northern Technologies International Corporation and PNC</w:t>
            </w:r>
          </w:p>
        </w:tc>
        <w:tc>
          <w:tcPr>
            <w:tcW w:w="4900" w:type="dxa"/>
            <w:vAlign w:val="bottom"/>
            <w:gridSpan w:val="20"/>
          </w:tcPr>
          <w:p>
            <w:pPr>
              <w:jc w:val="cente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Bank, National Association</w:t>
            </w: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2012 (File No. 001-11038)</w:t>
              </w:r>
            </w:hyperlink>
          </w:p>
        </w:tc>
        <w:tc>
          <w:tcPr>
            <w:tcW w:w="134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10.18</w:t>
            </w:r>
          </w:p>
        </w:tc>
        <w:tc>
          <w:tcPr>
            <w:tcW w:w="5560" w:type="dxa"/>
            <w:vAlign w:val="bottom"/>
          </w:tcPr>
          <w:p>
            <w:pPr>
              <w:ind w:left="80"/>
              <w:spacing w:after="0"/>
              <w:rPr>
                <w:sz w:val="20"/>
                <w:szCs w:val="20"/>
                <w:color w:val="auto"/>
              </w:rPr>
            </w:pPr>
            <w:r>
              <w:rPr>
                <w:rFonts w:ascii="Arial" w:cs="Arial" w:eastAsia="Arial" w:hAnsi="Arial"/>
                <w:sz w:val="18"/>
                <w:szCs w:val="18"/>
                <w:color w:val="auto"/>
                <w:w w:val="95"/>
              </w:rPr>
              <w:t>Letter dated December 31, 2013 to Northern Technologies International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Corporation from PNC Bank, National 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Report on Form 10-Q for the fiscal quarter ended February 28,</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2014 (File No. 001-11038)</w:t>
              </w:r>
            </w:hyperlink>
          </w:p>
        </w:tc>
        <w:tc>
          <w:tcPr>
            <w:tcW w:w="1480" w:type="dxa"/>
            <w:vAlign w:val="bottom"/>
            <w:gridSpan w:val="9"/>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10.19</w:t>
            </w:r>
          </w:p>
        </w:tc>
        <w:tc>
          <w:tcPr>
            <w:tcW w:w="5560" w:type="dxa"/>
            <w:vAlign w:val="bottom"/>
          </w:tcPr>
          <w:p>
            <w:pPr>
              <w:ind w:left="80"/>
              <w:spacing w:after="0"/>
              <w:rPr>
                <w:sz w:val="20"/>
                <w:szCs w:val="20"/>
                <w:color w:val="auto"/>
              </w:rPr>
            </w:pPr>
            <w:r>
              <w:rPr>
                <w:rFonts w:ascii="Arial" w:cs="Arial" w:eastAsia="Arial" w:hAnsi="Arial"/>
                <w:sz w:val="18"/>
                <w:szCs w:val="18"/>
                <w:color w:val="auto"/>
              </w:rPr>
              <w:t>Letter dated January 8, 2015 to Northern Technologies International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Corporation from PNC Bank, National 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Report on Form 10-Q for the fiscal quarter ended February 28,</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2015 (File No. 001-11038)</w:t>
              </w:r>
            </w:hyperlink>
          </w:p>
        </w:tc>
        <w:tc>
          <w:tcPr>
            <w:tcW w:w="1480" w:type="dxa"/>
            <w:vAlign w:val="bottom"/>
            <w:gridSpan w:val="9"/>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10.20</w:t>
            </w:r>
          </w:p>
        </w:tc>
        <w:tc>
          <w:tcPr>
            <w:tcW w:w="5560" w:type="dxa"/>
            <w:vAlign w:val="bottom"/>
          </w:tcPr>
          <w:p>
            <w:pPr>
              <w:ind w:left="80"/>
              <w:spacing w:after="0"/>
              <w:rPr>
                <w:sz w:val="20"/>
                <w:szCs w:val="20"/>
                <w:color w:val="auto"/>
              </w:rPr>
            </w:pPr>
            <w:r>
              <w:rPr>
                <w:rFonts w:ascii="Arial" w:cs="Arial" w:eastAsia="Arial" w:hAnsi="Arial"/>
                <w:sz w:val="18"/>
                <w:szCs w:val="18"/>
                <w:color w:val="auto"/>
                <w:w w:val="95"/>
              </w:rPr>
              <w:t>Amendment to Loan Documents dated January 6, 2016 by and between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2"/>
              </w:rPr>
              <w:t>Northern Technologies International Corporation from PNC Bank, National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Borders>
              <w:bottom w:val="single" w:sz="8" w:color="0000EE"/>
            </w:tcBorders>
            <w:gridSpan w:val="13"/>
          </w:tcPr>
          <w:p>
            <w:pPr>
              <w:jc w:val="center"/>
              <w:ind w:right="20"/>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Report on Form 10-Q for the fiscal quarter ended February 29,</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Association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2016 (File No. 001-11038)</w:t>
              </w:r>
            </w:hyperlink>
          </w:p>
        </w:tc>
        <w:tc>
          <w:tcPr>
            <w:tcW w:w="1480" w:type="dxa"/>
            <w:vAlign w:val="bottom"/>
            <w:gridSpan w:val="9"/>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10.21</w:t>
            </w:r>
          </w:p>
        </w:tc>
        <w:tc>
          <w:tcPr>
            <w:tcW w:w="5560" w:type="dxa"/>
            <w:vAlign w:val="bottom"/>
          </w:tcPr>
          <w:p>
            <w:pPr>
              <w:ind w:left="80"/>
              <w:spacing w:after="0"/>
              <w:rPr>
                <w:sz w:val="20"/>
                <w:szCs w:val="20"/>
                <w:color w:val="auto"/>
              </w:rPr>
            </w:pPr>
            <w:r>
              <w:rPr>
                <w:rFonts w:ascii="Arial" w:cs="Arial" w:eastAsia="Arial" w:hAnsi="Arial"/>
                <w:sz w:val="18"/>
                <w:szCs w:val="18"/>
                <w:color w:val="auto"/>
                <w:w w:val="96"/>
              </w:rPr>
              <w:t>Letter Agreement effective as of January 11, 2017 between PNC Bank,</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EE"/>
            </w:tcBorders>
            <w:gridSpan w:val="11"/>
          </w:tcPr>
          <w:p>
            <w:pPr>
              <w:jc w:val="cente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Incorporated by reference to Exhibit 10.1 to NTIC’s Quarterly</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2"/>
              </w:rPr>
              <w:t>National Association and Northern Technologies International Corporation</w:t>
            </w:r>
          </w:p>
        </w:tc>
        <w:tc>
          <w:tcPr>
            <w:tcW w:w="4900" w:type="dxa"/>
            <w:vAlign w:val="bottom"/>
            <w:gridSpan w:val="20"/>
          </w:tcPr>
          <w:p>
            <w:pPr>
              <w:jc w:val="cente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2016 (File No. 001-11038)</w:t>
              </w:r>
            </w:hyperlink>
          </w:p>
        </w:tc>
        <w:tc>
          <w:tcPr>
            <w:tcW w:w="134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Item No.</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13"/>
          </w:tcPr>
          <w:p>
            <w:pPr>
              <w:jc w:val="center"/>
              <w:ind w:right="1760"/>
              <w:spacing w:after="0"/>
              <w:rPr>
                <w:sz w:val="20"/>
                <w:szCs w:val="20"/>
                <w:color w:val="auto"/>
              </w:rPr>
            </w:pPr>
            <w:r>
              <w:rPr>
                <w:rFonts w:ascii="Arial" w:cs="Arial" w:eastAsia="Arial" w:hAnsi="Arial"/>
                <w:sz w:val="18"/>
                <w:szCs w:val="18"/>
                <w:b w:val="1"/>
                <w:bCs w:val="1"/>
                <w:color w:val="auto"/>
                <w:w w:val="93"/>
              </w:rPr>
              <w:t>Method of Filing</w:t>
            </w:r>
          </w:p>
        </w:tc>
      </w:tr>
      <w:tr>
        <w:trPr>
          <w:trHeight w:val="169"/>
        </w:trPr>
        <w:tc>
          <w:tcPr>
            <w:tcW w:w="96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3"/>
              </w:rPr>
              <w:t>10.22</w:t>
            </w:r>
          </w:p>
        </w:tc>
        <w:tc>
          <w:tcPr>
            <w:tcW w:w="5560" w:type="dxa"/>
            <w:vAlign w:val="bottom"/>
          </w:tcPr>
          <w:p>
            <w:pPr>
              <w:ind w:left="80"/>
              <w:spacing w:after="0" w:line="170" w:lineRule="exact"/>
              <w:rPr>
                <w:sz w:val="20"/>
                <w:szCs w:val="20"/>
                <w:color w:val="auto"/>
              </w:rPr>
            </w:pPr>
            <w:r>
              <w:rPr>
                <w:rFonts w:ascii="Arial" w:cs="Arial" w:eastAsia="Arial" w:hAnsi="Arial"/>
                <w:sz w:val="18"/>
                <w:szCs w:val="18"/>
                <w:color w:val="auto"/>
                <w:w w:val="98"/>
              </w:rPr>
              <w:t>Letter Agreement effective as of January 5, 2018 between PNC Bank,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00" w:type="dxa"/>
            <w:vAlign w:val="bottom"/>
            <w:tcBorders>
              <w:bottom w:val="single" w:sz="8" w:color="0000EE"/>
            </w:tcBorders>
            <w:gridSpan w:val="13"/>
          </w:tcPr>
          <w:p>
            <w:pPr>
              <w:jc w:val="center"/>
              <w:spacing w:after="0" w:line="170"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by reference to Exhibit 10.1 to NTIC’s Quarterly</w:t>
              </w:r>
            </w:hyperlink>
          </w:p>
        </w:tc>
        <w:tc>
          <w:tcPr>
            <w:tcW w:w="200" w:type="dxa"/>
            <w:vAlign w:val="bottom"/>
            <w:gridSpan w:val="4"/>
          </w:tcPr>
          <w:p>
            <w:pPr>
              <w:spacing w:after="0"/>
              <w:rPr>
                <w:sz w:val="14"/>
                <w:szCs w:val="1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2"/>
              </w:rPr>
              <w:t>National Association and Northern Technologies International Corporation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7"/>
          </w:tcPr>
          <w:p>
            <w:pPr>
              <w:jc w:val="cente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2017 (File No. 001-11038)</w:t>
              </w:r>
            </w:hyperlink>
          </w:p>
        </w:tc>
        <w:tc>
          <w:tcPr>
            <w:tcW w:w="134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10.23</w:t>
            </w:r>
          </w:p>
        </w:tc>
        <w:tc>
          <w:tcPr>
            <w:tcW w:w="5560" w:type="dxa"/>
            <w:vAlign w:val="bottom"/>
          </w:tcPr>
          <w:p>
            <w:pPr>
              <w:ind w:left="80"/>
              <w:spacing w:after="0"/>
              <w:rPr>
                <w:sz w:val="20"/>
                <w:szCs w:val="20"/>
                <w:color w:val="auto"/>
              </w:rPr>
            </w:pPr>
            <w:r>
              <w:rPr>
                <w:rFonts w:ascii="Arial" w:cs="Arial" w:eastAsia="Arial" w:hAnsi="Arial"/>
                <w:sz w:val="18"/>
                <w:szCs w:val="18"/>
                <w:color w:val="auto"/>
                <w:w w:val="91"/>
              </w:rPr>
              <w:t>Purchase and Sale Agreement dated as of July 14, 2014 between Northern</w:t>
            </w:r>
          </w:p>
        </w:tc>
        <w:tc>
          <w:tcPr>
            <w:tcW w:w="4900" w:type="dxa"/>
            <w:vAlign w:val="bottom"/>
            <w:tcBorders>
              <w:bottom w:val="single" w:sz="8" w:color="0000EE"/>
            </w:tcBorders>
            <w:gridSpan w:val="21"/>
          </w:tcPr>
          <w:p>
            <w:pPr>
              <w:jc w:val="center"/>
              <w:ind w:right="20"/>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Incorporated by reference to Exhibit 10.1 to NTIC’s Current Report</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6"/>
              </w:rPr>
              <w:t>Technologies International Corporation and Glen Willow Holdings, LLC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gridSpan w:val="16"/>
          </w:tcPr>
          <w:p>
            <w:pPr>
              <w:jc w:val="center"/>
              <w:ind w:right="480"/>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on Form 8-K as filed with the Securities and Exchange</w:t>
              </w:r>
            </w:hyperlink>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9"/>
          </w:tcPr>
          <w:p>
            <w:pPr>
              <w:jc w:val="cente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Commission on July 15, 2014 (File No. 001-11038)</w:t>
              </w:r>
            </w:hyperlink>
          </w:p>
        </w:tc>
        <w:tc>
          <w:tcPr>
            <w:tcW w:w="100" w:type="dxa"/>
            <w:vAlign w:val="bottom"/>
            <w:tcBorders>
              <w:top w:val="single" w:sz="8" w:color="0000EE"/>
            </w:tcBorders>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93"/>
              </w:rPr>
              <w:t>10.24</w:t>
            </w:r>
          </w:p>
        </w:tc>
        <w:tc>
          <w:tcPr>
            <w:tcW w:w="5560" w:type="dxa"/>
            <w:vAlign w:val="bottom"/>
          </w:tcPr>
          <w:p>
            <w:pPr>
              <w:ind w:left="80"/>
              <w:spacing w:after="0"/>
              <w:rPr>
                <w:sz w:val="20"/>
                <w:szCs w:val="20"/>
                <w:color w:val="auto"/>
              </w:rPr>
            </w:pPr>
            <w:r>
              <w:rPr>
                <w:rFonts w:ascii="Arial" w:cs="Arial" w:eastAsia="Arial" w:hAnsi="Arial"/>
                <w:sz w:val="18"/>
                <w:szCs w:val="18"/>
                <w:color w:val="auto"/>
                <w:w w:val="96"/>
              </w:rPr>
              <w:t>Consulting Agreement dated January 11, 2017 by and among Northern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tcBorders>
              <w:bottom w:val="single" w:sz="8" w:color="0000EE"/>
            </w:tcBorders>
            <w:gridSpan w:val="13"/>
          </w:tcPr>
          <w:p>
            <w:pPr>
              <w:jc w:val="cente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Incorporated by reference to Exhibit 10.2 to NTIC’s Quarterly</w:t>
              </w:r>
            </w:hyperlink>
          </w:p>
        </w:tc>
        <w:tc>
          <w:tcPr>
            <w:tcW w:w="20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w w:val="97"/>
              </w:rPr>
              <w:t>Technologies International Corporation, BioPlastic Polymers LLC,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19"/>
          </w:tcPr>
          <w:p>
            <w:pPr>
              <w:jc w:val="center"/>
              <w:ind w:right="120"/>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Report on Form 10-Q for the fiscal quarter ended November 30,</w:t>
              </w:r>
            </w:hyperlink>
          </w:p>
        </w:tc>
      </w:tr>
      <w:tr>
        <w:trPr>
          <w:trHeight w:val="196"/>
        </w:trPr>
        <w:tc>
          <w:tcPr>
            <w:tcW w:w="960" w:type="dxa"/>
            <w:vAlign w:val="bottom"/>
          </w:tcPr>
          <w:p>
            <w:pPr>
              <w:spacing w:after="0"/>
              <w:rPr>
                <w:sz w:val="17"/>
                <w:szCs w:val="17"/>
                <w:color w:val="auto"/>
              </w:rPr>
            </w:pPr>
          </w:p>
        </w:tc>
        <w:tc>
          <w:tcPr>
            <w:tcW w:w="5560" w:type="dxa"/>
            <w:vAlign w:val="bottom"/>
          </w:tcPr>
          <w:p>
            <w:pPr>
              <w:ind w:left="80"/>
              <w:spacing w:after="0" w:line="196" w:lineRule="exact"/>
              <w:rPr>
                <w:sz w:val="20"/>
                <w:szCs w:val="20"/>
                <w:color w:val="auto"/>
              </w:rPr>
            </w:pPr>
            <w:r>
              <w:rPr>
                <w:rFonts w:ascii="Arial" w:cs="Arial" w:eastAsia="Arial" w:hAnsi="Arial"/>
                <w:sz w:val="18"/>
                <w:szCs w:val="18"/>
                <w:color w:val="auto"/>
              </w:rPr>
              <w:t>Ramani Narayan, Ph.D.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7"/>
          </w:tcPr>
          <w:p>
            <w:pPr>
              <w:jc w:val="cente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2016 (File No. 001-11038)</w:t>
              </w:r>
            </w:hyperlink>
          </w:p>
        </w:tc>
        <w:tc>
          <w:tcPr>
            <w:tcW w:w="134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14.1</w:t>
            </w:r>
          </w:p>
        </w:tc>
        <w:tc>
          <w:tcPr>
            <w:tcW w:w="5560" w:type="dxa"/>
            <w:vAlign w:val="bottom"/>
          </w:tcPr>
          <w:p>
            <w:pPr>
              <w:ind w:left="80"/>
              <w:spacing w:after="0"/>
              <w:rPr>
                <w:sz w:val="20"/>
                <w:szCs w:val="20"/>
                <w:color w:val="auto"/>
              </w:rPr>
            </w:pPr>
            <w:r>
              <w:rPr>
                <w:rFonts w:ascii="Arial" w:cs="Arial" w:eastAsia="Arial" w:hAnsi="Arial"/>
                <w:sz w:val="18"/>
                <w:szCs w:val="18"/>
                <w:color w:val="auto"/>
              </w:rPr>
              <w:t>Code of Ethics</w:t>
            </w:r>
          </w:p>
        </w:tc>
        <w:tc>
          <w:tcPr>
            <w:tcW w:w="20" w:type="dxa"/>
            <w:vAlign w:val="bottom"/>
          </w:tcPr>
          <w:p>
            <w:pPr>
              <w:spacing w:after="0"/>
              <w:rPr>
                <w:sz w:val="24"/>
                <w:szCs w:val="24"/>
                <w:color w:val="auto"/>
              </w:rPr>
            </w:pPr>
          </w:p>
        </w:tc>
        <w:tc>
          <w:tcPr>
            <w:tcW w:w="4860" w:type="dxa"/>
            <w:vAlign w:val="bottom"/>
            <w:tcBorders>
              <w:bottom w:val="single" w:sz="8" w:color="0000EE"/>
            </w:tcBorders>
            <w:gridSpan w:val="19"/>
          </w:tcPr>
          <w:p>
            <w:pPr>
              <w:jc w:val="cente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by reference to Exhibit 14.1 to NTIC’s Annual Report</w:t>
              </w:r>
            </w:hyperlink>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Borders>
              <w:bottom w:val="single" w:sz="8" w:color="0000EE"/>
            </w:tcBorders>
            <w:gridSpan w:val="17"/>
          </w:tcPr>
          <w:p>
            <w:pPr>
              <w:jc w:val="cente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on Form 10-KSB for the fiscal year ended August 31, 2004 (File</w:t>
              </w:r>
            </w:hyperlink>
          </w:p>
        </w:tc>
        <w:tc>
          <w:tcPr>
            <w:tcW w:w="12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12"/>
          </w:tcPr>
          <w:p>
            <w:pPr>
              <w:jc w:val="center"/>
              <w:ind w:right="1880"/>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No. 001-11038)</w:t>
              </w:r>
            </w:hyperlink>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21.1</w:t>
            </w:r>
          </w:p>
        </w:tc>
        <w:tc>
          <w:tcPr>
            <w:tcW w:w="5560" w:type="dxa"/>
            <w:vAlign w:val="bottom"/>
          </w:tcPr>
          <w:p>
            <w:pPr>
              <w:ind w:left="80"/>
              <w:spacing w:after="0"/>
              <w:rPr>
                <w:sz w:val="20"/>
                <w:szCs w:val="20"/>
                <w:color w:val="auto"/>
              </w:rPr>
            </w:pPr>
            <w:r>
              <w:rPr>
                <w:rFonts w:ascii="Arial" w:cs="Arial" w:eastAsia="Arial" w:hAnsi="Arial"/>
                <w:sz w:val="18"/>
                <w:szCs w:val="18"/>
                <w:color w:val="auto"/>
              </w:rPr>
              <w:t>Subsidiaries of the Registrant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Filed herewith</w:t>
              </w:r>
            </w:hyperlink>
          </w:p>
        </w:tc>
        <w:tc>
          <w:tcPr>
            <w:tcW w:w="40" w:type="dxa"/>
            <w:vAlign w:val="bottom"/>
            <w:tcBorders>
              <w:top w:val="single" w:sz="8" w:color="0000EE"/>
            </w:tcBorders>
          </w:tcPr>
          <w:p>
            <w:pPr>
              <w:spacing w:after="0"/>
              <w:rPr>
                <w:sz w:val="24"/>
                <w:szCs w:val="24"/>
                <w:color w:val="auto"/>
              </w:rPr>
            </w:pPr>
          </w:p>
        </w:tc>
        <w:tc>
          <w:tcPr>
            <w:tcW w:w="1880" w:type="dxa"/>
            <w:vAlign w:val="bottom"/>
            <w:gridSpan w:val="9"/>
          </w:tcPr>
          <w:p>
            <w:pPr>
              <w:spacing w:after="0"/>
              <w:rPr>
                <w:sz w:val="24"/>
                <w:szCs w:val="24"/>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23.1</w:t>
            </w:r>
          </w:p>
        </w:tc>
        <w:tc>
          <w:tcPr>
            <w:tcW w:w="5560" w:type="dxa"/>
            <w:vAlign w:val="bottom"/>
          </w:tcPr>
          <w:p>
            <w:pPr>
              <w:ind w:left="80"/>
              <w:spacing w:after="0"/>
              <w:rPr>
                <w:sz w:val="20"/>
                <w:szCs w:val="20"/>
                <w:color w:val="auto"/>
              </w:rPr>
            </w:pPr>
            <w:r>
              <w:rPr>
                <w:rFonts w:ascii="Arial" w:cs="Arial" w:eastAsia="Arial" w:hAnsi="Arial"/>
                <w:sz w:val="18"/>
                <w:szCs w:val="18"/>
                <w:color w:val="auto"/>
              </w:rPr>
              <w:t>Consent of Baker Tilly Virchow Krause, LLP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EE"/>
            </w:tcBorders>
          </w:tcPr>
          <w:p>
            <w:pPr>
              <w:jc w:val="cente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Filed herewith</w:t>
              </w:r>
            </w:hyperlink>
          </w:p>
        </w:tc>
        <w:tc>
          <w:tcPr>
            <w:tcW w:w="1920" w:type="dxa"/>
            <w:vAlign w:val="bottom"/>
            <w:gridSpan w:val="10"/>
          </w:tcPr>
          <w:p>
            <w:pPr>
              <w:spacing w:after="0"/>
              <w:rPr>
                <w:sz w:val="24"/>
                <w:szCs w:val="24"/>
                <w:color w:val="auto"/>
              </w:rPr>
            </w:pPr>
          </w:p>
        </w:tc>
      </w:tr>
      <w:tr>
        <w:trPr>
          <w:trHeight w:val="41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31.1</w:t>
            </w:r>
          </w:p>
        </w:tc>
        <w:tc>
          <w:tcPr>
            <w:tcW w:w="5560" w:type="dxa"/>
            <w:vAlign w:val="bottom"/>
          </w:tcPr>
          <w:p>
            <w:pPr>
              <w:ind w:left="80"/>
              <w:spacing w:after="0"/>
              <w:rPr>
                <w:sz w:val="20"/>
                <w:szCs w:val="20"/>
                <w:color w:val="auto"/>
              </w:rPr>
            </w:pPr>
            <w:r>
              <w:rPr>
                <w:rFonts w:ascii="Arial" w:cs="Arial" w:eastAsia="Arial" w:hAnsi="Arial"/>
                <w:sz w:val="18"/>
                <w:szCs w:val="18"/>
                <w:color w:val="auto"/>
                <w:w w:val="97"/>
              </w:rPr>
              <w:t>Certification of President and Chief Executive Officer Pursuant to SEC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Filed herewith</w:t>
              </w:r>
            </w:hyperlink>
          </w:p>
        </w:tc>
      </w:tr>
      <w:tr>
        <w:trPr>
          <w:trHeight w:val="222"/>
        </w:trPr>
        <w:tc>
          <w:tcPr>
            <w:tcW w:w="960" w:type="dxa"/>
            <w:vAlign w:val="bottom"/>
          </w:tcPr>
          <w:p>
            <w:pPr>
              <w:spacing w:after="0"/>
              <w:rPr>
                <w:sz w:val="19"/>
                <w:szCs w:val="19"/>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1"/>
              </w:rPr>
              <w:t>Rule 13a-14(a), as adopted pursuant to Section 302 of the Sarbanes-Oxley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Act of 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31.2</w:t>
            </w:r>
          </w:p>
        </w:tc>
        <w:tc>
          <w:tcPr>
            <w:tcW w:w="5560" w:type="dxa"/>
            <w:vAlign w:val="bottom"/>
          </w:tcPr>
          <w:p>
            <w:pPr>
              <w:ind w:left="80"/>
              <w:spacing w:after="0"/>
              <w:rPr>
                <w:sz w:val="20"/>
                <w:szCs w:val="20"/>
                <w:color w:val="auto"/>
              </w:rPr>
            </w:pPr>
            <w:r>
              <w:rPr>
                <w:rFonts w:ascii="Arial" w:cs="Arial" w:eastAsia="Arial" w:hAnsi="Arial"/>
                <w:sz w:val="18"/>
                <w:szCs w:val="18"/>
                <w:color w:val="auto"/>
                <w:w w:val="92"/>
              </w:rPr>
              <w:t>Certification of Chief Financial Officer Pursuant to SEC Rule 13a-14(a),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Filed herewith</w:t>
              </w:r>
            </w:hyperlink>
          </w:p>
        </w:tc>
      </w:tr>
      <w:tr>
        <w:trPr>
          <w:trHeight w:val="237"/>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32.1</w:t>
            </w:r>
          </w:p>
        </w:tc>
        <w:tc>
          <w:tcPr>
            <w:tcW w:w="5560" w:type="dxa"/>
            <w:vAlign w:val="bottom"/>
          </w:tcPr>
          <w:p>
            <w:pPr>
              <w:ind w:left="80"/>
              <w:spacing w:after="0"/>
              <w:rPr>
                <w:sz w:val="20"/>
                <w:szCs w:val="20"/>
                <w:color w:val="auto"/>
              </w:rPr>
            </w:pPr>
            <w:r>
              <w:rPr>
                <w:rFonts w:ascii="Arial" w:cs="Arial" w:eastAsia="Arial" w:hAnsi="Arial"/>
                <w:sz w:val="18"/>
                <w:szCs w:val="18"/>
                <w:color w:val="auto"/>
                <w:w w:val="93"/>
              </w:rPr>
              <w:t>Certification of President and Chief Executive Officer Pursuant to Rule 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13"/>
          </w:tcPr>
          <w:p>
            <w:pPr>
              <w:jc w:val="center"/>
              <w:ind w:right="1760"/>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Furnished herewith</w:t>
              </w:r>
            </w:hyperlink>
          </w:p>
        </w:tc>
      </w:tr>
      <w:tr>
        <w:trPr>
          <w:trHeight w:val="222"/>
        </w:trPr>
        <w:tc>
          <w:tcPr>
            <w:tcW w:w="960" w:type="dxa"/>
            <w:vAlign w:val="bottom"/>
          </w:tcPr>
          <w:p>
            <w:pPr>
              <w:spacing w:after="0"/>
              <w:rPr>
                <w:sz w:val="19"/>
                <w:szCs w:val="19"/>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1"/>
              </w:rPr>
              <w:t>U.S.C. Section 1350, as adopted pursuant to Section 906 of the Sarbanes-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32.2</w:t>
            </w:r>
          </w:p>
        </w:tc>
        <w:tc>
          <w:tcPr>
            <w:tcW w:w="556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Rule 18 U.S.C. Section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13"/>
          </w:tcPr>
          <w:p>
            <w:pPr>
              <w:jc w:val="center"/>
              <w:ind w:right="1760"/>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Furnished herewith</w:t>
              </w:r>
            </w:hyperlink>
          </w:p>
        </w:tc>
      </w:tr>
      <w:tr>
        <w:trPr>
          <w:trHeight w:val="222"/>
        </w:trPr>
        <w:tc>
          <w:tcPr>
            <w:tcW w:w="960" w:type="dxa"/>
            <w:vAlign w:val="bottom"/>
          </w:tcPr>
          <w:p>
            <w:pPr>
              <w:spacing w:after="0"/>
              <w:rPr>
                <w:sz w:val="19"/>
                <w:szCs w:val="19"/>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6"/>
              </w:rPr>
              <w:t>101</w:t>
            </w:r>
          </w:p>
        </w:tc>
        <w:tc>
          <w:tcPr>
            <w:tcW w:w="5560" w:type="dxa"/>
            <w:vAlign w:val="bottom"/>
          </w:tcPr>
          <w:p>
            <w:pPr>
              <w:ind w:left="80"/>
              <w:spacing w:after="0"/>
              <w:rPr>
                <w:sz w:val="20"/>
                <w:szCs w:val="20"/>
                <w:color w:val="auto"/>
              </w:rPr>
            </w:pPr>
            <w:r>
              <w:rPr>
                <w:rFonts w:ascii="Arial" w:cs="Arial" w:eastAsia="Arial" w:hAnsi="Arial"/>
                <w:sz w:val="18"/>
                <w:szCs w:val="18"/>
                <w:color w:val="auto"/>
              </w:rPr>
              <w:t>The following materials from Northern Technologies International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11"/>
          </w:tcPr>
          <w:p>
            <w:pPr>
              <w:jc w:val="center"/>
              <w:ind w:right="1920"/>
              <w:spacing w:after="0"/>
              <w:rPr>
                <w:sz w:val="20"/>
                <w:szCs w:val="20"/>
                <w:color w:val="auto"/>
              </w:rPr>
            </w:pPr>
            <w:r>
              <w:rPr>
                <w:rFonts w:ascii="Arial" w:cs="Arial" w:eastAsia="Arial" w:hAnsi="Arial"/>
                <w:sz w:val="18"/>
                <w:szCs w:val="18"/>
                <w:color w:val="auto"/>
                <w:w w:val="94"/>
              </w:rPr>
              <w:t>Filed herewith</w:t>
            </w: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Corporation’s Annual Report on Form 10-K for the fiscal 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August 31, 2018, formatted in XBRL (Extensible Business Reporting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w w:val="98"/>
              </w:rPr>
              <w:t>Language): (i) the Consolidated Balance Sheets, (ii) the Consolidated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040"/>
        <w:spacing w:after="0"/>
        <w:rPr>
          <w:sz w:val="20"/>
          <w:szCs w:val="20"/>
          <w:color w:val="auto"/>
        </w:rPr>
      </w:pPr>
      <w:r>
        <w:rPr>
          <w:rFonts w:ascii="Arial" w:cs="Arial" w:eastAsia="Arial" w:hAnsi="Arial"/>
          <w:sz w:val="18"/>
          <w:szCs w:val="18"/>
          <w:color w:val="auto"/>
        </w:rPr>
        <w:t>Statements of Operations, (iii) the Consolidated Statements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Comprehensive Income (Loss), (iv) the Consolidated Statements of Equity,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 the Consolidated Statements of Cash Flows, and (vi) Notes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6880" w:type="dxa"/>
            <w:vAlign w:val="bottom"/>
            <w:gridSpan w:val="2"/>
          </w:tcPr>
          <w:p>
            <w:pPr>
              <w:ind w:left="3120"/>
              <w:spacing w:after="0"/>
              <w:rPr>
                <w:sz w:val="20"/>
                <w:szCs w:val="20"/>
                <w:color w:val="auto"/>
              </w:rPr>
            </w:pPr>
            <w:r>
              <w:rPr>
                <w:rFonts w:ascii="Arial" w:cs="Arial" w:eastAsia="Arial" w:hAnsi="Arial"/>
                <w:sz w:val="18"/>
                <w:szCs w:val="18"/>
                <w:b w:val="1"/>
                <w:bCs w:val="1"/>
                <w:color w:val="auto"/>
              </w:rPr>
              <w:t>NORTHERN TECHNOLOGIES</w:t>
            </w:r>
          </w:p>
        </w:tc>
      </w:tr>
      <w:tr>
        <w:trPr>
          <w:trHeight w:val="234"/>
        </w:trPr>
        <w:tc>
          <w:tcPr>
            <w:tcW w:w="4540" w:type="dxa"/>
            <w:vAlign w:val="bottom"/>
          </w:tcPr>
          <w:p>
            <w:pPr>
              <w:spacing w:after="0"/>
              <w:rPr>
                <w:sz w:val="20"/>
                <w:szCs w:val="20"/>
                <w:color w:val="auto"/>
              </w:rPr>
            </w:pPr>
          </w:p>
        </w:tc>
        <w:tc>
          <w:tcPr>
            <w:tcW w:w="6880" w:type="dxa"/>
            <w:vAlign w:val="bottom"/>
            <w:gridSpan w:val="2"/>
          </w:tcPr>
          <w:p>
            <w:pPr>
              <w:ind w:left="3120"/>
              <w:spacing w:after="0"/>
              <w:rPr>
                <w:sz w:val="20"/>
                <w:szCs w:val="20"/>
                <w:color w:val="auto"/>
              </w:rPr>
            </w:pPr>
            <w:r>
              <w:rPr>
                <w:rFonts w:ascii="Arial" w:cs="Arial" w:eastAsia="Arial" w:hAnsi="Arial"/>
                <w:sz w:val="18"/>
                <w:szCs w:val="18"/>
                <w:b w:val="1"/>
                <w:bCs w:val="1"/>
                <w:color w:val="auto"/>
              </w:rPr>
              <w:t>INTERNATIONAL CORPORATION</w:t>
            </w:r>
          </w:p>
        </w:tc>
      </w:tr>
      <w:tr>
        <w:trPr>
          <w:trHeight w:val="648"/>
        </w:trPr>
        <w:tc>
          <w:tcPr>
            <w:tcW w:w="4540" w:type="dxa"/>
            <w:vAlign w:val="bottom"/>
          </w:tcPr>
          <w:p>
            <w:pPr>
              <w:spacing w:after="0"/>
              <w:rPr>
                <w:sz w:val="20"/>
                <w:szCs w:val="20"/>
                <w:color w:val="auto"/>
              </w:rPr>
            </w:pPr>
            <w:r>
              <w:rPr>
                <w:rFonts w:ascii="Arial" w:cs="Arial" w:eastAsia="Arial" w:hAnsi="Arial"/>
                <w:sz w:val="18"/>
                <w:szCs w:val="18"/>
                <w:color w:val="auto"/>
              </w:rPr>
              <w:t>November 13, 2018</w:t>
            </w:r>
          </w:p>
        </w:tc>
        <w:tc>
          <w:tcPr>
            <w:tcW w:w="6880" w:type="dxa"/>
            <w:vAlign w:val="bottom"/>
            <w:gridSpan w:val="2"/>
          </w:tcPr>
          <w:p>
            <w:pPr>
              <w:ind w:left="3120"/>
              <w:spacing w:after="0"/>
              <w:rPr>
                <w:sz w:val="20"/>
                <w:szCs w:val="20"/>
                <w:color w:val="auto"/>
              </w:rPr>
            </w:pPr>
            <w:r>
              <w:rPr>
                <w:rFonts w:ascii="Arial" w:cs="Arial" w:eastAsia="Arial" w:hAnsi="Arial"/>
                <w:sz w:val="18"/>
                <w:szCs w:val="18"/>
                <w:color w:val="auto"/>
              </w:rPr>
              <w:t>By: /s/ G. Patrick Lynch</w:t>
            </w:r>
          </w:p>
        </w:tc>
      </w:tr>
      <w:tr>
        <w:trPr>
          <w:trHeight w:val="195"/>
        </w:trPr>
        <w:tc>
          <w:tcPr>
            <w:tcW w:w="4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r>
      <w:tr>
        <w:trPr>
          <w:trHeight w:val="230"/>
        </w:trPr>
        <w:tc>
          <w:tcPr>
            <w:tcW w:w="4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3540" w:type="dxa"/>
            <w:vAlign w:val="bottom"/>
            <w:gridSpan w:val="8"/>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000" w:type="dxa"/>
            <w:vAlign w:val="bottom"/>
            <w:gridSpan w:val="9"/>
          </w:tcPr>
          <w:p>
            <w:pPr>
              <w:spacing w:after="0"/>
              <w:rPr>
                <w:sz w:val="20"/>
                <w:szCs w:val="20"/>
                <w:color w:val="auto"/>
              </w:rPr>
            </w:pPr>
            <w:r>
              <w:rPr>
                <w:rFonts w:ascii="Arial" w:cs="Arial" w:eastAsia="Arial" w:hAnsi="Arial"/>
                <w:sz w:val="18"/>
                <w:szCs w:val="18"/>
                <w:color w:val="auto"/>
              </w:rPr>
              <w:t>/s/ G. Patrick Lynch</w:t>
            </w: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 Patrick Lynch</w:t>
            </w:r>
          </w:p>
        </w:tc>
        <w:tc>
          <w:tcPr>
            <w:tcW w:w="2560" w:type="dxa"/>
            <w:vAlign w:val="bottom"/>
            <w:gridSpan w:val="6"/>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Matthew C. Wolsfeld, CPA</w:t>
            </w: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21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Matthew C. Wolsfeld, CPA</w:t>
            </w:r>
          </w:p>
        </w:tc>
        <w:tc>
          <w:tcPr>
            <w:tcW w:w="1820" w:type="dxa"/>
            <w:vAlign w:val="bottom"/>
            <w:gridSpan w:val="2"/>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Richard J. Nigon</w:t>
            </w: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Richard J. Nigon</w:t>
            </w:r>
          </w:p>
        </w:tc>
        <w:tc>
          <w:tcPr>
            <w:tcW w:w="2560" w:type="dxa"/>
            <w:vAlign w:val="bottom"/>
            <w:gridSpan w:val="6"/>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Barbara D. Colwell</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1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Barbara D. Colwell</w:t>
            </w:r>
          </w:p>
        </w:tc>
        <w:tc>
          <w:tcPr>
            <w:tcW w:w="238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Soo Keong Koh</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Soo Keong Koh</w:t>
            </w:r>
          </w:p>
        </w:tc>
        <w:tc>
          <w:tcPr>
            <w:tcW w:w="2620" w:type="dxa"/>
            <w:vAlign w:val="bottom"/>
            <w:gridSpan w:val="7"/>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/s/ Sunggyu Lee, Ph.D.</w:t>
            </w:r>
          </w:p>
        </w:tc>
        <w:tc>
          <w:tcPr>
            <w:tcW w:w="2320" w:type="dxa"/>
            <w:vAlign w:val="bottom"/>
            <w:gridSpan w:val="4"/>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4000" w:type="dxa"/>
            <w:vAlign w:val="bottom"/>
            <w:gridSpan w:val="9"/>
          </w:tcPr>
          <w:p>
            <w:pPr>
              <w:spacing w:after="0"/>
              <w:rPr>
                <w:sz w:val="20"/>
                <w:szCs w:val="20"/>
                <w:color w:val="auto"/>
              </w:rPr>
            </w:pPr>
            <w:r>
              <w:rPr>
                <w:rFonts w:ascii="Arial" w:cs="Arial" w:eastAsia="Arial" w:hAnsi="Arial"/>
                <w:sz w:val="18"/>
                <w:szCs w:val="18"/>
                <w:color w:val="auto"/>
              </w:rPr>
              <w:t>Sunggyu Lee, Ph.D.</w:t>
            </w: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Ramani Narayan, Ph. D.</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19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Ramani Narayan, Ph.D.</w:t>
            </w:r>
          </w:p>
        </w:tc>
        <w:tc>
          <w:tcPr>
            <w:tcW w:w="2020" w:type="dxa"/>
            <w:vAlign w:val="bottom"/>
            <w:gridSpan w:val="3"/>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4000" w:type="dxa"/>
            <w:vAlign w:val="bottom"/>
            <w:gridSpan w:val="9"/>
          </w:tcPr>
          <w:p>
            <w:pPr>
              <w:spacing w:after="0"/>
              <w:rPr>
                <w:sz w:val="20"/>
                <w:szCs w:val="20"/>
                <w:color w:val="auto"/>
              </w:rPr>
            </w:pPr>
            <w:r>
              <w:rPr>
                <w:rFonts w:ascii="Arial" w:cs="Arial" w:eastAsia="Arial" w:hAnsi="Arial"/>
                <w:sz w:val="18"/>
                <w:szCs w:val="18"/>
                <w:color w:val="auto"/>
              </w:rPr>
              <w:t>/s/ Konstantin von Falkenhausen</w:t>
            </w: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November 13, 2018</w:t>
            </w:r>
          </w:p>
        </w:tc>
      </w:tr>
      <w:tr>
        <w:trPr>
          <w:trHeight w:val="237"/>
        </w:trPr>
        <w:tc>
          <w:tcPr>
            <w:tcW w:w="23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w w:val="98"/>
              </w:rPr>
              <w:t>Konstantin von Falkenhausen</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48"/>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60" w:type="dxa"/>
            <w:vAlign w:val="bottom"/>
            <w:gridSpan w:val="2"/>
          </w:tcPr>
          <w:p>
            <w:pPr>
              <w:ind w:left="162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
        </w:trPr>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68"/>
        </w:trPr>
        <w:tc>
          <w:tcPr>
            <w:tcW w:w="4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50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292100</wp:posOffset>
            </wp:positionV>
            <wp:extent cx="1724025" cy="1097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172402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document describes the compensation to be provided to the non-employee directors of Northern Technologies International Corporation (the “Company”). This program was most recently approved by the Board of Directors of the Company on August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Company’s non-employee director cash compensation consists of annual cash retainers, to be paid to each non-employee director and an additional annual cash retainer to be paid to the Chairman of the Board and each Chair and member of a Board committee, and per meeting fees.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annual cash retainers to be paid to each non-employee director and the additional annual cash retainer to be paid to the Chairman of the Board and each Chair and member of a Board committee: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9260" w:type="dxa"/>
            <w:vAlign w:val="bottom"/>
            <w:tcBorders>
              <w:top w:val="single" w:sz="8" w:color="auto"/>
              <w:left w:val="single" w:sz="8" w:color="auto"/>
              <w:right w:val="single" w:sz="8" w:color="auto"/>
            </w:tcBorders>
            <w:vMerge w:val="restart"/>
            <w:shd w:val="clear" w:color="auto" w:fill="D9D9D9"/>
          </w:tcPr>
          <w:p>
            <w:pPr>
              <w:ind w:left="2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Borders>
              <w:top w:val="single" w:sz="8" w:color="auto"/>
              <w:right w:val="single" w:sz="8" w:color="auto"/>
            </w:tcBorders>
            <w:shd w:val="clear" w:color="auto" w:fill="D9D9D9"/>
          </w:tcPr>
          <w:p>
            <w:pPr>
              <w:jc w:val="right"/>
              <w:ind w:right="130"/>
              <w:spacing w:after="0"/>
              <w:rPr>
                <w:sz w:val="20"/>
                <w:szCs w:val="20"/>
                <w:color w:val="auto"/>
              </w:rPr>
            </w:pPr>
            <w:r>
              <w:rPr>
                <w:rFonts w:ascii="Arial" w:cs="Arial" w:eastAsia="Arial" w:hAnsi="Arial"/>
                <w:sz w:val="18"/>
                <w:szCs w:val="18"/>
                <w:b w:val="1"/>
                <w:bCs w:val="1"/>
                <w:color w:val="auto"/>
              </w:rPr>
              <w:t>Annual Cash Retainer</w:t>
            </w:r>
          </w:p>
        </w:tc>
        <w:tc>
          <w:tcPr>
            <w:tcW w:w="0" w:type="dxa"/>
            <w:vAlign w:val="bottom"/>
          </w:tcPr>
          <w:p>
            <w:pPr>
              <w:spacing w:after="0"/>
              <w:rPr>
                <w:sz w:val="1"/>
                <w:szCs w:val="1"/>
                <w:color w:val="auto"/>
              </w:rPr>
            </w:pPr>
          </w:p>
        </w:tc>
      </w:tr>
      <w:tr>
        <w:trPr>
          <w:trHeight w:val="198"/>
        </w:trPr>
        <w:tc>
          <w:tcPr>
            <w:tcW w:w="9260" w:type="dxa"/>
            <w:vAlign w:val="bottom"/>
            <w:tcBorders>
              <w:left w:val="single" w:sz="8" w:color="auto"/>
              <w:bottom w:val="single" w:sz="8" w:color="auto"/>
              <w:right w:val="single" w:sz="8" w:color="auto"/>
            </w:tcBorders>
            <w:vMerge w:val="continue"/>
            <w:shd w:val="clear" w:color="auto" w:fill="D9D9D9"/>
          </w:tcPr>
          <w:p>
            <w:pPr>
              <w:spacing w:after="0"/>
              <w:rPr>
                <w:sz w:val="17"/>
                <w:szCs w:val="17"/>
                <w:color w:val="auto"/>
              </w:rPr>
            </w:pPr>
          </w:p>
        </w:tc>
        <w:tc>
          <w:tcPr>
            <w:tcW w:w="21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Non-Employee Director</w:t>
            </w:r>
          </w:p>
        </w:tc>
        <w:tc>
          <w:tcPr>
            <w:tcW w:w="21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$ 25,000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Chairman of the Board</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 Committee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 Committee Member (including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Compensation Committee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Compensation Committee Member (including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Nominating and Corporate Governance Committee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9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Nominating and Corporate Governance Committee Member (including Chair)</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cash retainers will be paid on a quarterly basis in arrears within 30 days of the end of each calendar quarter. For example, the retainers for the first calendar quarter covering the period from January 1 through March 31 will be paid within 30 days of March 31.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non-employee director also will receive $1,000 for each Board, Board committee and strategy review meeting attended. No director, however, will earn more than $1,000 per day in Board, Board committee and strategy review meeting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Annual Option Grants. </w:t>
      </w:r>
      <w:r>
        <w:rPr>
          <w:rFonts w:ascii="Arial" w:cs="Arial" w:eastAsia="Arial" w:hAnsi="Arial"/>
          <w:sz w:val="16"/>
          <w:szCs w:val="16"/>
          <w:color w:val="auto"/>
        </w:rPr>
        <w:t>Each non-employee director, other than a director who will not stand for re-election at the next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will be automatically granted a ten-year non-qualified option to purchase $50,000 in shares of our common stock on the first day of each fiscal year in consideration for his or her service as a director of NTIC and the Chairman of the Board will be automatically granted an additional ten-year non-qualified option to purchase $10,000 in shares of our common stock on the first day of each fiscal year in consideration for his or her services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Initial Option Grants. </w:t>
      </w:r>
      <w:r>
        <w:rPr>
          <w:rFonts w:ascii="Arial" w:cs="Arial" w:eastAsia="Arial" w:hAnsi="Arial"/>
          <w:sz w:val="18"/>
          <w:szCs w:val="18"/>
          <w:color w:val="auto"/>
        </w:rPr>
        <w:t>Each new non-employee director will be automatically granted a ten-year non-qualified option to purchase a pro rata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$50,000 shares of our common stock calculated by dividing the number of months remaining in the fiscal year at the time of election or appointment by 12 on the date the director is first elected or appointed as a director of NTIC.</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number of shares of common stock underlying the options will be determined based on the grant date fair value of the options. Each option will become exercisable in full on the one-year anniversary of the grant date. The exercise price of such options will be equal to the fair market value of a share of our common stock on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Reimbursement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non-employee directors are reimbursed for travel expenses for attending meetings and other miscellaneous out-of-pocket expenses incurred in performing their Board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1249045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ind w:left="1120"/>
              <w:spacing w:after="0"/>
              <w:rPr>
                <w:sz w:val="20"/>
                <w:szCs w:val="20"/>
                <w:color w:val="auto"/>
              </w:rPr>
            </w:pPr>
            <w:r>
              <w:rPr>
                <w:rFonts w:ascii="Arial" w:cs="Arial" w:eastAsia="Arial" w:hAnsi="Arial"/>
                <w:sz w:val="18"/>
                <w:szCs w:val="18"/>
                <w:b w:val="1"/>
                <w:bCs w:val="1"/>
                <w:color w:val="auto"/>
                <w:w w:val="91"/>
              </w:rPr>
              <w:t>Exhibit 21.1</w:t>
            </w:r>
          </w:p>
        </w:tc>
      </w:tr>
      <w:tr>
        <w:trPr>
          <w:trHeight w:val="648"/>
        </w:trPr>
        <w:tc>
          <w:tcPr>
            <w:tcW w:w="3780" w:type="dxa"/>
            <w:vAlign w:val="bottom"/>
          </w:tcPr>
          <w:p>
            <w:pPr>
              <w:spacing w:after="0"/>
              <w:rPr>
                <w:sz w:val="24"/>
                <w:szCs w:val="24"/>
                <w:color w:val="auto"/>
              </w:rPr>
            </w:pPr>
          </w:p>
        </w:tc>
        <w:tc>
          <w:tcPr>
            <w:tcW w:w="3780" w:type="dxa"/>
            <w:vAlign w:val="bottom"/>
            <w:gridSpan w:val="5"/>
          </w:tcPr>
          <w:p>
            <w:pPr>
              <w:ind w:left="320"/>
              <w:spacing w:after="0"/>
              <w:rPr>
                <w:sz w:val="20"/>
                <w:szCs w:val="20"/>
                <w:color w:val="auto"/>
              </w:rPr>
            </w:pPr>
            <w:r>
              <w:rPr>
                <w:rFonts w:ascii="Arial" w:cs="Arial" w:eastAsia="Arial" w:hAnsi="Arial"/>
                <w:sz w:val="18"/>
                <w:szCs w:val="18"/>
                <w:b w:val="1"/>
                <w:bCs w:val="1"/>
                <w:color w:val="auto"/>
              </w:rPr>
              <w:t>SUBSIDIARIES OF THE REGISTRANT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630"/>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State or Other</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Jurisdiction of</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3"/>
              </w:rPr>
              <w:t>Incorporation or</w:t>
            </w: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Ownership</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Names Under Which</w:t>
            </w:r>
          </w:p>
        </w:tc>
      </w:tr>
      <w:tr>
        <w:trPr>
          <w:trHeight w:val="234"/>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Subsidiary Does Business</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NTI ASEAN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Delaware</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4"/>
              </w:rPr>
              <w:t>60%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Northern Technologies Holding Company,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Delaware</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Natur-Tec India Prívate Limited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India</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4"/>
              </w:rPr>
              <w:t>75%</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Zerust Prevenção de Corrosão S.A.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Brazil</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4"/>
              </w:rPr>
              <w:t>85%</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NTIC (Shanghai) Co., Ltd.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China</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ZERUST-EXCOR MEXICO, S. de R.L. de C.V</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Mexico</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NTIC Europe GmbH</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Germany</w:t>
            </w:r>
          </w:p>
        </w:tc>
        <w:tc>
          <w:tcPr>
            <w:tcW w:w="1700" w:type="dxa"/>
            <w:vAlign w:val="bottom"/>
          </w:tcPr>
          <w:p>
            <w:pPr>
              <w:jc w:val="center"/>
              <w:ind w:right="27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Same</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333-140244, 333-140245 and 333-171828) of Northern Technologies International Corporation and Subsidiaries of our report dated November 13, 2018, relating to the consolidated financial statements, and the effectiveness of Northern Technologies International Corporation and Subsidiaries’ internal control over financial reporting, which appears on page 55 of this annual report on Form 10-K for the fiscal year ended August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80" w:firstLine="1"/>
        <w:spacing w:after="0" w:line="264" w:lineRule="auto"/>
        <w:tabs>
          <w:tab w:leader="none" w:pos="1195"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80" w:right="220" w:firstLine="1"/>
        <w:spacing w:after="0" w:line="264" w:lineRule="auto"/>
        <w:tabs>
          <w:tab w:leader="none" w:pos="1205"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80" w:right="520" w:firstLine="1"/>
        <w:spacing w:after="0" w:line="342" w:lineRule="auto"/>
        <w:tabs>
          <w:tab w:leader="none" w:pos="1195" w:val="left"/>
        </w:tabs>
        <w:numPr>
          <w:ilvl w:val="2"/>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80" w:right="480" w:firstLine="1"/>
        <w:spacing w:after="0" w:line="264" w:lineRule="auto"/>
        <w:tabs>
          <w:tab w:leader="none" w:pos="1205"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780" w:hanging="4"/>
        <w:spacing w:after="0" w:line="308" w:lineRule="auto"/>
        <w:tabs>
          <w:tab w:leader="none" w:pos="116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60" w:hanging="4"/>
        <w:spacing w:after="0" w:line="277" w:lineRule="auto"/>
        <w:tabs>
          <w:tab w:leader="none" w:pos="11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-121920</wp:posOffset>
            </wp:positionV>
            <wp:extent cx="2169795"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2169795" cy="4114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11"/>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175"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1185"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540" w:hanging="4"/>
        <w:spacing w:after="0" w:line="342" w:lineRule="auto"/>
        <w:tabs>
          <w:tab w:leader="none" w:pos="1175" w:val="left"/>
        </w:tabs>
        <w:numPr>
          <w:ilvl w:val="2"/>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 w:hanging="4"/>
        <w:spacing w:after="0" w:line="264" w:lineRule="auto"/>
        <w:tabs>
          <w:tab w:leader="none" w:pos="1185"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11"/>
        <w:spacing w:after="0" w:line="342"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780" w:hanging="4"/>
        <w:spacing w:after="0" w:line="308" w:lineRule="auto"/>
        <w:tabs>
          <w:tab w:leader="none" w:pos="1165"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60" w:hanging="4"/>
        <w:spacing w:after="0" w:line="277" w:lineRule="auto"/>
        <w:tabs>
          <w:tab w:leader="none" w:pos="1175"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-121920</wp:posOffset>
            </wp:positionV>
            <wp:extent cx="1766570" cy="548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1766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Chief Financial Officer and Corporate Secretary</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1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7880" w:hanging="214"/>
        <w:spacing w:after="0"/>
        <w:tabs>
          <w:tab w:leader="none" w:pos="7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-575945</wp:posOffset>
            </wp:positionV>
            <wp:extent cx="2383790" cy="454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2383790" cy="45466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2018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271780</wp:posOffset>
            </wp:positionV>
            <wp:extent cx="1766570" cy="548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1766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Chief Financial Officer and Corporate Secretary</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5"/>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lvl w:ilvl="1">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6"/>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1."/>
      <w:numFmt w:val="decimal"/>
      <w:start w:val="8"/>
    </w:lvl>
  </w:abstractNum>
  <w:abstractNum w:abstractNumId="19">
    <w:nsid w:val="189A769B"/>
    <w:multiLevelType w:val="hybridMultilevel"/>
    <w:lvl w:ilvl="0">
      <w:lvlJc w:val="left"/>
      <w:lvlText w:val="%1."/>
      <w:numFmt w:val="decimal"/>
      <w:start w:val="9"/>
    </w:lvl>
  </w:abstractNum>
  <w:abstractNum w:abstractNumId="20">
    <w:nsid w:val="54E49EB4"/>
    <w:multiLevelType w:val="hybridMultilevel"/>
    <w:lvl w:ilvl="0">
      <w:lvlJc w:val="left"/>
      <w:lvlText w:val="%1."/>
      <w:numFmt w:val="decimal"/>
      <w:start w:val="10"/>
    </w:lvl>
  </w:abstractNum>
  <w:abstractNum w:abstractNumId="21">
    <w:nsid w:val="71F32454"/>
    <w:multiLevelType w:val="hybridMultilevel"/>
    <w:lvl w:ilvl="0">
      <w:lvlJc w:val="left"/>
      <w:lvlText w:val="%1."/>
      <w:numFmt w:val="decimal"/>
      <w:start w:val="11"/>
    </w:lvl>
  </w:abstractNum>
  <w:abstractNum w:abstractNumId="22">
    <w:nsid w:val="2CA88611"/>
    <w:multiLevelType w:val="hybridMultilevel"/>
    <w:lvl w:ilvl="0">
      <w:lvlJc w:val="left"/>
      <w:lvlText w:val="%1."/>
      <w:numFmt w:val="decimal"/>
      <w:start w:val="12"/>
    </w:lvl>
  </w:abstractNum>
  <w:abstractNum w:abstractNumId="23">
    <w:nsid w:val="836C40E"/>
    <w:multiLevelType w:val="hybridMultilevel"/>
    <w:lvl w:ilvl="0">
      <w:lvlJc w:val="left"/>
      <w:lvlText w:val="%1."/>
      <w:numFmt w:val="decimal"/>
      <w:start w:val="13"/>
    </w:lvl>
  </w:abstractNum>
  <w:abstractNum w:abstractNumId="24">
    <w:nsid w:val="2901D82"/>
    <w:multiLevelType w:val="hybridMultilevel"/>
    <w:lvl w:ilvl="0">
      <w:lvlJc w:val="left"/>
      <w:lvlText w:val="%1."/>
      <w:numFmt w:val="decimal"/>
      <w:start w:val="14"/>
    </w:lvl>
  </w:abstractNum>
  <w:abstractNum w:abstractNumId="25">
    <w:nsid w:val="3A95F874"/>
    <w:multiLevelType w:val="hybridMultilevel"/>
    <w:lvl w:ilvl="0">
      <w:lvlJc w:val="left"/>
      <w:lvlText w:val="%1."/>
      <w:numFmt w:val="decimal"/>
      <w:start w:val="15"/>
    </w:lvl>
  </w:abstractNum>
  <w:abstractNum w:abstractNumId="26">
    <w:nsid w:val="8138641"/>
    <w:multiLevelType w:val="hybridMultilevel"/>
    <w:lvl w:ilvl="0">
      <w:lvlJc w:val="left"/>
      <w:lvlText w:val="%1."/>
      <w:numFmt w:val="decimal"/>
      <w:start w:val="18"/>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6CEAF08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1">
    <w:nsid w:val="22221A70"/>
    <w:multiLevelType w:val="hybridMultilevel"/>
    <w:lvl w:ilvl="0">
      <w:lvlJc w:val="left"/>
      <w:lvlText w:val="(%1)"/>
      <w:numFmt w:val="decimal"/>
      <w:start w:val="1"/>
    </w:lvl>
    <w:lvl w:ilvl="1">
      <w:lvlJc w:val="left"/>
      <w:lvlText w:val="%2."/>
      <w:numFmt w:val="upperLetter"/>
      <w:start w:val="7"/>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24" Type="http://schemas.openxmlformats.org/officeDocument/2006/relationships/image" Target="media/image104.png"/><Relationship Id="rId135"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jpe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jpeg"/><Relationship Id="rId145" Type="http://schemas.openxmlformats.org/officeDocument/2006/relationships/image" Target="media/image111.png"/><Relationship Id="rId146" Type="http://schemas.openxmlformats.org/officeDocument/2006/relationships/image" Target="media/image112.jpe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jpeg"/><Relationship Id="rId150" Type="http://schemas.openxmlformats.org/officeDocument/2006/relationships/image" Target="media/image116.png"/><Relationship Id="rId110" Type="http://schemas.openxmlformats.org/officeDocument/2006/relationships/hyperlink" Target="http://www.sec.gov/Archives/edgar/data/875582/000110465909023948/a09-9916_1ex3d1.htm" TargetMode="External"/><Relationship Id="rId111" Type="http://schemas.openxmlformats.org/officeDocument/2006/relationships/hyperlink" Target="http://www.sec.gov/Archives/edgar/data/875582/000117184318000379/exh_31.htm" TargetMode="External"/><Relationship Id="rId112" Type="http://schemas.openxmlformats.org/officeDocument/2006/relationships/hyperlink" Target="http://www.sec.gov/Archives/edgar/data/875582/000110465908072542/a08-29098_1ex3d1.htm" TargetMode="External"/><Relationship Id="rId113" Type="http://schemas.openxmlformats.org/officeDocument/2006/relationships/hyperlink" Target="http://www.sec.gov/Archives/edgar/data/875582/000110465911002506/a11-4417_1ex10d1.htm" TargetMode="External"/><Relationship Id="rId115" Type="http://schemas.openxmlformats.org/officeDocument/2006/relationships/hyperlink" Target="http://www.sec.gov/Archives/edgar/data/875582/000110465911002506/a11-4417_1ex10d2.htm" TargetMode="External"/><Relationship Id="rId116" Type="http://schemas.openxmlformats.org/officeDocument/2006/relationships/hyperlink" Target="http://www.sec.gov/Archives/edgar/data/875582/000110465911002506/a11-4417_1ex10d3.htm" TargetMode="External"/><Relationship Id="rId117" Type="http://schemas.openxmlformats.org/officeDocument/2006/relationships/hyperlink" Target="http://www.sec.gov/Archives/edgar/data/875582/000110465911002506/a11-4417_1ex10d4.htm" TargetMode="External"/><Relationship Id="rId118" Type="http://schemas.openxmlformats.org/officeDocument/2006/relationships/hyperlink" Target="http://www.sec.gov/Archives/edgar/data/875582/000120677406002384/nt110590ex1011.htm" TargetMode="External"/><Relationship Id="rId119" Type="http://schemas.openxmlformats.org/officeDocument/2006/relationships/hyperlink" Target="http://www.sec.gov/Archives/edgar/data/875582/000117184315006334/exh_106.htm" TargetMode="External"/><Relationship Id="rId120" Type="http://schemas.openxmlformats.org/officeDocument/2006/relationships/hyperlink" Target="http://www.sec.gov/Archives/edgar/data/875582/000110465908072542/a08-29098_1ex10d1.htm" TargetMode="External"/><Relationship Id="rId121" Type="http://schemas.openxmlformats.org/officeDocument/2006/relationships/hyperlink" Target="http://www.sec.gov/Archives/edgar/data/875582/000110465909043033/a09-18139_1ex10d2.htm" TargetMode="External"/><Relationship Id="rId122" Type="http://schemas.openxmlformats.org/officeDocument/2006/relationships/hyperlink" Target="http://www.sec.gov/Archives/edgar/data/875582/000117184311003555/exh_1013.htm" TargetMode="External"/><Relationship Id="rId123" Type="http://schemas.openxmlformats.org/officeDocument/2006/relationships/hyperlink" Target="http://www.sec.gov/Archives/edgar/data/875582/000117184311003555/exh_1014.htm" TargetMode="External"/><Relationship Id="rId125" Type="http://schemas.openxmlformats.org/officeDocument/2006/relationships/hyperlink" Target="http://www.sec.gov/Archives/edgar/data/875582/000117184311003555/exh_1015.htm" TargetMode="External"/><Relationship Id="rId126" Type="http://schemas.openxmlformats.org/officeDocument/2006/relationships/hyperlink" Target="http://www.sec.gov/Archives/edgar/data/875582/000117184311003555/exh_1016.htm" TargetMode="External"/><Relationship Id="rId127" Type="http://schemas.openxmlformats.org/officeDocument/2006/relationships/hyperlink" Target="http://www.sec.gov/Archives/edgar/data/875582/000110465911001232/a11-3475_1ex10d2.htm" TargetMode="External"/><Relationship Id="rId128" Type="http://schemas.openxmlformats.org/officeDocument/2006/relationships/hyperlink" Target="http://www.sec.gov/Archives/edgar/data/875582/000110465911001232/a11-3475_1ex10d6.htm" TargetMode="External"/><Relationship Id="rId129" Type="http://schemas.openxmlformats.org/officeDocument/2006/relationships/hyperlink" Target="http://www.sec.gov/Archives/edgar/data/875582/000117184312000110/exh_106.htm" TargetMode="External"/><Relationship Id="rId130" Type="http://schemas.openxmlformats.org/officeDocument/2006/relationships/hyperlink" Target="http://www.sec.gov/Archives/edgar/data/875582/000117184313000136/exh_101.htm" TargetMode="External"/><Relationship Id="rId131" Type="http://schemas.openxmlformats.org/officeDocument/2006/relationships/hyperlink" Target="http://www.sec.gov/Archives/edgar/data/875582/000117184314001659/exh_101.htm" TargetMode="External"/><Relationship Id="rId132" Type="http://schemas.openxmlformats.org/officeDocument/2006/relationships/hyperlink" Target="http://www.sec.gov/Archives/edgar/data/875582/000117184315001899/exh_101.htm" TargetMode="External"/><Relationship Id="rId133" Type="http://schemas.openxmlformats.org/officeDocument/2006/relationships/hyperlink" Target="http://www.sec.gov/Archives/edgar/data/875582/000117184316009098/exh_101.htm" TargetMode="External"/><Relationship Id="rId134" Type="http://schemas.openxmlformats.org/officeDocument/2006/relationships/hyperlink" Target="http://www.sec.gov/Archives/edgar/data/875582/000117184317000251/exh_101.htm" TargetMode="External"/><Relationship Id="rId136" Type="http://schemas.openxmlformats.org/officeDocument/2006/relationships/hyperlink" Target="http://www.sec.gov/Archives/edgar/data/875582/000117184318000341/exh_101.htm" TargetMode="External"/><Relationship Id="rId137" Type="http://schemas.openxmlformats.org/officeDocument/2006/relationships/hyperlink" Target="http://www.sec.gov/Archives/edgar/data/875582/000117184314003246/exh_101.htm" TargetMode="External"/><Relationship Id="rId138" Type="http://schemas.openxmlformats.org/officeDocument/2006/relationships/hyperlink" Target="http://www.sec.gov/Archives/edgar/data/875582/000117184317000251/exh_102.htm" TargetMode="External"/><Relationship Id="rId139" Type="http://schemas.openxmlformats.org/officeDocument/2006/relationships/hyperlink" Target="http://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2019-12-28T17:46:24Z</dcterms:created>
  <dcterms:modified xsi:type="dcterms:W3CDTF">2019-12-28T17:46:24Z</dcterms:modified>
</cp:coreProperties>
</file>