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November 30, 2010</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40"/>
        <w:spacing w:after="0"/>
        <w:tabs>
          <w:tab w:leader="none" w:pos="6580" w:val="left"/>
          <w:tab w:leader="none" w:pos="7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00"/>
          </w:cols>
          <w:pgMar w:left="240" w:top="233" w:right="279" w:bottom="0" w:gutter="0" w:footer="0" w:header="0"/>
          <w:type w:val="continuous"/>
        </w:sectPr>
      </w:pP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firstLine="324"/>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w:t>
      </w:r>
    </w:p>
    <w:p>
      <w:pPr>
        <w:spacing w:after="0"/>
        <w:tabs>
          <w:tab w:leader="none" w:pos="3520" w:val="left"/>
        </w:tabs>
        <w:rPr>
          <w:sz w:val="20"/>
          <w:szCs w:val="20"/>
          <w:color w:val="auto"/>
        </w:rPr>
      </w:pPr>
      <w:r>
        <w:rPr>
          <w:rFonts w:ascii="Arial" w:cs="Arial" w:eastAsia="Arial" w:hAnsi="Arial"/>
          <w:sz w:val="18"/>
          <w:szCs w:val="18"/>
          <w:color w:val="auto"/>
        </w:rPr>
        <w:t>required to submit and post such files).</w:t>
      </w:r>
      <w:r>
        <w:rPr>
          <w:sz w:val="20"/>
          <w:szCs w:val="20"/>
          <w:color w:val="auto"/>
        </w:rPr>
        <w:tab/>
      </w:r>
      <w:r>
        <w:rPr>
          <w:rFonts w:ascii="Arial" w:cs="Arial" w:eastAsia="Arial" w:hAnsi="Arial"/>
          <w:sz w:val="18"/>
          <w:szCs w:val="18"/>
          <w:color w:val="auto"/>
        </w:rPr>
        <w:t>YES o NO o</w:t>
      </w:r>
    </w:p>
    <w:p>
      <w:pPr>
        <w:spacing w:after="0" w:line="21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2">
            <w:col w:w="6860" w:space="720"/>
            <w:col w:w="380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14, 2011, 4,328,935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30, 2010</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385"/>
        </w:trPr>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460" w:type="dxa"/>
            <w:vAlign w:val="bottom"/>
            <w:gridSpan w:val="2"/>
          </w:tcPr>
          <w:p>
            <w:pPr>
              <w:spacing w:after="0"/>
              <w:rPr>
                <w:sz w:val="24"/>
                <w:szCs w:val="24"/>
                <w:color w:val="auto"/>
              </w:rPr>
            </w:pP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1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80" w:type="dxa"/>
            <w:vAlign w:val="bottom"/>
            <w:gridSpan w:val="4"/>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8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November 30, 2010 (unaudited) and August 31, 2010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 for the Three Months Ended November 30, 2010 and 2009</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(unaudited) for the Three Months Ended November 30, 2010 and 2009</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20" w:type="dxa"/>
            <w:vAlign w:val="bottom"/>
            <w:tcBorders>
              <w:top w:val="single" w:sz="8" w:color="0000EE"/>
            </w:tcBorders>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1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2.</w:t>
              </w:r>
            </w:hyperlink>
          </w:p>
        </w:tc>
        <w:tc>
          <w:tcPr>
            <w:tcW w:w="560" w:type="dxa"/>
            <w:vAlign w:val="bottom"/>
            <w:gridSpan w:val="3"/>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56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0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58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774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412"/>
        </w:trPr>
        <w:tc>
          <w:tcPr>
            <w:tcW w:w="1100" w:type="dxa"/>
            <w:vAlign w:val="bottom"/>
            <w:gridSpan w:val="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9520" w:type="dxa"/>
            <w:vAlign w:val="bottom"/>
            <w:gridSpan w:val="2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80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4"/>
          </w:tcPr>
          <w:p>
            <w:pPr>
              <w:spacing w:after="0"/>
              <w:rPr>
                <w:sz w:val="24"/>
                <w:szCs w:val="24"/>
                <w:color w:val="auto"/>
              </w:rPr>
            </w:pPr>
          </w:p>
        </w:tc>
        <w:tc>
          <w:tcPr>
            <w:tcW w:w="750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10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5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516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560" w:type="dxa"/>
            <w:vAlign w:val="bottom"/>
            <w:gridSpan w:val="3"/>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4.</w:t>
              </w:r>
            </w:hyperlink>
          </w:p>
        </w:tc>
        <w:tc>
          <w:tcPr>
            <w:tcW w:w="560" w:type="dxa"/>
            <w:vAlign w:val="bottom"/>
            <w:gridSpan w:val="3"/>
          </w:tcPr>
          <w:p>
            <w:pPr>
              <w:spacing w:after="0"/>
              <w:rPr>
                <w:sz w:val="24"/>
                <w:szCs w:val="24"/>
                <w:color w:val="auto"/>
              </w:rPr>
            </w:pPr>
          </w:p>
        </w:tc>
        <w:tc>
          <w:tcPr>
            <w:tcW w:w="18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[Removed and Reserved]</w:t>
              </w:r>
            </w:hyperlink>
          </w:p>
        </w:tc>
        <w:tc>
          <w:tcPr>
            <w:tcW w:w="480" w:type="dxa"/>
            <w:vAlign w:val="bottom"/>
            <w:tcBorders>
              <w:top w:val="single" w:sz="8" w:color="0000EE"/>
            </w:tcBorders>
            <w:gridSpan w:val="2"/>
          </w:tcPr>
          <w:p>
            <w:pPr>
              <w:spacing w:after="0"/>
              <w:rPr>
                <w:sz w:val="24"/>
                <w:szCs w:val="24"/>
                <w:color w:val="auto"/>
              </w:rPr>
            </w:pPr>
          </w:p>
        </w:tc>
        <w:tc>
          <w:tcPr>
            <w:tcW w:w="72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5.</w:t>
              </w:r>
            </w:hyperlink>
          </w:p>
        </w:tc>
        <w:tc>
          <w:tcPr>
            <w:tcW w:w="560" w:type="dxa"/>
            <w:vAlign w:val="bottom"/>
            <w:gridSpan w:val="3"/>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Other Information</w:t>
              </w:r>
            </w:hyperlink>
          </w:p>
        </w:tc>
        <w:tc>
          <w:tcPr>
            <w:tcW w:w="820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560" w:type="dxa"/>
            <w:vAlign w:val="bottom"/>
            <w:gridSpan w:val="3"/>
          </w:tcPr>
          <w:p>
            <w:pPr>
              <w:spacing w:after="0"/>
              <w:rPr>
                <w:sz w:val="24"/>
                <w:szCs w:val="24"/>
                <w:color w:val="auto"/>
              </w:rPr>
            </w:pPr>
          </w:p>
        </w:tc>
        <w:tc>
          <w:tcPr>
            <w:tcW w:w="95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SIGNATURE PAGE</w:t>
              </w:r>
            </w:hyperlink>
          </w:p>
        </w:tc>
        <w:tc>
          <w:tcPr>
            <w:tcW w:w="9020" w:type="dxa"/>
            <w:vAlign w:val="bottom"/>
            <w:gridSpan w:val="2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0620" w:type="dxa"/>
            <w:vAlign w:val="bottom"/>
            <w:gridSpan w:val="27"/>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EXHIBIT INDEX</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4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1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As used in this report, references to “NTIC,” the “Company,” “we,” “our” or “us,” unless the context otherwise requires, refer to Northern Technologies International Corporation, its wholly owned subsidiaries — NTI Facilities, Inc., Northern Technologies Holding Company, LLC and React-NTI, LLC, and its majority owned joint venture, Zerust Prevenção de Corrosão S.A., all of which are consolidated on NTIC’s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NOVEMBER 30, 2010 (UNAUDITED)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AND AUGUST 31, 2010 (AUDITED)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 2010</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2010</w:t>
            </w:r>
          </w:p>
        </w:tc>
      </w:tr>
      <w:tr>
        <w:trPr>
          <w:trHeight w:val="196"/>
        </w:trPr>
        <w:tc>
          <w:tcPr>
            <w:tcW w:w="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7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4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1,776,162</w:t>
            </w: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4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$20,000 at November 30,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00" w:type="dxa"/>
            <w:vAlign w:val="bottom"/>
            <w:shd w:val="clear" w:color="auto" w:fill="CCEEFF"/>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2010 and August 31, 2010</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1,864,014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2,227,769</w:t>
            </w:r>
          </w:p>
        </w:tc>
      </w:tr>
      <w:tr>
        <w:trPr>
          <w:trHeight w:val="216"/>
        </w:trPr>
        <w:tc>
          <w:tcPr>
            <w:tcW w:w="7840" w:type="dxa"/>
            <w:vAlign w:val="bottom"/>
            <w:gridSpan w:val="2"/>
          </w:tcPr>
          <w:p>
            <w:pPr>
              <w:ind w:left="540"/>
              <w:spacing w:after="0"/>
              <w:rPr>
                <w:sz w:val="20"/>
                <w:szCs w:val="20"/>
                <w:color w:val="auto"/>
              </w:rPr>
            </w:pPr>
            <w:r>
              <w:rPr>
                <w:rFonts w:ascii="Arial" w:cs="Arial" w:eastAsia="Arial" w:hAnsi="Arial"/>
                <w:sz w:val="18"/>
                <w:szCs w:val="18"/>
                <w:color w:val="auto"/>
              </w:rPr>
              <w:t>Trade joint ventures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1,494,014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1,216,081</w:t>
            </w:r>
          </w:p>
        </w:tc>
      </w:tr>
      <w:tr>
        <w:trPr>
          <w:trHeight w:val="216"/>
        </w:trPr>
        <w:tc>
          <w:tcPr>
            <w:tcW w:w="7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1,300,814</w:t>
            </w:r>
          </w:p>
        </w:tc>
      </w:tr>
      <w:tr>
        <w:trPr>
          <w:trHeight w:val="216"/>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3,965,496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3,639,169</w:t>
            </w:r>
          </w:p>
        </w:tc>
      </w:tr>
      <w:tr>
        <w:trPr>
          <w:trHeight w:val="216"/>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143,980</w:t>
            </w: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448,600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448,600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11,178,002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10,752,575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3,442,307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3,452,530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Investments in joint ventures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16,824,035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16,055,943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1,505,300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1,505,300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Patents and trademarks,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883,233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912,718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19,237,696</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18,492,195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33,858,005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32,697,300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 payable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1,144,922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1,411,393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1,721,237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1,155,277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520"/>
              <w:spacing w:after="0"/>
              <w:rPr>
                <w:sz w:val="20"/>
                <w:szCs w:val="20"/>
                <w:color w:val="auto"/>
              </w:rPr>
            </w:pPr>
            <w:r>
              <w:rPr>
                <w:rFonts w:ascii="Arial" w:cs="Arial" w:eastAsia="Arial" w:hAnsi="Arial"/>
                <w:sz w:val="18"/>
                <w:szCs w:val="18"/>
                <w:color w:val="auto"/>
              </w:rPr>
              <w:t>Deferred joint venture royalties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288,000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88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2,929,147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4,833,652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NOTE PAYABLE, NET OF CURRENT PORTION (Note 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1,119,782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COMMITMENTS AND CONTINGENCIES (Note 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Common stock, $0.02 par value per share; authorized 10,000,000 shares; issued and outstanding</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tcPr>
          <w:p>
            <w:pPr>
              <w:ind w:left="520"/>
              <w:spacing w:after="0"/>
              <w:rPr>
                <w:sz w:val="20"/>
                <w:szCs w:val="20"/>
                <w:color w:val="auto"/>
              </w:rPr>
            </w:pPr>
            <w:r>
              <w:rPr>
                <w:rFonts w:ascii="Arial" w:cs="Arial" w:eastAsia="Arial" w:hAnsi="Arial"/>
                <w:sz w:val="18"/>
                <w:szCs w:val="18"/>
                <w:color w:val="auto"/>
              </w:rPr>
              <w:t>4,328,935 and 4,259,321, respectively</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86,579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85,186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9,782,413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9,140,936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18,811,499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17,911,718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1,109,337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704,473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29,789,828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27,842,313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19,248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29,809,076</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27,863,648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33,858,005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32,697,300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ind w:left="56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4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 (UNAUDITED)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 ENDED NOVEMBER 30, 2010 AND 2009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November 30,</w:t>
            </w:r>
          </w:p>
        </w:tc>
        <w:tc>
          <w:tcPr>
            <w:tcW w:w="160" w:type="dxa"/>
            <w:vAlign w:val="bottom"/>
          </w:tcPr>
          <w:p>
            <w:pPr>
              <w:spacing w:after="0"/>
              <w:rPr>
                <w:sz w:val="10"/>
                <w:szCs w:val="10"/>
                <w:color w:val="auto"/>
              </w:rPr>
            </w:pPr>
          </w:p>
        </w:tc>
        <w:tc>
          <w:tcPr>
            <w:tcW w:w="11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November 30,</w:t>
            </w:r>
          </w:p>
        </w:tc>
        <w:tc>
          <w:tcPr>
            <w:tcW w:w="2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Net sales, excluding joint ventures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3,446,303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2,182,244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sales, to joint ventures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652,138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529,158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4,098,441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4"/>
              </w:rPr>
              <w:t>2,711,402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2,690,705</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7"/>
              </w:rPr>
              <w:t>1,757,496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1,407,736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953,906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Equity in income of joint ventures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1,695,131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705,899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1,451,780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1,151,930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3,146,911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1,857,829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Selling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999,053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596,769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1,104,167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920,029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Expenses incurred in support of joint ventures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244,910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1,193,456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611,656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3,525,397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2,373,364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438,371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-4280535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-4280535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(25,987)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 (BENEFIT)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420,705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435,705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 CONTROLLING INTEREST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435,705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80" w:type="dxa"/>
            <w:vAlign w:val="bottom"/>
            <w:gridSpan w:val="2"/>
          </w:tcPr>
          <w:p>
            <w:pPr>
              <w:ind w:left="88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2"/>
                <w:szCs w:val="22"/>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Borders>
              <w:top w:val="single" w:sz="8" w:color="CCEEFF"/>
              <w:bottom w:val="single" w:sz="8" w:color="CCEEFF"/>
            </w:tcBorders>
            <w:gridSpan w:val="2"/>
            <w:shd w:val="clear" w:color="auto" w:fill="CCEEFF"/>
          </w:tcPr>
          <w:p>
            <w:pPr>
              <w:ind w:left="8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ASSUMED OUTSTANDING: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4,264,187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4,149,096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2"/>
            <w:vMerge w:val="restart"/>
          </w:tcPr>
          <w:p>
            <w:pPr>
              <w:ind w:left="8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4,324,757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4,165,441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3"/>
          </w:tcPr>
          <w:p>
            <w:pPr>
              <w:ind w:left="566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4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NOVEMBER 30, 2010 AND 2009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November 30,</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894,874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435,705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44,143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46,302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39,723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38,475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(1,695,131)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520"/>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363,755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700"/>
              <w:spacing w:after="0"/>
              <w:rPr>
                <w:sz w:val="20"/>
                <w:szCs w:val="20"/>
                <w:color w:val="auto"/>
              </w:rPr>
            </w:pPr>
            <w:r>
              <w:rPr>
                <w:rFonts w:ascii="Arial" w:cs="Arial" w:eastAsia="Arial" w:hAnsi="Arial"/>
                <w:sz w:val="18"/>
                <w:szCs w:val="18"/>
                <w:color w:val="auto"/>
              </w:rPr>
              <w:t>Trade, joint ventures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(277,933)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(266,010)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Fees for services receivables,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(404,938)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70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23,841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(326,327)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520"/>
              <w:spacing w:after="0"/>
              <w:rPr>
                <w:sz w:val="20"/>
                <w:szCs w:val="20"/>
                <w:color w:val="auto"/>
              </w:rPr>
            </w:pPr>
            <w:r>
              <w:rPr>
                <w:rFonts w:ascii="Arial" w:cs="Arial" w:eastAsia="Arial" w:hAnsi="Arial"/>
                <w:sz w:val="18"/>
                <w:szCs w:val="18"/>
                <w:color w:val="auto"/>
              </w:rPr>
              <w:t>Prepaid expenses and other</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(260,596)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(309,844)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520"/>
              <w:spacing w:after="0"/>
              <w:rPr>
                <w:sz w:val="20"/>
                <w:szCs w:val="20"/>
                <w:color w:val="auto"/>
              </w:rPr>
            </w:pPr>
            <w:r>
              <w:rPr>
                <w:rFonts w:ascii="Arial" w:cs="Arial" w:eastAsia="Arial" w:hAnsi="Arial"/>
                <w:sz w:val="18"/>
                <w:szCs w:val="18"/>
                <w:color w:val="auto"/>
              </w:rPr>
              <w:t>Income tax payable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(27,036)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(118,983)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(1,992,801)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128,563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joint ventures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(38,217)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Dividends received from joint ventures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1,368,599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(75,269)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Additions to patents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(10,238)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(59,896)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1,244,875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Repayment of note payable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(9,211)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(8,501)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borrowings/(repayments) made on line of credit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3,195,613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261,333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269,867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2,136,047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-6484620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-6484620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(DECREASE) INCREASE IN CASH AND CASH EQUIVALENTS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(473,718)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1,776,162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1,302,444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2,341,999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2010 and the results of their operations for the three months ended November 30, 2010 and November 30, 2009 and their cash flows for the three months ended November 30, 2010 and November 30, 2009, in conformity with accounting principles generally accepted in the United States of America (“U.S. GAAP”).</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 The Company has reclassified various line items in the statements of operations to better provide the results of its joint ventures, as well as its North American operations. These reclassifications changed the Company’s operating income, but did not impact its net income or net income per common share.</w:t>
      </w:r>
    </w:p>
    <w:p>
      <w:pPr>
        <w:spacing w:after="0" w:line="154" w:lineRule="exact"/>
        <w:rPr>
          <w:sz w:val="20"/>
          <w:szCs w:val="20"/>
          <w:color w:val="auto"/>
        </w:rPr>
      </w:pPr>
    </w:p>
    <w:p>
      <w:pPr>
        <w:jc w:val="both"/>
        <w:ind w:right="90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2010. These consolidated financial statements also should be read in conjunction with the “Management’s Discussion and Analysis of Financial Condition and Results of Operations” section appearing in this report.</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results for the three months ended November 30, 2010 are not necessarily indicative of the results that may be expected for the full fiscal year ending August 31, 2011.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44"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ZERUST BRAZIL</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Beginning in fourth quarter of fiscal 2010, the Company consolidated the results of Zerust Prevenção de Corrosão S.A., the Company’s subsidiary in Brazil (“Zerust Brazil”). The Company holds 85% of the equity and 85% of the voting rights of Zerust Brazil. Prior to fourth quarter of fiscal 2010 and as of November 30, 2009, the Company accounted for its Zerust Brazil investment under the equity method. The Company owned only 50%, which it considered to be less than a majority, of the equity and voting rights of Zerust Brazil prior to September 2006. The Company acquired an additional 35% ownership interest in Zerust Brazil in September 2006 and held 85% of the equity and voting rights thereafter. Prior to the fourth quarter of fiscal 2010, the Company held the additional 35% ownership interest in Zerust Brazil with the intent of finding an acqui ring party, believing its majority control of Zerust Brazil would be temporary and determined not to consolidate Zerust Brazil because the impact on the Company’s consolidated financial statements was immaterial. During the fourth quarter of fiscal 2010, the Company stopped pursuing a buyer of the 35% ownership and decided to consolidate the financial results of Zerust Brazil as of and for the fiscal year ended August 31, 2010. The Company believes that the impact of not consolidating Zerust Brazil on the Company’s consolidated financial statements for periods prior to the fourth quarter of fiscal 2010 was immaterial to the Company’s consolidated financial statements.</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is a summary of certain line items of the Company’s consolidated statement of operations for the three months ended November 30, 2009 as reported and on a pro forma basis, assuming the consolidation of Zerust Brazil on the Company’s consolidated financial statements as of the beginning of such period: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Zerust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Eliminated in</w:t>
            </w:r>
          </w:p>
        </w:tc>
        <w:tc>
          <w:tcPr>
            <w:tcW w:w="22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Consolidation</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1,757,496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193,711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(15,823)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1,935,384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1,261,641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1,857,829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1,854,569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2,373,364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2,682,350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438,371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433,860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435,705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income per common diluted share</w:t>
            </w:r>
          </w:p>
        </w:tc>
        <w:tc>
          <w:tcPr>
            <w:tcW w:w="8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ectPr>
          <w:pgSz w:w="11900" w:h="16838" w:orient="portrait"/>
          <w:cols w:equalWidth="0" w:num="1">
            <w:col w:w="11460"/>
          </w:cols>
          <w:pgMar w:left="240" w:top="356" w:right="19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Inventories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November 30, 2010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August 31, 2010</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1,275,779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1,184,986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Finished goods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2,689,717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2,449,181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3,965,496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3,639,169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line="20" w:lineRule="exact"/>
              <w:rPr>
                <w:sz w:val="1"/>
                <w:szCs w:val="1"/>
                <w:color w:val="auto"/>
              </w:rPr>
            </w:pPr>
          </w:p>
        </w:tc>
        <w:tc>
          <w:tcPr>
            <w:tcW w:w="45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PROPERTY AND EQUIPMENT, NET</w:t>
            </w: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November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3,099,186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3,099,186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1,792,897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1,717,625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5,202,447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5,127,176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jc w:val="right"/>
              <w:ind w:right="25"/>
              <w:spacing w:after="0"/>
              <w:rPr>
                <w:sz w:val="20"/>
                <w:szCs w:val="20"/>
                <w:color w:val="auto"/>
              </w:rPr>
            </w:pPr>
            <w:r>
              <w:rPr>
                <w:rFonts w:ascii="Arial" w:cs="Arial" w:eastAsia="Arial" w:hAnsi="Arial"/>
                <w:sz w:val="18"/>
                <w:szCs w:val="18"/>
                <w:color w:val="auto"/>
              </w:rPr>
              <w:t>(1,760,140)</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(1,674,646)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3,442,307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3,452,530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line="20" w:lineRule="exact"/>
              <w:rPr>
                <w:sz w:val="1"/>
                <w:szCs w:val="1"/>
                <w:color w:val="auto"/>
              </w:rPr>
            </w:pPr>
          </w:p>
        </w:tc>
        <w:tc>
          <w:tcPr>
            <w:tcW w:w="45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PATENTS AND TRADEMARKS, NET</w:t>
            </w: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November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1,610,674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(737,365)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(697,956)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have been eliminated for financial reporting purposes.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(“Germany”), the Company’s joint venture holding company in the Association of Southeast Asian Nations, or ASEAN, region, NTI ASEAN, LLC (“ASEAN”), and all of the Company’s other joint ventures,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b w:val="1"/>
                <w:bCs w:val="1"/>
                <w:color w:val="auto"/>
                <w:w w:val="92"/>
              </w:rPr>
              <w:t>November 30, 2010</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55,954,949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16,081,887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14,067,308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25,805,754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61,869,402</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18,559,994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14,329,410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28,979,998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20,621,393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5,632,744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11,954,199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w w:val="87"/>
              </w:rPr>
              <w:t>4,847,283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841,895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4,005,388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36,400,726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15,525,544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7,854,771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13,020,412</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16,824,108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7,762,774</w:t>
            </w:r>
          </w:p>
        </w:tc>
        <w:tc>
          <w:tcPr>
            <w:tcW w:w="140" w:type="dxa"/>
            <w:vAlign w:val="bottom"/>
          </w:tcPr>
          <w:p>
            <w:pPr>
              <w:spacing w:after="0"/>
              <w:rPr>
                <w:sz w:val="20"/>
                <w:szCs w:val="20"/>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2,831,061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6,230,274</w:t>
            </w:r>
          </w:p>
        </w:tc>
      </w:tr>
      <w:tr>
        <w:trPr>
          <w:trHeight w:val="365"/>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b w:val="1"/>
                <w:bCs w:val="1"/>
                <w:color w:val="auto"/>
                <w:w w:val="91"/>
              </w:rPr>
              <w:t>August 31, 2010</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50,031,107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16,567,240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12,637,967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20,825,900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55,918,090</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18,967,090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12,901,522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24,049,478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16,478,695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4,721,652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8,667,454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w w:val="87"/>
              </w:rPr>
              <w:t>4,454,280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868,902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3,585,378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34,985,115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15,877,500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7,310,968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11,796,646</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16,055,943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7,938,751</w:t>
            </w:r>
          </w:p>
        </w:tc>
        <w:tc>
          <w:tcPr>
            <w:tcW w:w="140" w:type="dxa"/>
            <w:vAlign w:val="bottom"/>
          </w:tcPr>
          <w:p>
            <w:pPr>
              <w:spacing w:after="0"/>
              <w:rPr>
                <w:sz w:val="20"/>
                <w:szCs w:val="20"/>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2,467,412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5,649,780</w:t>
            </w:r>
          </w:p>
        </w:tc>
      </w:tr>
      <w:tr>
        <w:trPr>
          <w:trHeight w:val="365"/>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 November 30, 2010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27,101,587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8,886,252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4,321,308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13,894,027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12,706,289</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4,490,864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2,051,640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6,163,785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3,169,841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1,876,545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374,049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919,337</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equity in income of joint ventures</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ind w:left="380"/>
              <w:spacing w:after="0"/>
              <w:rPr>
                <w:sz w:val="20"/>
                <w:szCs w:val="20"/>
                <w:color w:val="auto"/>
              </w:rPr>
            </w:pPr>
            <w:r>
              <w:rPr>
                <w:rFonts w:ascii="Arial" w:cs="Arial" w:eastAsia="Arial" w:hAnsi="Arial"/>
                <w:sz w:val="18"/>
                <w:szCs w:val="18"/>
                <w:color w:val="auto"/>
                <w:w w:val="87"/>
              </w:rPr>
              <w:t>1,695,131</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938,227</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320,607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436,298</w:t>
            </w:r>
          </w:p>
        </w:tc>
      </w:tr>
    </w:tbl>
    <w:p>
      <w:pPr>
        <w:sectPr>
          <w:pgSz w:w="11900" w:h="16838"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November 30, 2009</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Germany</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ASEAN</w:t>
            </w:r>
          </w:p>
        </w:tc>
        <w:tc>
          <w:tcPr>
            <w:tcW w:w="240" w:type="dxa"/>
            <w:vAlign w:val="bottom"/>
          </w:tcPr>
          <w:p>
            <w:pPr>
              <w:spacing w:after="0"/>
              <w:rPr>
                <w:sz w:val="12"/>
                <w:szCs w:val="12"/>
                <w:color w:val="auto"/>
              </w:rPr>
            </w:pPr>
          </w:p>
        </w:tc>
        <w:tc>
          <w:tcPr>
            <w:tcW w:w="11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19,480,538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6,413,699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9,834,625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9,600,769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3,199,808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1,774,666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4,626,295</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728,770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554,688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121,628</w:t>
            </w:r>
          </w:p>
        </w:tc>
        <w:tc>
          <w:tcPr>
            <w:tcW w:w="40" w:type="dxa"/>
            <w:vAlign w:val="bottom"/>
          </w:tcPr>
          <w:p>
            <w:pPr>
              <w:spacing w:after="0"/>
              <w:rPr>
                <w:sz w:val="18"/>
                <w:szCs w:val="18"/>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w w:val="98"/>
              </w:rPr>
              <w:t>Northern Technologies International Corporation’s share of</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equity in income of joint ventures</w:t>
            </w:r>
          </w:p>
        </w:tc>
        <w:tc>
          <w:tcPr>
            <w:tcW w:w="6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705,899</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364,385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254,214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87,300</w:t>
            </w:r>
          </w:p>
        </w:tc>
        <w:tc>
          <w:tcPr>
            <w:tcW w:w="40" w:type="dxa"/>
            <w:vAlign w:val="bottom"/>
          </w:tcPr>
          <w:p>
            <w:pPr>
              <w:spacing w:after="0"/>
              <w:rPr>
                <w:sz w:val="20"/>
                <w:szCs w:val="20"/>
                <w:color w:val="auto"/>
              </w:rPr>
            </w:pPr>
          </w:p>
        </w:tc>
      </w:tr>
      <w:tr>
        <w:trPr>
          <w:trHeight w:val="432"/>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3"/>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statements of operations on the line “Expenses incurred in support of joint ventures”. The expenses include items such as employee compensation and benefit expenses, travel expense and consulting expense.</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December 2010, the Company invested $38,217 and in January 2010, the Company invested $30,101, in a new joint venture in Russia to specifically engage in the oil and gas industry. The Company has a 50% ownership interest in the new Russian joint venture.</w:t>
      </w:r>
    </w:p>
    <w:p>
      <w:pPr>
        <w:spacing w:after="0" w:line="166"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November 30, 2010, the Company had a demand line of credit of $2,300,000 with PNC Bank, National Association (“PNC Bank”) with no amounts outstanding as of November 30, 2010 and August 31, 2010. Advances made under the demand line of credit were made at the sole discretion of PNC Bank and were due and payable on demand. Outstanding amounts under the demand line of credit bore interest at an annual rate based on LIBOR plus 2.25%. As of November 30, 2010, the interest rate was 2.59% and the weighted average rate was 2.63% for the three months ended November 30, 2010. As of November 30, 2009, the interest rate was 2.49% and the weighted average rate was 2.50% for the three months ended.</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purchase of its corporate headquarters, in September 2006, the Company obtained a term loan with a principal amount of $1,275,000 that was to mature on May 1, 2011, bore interest at a fixed rate of 8.01% and was payable in 59 monthly payments equal to approximately $10,776 (inclusive of principal and interest).</w:t>
      </w:r>
    </w:p>
    <w:p>
      <w:pPr>
        <w:spacing w:after="0" w:line="181"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On January 10, 2011, the Company refinanced its $1,275,000 original principal amount term loan and increased its line of credit with PNC Bank to $3,000,000. See Note 15 entitled “Subsequent Event.”As a result, certain portions of the loan have been classified as long-term.</w:t>
      </w:r>
    </w:p>
    <w:p>
      <w:pPr>
        <w:spacing w:after="0" w:line="143"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November 30, 2010, the Company did not purchase or retire any shares of its common stock. The following stock options to purchase shares of common stock were exercised during the three months ended November 30, 2010:</w:t>
      </w:r>
    </w:p>
    <w:p>
      <w:pPr>
        <w:spacing w:after="0" w:line="162" w:lineRule="exact"/>
        <w:rPr>
          <w:sz w:val="20"/>
          <w:szCs w:val="20"/>
          <w:color w:val="auto"/>
        </w:rPr>
      </w:pPr>
    </w:p>
    <w:tbl>
      <w:tblPr>
        <w:tblLayout w:type="fixed"/>
        <w:tblInd w:w="260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Options Exercised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jc w:val="center"/>
              <w:spacing w:after="0"/>
              <w:rPr>
                <w:sz w:val="20"/>
                <w:szCs w:val="20"/>
                <w:color w:val="auto"/>
              </w:rPr>
            </w:pPr>
            <w:r>
              <w:rPr>
                <w:rFonts w:ascii="Arial" w:cs="Arial" w:eastAsia="Arial" w:hAnsi="Arial"/>
                <w:sz w:val="18"/>
                <w:szCs w:val="18"/>
                <w:color w:val="auto"/>
                <w:w w:val="93"/>
              </w:rPr>
              <w:t>2,000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1,333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r>
    </w:tbl>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granted stock options under the Northern Technologies International Corporation 2007 Stock Incentive Plan to purchase an aggregate of 30,000 shares of its common stock to various employees and directors during the three months ended November 30, 2010. The weighted average per share exercise price of the stock options is $9.43, which is equal to the fair market value of the Company’s common stock on the date of grant.</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months ended November 30, 2010, the Company granted stock bonuses under the Northern Technologies International Corporation 2007 Stock Incentive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the three months ended November 30, 2010 was based on fiscal 2010 performance and was included in accrued liabilities at August 31, 2010.</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November 30, 2009, the Company did not purchase or retire any shares of its common stock. The following stock options to purchase shares of common stock were exercised during the three months ended November 30, 2009:</w:t>
      </w:r>
    </w:p>
    <w:p>
      <w:pPr>
        <w:spacing w:after="0" w:line="162" w:lineRule="exact"/>
        <w:rPr>
          <w:sz w:val="20"/>
          <w:szCs w:val="20"/>
          <w:color w:val="auto"/>
        </w:rPr>
      </w:pPr>
    </w:p>
    <w:tbl>
      <w:tblPr>
        <w:tblLayout w:type="fixed"/>
        <w:tblInd w:w="2600" w:type="dxa"/>
        <w:tblCellMar>
          <w:top w:w="0" w:type="dxa"/>
          <w:left w:w="0" w:type="dxa"/>
          <w:bottom w:w="0" w:type="dxa"/>
          <w:right w:w="0" w:type="dxa"/>
        </w:tblCellMar>
      </w:tblPr>
      <w:tr>
        <w:trPr>
          <w:trHeight w:val="171"/>
        </w:trPr>
        <w:tc>
          <w:tcPr>
            <w:tcW w:w="3540" w:type="dxa"/>
            <w:vAlign w:val="bottom"/>
          </w:tcPr>
          <w:p>
            <w:pPr>
              <w:jc w:val="right"/>
              <w:ind w:right="2339"/>
              <w:spacing w:after="0"/>
              <w:rPr>
                <w:sz w:val="20"/>
                <w:szCs w:val="20"/>
                <w:color w:val="auto"/>
              </w:rPr>
            </w:pPr>
            <w:r>
              <w:rPr>
                <w:rFonts w:ascii="Arial" w:cs="Arial" w:eastAsia="Arial" w:hAnsi="Arial"/>
                <w:sz w:val="14"/>
                <w:szCs w:val="14"/>
                <w:b w:val="1"/>
                <w:bCs w:val="1"/>
                <w:color w:val="auto"/>
                <w:w w:val="89"/>
              </w:rPr>
              <w:t>Options Exercised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354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8"/>
                <w:szCs w:val="18"/>
                <w:color w:val="auto"/>
              </w:rPr>
              <w:t>1,500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granted stock options under the Northern Technologies International Corporation 2007 Stock Incentive Plan to purchase an aggregate of 122,000 shares of its common stock to various employees and directors during the three months ended November 30, 2009. The weighted average per share exercise price of the stock options is $7.88, which is equal to the fair market value of the Company’s common stock on the date of grant.</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177"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ectPr>
          <w:pgSz w:w="11900" w:h="16838" w:orient="portrait"/>
          <w:cols w:equalWidth="0" w:num="1">
            <w:col w:w="11460"/>
          </w:cols>
          <w:pgMar w:left="240" w:top="333"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Company’s total comprehensive income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November 30,</w:t>
            </w:r>
          </w:p>
        </w:tc>
      </w:tr>
      <w:tr>
        <w:trPr>
          <w:trHeight w:val="142"/>
        </w:trPr>
        <w:tc>
          <w:tcPr>
            <w:tcW w:w="67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894,874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404,864</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574,808</w:t>
            </w:r>
          </w:p>
        </w:tc>
      </w:tr>
      <w:tr>
        <w:trPr>
          <w:trHeight w:val="21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Options to purchase shares of common stock of 26,000 and 195,139 were excluded from the computation of common share equivalents for both the three months ended November 30, 2010 and 2009, respectively, as stock option exercise prices were greater than market price of a share of common stock.</w:t>
      </w:r>
    </w:p>
    <w:p>
      <w:pPr>
        <w:spacing w:after="0" w:line="120"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has several stock-based compensation plans under which stock options and other stock-based awards have been granted, including the Northern Technologies International Corporation 2007 Stock Incentive Plan (the “2007 Plan”), the Northern Technologies International Corporation 2000 Stock Incentive Plan (the “2000 Plan”) and the Northern Technologies International Corporation Employee Stock Purchase Plan (the “ESPP”). The Compensation Committee of the Board of Directors and the Board of Directors administers all of these plans.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2007 Plan replaced the 2000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have been reserved for issuance under the 2007 Plan, subject to adjustment as provided in the 2007 Plan.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November 2010, the Company’s Board of Directors approved the Northern Technologies International Corporation Amended and Restated 2007 Stock Incentive Plan (the “Amended and Restated 2007 Plan”), subject to approval by the Company’s stockholders at its next annual meeting of stockholders to be held in January 2011. The Amended and Restated 2007 Plan includes a number of changes from the currently existing 2007 Plan, including an increase in the number of shares of common stock available for issuance under the plan from 400,000 shares to 800,000 shares plus the number of shares subject to awards outstanding under the prior 2000 Plan as of the date of stockholder approval of the Amended and Restated 2007 Plan but only to the extent that such outstanding awards are forfeited, expire or otherwise terminate without the issuance of such shares.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granted options to purchase 30,000 and 126,000 shares of its common stock during the three months ended November 30, 2010 and 2009, respectively. The fair value of option grants is determined at date of grant, using the Black-Scholes option pricing model with the assumptions listed below. Based on these valuations, the Company recognized compensation expense of $44,143 and $46,302 during the three months ended November 30, 2010 and 2009, respectively, related to the options that vested during such time period. The stock-based expense recorded reduced after-tax net income per share by $0.01 for the three months ended November 30, 2010 and 2009. As of November 30, 2010, the total compensation cost for non-vested options not yet recognized in the Company’s statements of operations was $304,080, net of estimated forfeitures. Additional stock-based compens ation expense of $132,428 is expected through the remainder of fiscal year 2011, and expense of $139,257 and $32,396 is expected to be recognized during fiscal 2012 and 2013, respectively. Future option grants will impact the compensation expense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November 30,</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4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 years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 years</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bl>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weighted average fair value of options granted during the three months ended November 30, 2010 and 2009 was $3.60 and $2.96, respectively. The weighted average remaining contractual life of the options outstanding as of November 30, 2010 and 2009 was 3.47 years and 3.26 years, respectively.</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8" w:name="page9"/>
    <w:bookmarkEnd w:id="8"/>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by geographic location as a percentage of total consolidated net sales for the three months ended November 30, 2010 and November 30, 2009 were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 November 30,</w:t>
            </w:r>
          </w:p>
        </w:tc>
      </w:tr>
      <w:tr>
        <w:trPr>
          <w:trHeight w:val="142"/>
        </w:trPr>
        <w:tc>
          <w:tcPr>
            <w:tcW w:w="60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Outside the U.S.A. to:</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Joint ventures in which the Company is a shareholder directly and indirectly</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r>
      <w:tr>
        <w:trPr>
          <w:trHeight w:val="216"/>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tcPr>
          <w:p>
            <w:pPr>
              <w:spacing w:after="0"/>
              <w:rPr>
                <w:sz w:val="18"/>
                <w:szCs w:val="18"/>
                <w:color w:val="auto"/>
              </w:rPr>
            </w:pPr>
          </w:p>
        </w:tc>
      </w:tr>
      <w:tr>
        <w:trPr>
          <w:trHeight w:val="210"/>
        </w:trPr>
        <w:tc>
          <w:tcPr>
            <w:tcW w:w="60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Fees for services provided to joint ventures by geographic location as a percentage of total fees for services provided to joint ventures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2010 and 2009 were as 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November 30,</w:t>
            </w:r>
          </w:p>
        </w:tc>
        <w:tc>
          <w:tcPr>
            <w:tcW w:w="1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rPr>
              <w:t>% of Total Fees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gridSpan w:val="2"/>
            <w:vMerge w:val="restart"/>
          </w:tcPr>
          <w:p>
            <w:pPr>
              <w:jc w:val="center"/>
              <w:ind w:right="290"/>
              <w:spacing w:after="0"/>
              <w:rPr>
                <w:sz w:val="20"/>
                <w:szCs w:val="20"/>
                <w:color w:val="auto"/>
              </w:rPr>
            </w:pPr>
            <w:r>
              <w:rPr>
                <w:rFonts w:ascii="Arial" w:cs="Arial" w:eastAsia="Arial" w:hAnsi="Arial"/>
                <w:sz w:val="14"/>
                <w:szCs w:val="14"/>
                <w:b w:val="1"/>
                <w:bCs w:val="1"/>
                <w:color w:val="auto"/>
                <w:w w:val="94"/>
              </w:rPr>
              <w:t>% of Total Fees for</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for Services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60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Provided to</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04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9"/>
              </w:rPr>
              <w:t>Services Provided to</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Joint Ventures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Joint Ventures</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257,276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269,500</w:t>
            </w:r>
          </w:p>
        </w:tc>
        <w:tc>
          <w:tcPr>
            <w:tcW w:w="300" w:type="dxa"/>
            <w:vAlign w:val="bottom"/>
          </w:tcPr>
          <w:p>
            <w:pPr>
              <w:spacing w:after="0"/>
              <w:rPr>
                <w:sz w:val="18"/>
                <w:szCs w:val="18"/>
                <w:color w:val="auto"/>
              </w:rPr>
            </w:pP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200,711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182,692</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164,482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114,192</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112,898</w:t>
            </w: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Sweden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144,111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94,542</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82,642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95,129</w:t>
            </w: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182,347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59,978</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1,451,780</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1,151,930</w:t>
            </w:r>
          </w:p>
        </w:tc>
        <w:tc>
          <w:tcPr>
            <w:tcW w:w="3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2010 and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November 30,</w:t>
            </w:r>
          </w:p>
        </w:tc>
        <w:tc>
          <w:tcPr>
            <w:tcW w:w="1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CEEFF"/>
            </w:tcBorders>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3,875,428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1,247,873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sales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223,013</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83,846</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139,167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166.0%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4,098,441</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1,387,040</w:t>
            </w:r>
          </w:p>
        </w:tc>
        <w:tc>
          <w:tcPr>
            <w:tcW w:w="28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516"/>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2010 and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 November 30,</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0"/>
                <w:szCs w:val="10"/>
                <w:color w:val="auto"/>
              </w:rPr>
            </w:pPr>
          </w:p>
        </w:tc>
        <w:tc>
          <w:tcPr>
            <w:tcW w:w="16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 of Segment</w:t>
            </w:r>
          </w:p>
        </w:tc>
        <w:tc>
          <w:tcPr>
            <w:tcW w:w="320" w:type="dxa"/>
            <w:vAlign w:val="bottom"/>
          </w:tcPr>
          <w:p>
            <w:pPr>
              <w:spacing w:after="0"/>
              <w:rPr>
                <w:sz w:val="10"/>
                <w:szCs w:val="10"/>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0"/>
                <w:szCs w:val="10"/>
                <w:color w:val="auto"/>
              </w:rPr>
            </w:pPr>
          </w:p>
        </w:tc>
        <w:tc>
          <w:tcPr>
            <w:tcW w:w="13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Sales*</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goods sold</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ZERUST®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2,190,145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1,417,508</w:t>
            </w:r>
          </w:p>
        </w:tc>
        <w:tc>
          <w:tcPr>
            <w:tcW w:w="2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180,630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59,018</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319,930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280,970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distribution of long-lived assets is set forth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November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3,386,100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3,457,316</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56,207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3,457,316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460"/>
          </w:cols>
          <w:pgMar w:left="240" w:top="368" w:right="199" w:bottom="0" w:gutter="0" w:footer="0" w:header="0"/>
        </w:sectPr>
      </w:pPr>
    </w:p>
    <w:bookmarkStart w:id="9" w:name="page10"/>
    <w:bookmarkEnd w:id="9"/>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66"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November 30, 2010 and August 31, 2010, the Company deferred amounts received of $26,659 and $130,196, respectively, in other accrued liabilities, as the Company had not yet performed under the obligations of the contracts.</w:t>
      </w:r>
    </w:p>
    <w:p>
      <w:pPr>
        <w:spacing w:after="0" w:line="171" w:lineRule="exact"/>
        <w:rPr>
          <w:sz w:val="20"/>
          <w:szCs w:val="20"/>
          <w:color w:val="auto"/>
        </w:rPr>
      </w:pPr>
    </w:p>
    <w:p>
      <w:pPr>
        <w:ind w:right="100" w:firstLine="72"/>
        <w:spacing w:after="0" w:line="264"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$1,193,456 and $611,656 of expense during the three months ended November 30, 2010 and 2009, respectively, in connection with its research and development activities. These costs related to product research and development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are the net amount after being reduced by reimbursements related to the awarding of the multiple research and development contracts of $25,992 and $109,172 for the three months ended November 30, 2010 and 2009, respectively. The net fees are accounted for in the “Research and Development Expenses” section of the consolidated statements of operations.</w:t>
      </w:r>
    </w:p>
    <w:p>
      <w:pPr>
        <w:spacing w:after="0" w:line="177"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August 27, 2010, the Company’s Board of Directors, upon recommendation of the Compensation Committee, approved the material terms of an annual bonus plan for the Company’s executive officers and certain employees for the fiscal year ending August 31, 2011,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980" w:right="82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the Company’s earnings before interest, taxes and other income (“EBITOI”);</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$357,000 for management bonuses accrued for three months ended November 30, 2010 compared to a management bonus accrual of $158,000 for the three months ended November 30, 2009.</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had an approximate value of $2,205,000, based upon the cash-to-mortgage acquisition price of the property paid in fiscal 2000. The Company has guaranteed up to $329,082 of Omni-Northern Ltd.’s $1,903,571 mortgage obligation with PNC Bank, Cleveland, Ohio. The building is fully leased at present. Total rent expense for the three months ended November 30, 2010 and 2009 was $59,480 and $60,814 respectively. Remaining rentals payable under such leases are as follows: fiscal 2011 - $238,500; fiscal 2012 - $238,500; fiscal 2013 - $238,500; fiscal 2014 - $59,500 and thereafter - $0.</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One customer accounted for 10.6% of the Company’s trade receivables, excluding joint ventures at August 31, 2010. Two joint ventures accounted for 48.0% of the Company’s trade joint venture receivables at November 30, 2010. One joint venture accounted for 36.4% of the Company’s trade joint venture receivables at August 31, 2010.</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January 10, 2011, the Company refinanced its $1,275,000 original principal amount term loan and increased its line of credit with PNC Bank from $2,300,000 to $3,000,000.</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amended term loan is evidenced by an amended and restated term note (the “Term Note”) issued by Northern Technologies Holding Company, LLC (“NTI LLC”) to PNC Bank in the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All of the remaining unpaid principal and accrued interest under the Term Note is due and payable on the January 10, 2016 maturity date. The term loan is secured by a first lien on the real estate and building owned by NTI LLC and all of the assets of the Company and is guaranteed by the Company.</w:t>
      </w:r>
    </w:p>
    <w:p>
      <w:pPr>
        <w:sectPr>
          <w:pgSz w:w="11900" w:h="16906" w:orient="portrait"/>
          <w:cols w:equalWidth="0" w:num="1">
            <w:col w:w="11380"/>
          </w:cols>
          <w:pgMar w:left="240" w:top="341" w:right="279" w:bottom="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t>The increased line of credit is evidenced by an amended and restated committed line of credit note in the principal amount of up to $3,000,000 (the “Line of Credit Note”). The line of credit has a $1,200,000 standby letter of credit subfacility, with any standby letters of credit issued thereunder being at the sole discretion of PNC Bank. Any standby letters of credit issued under the subfacility are subject to customary fees and charges payable by the Company. Advances made under the line of credit are due and payable on January 10,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Both the term loan and the line of credit are governed under two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fixed charge coverage ratio financial covenant, the Company shall not, as of the last calendar day of any fiscal quarter, on a rolling four quarters basis, suffer or permit the ratio of its adjusted EBITDA (defined as the aggregate of (a) its net income for that period, plus (b) its interest expense for that period, plus (c) its federal, state, and local income taxes, if any, for that period, plus (d) its depreciation and amortization charges for that period, plus (e) other non-recurring non-cash expenses reducing net income, minus (f) non-recurring non-cash items increasing net income, plus (g) increases to paid-in capital on stockholders’ equity, minus (h) decreases to paid-in capital on stockholder’s equity) to the aggregate (without duplication) of (i) its interest expense for that period, plus (ii) capital expenditures paid for from the Company’s funds other than funds borrowed as term debt to finance such capital expenditures during that period, plus (iii) all dividends and distributions paid during that period, plus (iv) taxes paid in cash plus, plus (v) payments made under all capital leases, plus (vi) an amount equal to the aggregate of all scheduled payments of principal on all indebtedness for borrowed money having an original term of more than one year, as shown on the Company’s financial statements as current liabilities as of one year prior to the date of determination to be less than 1.10:1.00. The fixed charge coverage ratio is to be computed and determined on a consolidated basis for the Company and its subsidiaries in accordance with generally accepted accounting principles applied on a consistent basis (subject to normal year-end adjustments). The Loan Agreements also contain customary events of default, including, without limitation, payment defaults, material inaccuracy of representa tions and warranties, covenant defaults, bankruptcy and involuntary proceedings, and monetary judgment defaults.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NTIC develops and markets proprietary environmentally beneficial products and technical services in over 55 countries either directly or via a network of joint ventures and independent distributors. NTIC’s primary business is corrosion prevention. From this base, NTIC has expanded into three new business areas that have started recently to generate revenue (1) corrosion prevention technologies specifically designed for the oil and gas industry, which NTIC sells both directly as well as through joint ventures and independent agents; (2) a proprietary portfolio of bio-plastic compounds and finished products marketed under the Natur-Tec® brand, which NTIC sells directly as well as through distributors and independent agents; and (3) technology and equipment that converts waste plastic into diesel, gasoline and heavy fractions, which is exclusively licensed and sold in North America a nd Asia through NTIC’s joint venture Polymer Energy, LLC.</w:t>
      </w: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NTIC has been selling its proprietary ZERUST®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technical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NTIC has developed proprietary corrosion inhibiting technologies for use in the mitigation of corrosion on capital assets used in the petroleum and chemical process industries and is initially targeting the sale of these new ZERUST® products to the oil and gas industry sector. During fiscal 2009, NTIC announced the signing of a multi-year contract between NTIC’s Brazilian subsidiary (Zerust Prevenção de Corrosão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 ant to which the parties will undertake a 20-month Petrobras funded effort to explore, understand and resolve bottom plate corrosion issues in aboveground storage tanks. A second 12-month Petrobras sponsored project has also started aimed at field trials of certain pipeline protection technologies. All of these projects continued during fiscal 2010 and in the first quarter of fiscal 2011. NTIC also is pursuing opportunities to market its ZERUST® corrosion prevention technology to other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 believes the sale of its ZERUST® prod ucts to customers in the oil and gas industry will involve a long sales cycle, likely including a one- to two-year trial period with each customer and a slow integration process thereafter.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 w:name="page12"/>
    <w:bookmarkEnd w:id="11"/>
    <w:p>
      <w:pPr>
        <w:spacing w:after="0" w:line="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ZERUST® products and services, NTIC develops and markets a portfolio of bio-based and/or biodegradable (compostable) polymer resin compounds and finished products under the Natur-Tec® brand.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During fiscal 2010 and the first quarter of fiscal 2011, NTIC focused on adding additional distributors and generating initial sales with these distributors.</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NTIC’s Polymer Energy LLC joint venture develops and promotes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easily scalable capacity. The crude output is high-grade and can be further processed in a refinery or used as an input for co-generation of electricity. During fiscal 2010 and the first quarter of fiscal 2011, NTIC’s Polymer Energy LLC joint venture focused on making design improvements to the polymer energy machine and generating initial interest from potential customers in India, Thailand and the United Arab Emirates.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NTIC participates in 26 active joint venture arrangements in North America, South America, Europe, Asia and the Middle East. Each of these joint ventures generally manufactures and markets finished products in the geographic territory to which it is assigned. While most of NTIC’s joint ventures currently exclusively sell rust and corrosion inhibiting packaging and products to industrial customers, NTIC also has joint ventures that manufacture, market and sell corrosion prevention solutions for the oil and gas industry and Polymer Energy™ equipment that converts waste plastic into diesel, gasoline and heavy fractions. NTIC historically has funded its joint venture investments with cash generated from operations.</w:t>
      </w:r>
    </w:p>
    <w:p>
      <w:pPr>
        <w:spacing w:after="0" w:line="1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NTIC’s receipt of funds as a result of sales by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its German joint venture, NTIC recognizes an agreed upon quarterly fee for such services. With respect to its ASEAN joint venture holding company, NTIC does not receive a fee for such services, but rather receives a bi-annual dividend based on available cash. NITC recognizes equity income from its joint ventures b ased on the overall profitability of the entity. The profits of NTIC’s joint ventures are shared by the respective joint venture owners in accordance with their respective ownership percentages. NTIC typically owns only 50% or less of its joint venture entities and thus does not control the decisions of these entities regarding whether to pay dividends and, if paid, how much they should be in a given year. Traditionally, a portion of the equity income recorded in a given fiscal year is paid to the owners of the entity during the following fiscal year. The payment of a dividend by an entity is determined by a joint vote of the owners and is not at the sole discretion of NTIC.</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does not consolidate the results of its joint ventures, other than commencing in fourth quarter of 2010, Zerust Prevenção de Corrosão S.A., NTIC’s subsidiary in Brazil (“Zerust Brazil”). NTIC holds 85% of the equity and 85% of the voting rights of Zerust Brazil. Prior to fiscal 2010 NTIC accounted for its Zerust Brazil investment under the equity method. NTIC owned only 50%, which it considered to be less than a majority, of the equity and voting rights of Zerust Brazil prior to September 2006. NTIC acquired an additional 35% ownership interest in Zerust Brazil in September 2006 and held 85% of the equity and voting rights thereafter. Prior to the fourth quarter of fiscal 2010, NTIC held the additional 35% ownership interest in Zerust Brazil with the intent of finding an acquiring party, believing its majority control of Zerust Brazil wo uld be temporary and determined not to consolidate Zerust Brazil because the impact on NTIC’s consolidated financial statements was immaterial. During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fourth quarter of fiscal 2010, NTIC stopped pursuing a buyer of the 35% ownership and decided to consolidate the financial results of Zerust Brazil as of and for the fiscal year ended August 31, 2010. NTIC believes that the impact of not consolidating Zerust Brazil on NTIC’s consolidated financial statements for periods prior to the fourth quarter of fiscal 2010 was immaterial to NTIC’s consolidated financial statements.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is a summary of certain line items of the Company’s consolidated statement of operations for the three months ended November 30, 2009 as reported and on a pro forma basis, assuming the consolidation of Zerust Brazil on the Company’s consolidated financial statements as of the beginning of such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Zerust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Eliminated in</w:t>
            </w:r>
          </w:p>
        </w:tc>
        <w:tc>
          <w:tcPr>
            <w:tcW w:w="22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Brazil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Consolidation</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1,757,496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193,711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(15,823)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1,935,384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1,261,641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1,857,829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1,854,569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2,373,364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2,682,350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438,371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433,860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tax benefit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435,705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income per common diluted share</w:t>
            </w:r>
          </w:p>
        </w:tc>
        <w:tc>
          <w:tcPr>
            <w:tcW w:w="8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NTIC has not consolidated the Polymer Energy LLC joint venture in NTIC’s consolidated financial statements for the three months ended November 30, 2010 or 2009 or any prior period since Polymer Energy LLC has had limited activity since its inception in 2003 and NTIC believes that the impact of not consolidating this entity on NTIC’s consolidated financial statement has been immaterial. Prior to fiscal 2010, Polymer Energy LLC did not have any financial activity including assets, liabilities, capital contributions, revenues or expenses. During fiscal 2010, the only financial activity of Polymer Energy LLC was the receipt of license fees which were distributed to its owners in proportion to their respective ownership percentages. Since NTIC owns a 62.5%</w:t>
      </w:r>
    </w:p>
    <w:p>
      <w:pPr>
        <w:sectPr>
          <w:pgSz w:w="11900" w:h="16928" w:orient="portrait"/>
          <w:cols w:equalWidth="0" w:num="1">
            <w:col w:w="11420"/>
          </w:cols>
          <w:pgMar w:left="240" w:top="368" w:right="239" w:bottom="0" w:gutter="0" w:footer="0" w:header="0"/>
        </w:sectPr>
      </w:pPr>
    </w:p>
    <w:bookmarkStart w:id="12" w:name="page13"/>
    <w:bookmarkEnd w:id="12"/>
    <w:p>
      <w:pPr>
        <w:spacing w:after="0" w:line="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ownership interest in Polymer Energy LLC, NTIC received and recorded a portion of these fees for services provided to joint ventu res in its fiscal 2010 consolidated financial statements. No license fees were received by Polymer Energy LLC and no other financial activity took place during the three months ended November 30, 2010. Accordingly, during the three months ended November 30, 2010, NTIC received and recorded no fees for services provided to joint ventures in its consolidated financial statements attributable to its ownership interest in Polymer Energy LLC.</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 NTIC’s former React-NTI and React, Inc. business segments were eliminated in fiscal 2009 due to inactivity.</w:t>
      </w:r>
    </w:p>
    <w:p>
      <w:pPr>
        <w:spacing w:after="0" w:line="16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NTIC’s consolidated net sales increased 51.2% during the three months ended November 30, 2010 compared to the three months ended November 30, 2009. This increase was primarily a result of increased sales of ZERUST® rust and corrosion inhibiting packaging products and services and sales to NTIC’s joint ventures and the consolidation of Zerust Brazil on NTIC’s consolidated financial statements. During the three months ended November 30, 2010,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94.6% of NTIC’s consolidated net sales were derived from sales of ZERUST® products and services, which increased 47.5% to $3,875,428 during the three months ended November 30, 2010 compared to $2,627,555 during the three months ended November 30, 2009 due to increased demand primarily as a result of the economic recovery of the domestic manufacturing sector, the addition of new customers and the consolidation of Zerust Brazil. Overall demand for ZERUST® products and services depends heavily on the overall health of the markets in which NTIC sells its products, including in particular the automotive market. NTIC has focused its sales efforts of ZERUST® products and services by strategically targeting customers with specific corrosion issues in new market areas, including the oil and gas industry and other industrial sectors that offer sizable growth opportunities. NTIC’s consol idated net sales during the three months ended November 30, 2010 included $517,140 of sales made by Zerust Brazil, and of those sales, $26,822 in sales were made to the oil and gas industry sector in Brazil. As previously disclosed, during the fourth quarter of fiscal 2010, Zerust Brazil received purchase orders for Flange Savers representing an aggregate of $1.4 million. Of those orders, Zerust Brazil recognized sales of $518,000 during the fourth quarter of fiscal 2010 and $26,822 during the first quarter of fiscal 2011. NTIC still anticipates invoicing Petrobras for the remaining amount of these orders during fiscal 2011 as Petrobras rolls this product out to more of its platforms, with a much more significant portion of the orders expected to be recognized as sales during the second quarter of fiscal 2011 than during the first quarter of fiscal 2011.</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months ended November 30, 2010, $223,013, or 5.4% of NTIC’s consolidated net sales were derived from sales of Natur-Tec® products compared to 3.1% during the three months ended November 30, 2009. Net sales of Natur-Tec® products increased 166.0% during the three months ended November 30, 2010 compared to the three months ended November 30, 2009. This increase was primarily due to the addition of new Natur-Tec® distributors on the West Coast of the United States. NTIC is continuing to strengthen and expand its West Coast distribution network in California, while expanding its industrial distribution reach to geographical “green” hotspots such as Oregon, Washington, Minnesota and New England. Additionally, NTIC is targeting key national and regional retailers utilizing independent sales agents. Demand for the Natur-Tec® products d epends primarily on the market acceptance and the extent of NTIC’s distribution network.</w:t>
      </w:r>
    </w:p>
    <w:p>
      <w:pPr>
        <w:spacing w:after="0" w:line="18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Cost of goods sold as a percentage of net sales increased slightly to 65.7% for the three months ended November 30, 2010 compared to 64.8% for the three months ended November 30, 2009 primarily as a result of slightly reduced margins resulting from a slight increase in raw material prices.</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NTIC’s equity in income of joint ventures increased 140.1% to $1,695,131 during the three months ended November 30, 2010 compared to $705,899 during the three months ended November 30, 2009. NTIC recognized a 26.0% increase in fees for services provided to joint ventures during the three months ended November 30, 2010 compared to the three months ended November 30, 2009. Both of these increases were primarily a result of a 39.1% increase in total net sales of NTIC’s joint ventures during the three months ended November 30, 2010 compared to the three months ended November 30, 2009. This increase in total net sales of NTIC’s joint ventures was primarily a result of the economic recovery, to some extent, of the international manufacturing sector that the NTIC joint venture network serves.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NTIC’s total operating expenses increased 48.5% during the three months ended November 30, 2010 compared to the three months ended November 30, 2009 primarily as a result of the consolidation of the general and administrative expenses of Zerust Brazil on NTIC’s consolidated financial statements of $205,000, the return of wages for all employees to pre-recession levels and fiscal 2011 raises, the expenses associated with the hiring of 15 employees since November 30, 2009 and the increase in accrual of the management bonus expense of $200,000.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expenses all costs related to product research and development as incurred. NTIC incurred $1,193,456 and $611,656 of expense during the three months ended November 30, 2010 and 2009, respectively, in connection with its research and development activities. These costs related to product research and development and represent the net amount after being reduced by reimbursements related to the awarding of the multiple research and development contracts of $25,992 and $109,172 for the three months ended November 30, 2010 and 2009,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respectively. NTIC anticipates that it will spend between $3,500,000 and $4,000,000 in total during fiscal 2011 on research and development activities related to its core and new technologies. These amounts represent net amounts after being reduced by reimbursements related to the awarding of multiple research and development contracts.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Net income increased 105.4%, to $894,874, or $0.21 per diluted common share, for the three months ended November 30, 2010 compared to $435,705, or $0.10 per diluted common share, for the three months ended November 30, 2009. This increase was primarily the result of increased income from NTIC’s</w:t>
      </w:r>
    </w:p>
    <w:p>
      <w:pPr>
        <w:sectPr>
          <w:pgSz w:w="11900" w:h="16854" w:orient="portrait"/>
          <w:cols w:equalWidth="0" w:num="1">
            <w:col w:w="11420"/>
          </w:cols>
          <w:pgMar w:left="240" w:top="125"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corporate joint ventures and holding companies and gross profit partially offset by an increase in operating expenses.</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NTIC’s working capital was $8,248,855 at November 30, 2010, including $1,302,444 in cash and cash equivalents compared to $5,918,923 at August 31, 2010, including $1,776,162 in cash and cash equivalents. On January 10, 2011, NTIC refinanced its $1,275,000 original principal amount term loan and increased its line of credit with PNC Bank to $3,000,000.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NTIC does not consolidate the results of its joint ventures. 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2010 and November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9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November 30,</w:t>
            </w: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November 30,</w:t>
            </w: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3,446,303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2,182,244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1,264,059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652,138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529,158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122,980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2,690,705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1,757,496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933,209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1,695,131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705,899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989,232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1,451,780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1,151,930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299,850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999,053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596,769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402,284</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1,104,167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920,029</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184,138</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Expenses incurred in support of joint</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228,721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244,910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(16,189)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1,193,456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611,656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581,800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51.2% to $4,098,441 during the three months ended November 30, 2010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2009. NTIC’s consolidated net sales to unaffiliated customers excluding NTIC’s joint ventures increased 57.9% to $3,446,303, during the three months ended November 30, 2010 compared to the same prior year period. This increase was primarily a result of increased sales of ZERUST® rust and corrosion inhibiting packaging products and services and sales to NTIC’s joint ventures and the consolidation of Zerust Brazil on NTIC’s consolidated financial statements. Net sales to joint ventures increased 23.2% to $652,138 during the three months ended November 30, 2010 compared to the three months ended November 30, 2009. This increase was due to an increase in demand primarily as a result of the economic recovery of the international manufacturing sector.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additional detail regarding NTIC’s net sales by product category for the three months ended November 30, 2010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5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November 30,</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November 30,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3,875,428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1,247,873</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Natur-Tec® net sales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139,166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4,098,441</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2,711,402</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1,387,040</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2010, 94.6% of NTIC’s consolidated net sales were derived from sales of ZERUST® products and services,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increased 47.5% to $3,875,428 during the three months ended November 30, 2010 compared to $2,627,555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30, 2009 due to increased demand primarily as a result of the economic recovery of the domestic manufacturing sector, the addition of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customers and the consolidation of Zerust Brazil. NTIC has focused its sales efforts of ZERUST® products and services by strategically targeting customers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specific corrosion issues in new market areas, including the oil and gas industry and other industrial sectors that offer sizable growth opportunities.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during the three months ended November 30, 2010 included $517,140 of sales made by Zerust Brazil, and of those s 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$26,822 in sales were made to the oil and gas industry sector in Brazil. Overall demand for ZERUST® products and services depends heavily on the overall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health of the markets in which it sells its products, including in particular the automotive market.</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months ended November 30, 2010, $223,013, or 5.4% of NTIC’s consolidated net sales were derived from sales of Natur-Tec® products compared to 3.1% during the three months ended November 30, 2009. Net sales of Natur-Tec® products increased 166.0% during the three months ended November 30, 2010 compared to the three months ended November 30, 2009. This increase was primarily due to the addition of new Natur-Tec® distributors on the West Coast of the United States. NTIC is continuing to strengthen and expand its West Coast distribution network in California, while expanding its industrial distribution reach to geographical “green” hotspots such as Oregon, Washington, Minnesota and New England. Additionally, NTIC is targeting key national and regional retailers utilizing independent sales agents. Demand for the Natur-Tec® prod ucts depends primarily on the market acceptance and the extent of NTIC’s distribution network.</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53.1% for the three months ended November 30, 2010,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primarily as a result of increased net sales as described above. Cost of goods sold as a percentage of net sales increased slightly to 65.7% for the three months ended November 30, 2010 compared to 64.8% for the three months ended November 30, 2009 primarily as a result of slightly reduced margins resulting from a slight increase in raw material prices.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 had equity in income of joint ventures of $1,695,131 during the three months ended November 30, 2010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equity in income of joint ventures of $705,899 during the three months ended November 30, 2009. The increase in equity in income was due to increased</w:t>
      </w:r>
    </w:p>
    <w:p>
      <w:pPr>
        <w:sectPr>
          <w:pgSz w:w="11900" w:h="16838" w:orient="portrait"/>
          <w:cols w:equalWidth="0" w:num="1">
            <w:col w:w="11420"/>
          </w:cols>
          <w:pgMar w:left="240" w:top="125" w:right="239" w:bottom="0" w:gutter="0" w:footer="0" w:header="0"/>
        </w:sectPr>
      </w:pPr>
    </w:p>
    <w:bookmarkStart w:id="14" w:name="page15"/>
    <w:bookmarkEnd w:id="14"/>
    <w:p>
      <w:pPr>
        <w:ind w:right="60"/>
        <w:spacing w:after="0" w:line="293" w:lineRule="auto"/>
        <w:rPr>
          <w:sz w:val="20"/>
          <w:szCs w:val="20"/>
          <w:color w:val="auto"/>
        </w:rPr>
      </w:pPr>
      <w:r>
        <w:rPr>
          <w:rFonts w:ascii="Arial" w:cs="Arial" w:eastAsia="Arial" w:hAnsi="Arial"/>
          <w:sz w:val="16"/>
          <w:szCs w:val="16"/>
          <w:color w:val="auto"/>
        </w:rPr>
        <w:t>profitability of NTIC’s joint ventures primarily resulting from increased sales. Of the total equity in income of joint ventures, NTIC had equity in income of joint ventures of $938,227 attributable to its joint venture in Germany during the three months ended November 30, 2010 compared to $364,385 attributable to its joint venture in Germany during the three months ended November 30, 2009. Of the total equity in income of joint ventures, NTIC had equity in income of joint ventures of $320,607 attributable to i ts ASEAN joint venture holding company during the three months ended November 30, 2010 compared to $245,214 attributable to its ASEAN joint venture holding company during the three months ended November 30, 2009. NTIC had equity in income of all other joint ventures of $436,297 during the three months ended November 30, 2010 compared to $96,300 during the three months ended November 30, 2009.</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Fees for Services Provided to Joint Ventures. </w:t>
      </w:r>
      <w:r>
        <w:rPr>
          <w:rFonts w:ascii="Arial" w:cs="Arial" w:eastAsia="Arial" w:hAnsi="Arial"/>
          <w:sz w:val="18"/>
          <w:szCs w:val="18"/>
          <w:color w:val="auto"/>
        </w:rPr>
        <w:t>NTIC recognized fee income for services provided to joint ventures of $1,415,780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2010 compared to $1,151,930 during the three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ended November 30, 2009, representing an increase of 26.0%. The increase in fees for services provided to joint ventures was due primarily to the increase in net sales of NTIC’s joint ventures to $27,101,587 in the three months ended November 30, 2010, compared to $19,480,538 in the three months ended November 30, 2009, representing an increase of 39.1%. Sales of NTIC’s joint ventures are not included in NTIC’s product sales and are not combined with NTIC’s sales in NTIC’s consolidated financial statements or in any description of NTIC’s sales.</w:t>
      </w:r>
    </w:p>
    <w:p>
      <w:pPr>
        <w:spacing w:after="0" w:line="18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Of the total fee income for services provided to its joint ventures, fees of $257,276 were attributable to NTIC’s joint venture in Germany during the three months ended November 30, 2010 compared to $269,500 attributable to its joint venture in Germany during the three months ended November 30, 2009. This slight decrease was the result of foreign currency exchange rate fluctuations. NTIC does not receive fees attributable to its ASEAN joint venture holding company. NTIC receives dividend payments based on fees paid from the joint ventures that comprise the ASEAN investments.</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the summer of 2012. There was no additional deferred income recorded within other accrued liabilities during the three months ended November 30, 2010 related to this future conference since $288,000 had been accrued over the past three fiscal years, which represents the amount that NTIC expects to spend every three years to hold the conference. This amount is based on the historical experience of NTIC, current conditions and the intention 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r>
        <w:rPr>
          <w:rFonts w:ascii="Arial" w:cs="Arial" w:eastAsia="Arial" w:hAnsi="Arial"/>
          <w:sz w:val="16"/>
          <w:szCs w:val="16"/>
          <w:b w:val="1"/>
          <w:bCs w:val="1"/>
          <w:color w:val="auto"/>
        </w:rPr>
        <w:t>.</w:t>
      </w:r>
    </w:p>
    <w:p>
      <w:pPr>
        <w:spacing w:after="0" w:line="166"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67.4% for the three months ended November 30, 2010 compared to the same period in fiscal 2009 due</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increases in (i) compensation and employee benefits of $130,000; (ii) lab testing related expenses of $10,000; (iii) commissions and retainer expenses of $54,000; (iv) travel and related expenses of $32,000; (v) consulting expenses of $14,000 and (vi) selling expenses incurred at Zerust Brazil of $105,000.</w:t>
      </w:r>
    </w:p>
    <w:p>
      <w:pPr>
        <w:ind w:right="360"/>
        <w:spacing w:after="0" w:line="261" w:lineRule="auto"/>
        <w:rPr>
          <w:sz w:val="20"/>
          <w:szCs w:val="20"/>
          <w:color w:val="auto"/>
        </w:rPr>
      </w:pPr>
      <w:r>
        <w:rPr>
          <w:rFonts w:ascii="Arial" w:cs="Arial" w:eastAsia="Arial" w:hAnsi="Arial"/>
          <w:sz w:val="18"/>
          <w:szCs w:val="18"/>
          <w:color w:val="auto"/>
        </w:rPr>
        <w:t>Selling expenses as a percentage of net sales increased to 24.4% during the three months ended November 30, 2010, from 22.0% during the three months ended November 30, 2009, due to the increase in selling expenses, partially offset by the increase in net sales.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20.0% for the three months ended November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fiscal 2009 due to increases in (i) auditing and tax expense of $36,000; (ii) compensation and related benefits of $62,000 and</w:t>
      </w:r>
    </w:p>
    <w:p>
      <w:pPr>
        <w:ind w:right="300" w:firstLine="8"/>
        <w:spacing w:after="0" w:line="277" w:lineRule="auto"/>
        <w:tabs>
          <w:tab w:leader="none" w:pos="3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and administrative expenses incurred at Zerust Brazil of $100,000, partially offset by decreases in consulting expenses of $18,000. As a percentage of net sales, general and administrative expenses decreased to 27.0% for the three months ended November 30, 2010, from 33.9% for the three months ended November 30 2009, primarily as a result of fixed general and administrative expenses spread over increased net sales.</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$228,721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2010 compared to $244,910 during the three months ended November 30, 2009, representing a decrease of 6.6%. The decrease was due to decreases in legal expenses of $10,000.</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NTIC’s research and development expenses increased 95.1% for the three months ended November 30, 2010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2009 due to increases in (i) salary and benefits of $130,000; (ii) lab testing related expenses of $220,000; (iii) consulting expenses of $45,000 and (iv) travel expenses of $30,000.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$3,933 during the three months ended November 30, 2010 compared to $1,496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2009 primarily due to increased cash balances earning interest during the most recent period.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$23,234 during the three months ended November 30, 2010 compared to $25,987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2009 primarily due to lower average outstanding debt levels during the most recent period.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increased to $1,016,874 for the three months ended November 30, 2010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$420,705 for the three months ended November 30, 2009.</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was $122,000 during the three months ended November 30, 2010 compared to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$(15,000) during the three months ended November 30, 2009. Income tax expense was calculated based on management’s estimate of NTIC’s annual effective income tax rate. NTIC’s annual effective income tax rate during the three months ended November 30, 2010 and 2009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determ ined based on all available evidence, including historical data and projections of future results, that it is more likely than not that all of its deferred tax assets, except for its foreign tax credit carryforward and Minnesota state research and development credit carryforwards, will be fully realized and that NTIC’s deferred tax asset related to foreign tax credit carryforwards will not be realized due to insufficient federal taxable income</w:t>
      </w:r>
    </w:p>
    <w:p>
      <w:pPr>
        <w:sectPr>
          <w:pgSz w:w="11900" w:h="16838" w:orient="portrait"/>
          <w:cols w:equalWidth="0" w:num="1">
            <w:col w:w="11420"/>
          </w:cols>
          <w:pgMar w:left="240" w:top="125" w:right="239" w:bottom="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within the carryforward period and the fact that for ordering purposes the foreign tax credit carryforwards are not allowed to be used until after any current year foreign tax credits are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November 30, 2010, NTIC’s working capital was $8,248,855, including $1,302,444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$5,918,923, including $1,776,162 in cash and cash equivalents, as of August 31, 2010.</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November 30, 2010, NTIC had a $2,300,000 demand line of credit with PNC Bank, National Association (“PNC Bank”) with no amounts outstanding as of November 30, 2010. Advances made under the demand line of credit were made at the sole discretion of PNC Bank and were due and payable on demand. Outstanding amounts under the demand line of credit bore interest at an annual rate based on LIBOR plus 2.25%. As of November 30, 2010, the interest rate was 2.59%.</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2006, NTIC purchased the real estate and 40,000 square feet building in which NTIC’s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was to mature on May 1, 2011, bore interest at a fixed rate of 8.01% and was payable in 59 monthly installments equal to approximately $10,776 (inclusive of principal and interest) commencing June 1, 2006.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January 10, 2011, NTIC refinanced its $1,275,000 original principal amount term loan and increased its line of credit with PNC Bank to $3,000,000.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amended term loan is evidenced by an amended and restated term note (the “Term Note”) issued by Northern Technologies Holding Company, LLC, a wholly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subsidiary of NTIC (“NTI LLC”), to PNC Bank in the principal amount of approximately $1,141,788. The term loan matures on January 10,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bears interest at an annual rate based on the daily LIBOR rate plus 2.15% and is payable in 59 consecutive monthly installments equal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$6,343 (inclusive of principal but exclusive of interest) commencing in February 2011. All of the remaining unpaid principal and accrued interest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Note is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due and payable on the January 10, 2016 maturity date. The term loan is secured by a first lien on the real estate and building owned by NTI LLC and all of the assets of NTIC pursuant to a security agreement between NTIC and PNC Bank and is guaranteed by NTIC pursuant to an amended and restated guaranty agreement by NTIC in favor of PNC Bank.</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increased line of credit is evidenced by an amended and restated committed line of credit note in the principal amount of up to $3,000,000 (the “Line of Credit Note”).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Advances made under the line of credit are due and payable on January 10, 2012.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 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17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Both the term loan and the line of credit are governed under two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8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the fixed charge coverage ratio financial covenant, NTIC shall not, as of the last calendar day of any fiscal quarter, on a rolling four quarters basis, suffer or permit the ratio of its adjusted EBITDA (defined as the aggregate of (a) its net income for that period, plus (b) its interest expense for that period, plus (c) its federal, state, and local income taxes, if any, for that period, plus (d) its depreciation and amortization charges for that period, plus (e) other non-recurring non-cash expenses reducing net income, minus (f) non-recurring non-cash items increasing net income, plus (g) increases to paid-in capital on stockholders’ equity, minus (h) decreases to paid-in capital on stockholder’s equity) to the aggregate (without duplication) of (i) its interest expense for that period, plus (ii) capital expenditures paid for from NTIC’s funds other than funds borrowed as term debt to finance such capital expenditures during that period, plus (iii) all dividends and distributions paid during that period, plus (iv) taxes paid in cash plus, plus (v) payments made under all capital leases, plus</w:t>
      </w:r>
    </w:p>
    <w:p>
      <w:pPr>
        <w:spacing w:after="0" w:line="3" w:lineRule="exact"/>
        <w:rPr>
          <w:sz w:val="20"/>
          <w:szCs w:val="20"/>
          <w:color w:val="auto"/>
        </w:rPr>
      </w:pPr>
    </w:p>
    <w:p>
      <w:pPr>
        <w:ind w:right="60" w:firstLine="8"/>
        <w:spacing w:after="0" w:line="252"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amount equal to the aggregate of all scheduled payments of principal on all indebtedness for borrowed money having an original term of more than one year, as shown on NTIC’s financial statements as current liabilities as of one year prior to the date of determination to be less than 1.10:1.00. The fixed charge coverage ratio is to be computed and determined on a consolidated basis for NTIC and its subsidiaries in accordance with generally accepted accounting principles applied on a consistent basis (subject to normal year-end adjustments). The Loan Agreements also contain customary events of default, including, without limitation, payment defaults, material inaccuracy of representations and warranties, covenant def aults, bankruptcy and involuntary proceedings, and monetary judgment defaults.</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2011,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demand line of credit or raising additional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bookmarkStart w:id="16" w:name="page17"/>
    <w:bookmarkEnd w:id="16"/>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NTIC traditionally has used the cash generated from its North American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three months ended November 30, 2010 was $1,992,801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and increases in trade receivables, inventories and prepaid expenses and decreases in accounts payables and accrued liabilities, partially offset by NTIC’s net income and decrease in trade receivables. Net cash provided by operating activities during the three months ended November 30, 2009 was $128,563, which resulted principally from net income, a decrease in receivables from fees for services provided to joint ventures and increases in accounts payable and accrued liabilities, partially offset by equity in income from joint ventures and increases in trade receivables and prepaid expenses.</w:t>
      </w:r>
    </w:p>
    <w:p>
      <w:pPr>
        <w:spacing w:after="0" w:line="19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is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experienced an increase in inventory as of November 30, 2010 compared to August 31, 2009 due to the increase in net sales during the most recent period and requests from customers to stock more products to shorten lead times and meet customer demand. Trade receivables excluding joint ventures as of November 30, 2010 decreased $363,755 compared to August 31, 2010, primarily related to an increase in collection efforts. Outstanding trade receivables excluding joint ventures balances as of November 30, 2010 increased 7 days to an average of 47 days from balances outstanding from these customers as of August 31, 2010. Outstanding trade receivables from joint ventures as of November 30, 2010 increased $277,933 compared to August 31, 2010, primarily due to the corresponding increase in net sales, which also resulted in an decrease of outstanding balances from t rade receivables from joint ventures as of November 30, 2010 of 30 days to an average of 208 days from balances outstanding from these customers as of August 31, 2010. The significant average days outstanding of trade receivables from joint ventures as of November 30, 2010 were primarily due to the current receivable balance at NTIC’s joint venture in India. NTIC has made separate arrangements for payments on product that NTIC’s joint venture in India has purchased from NTIC until the product is sold. Outstanding fees for services provided to joint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ventures as of November 30, 2010 increased $404,938 as compared to August 31, 2010, primarily resulting from increased joint venture sales. These higher fees for the three months ended November 30, 2010 compared to the three months ended November 30, 2009 resulted in an increase of 11 days of fees receivable outstanding as of November 30, 2010 to an average of 107 days as compared to August 31, 2010.</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2010 was $1,244,875 which was comprised of dividends received from joint ventures partially offset by investments in joint ventures, patents and additions to property and equipment. Net cash used in investing activities for the three months ended November 30, 2009 was $61,497 which due to investments in patents and additions to property and equipment, partially offset by dividends received from joint ventures.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provided by financing activities for the three months ended November 30, 2010 was $269,867, which resulted from proceeds from option exercises and common stock issued as management bonus, partially offset by principal payments on the bank loan for NTIC’s corporate headquarters buildings. Net cash provided by financing activities for the three months ended November 30, 2009 was $2,136,047, which resulted primarily from the issuance of common stock and, to a lesser extent, proceeds from option exercises, partially offset by repayments to the demand line of credit and principal payments on the bank loan for NTIC’s corporate headquarters buildings.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Capital Expenditures and Commitments</w:t>
      </w:r>
      <w:r>
        <w:rPr>
          <w:rFonts w:ascii="Arial" w:cs="Arial" w:eastAsia="Arial" w:hAnsi="Arial"/>
          <w:sz w:val="17"/>
          <w:szCs w:val="17"/>
          <w:color w:val="auto"/>
        </w:rPr>
        <w:t>. NTIC had no material lease or other material capital commitments as of November 30, 2010, except a lease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entered into by NTI Facilities, Inc., a subsidiary of NTIC, for approximately 16,994 square feet of office, manufacturing, laboratory and warehouse space in Beachwood, Ohio, requiring monthly payments of $17,500, which are adjusted annually according to the annual consumer price index, through November 2014. In November 2010, NTI Facilities, Inc. entered into a limited liability company membership interests purchase agreement pursuant to which NTI Facilities, Inc., subject to certain terms and conditions, agreed to sell its membership interest in Omni-Northern Ltd. for $100,000. It is anticipated that the closing of this transaction will take place by the end of January 2011 and will result in approximately a $90,000 gain on sale, which would positively affect NTIC’s second quarter of fiscal 2011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w:t>
      </w:r>
    </w:p>
    <w:p>
      <w:pPr>
        <w:sectPr>
          <w:pgSz w:w="11900" w:h="16840" w:orient="portrait"/>
          <w:cols w:equalWidth="0" w:num="1">
            <w:col w:w="11420"/>
          </w:cols>
          <w:pgMar w:left="240" w:top="341"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exposed to any financing, liquidity, market or credit risk that could arise if NTIC had engaged in such arrangements.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 In November 2010, NTI Facilities, Inc. entered into a limited liability company membership interests purchase agreement pursuant to which NTI Facilities, Inc., subject to certain terms and conditions, agreed to sell its membership interest in Omni-Northern Ltd. for $100,000. It is anticipated that the closing of this transaction will take place by the end of January 2011 and will result in approximately a $90,000 gain on sale, which would positively affect NTIC’s second quarter of fiscal 2011 earnings.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 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NTIC’s demand line of credit bears interest at a rate based on LIBOR and thus may subject NTIC to some market risk on interest rates. As of November 30, 2010, NTIC had no borrowings under its $2,300,000 line of credit. As discussed earlier, NTIC recently increased its line of credit to $3,000,000.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 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 ading “Management’s Discussion and Analysis of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ectPr>
          <w:pgSz w:w="11900" w:h="16838" w:orient="portrait"/>
          <w:cols w:equalWidth="0" w:num="1">
            <w:col w:w="11400"/>
          </w:cols>
          <w:pgMar w:left="240" w:top="125" w:right="259" w:bottom="0" w:gutter="0" w:footer="0" w:header="0"/>
        </w:sectPr>
      </w:pPr>
    </w:p>
    <w:bookmarkStart w:id="18" w:name="page19"/>
    <w:bookmarkEnd w:id="18"/>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2010 under the heading “Part I. Item 1A. Risk Factors.”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 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 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ectPr>
          <w:pgSz w:w="11900" w:h="16838" w:orient="portrait"/>
          <w:cols w:equalWidth="0" w:num="1">
            <w:col w:w="11420"/>
          </w:cols>
          <w:pgMar w:left="240" w:top="125" w:right="239" w:bottom="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2010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months ended November 30, 2010,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2010, NTIC did not purchase any shares of its common stock or other equity securities of NTIC.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4"/>
                <w:szCs w:val="14"/>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40" w:type="dxa"/>
            <w:vAlign w:val="bottom"/>
          </w:tcPr>
          <w:p>
            <w:pPr>
              <w:spacing w:after="0"/>
              <w:rPr>
                <w:sz w:val="19"/>
                <w:szCs w:val="19"/>
                <w:color w:val="auto"/>
              </w:rPr>
            </w:pPr>
          </w:p>
        </w:tc>
      </w:tr>
      <w:tr>
        <w:trPr>
          <w:trHeight w:val="418"/>
        </w:trPr>
        <w:tc>
          <w:tcPr>
            <w:tcW w:w="1060" w:type="dxa"/>
            <w:vAlign w:val="bottom"/>
            <w:gridSpan w:val="2"/>
          </w:tcPr>
          <w:p>
            <w:pPr>
              <w:jc w:val="right"/>
              <w:ind w:right="270"/>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40" w:type="dxa"/>
            <w:vAlign w:val="bottom"/>
          </w:tcPr>
          <w:p>
            <w:pPr>
              <w:spacing w:after="0"/>
              <w:rPr>
                <w:sz w:val="24"/>
                <w:szCs w:val="24"/>
                <w:color w:val="auto"/>
              </w:rPr>
            </w:pPr>
          </w:p>
        </w:tc>
      </w:tr>
      <w:tr>
        <w:trPr>
          <w:trHeight w:val="418"/>
        </w:trPr>
        <w:tc>
          <w:tcPr>
            <w:tcW w:w="1060" w:type="dxa"/>
            <w:vAlign w:val="bottom"/>
            <w:gridSpan w:val="2"/>
          </w:tcPr>
          <w:p>
            <w:pPr>
              <w:jc w:val="right"/>
              <w:ind w:right="270"/>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20"/>
                <w:szCs w:val="20"/>
                <w:color w:val="auto"/>
              </w:rPr>
            </w:pPr>
          </w:p>
        </w:tc>
      </w:tr>
      <w:tr>
        <w:trPr>
          <w:trHeight w:val="418"/>
        </w:trPr>
        <w:tc>
          <w:tcPr>
            <w:tcW w:w="1060" w:type="dxa"/>
            <w:vAlign w:val="bottom"/>
            <w:gridSpan w:val="2"/>
          </w:tcPr>
          <w:p>
            <w:pPr>
              <w:jc w:val="right"/>
              <w:ind w:right="270"/>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gridSpan w:val="2"/>
          </w:tcPr>
          <w:p>
            <w:pPr>
              <w:ind w:left="32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2"/>
          </w:tcPr>
          <w:p>
            <w:pPr>
              <w:ind w:left="45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105"/>
        </w:trPr>
        <w:tc>
          <w:tcPr>
            <w:tcW w:w="20" w:type="dxa"/>
            <w:vAlign w:val="bottom"/>
            <w:tcBorders>
              <w:bottom w:val="single" w:sz="8" w:color="010101"/>
            </w:tcBorders>
          </w:tcPr>
          <w:p>
            <w:pPr>
              <w:spacing w:after="0"/>
              <w:rPr>
                <w:sz w:val="9"/>
                <w:szCs w:val="9"/>
                <w:color w:val="auto"/>
              </w:rPr>
            </w:pPr>
          </w:p>
        </w:tc>
        <w:tc>
          <w:tcPr>
            <w:tcW w:w="104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004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7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11460"/>
          </w:cols>
          <w:pgMar w:left="240" w:top="125" w:right="199" w:bottom="153"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191895" cy="582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918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gridSpan w:val="5"/>
          </w:tcPr>
          <w:p>
            <w:pPr>
              <w:spacing w:after="0"/>
              <w:rPr>
                <w:sz w:val="20"/>
                <w:szCs w:val="20"/>
                <w:color w:val="auto"/>
              </w:rPr>
            </w:pPr>
            <w:r>
              <w:rPr>
                <w:rFonts w:ascii="Arial" w:cs="Arial" w:eastAsia="Arial" w:hAnsi="Arial"/>
                <w:sz w:val="18"/>
                <w:szCs w:val="18"/>
                <w:color w:val="auto"/>
              </w:rPr>
              <w:t>Date: January 12, 2011</w:t>
            </w:r>
          </w:p>
        </w:tc>
        <w:tc>
          <w:tcPr>
            <w:tcW w:w="3400" w:type="dxa"/>
            <w:vAlign w:val="bottom"/>
          </w:tcPr>
          <w:p>
            <w:pPr>
              <w:spacing w:after="0"/>
              <w:rPr>
                <w:sz w:val="18"/>
                <w:szCs w:val="18"/>
                <w:color w:val="auto"/>
              </w:rPr>
            </w:pPr>
          </w:p>
        </w:tc>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C. Wolsfeld, CPA</w:t>
            </w:r>
          </w:p>
        </w:tc>
        <w:tc>
          <w:tcPr>
            <w:tcW w:w="1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5"/>
              </w:rPr>
              <w:t>(Principal Financial and Accounting Officer and Duly Authorized to Sign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Behalf of the Registrant)</w:t>
            </w: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gridSpan w:val="2"/>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1040" w:type="dxa"/>
            <w:vAlign w:val="bottom"/>
            <w:tcBorders>
              <w:bottom w:val="single" w:sz="8" w:color="010101"/>
            </w:tcBorders>
          </w:tcPr>
          <w:p>
            <w:pPr>
              <w:spacing w:after="0"/>
              <w:rPr>
                <w:sz w:val="10"/>
                <w:szCs w:val="10"/>
                <w:color w:val="auto"/>
              </w:rPr>
            </w:pPr>
          </w:p>
        </w:tc>
        <w:tc>
          <w:tcPr>
            <w:tcW w:w="3400" w:type="dxa"/>
            <w:vAlign w:val="bottom"/>
            <w:tcBorders>
              <w:bottom w:val="single" w:sz="8" w:color="010101"/>
            </w:tcBorders>
          </w:tcPr>
          <w:p>
            <w:pPr>
              <w:spacing w:after="0"/>
              <w:rPr>
                <w:sz w:val="10"/>
                <w:szCs w:val="10"/>
                <w:color w:val="auto"/>
              </w:rPr>
            </w:pPr>
          </w:p>
        </w:tc>
        <w:tc>
          <w:tcPr>
            <w:tcW w:w="36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8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69"/>
        </w:trPr>
        <w:tc>
          <w:tcPr>
            <w:tcW w:w="23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QUARTERLY REPORT ON FORM 10-Q</w:t>
            </w: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EXHIBIT INDEX</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gridSpan w:val="3"/>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81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22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390"/>
              <w:spacing w:after="0"/>
              <w:rPr>
                <w:sz w:val="20"/>
                <w:szCs w:val="20"/>
                <w:color w:val="auto"/>
              </w:rPr>
            </w:pPr>
            <w:r>
              <w:rPr>
                <w:rFonts w:ascii="Arial" w:cs="Arial" w:eastAsia="Arial" w:hAnsi="Arial"/>
                <w:sz w:val="18"/>
                <w:szCs w:val="18"/>
                <w:color w:val="auto"/>
              </w:rPr>
              <w:t>31.2</w:t>
            </w:r>
          </w:p>
        </w:tc>
        <w:tc>
          <w:tcPr>
            <w:tcW w:w="8580" w:type="dxa"/>
            <w:vAlign w:val="bottom"/>
            <w:gridSpan w:val="6"/>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390"/>
              <w:spacing w:after="0"/>
              <w:rPr>
                <w:sz w:val="20"/>
                <w:szCs w:val="20"/>
                <w:color w:val="auto"/>
              </w:rPr>
            </w:pPr>
            <w:r>
              <w:rPr>
                <w:rFonts w:ascii="Arial" w:cs="Arial" w:eastAsia="Arial" w:hAnsi="Arial"/>
                <w:sz w:val="18"/>
                <w:szCs w:val="18"/>
                <w:color w:val="auto"/>
              </w:rPr>
              <w:t>32.1</w:t>
            </w:r>
          </w:p>
        </w:tc>
        <w:tc>
          <w:tcPr>
            <w:tcW w:w="8580" w:type="dxa"/>
            <w:vAlign w:val="bottom"/>
            <w:gridSpan w:val="6"/>
          </w:tcPr>
          <w:p>
            <w:pPr>
              <w:ind w:left="260"/>
              <w:spacing w:after="0"/>
              <w:rPr>
                <w:sz w:val="20"/>
                <w:szCs w:val="20"/>
                <w:color w:val="auto"/>
              </w:rPr>
            </w:pPr>
            <w:r>
              <w:rPr>
                <w:rFonts w:ascii="Arial" w:cs="Arial" w:eastAsia="Arial" w:hAnsi="Arial"/>
                <w:sz w:val="18"/>
                <w:szCs w:val="18"/>
                <w:color w:val="auto"/>
              </w:rPr>
              <w:t>Certification of Chief Executive Officer Pursuant to 18 U.S.C. Section 1350, as Adopted Pursuant to</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580" w:type="dxa"/>
            <w:vAlign w:val="bottom"/>
            <w:gridSpan w:val="6"/>
          </w:tcPr>
          <w:p>
            <w:pPr>
              <w:ind w:left="260"/>
              <w:spacing w:after="0"/>
              <w:rPr>
                <w:sz w:val="20"/>
                <w:szCs w:val="20"/>
                <w:color w:val="auto"/>
              </w:rPr>
            </w:pPr>
            <w:r>
              <w:rPr>
                <w:rFonts w:ascii="Arial" w:cs="Arial" w:eastAsia="Arial" w:hAnsi="Arial"/>
                <w:sz w:val="18"/>
                <w:szCs w:val="18"/>
                <w:color w:val="auto"/>
              </w:rPr>
              <w:t>Section 906 of the Sarbanes-Oxley Act of 2002</w:t>
            </w: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ind w:right="390"/>
              <w:spacing w:after="0"/>
              <w:rPr>
                <w:sz w:val="20"/>
                <w:szCs w:val="20"/>
                <w:color w:val="auto"/>
              </w:rPr>
            </w:pPr>
            <w:r>
              <w:rPr>
                <w:rFonts w:ascii="Arial" w:cs="Arial" w:eastAsia="Arial" w:hAnsi="Arial"/>
                <w:sz w:val="18"/>
                <w:szCs w:val="18"/>
                <w:color w:val="auto"/>
              </w:rPr>
              <w:t>32.2</w:t>
            </w:r>
          </w:p>
        </w:tc>
        <w:tc>
          <w:tcPr>
            <w:tcW w:w="8580" w:type="dxa"/>
            <w:vAlign w:val="bottom"/>
            <w:gridSpan w:val="6"/>
          </w:tcPr>
          <w:p>
            <w:pPr>
              <w:ind w:left="26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80" w:type="dxa"/>
            <w:vAlign w:val="bottom"/>
            <w:gridSpan w:val="6"/>
          </w:tcPr>
          <w:p>
            <w:pPr>
              <w:ind w:left="260"/>
              <w:spacing w:after="0"/>
              <w:rPr>
                <w:sz w:val="20"/>
                <w:szCs w:val="20"/>
                <w:color w:val="auto"/>
              </w:rPr>
            </w:pPr>
            <w:r>
              <w:rPr>
                <w:rFonts w:ascii="Arial" w:cs="Arial" w:eastAsia="Arial" w:hAnsi="Arial"/>
                <w:sz w:val="18"/>
                <w:szCs w:val="18"/>
                <w:color w:val="auto"/>
              </w:rPr>
              <w:t>of the Sarbanes-Oxley Act of 2002</w:t>
            </w: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010101"/>
            </w:tcBorders>
          </w:tcPr>
          <w:p>
            <w:pPr>
              <w:spacing w:after="0"/>
              <w:rPr>
                <w:sz w:val="10"/>
                <w:szCs w:val="10"/>
                <w:color w:val="auto"/>
              </w:rPr>
            </w:pPr>
          </w:p>
        </w:tc>
        <w:tc>
          <w:tcPr>
            <w:tcW w:w="9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1040" w:type="dxa"/>
            <w:vAlign w:val="bottom"/>
            <w:tcBorders>
              <w:bottom w:val="single" w:sz="8" w:color="010101"/>
            </w:tcBorders>
          </w:tcPr>
          <w:p>
            <w:pPr>
              <w:spacing w:after="0"/>
              <w:rPr>
                <w:sz w:val="10"/>
                <w:szCs w:val="10"/>
                <w:color w:val="auto"/>
              </w:rPr>
            </w:pPr>
          </w:p>
        </w:tc>
        <w:tc>
          <w:tcPr>
            <w:tcW w:w="3400" w:type="dxa"/>
            <w:vAlign w:val="bottom"/>
            <w:tcBorders>
              <w:bottom w:val="single" w:sz="8" w:color="010101"/>
            </w:tcBorders>
          </w:tcPr>
          <w:p>
            <w:pPr>
              <w:spacing w:after="0"/>
              <w:rPr>
                <w:sz w:val="10"/>
                <w:szCs w:val="10"/>
                <w:color w:val="auto"/>
              </w:rPr>
            </w:pPr>
          </w:p>
        </w:tc>
        <w:tc>
          <w:tcPr>
            <w:tcW w:w="36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8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-2559050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-2559050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80" w:hanging="512"/>
        <w:spacing w:after="0" w:line="308"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80"/>
        <w:spacing w:after="0" w:line="264" w:lineRule="auto"/>
        <w:tabs>
          <w:tab w:leader="none" w:pos="13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280"/>
        <w:spacing w:after="0" w:line="264" w:lineRule="auto"/>
        <w:tabs>
          <w:tab w:leader="none" w:pos="13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980" w:right="400"/>
        <w:spacing w:after="0" w:line="342" w:lineRule="auto"/>
        <w:tabs>
          <w:tab w:leader="none" w:pos="13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spacing w:after="0" w:line="264" w:lineRule="auto"/>
        <w:tabs>
          <w:tab w:leader="none" w:pos="13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40" w:hanging="512"/>
        <w:spacing w:after="0" w:line="308"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80" w:right="540"/>
        <w:spacing w:after="0" w:line="308" w:lineRule="auto"/>
        <w:tabs>
          <w:tab w:leader="none" w:pos="13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300"/>
        <w:spacing w:after="0" w:line="277" w:lineRule="auto"/>
        <w:tabs>
          <w:tab w:leader="none" w:pos="13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73228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2280" cy="21463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512"/>
        <w:spacing w:after="0" w:line="308" w:lineRule="auto"/>
        <w:tabs>
          <w:tab w:leader="none" w:pos="533"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 w:hanging="512"/>
        <w:spacing w:after="0" w:line="264" w:lineRule="auto"/>
        <w:tabs>
          <w:tab w:leader="none" w:pos="5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40" w:right="120" w:firstLine="2"/>
        <w:spacing w:after="0" w:line="264" w:lineRule="auto"/>
        <w:tabs>
          <w:tab w:leader="none" w:pos="1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40" w:right="320" w:firstLine="2"/>
        <w:spacing w:after="0" w:line="264" w:lineRule="auto"/>
        <w:tabs>
          <w:tab w:leader="none" w:pos="13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940" w:right="440" w:firstLine="2"/>
        <w:spacing w:after="0" w:line="342" w:lineRule="auto"/>
        <w:tabs>
          <w:tab w:leader="none" w:pos="13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40" w:right="300" w:firstLine="2"/>
        <w:spacing w:after="0" w:line="264" w:lineRule="auto"/>
        <w:tabs>
          <w:tab w:leader="none" w:pos="13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80" w:hanging="512"/>
        <w:spacing w:after="0" w:line="308" w:lineRule="auto"/>
        <w:tabs>
          <w:tab w:leader="none" w:pos="53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40" w:right="580" w:firstLine="2"/>
        <w:spacing w:after="0" w:line="308" w:lineRule="auto"/>
        <w:tabs>
          <w:tab w:leader="none" w:pos="13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40" w:right="340" w:firstLine="2"/>
        <w:spacing w:after="0" w:line="277" w:lineRule="auto"/>
        <w:tabs>
          <w:tab w:leader="none" w:pos="13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457960" cy="43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12 , 2011</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20"/>
                <w:szCs w:val="20"/>
                <w:color w:val="auto"/>
              </w:rPr>
            </w:pPr>
          </w:p>
        </w:tc>
      </w:tr>
      <w:tr>
        <w:trPr>
          <w:trHeight w:val="334"/>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2010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3627755"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755" cy="4286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2010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711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lowerRoman"/>
      <w:start w:val="6"/>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upperLetter"/>
      <w:start w:val="1"/>
    </w:lvl>
    <w:lvl w:ilvl="1">
      <w:lvlJc w:val="left"/>
      <w:lvlText w:val="(%2)"/>
      <w:numFmt w:val="decimal"/>
      <w:start w:val="1"/>
    </w:lvl>
  </w:abstractNum>
  <w:abstractNum w:abstractNumId="24">
    <w:nsid w:val="4353D0CD"/>
    <w:multiLevelType w:val="hybridMultilevel"/>
    <w:lvl w:ilvl="0">
      <w:lvlJc w:val="left"/>
      <w:lvlText w:val="%1."/>
      <w:numFmt w:val="upperLetter"/>
      <w:start w:val="7"/>
    </w:lvl>
    <w:lvl w:ilvl="1">
      <w:lvlJc w:val="left"/>
      <w:lvlText w:val="%2"/>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2019-12-10T10:24:20Z</dcterms:created>
  <dcterms:modified xsi:type="dcterms:W3CDTF">2019-12-10T10:24:20Z</dcterms:modified>
</cp:coreProperties>
</file>