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80" w:right="1980" w:hanging="3972"/>
        <w:spacing w:after="0" w:line="476" w:lineRule="auto"/>
        <w:tabs>
          <w:tab w:leader="none" w:pos="25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31, 2016</w:t>
      </w:r>
    </w:p>
    <w:p>
      <w:pPr>
        <w:spacing w:after="0" w:line="26" w:lineRule="exact"/>
        <w:rPr>
          <w:sz w:val="24"/>
          <w:szCs w:val="24"/>
          <w:color w:val="auto"/>
        </w:rPr>
      </w:pPr>
    </w:p>
    <w:p>
      <w:pPr>
        <w:ind w:left="2960" w:right="1960" w:hanging="2952"/>
        <w:spacing w:after="0" w:line="501" w:lineRule="auto"/>
        <w:tabs>
          <w:tab w:leader="none" w:pos="2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549" w:right="279" w:bottom="1440" w:gutter="0" w:footer="0" w:header="0"/>
        </w:sectPr>
      </w:pPr>
    </w:p>
    <w:p>
      <w:pPr>
        <w:spacing w:after="0" w:line="20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549" w:right="27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10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549" w:right="279" w:bottom="1440" w:gutter="0" w:footer="0" w:header="0"/>
          <w:type w:val="continuous"/>
        </w:sectPr>
      </w:pP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(Do not check if a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8" w:lineRule="exact"/>
        <w:rPr>
          <w:sz w:val="24"/>
          <w:szCs w:val="24"/>
          <w:color w:val="auto"/>
        </w:rPr>
      </w:pPr>
    </w:p>
    <w:p>
      <w:pPr>
        <w:sectPr>
          <w:pgSz w:w="11900" w:h="16838" w:orient="portrait"/>
          <w:cols w:equalWidth="0" w:num="2">
            <w:col w:w="7060" w:space="720"/>
            <w:col w:w="3600"/>
          </w:cols>
          <w:pgMar w:left="240" w:top="549" w:right="279" w:bottom="1440" w:gutter="0" w:footer="0" w:header="0"/>
          <w:type w:val="continuous"/>
        </w:sect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8, 2016, there were 4,537,116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type w:val="continuous"/>
        </w:sectPr>
      </w:pPr>
    </w:p>
    <w:bookmarkStart w:id="1" w:name="page2"/>
    <w:bookmarkEnd w:id="1"/>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May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80" w:type="dxa"/>
            <w:vAlign w:val="bottom"/>
            <w:gridSpan w:val="9"/>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20" w:type="dxa"/>
            <w:vAlign w:val="bottom"/>
          </w:tcPr>
          <w:p>
            <w:pPr>
              <w:spacing w:after="0"/>
              <w:rPr>
                <w:sz w:val="24"/>
                <w:szCs w:val="24"/>
                <w:color w:val="auto"/>
              </w:rPr>
            </w:pPr>
          </w:p>
        </w:tc>
      </w:tr>
      <w:tr>
        <w:trPr>
          <w:trHeight w:val="412"/>
        </w:trPr>
        <w:tc>
          <w:tcPr>
            <w:tcW w:w="640" w:type="dxa"/>
            <w:vAlign w:val="bottom"/>
            <w:gridSpan w:val="3"/>
          </w:tcPr>
          <w:p>
            <w:pPr>
              <w:spacing w:after="0"/>
              <w:rPr>
                <w:rFonts w:ascii="Times New Roman" w:cs="Times New Roman" w:eastAsia="Times New Roman" w:hAnsi="Times New Roman"/>
                <w:sz w:val="18"/>
                <w:szCs w:val="18"/>
                <w:b w:val="1"/>
                <w:bCs w:val="1"/>
                <w:color w:val="0000EE"/>
                <w:w w:val="92"/>
              </w:rPr>
            </w:pPr>
            <w:hyperlink w:anchor="page4">
              <w:r>
                <w:rPr>
                  <w:rFonts w:ascii="Times New Roman" w:cs="Times New Roman" w:eastAsia="Times New Roman" w:hAnsi="Times New Roman"/>
                  <w:sz w:val="18"/>
                  <w:szCs w:val="18"/>
                  <w:b w:val="1"/>
                  <w:bCs w:val="1"/>
                  <w:color w:val="0000EE"/>
                  <w:w w:val="92"/>
                </w:rPr>
                <w:t>PART I.</w:t>
              </w:r>
            </w:hyperlink>
          </w:p>
        </w:tc>
        <w:tc>
          <w:tcPr>
            <w:tcW w:w="620" w:type="dxa"/>
            <w:vAlign w:val="bottom"/>
            <w:gridSpan w:val="2"/>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INFORMATION</w:t>
              </w:r>
            </w:hyperlink>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120" w:type="dxa"/>
            <w:vAlign w:val="bottom"/>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May 31, 2016 (unaudited) and August 31, 2015</w:t>
              </w:r>
            </w:hyperlink>
          </w:p>
        </w:tc>
        <w:tc>
          <w:tcPr>
            <w:tcW w:w="1800" w:type="dxa"/>
            <w:vAlign w:val="bottom"/>
            <w:gridSpan w:val="6"/>
          </w:tcPr>
          <w:p>
            <w:pPr>
              <w:jc w:val="center"/>
              <w:ind w:left="161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(unaudited) for the Three and Nine Months</w:t>
              </w:r>
            </w:hyperlink>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00" w:type="dxa"/>
            <w:vAlign w:val="bottom"/>
            <w:gridSpan w:val="24"/>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May 31, 2016 and 2015</w:t>
              </w:r>
            </w:hyperlink>
          </w:p>
        </w:tc>
        <w:tc>
          <w:tcPr>
            <w:tcW w:w="1800" w:type="dxa"/>
            <w:vAlign w:val="bottom"/>
            <w:gridSpan w:val="6"/>
          </w:tcPr>
          <w:p>
            <w:pPr>
              <w:jc w:val="center"/>
              <w:ind w:left="161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Comprehensive Income (unaudited) for the Three and</w:t>
              </w:r>
            </w:hyperlink>
          </w:p>
        </w:tc>
        <w:tc>
          <w:tcPr>
            <w:tcW w:w="154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Nine Months Ended May 31, 2016 and 2015</w:t>
              </w:r>
            </w:hyperlink>
          </w:p>
        </w:tc>
        <w:tc>
          <w:tcPr>
            <w:tcW w:w="4280" w:type="dxa"/>
            <w:vAlign w:val="bottom"/>
            <w:gridSpan w:val="9"/>
          </w:tcPr>
          <w:p>
            <w:pPr>
              <w:spacing w:after="0"/>
              <w:rPr>
                <w:sz w:val="17"/>
                <w:szCs w:val="17"/>
                <w:color w:val="auto"/>
              </w:rPr>
            </w:pPr>
          </w:p>
        </w:tc>
        <w:tc>
          <w:tcPr>
            <w:tcW w:w="1700" w:type="dxa"/>
            <w:vAlign w:val="bottom"/>
            <w:gridSpan w:val="5"/>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 (unaudited) for the Nine Months Ended</w:t>
              </w:r>
            </w:hyperlink>
          </w:p>
        </w:tc>
        <w:tc>
          <w:tcPr>
            <w:tcW w:w="170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May 31, 2016 and 2015</w:t>
              </w:r>
            </w:hyperlink>
          </w:p>
        </w:tc>
        <w:tc>
          <w:tcPr>
            <w:tcW w:w="5780" w:type="dxa"/>
            <w:vAlign w:val="bottom"/>
            <w:gridSpan w:val="15"/>
          </w:tcPr>
          <w:p>
            <w:pPr>
              <w:spacing w:after="0"/>
              <w:rPr>
                <w:sz w:val="17"/>
                <w:szCs w:val="17"/>
                <w:color w:val="auto"/>
              </w:rPr>
            </w:pPr>
          </w:p>
        </w:tc>
        <w:tc>
          <w:tcPr>
            <w:tcW w:w="1700" w:type="dxa"/>
            <w:vAlign w:val="bottom"/>
            <w:gridSpan w:val="5"/>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 (unaudited)</w:t>
              </w:r>
            </w:hyperlink>
          </w:p>
        </w:tc>
        <w:tc>
          <w:tcPr>
            <w:tcW w:w="1960" w:type="dxa"/>
            <w:vAlign w:val="bottom"/>
            <w:gridSpan w:val="8"/>
          </w:tcPr>
          <w:p>
            <w:pPr>
              <w:jc w:val="center"/>
              <w:ind w:left="145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7-17</w:t>
              </w:r>
            </w:hyperlink>
          </w:p>
        </w:tc>
        <w:tc>
          <w:tcPr>
            <w:tcW w:w="2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2.</w:t>
              </w:r>
            </w:hyperlink>
          </w:p>
        </w:tc>
        <w:tc>
          <w:tcPr>
            <w:tcW w:w="740" w:type="dxa"/>
            <w:vAlign w:val="bottom"/>
            <w:gridSpan w:val="4"/>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w:t>
              </w:r>
            </w:hyperlink>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00" w:type="dxa"/>
            <w:vAlign w:val="bottom"/>
            <w:gridSpan w:val="24"/>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of Operations</w:t>
              </w:r>
            </w:hyperlink>
          </w:p>
        </w:tc>
        <w:tc>
          <w:tcPr>
            <w:tcW w:w="1980" w:type="dxa"/>
            <w:vAlign w:val="bottom"/>
            <w:gridSpan w:val="9"/>
          </w:tcPr>
          <w:p>
            <w:pPr>
              <w:jc w:val="center"/>
              <w:ind w:left="1430"/>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18-31</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w:t>
              </w:r>
            </w:hyperlink>
          </w:p>
        </w:tc>
        <w:tc>
          <w:tcPr>
            <w:tcW w:w="720" w:type="dxa"/>
            <w:vAlign w:val="bottom"/>
            <w:gridSpan w:val="3"/>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Quantitative and Qualitative Disclosures about Market Risk</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31</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right w:val="single" w:sz="8" w:color="0000EE"/>
            </w:tcBorders>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4.</w:t>
              </w:r>
            </w:hyperlink>
          </w:p>
        </w:tc>
        <w:tc>
          <w:tcPr>
            <w:tcW w:w="2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32</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PART II.</w:t>
              </w:r>
            </w:hyperlink>
          </w:p>
        </w:tc>
        <w:tc>
          <w:tcPr>
            <w:tcW w:w="7500" w:type="dxa"/>
            <w:vAlign w:val="bottom"/>
            <w:gridSpan w:val="24"/>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OTHER INFORMATION</w:t>
              </w:r>
            </w:hyperlink>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w:t>
              </w:r>
            </w:hyperlink>
          </w:p>
        </w:tc>
        <w:tc>
          <w:tcPr>
            <w:tcW w:w="10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33</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right w:val="single" w:sz="8" w:color="0000EE"/>
            </w:tcBorders>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w:t>
              </w:r>
            </w:hyperlink>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Risk Factors</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33</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right w:val="single" w:sz="8" w:color="0000EE"/>
            </w:tcBorders>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w:t>
              </w:r>
            </w:hyperlink>
          </w:p>
        </w:tc>
        <w:tc>
          <w:tcPr>
            <w:tcW w:w="10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Unregistered Sales of Equity Securities and Use of Proceeds</w:t>
              </w:r>
            </w:hyperlink>
          </w:p>
        </w:tc>
        <w:tc>
          <w:tcPr>
            <w:tcW w:w="1980" w:type="dxa"/>
            <w:vAlign w:val="bottom"/>
            <w:gridSpan w:val="9"/>
          </w:tcPr>
          <w:p>
            <w:pPr>
              <w:jc w:val="center"/>
              <w:ind w:left="143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33–34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3.</w:t>
              </w:r>
            </w:hyperlink>
          </w:p>
        </w:tc>
        <w:tc>
          <w:tcPr>
            <w:tcW w:w="720" w:type="dxa"/>
            <w:vAlign w:val="bottom"/>
            <w:gridSpan w:val="3"/>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Defaults Upon Senior Securities</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34</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170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4.</w:t>
              </w:r>
            </w:hyperlink>
          </w:p>
        </w:tc>
        <w:tc>
          <w:tcPr>
            <w:tcW w:w="720" w:type="dxa"/>
            <w:vAlign w:val="bottom"/>
            <w:gridSpan w:val="3"/>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Mine Safety Disclosures</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34</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720" w:type="dxa"/>
            <w:vAlign w:val="bottom"/>
            <w:gridSpan w:val="14"/>
          </w:tcPr>
          <w:p>
            <w:pPr>
              <w:spacing w:after="0" w:line="20" w:lineRule="exact"/>
              <w:rPr>
                <w:sz w:val="1"/>
                <w:szCs w:val="1"/>
                <w:color w:val="auto"/>
              </w:rPr>
            </w:pPr>
          </w:p>
        </w:tc>
        <w:tc>
          <w:tcPr>
            <w:tcW w:w="170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5.</w:t>
              </w:r>
            </w:hyperlink>
          </w:p>
        </w:tc>
        <w:tc>
          <w:tcPr>
            <w:tcW w:w="720" w:type="dxa"/>
            <w:vAlign w:val="bottom"/>
            <w:gridSpan w:val="3"/>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34</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180" w:type="dxa"/>
            <w:vAlign w:val="bottom"/>
            <w:gridSpan w:val="17"/>
          </w:tcPr>
          <w:p>
            <w:pPr>
              <w:spacing w:after="0" w:line="20" w:lineRule="exact"/>
              <w:rPr>
                <w:sz w:val="1"/>
                <w:szCs w:val="1"/>
                <w:color w:val="auto"/>
              </w:rPr>
            </w:pPr>
          </w:p>
        </w:tc>
        <w:tc>
          <w:tcPr>
            <w:tcW w:w="170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6.</w:t>
              </w:r>
            </w:hyperlink>
          </w:p>
        </w:tc>
        <w:tc>
          <w:tcPr>
            <w:tcW w:w="720" w:type="dxa"/>
            <w:vAlign w:val="bottom"/>
            <w:gridSpan w:val="3"/>
          </w:tcPr>
          <w:p>
            <w:pPr>
              <w:spacing w:after="0"/>
              <w:rPr>
                <w:sz w:val="24"/>
                <w:szCs w:val="24"/>
                <w:color w:val="auto"/>
              </w:rPr>
            </w:pPr>
          </w:p>
        </w:tc>
        <w:tc>
          <w:tcPr>
            <w:tcW w:w="7500" w:type="dxa"/>
            <w:vAlign w:val="bottom"/>
            <w:gridSpan w:val="2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34</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900" w:type="dxa"/>
            <w:vAlign w:val="bottom"/>
            <w:gridSpan w:val="20"/>
          </w:tcPr>
          <w:p>
            <w:pPr>
              <w:spacing w:after="0" w:line="20" w:lineRule="exact"/>
              <w:rPr>
                <w:sz w:val="1"/>
                <w:szCs w:val="1"/>
                <w:color w:val="auto"/>
              </w:rPr>
            </w:pPr>
          </w:p>
        </w:tc>
        <w:tc>
          <w:tcPr>
            <w:tcW w:w="170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00" w:type="dxa"/>
            <w:vAlign w:val="bottom"/>
            <w:gridSpan w:val="8"/>
          </w:tcPr>
          <w:p>
            <w:pPr>
              <w:spacing w:after="0"/>
              <w:rPr>
                <w:rFonts w:ascii="Times New Roman" w:cs="Times New Roman" w:eastAsia="Times New Roman" w:hAnsi="Times New Roman"/>
                <w:sz w:val="18"/>
                <w:szCs w:val="18"/>
                <w:b w:val="1"/>
                <w:bCs w:val="1"/>
                <w:color w:val="0000EE"/>
                <w:w w:val="97"/>
              </w:rPr>
            </w:pPr>
            <w:hyperlink w:anchor="page36">
              <w:r>
                <w:rPr>
                  <w:rFonts w:ascii="Times New Roman" w:cs="Times New Roman" w:eastAsia="Times New Roman" w:hAnsi="Times New Roman"/>
                  <w:sz w:val="18"/>
                  <w:szCs w:val="18"/>
                  <w:b w:val="1"/>
                  <w:bCs w:val="1"/>
                  <w:color w:val="0000EE"/>
                  <w:w w:val="97"/>
                </w:rPr>
                <w:t>SIGNATURE PAGE</w:t>
              </w:r>
            </w:hyperlink>
          </w:p>
        </w:tc>
        <w:tc>
          <w:tcPr>
            <w:tcW w:w="7160" w:type="dxa"/>
            <w:vAlign w:val="bottom"/>
            <w:gridSpan w:val="21"/>
          </w:tcPr>
          <w:p>
            <w:pPr>
              <w:spacing w:after="0"/>
              <w:rPr>
                <w:sz w:val="24"/>
                <w:szCs w:val="24"/>
                <w:color w:val="auto"/>
              </w:rPr>
            </w:pPr>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35</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4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160" w:type="dxa"/>
            <w:vAlign w:val="bottom"/>
            <w:gridSpan w:val="21"/>
          </w:tcPr>
          <w:p>
            <w:pPr>
              <w:spacing w:after="0" w:line="20" w:lineRule="exact"/>
              <w:rPr>
                <w:sz w:val="1"/>
                <w:szCs w:val="1"/>
                <w:color w:val="auto"/>
              </w:rPr>
            </w:pPr>
          </w:p>
        </w:tc>
        <w:tc>
          <w:tcPr>
            <w:tcW w:w="170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40" w:type="dxa"/>
            <w:vAlign w:val="bottom"/>
            <w:gridSpan w:val="7"/>
          </w:tcPr>
          <w:p>
            <w:pPr>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EXHIBIT INDEX</w:t>
              </w:r>
            </w:hyperlink>
          </w:p>
        </w:tc>
        <w:tc>
          <w:tcPr>
            <w:tcW w:w="160" w:type="dxa"/>
            <w:vAlign w:val="bottom"/>
          </w:tcPr>
          <w:p>
            <w:pPr>
              <w:spacing w:after="0"/>
              <w:rPr>
                <w:sz w:val="24"/>
                <w:szCs w:val="24"/>
                <w:color w:val="auto"/>
              </w:rPr>
            </w:pPr>
          </w:p>
        </w:tc>
        <w:tc>
          <w:tcPr>
            <w:tcW w:w="7160" w:type="dxa"/>
            <w:vAlign w:val="bottom"/>
            <w:gridSpan w:val="21"/>
          </w:tcPr>
          <w:p>
            <w:pPr>
              <w:spacing w:after="0"/>
              <w:rPr>
                <w:sz w:val="24"/>
                <w:szCs w:val="24"/>
                <w:color w:val="auto"/>
              </w:rPr>
            </w:pPr>
          </w:p>
        </w:tc>
        <w:tc>
          <w:tcPr>
            <w:tcW w:w="1800" w:type="dxa"/>
            <w:vAlign w:val="bottom"/>
            <w:gridSpan w:val="6"/>
          </w:tcPr>
          <w:p>
            <w:pPr>
              <w:jc w:val="center"/>
              <w:ind w:left="1530"/>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36</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gridSpan w:val="2"/>
          </w:tcPr>
          <w:p>
            <w:pPr>
              <w:spacing w:after="0"/>
              <w:rPr>
                <w:sz w:val="20"/>
                <w:szCs w:val="20"/>
                <w:color w:val="auto"/>
              </w:rPr>
            </w:pPr>
          </w:p>
        </w:tc>
        <w:tc>
          <w:tcPr>
            <w:tcW w:w="5260" w:type="dxa"/>
            <w:vAlign w:val="bottom"/>
            <w:gridSpan w:val="17"/>
          </w:tcPr>
          <w:p>
            <w:pPr>
              <w:jc w:val="right"/>
              <w:ind w:right="220"/>
              <w:spacing w:after="0"/>
              <w:rPr>
                <w:sz w:val="20"/>
                <w:szCs w:val="20"/>
                <w:color w:val="auto"/>
              </w:rPr>
            </w:pPr>
            <w:r>
              <w:rPr>
                <w:rFonts w:ascii="Times New Roman" w:cs="Times New Roman" w:eastAsia="Times New Roman" w:hAnsi="Times New Roman"/>
                <w:sz w:val="18"/>
                <w:szCs w:val="18"/>
                <w:color w:val="auto"/>
              </w:rPr>
              <w:t>_________________</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40"/>
          </w:cols>
          <w:pgMar w:left="240" w:top="468" w:right="81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report, references to “NTIC,” the “Company,” “we,” “our” or “us,” unless the context otherwise requires, refer to Northern Technologies International Corporation and its wholly-owned subsidiaries, NTIC (Shanghai) Co., Ltd., NTI Facilities, Inc. and Northern Technologies Holding Company, LLC, and its majority-owned subsidiaries, Zerust Prevenção de Corrosão S.A., NTI Asean LLC and Natur-Tec India Private Limited, all of which are consolidated on NTIC’s consolidated financial statements.</w:t>
      </w:r>
    </w:p>
    <w:p>
      <w:pPr>
        <w:spacing w:after="0" w:line="1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NTIC’s consolidated financial statements do not include the accounts of any of its joint ventures. Except as otherwise indicated, references in this report to NTIC’s joint ventures do not include: (1) NTIC’s majority-owned Brazilian subsidiary, Zerust Prevenção de Corrosão S.A.; (2) NTIC’s majority-owned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 or (3) NTIC’s majority-owned subsidiary, Natur-Tec India Private Limited, in India.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“Zerust Brazil” refer to NTIC’s majority-owned Brazilian subsidiary, Zerust Prevenção de Corrosão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“NTI Asean” refer to NTIC’s majority-owned holding company subsidiary, NTI Asean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“Natur-Tec India” refer to NTIC’s majority-owned subsidiary in India, Natur-Tec India Private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“EXCOR” refer to NTIC’s joint venture in Germany, Excor Korrosionsschutz –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“NTIC China” refer to NTIC’s wholly-owned subsidiary in China, NTIC (Shanghai)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472"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right="414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BALANCE SHEETS AS OF MAY 31, 2016 (UNAUDITED) AND AUGUST 31, 2015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80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4,626,538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2,239,792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$40,000 at May 31, 2016 and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August 31, 2015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4,573,671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Trade joint ventures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718,899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1,351,593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7,411,006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22,345,841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19,275,612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7,298,036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7,293,163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18,604,871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20,544,238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at carrying value (Note 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1,883,668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1,175,170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1,264,780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199,216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130,736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23,127,705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24,996,873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52,771,582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51,565,648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2,769,347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819,302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364,405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3,953,054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10,000,000 shares; issued and outstanding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4,537,116 and 4,539,045, respectively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90,742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13,738,062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13,441,264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35,098,104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34,522,871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45,687,834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44,874,105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3,130,694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48,818,528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47,893,807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52,771,582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51,565,648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 w:name="page5"/>
    <w:bookmarkEnd w:id="4"/>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AND NINE MONTHS ENDED MAY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6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7,925,357</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7,553,957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21,454,381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20,030,491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761,218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723,618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1,961,565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2,189,888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8,686,575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8,277,575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23,415,946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22,220,379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5,777,249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5,595,207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15,920,896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15,059,558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2,909,326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2,682,368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7,495,050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7,160,821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1,664,464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1,724,915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3,600,884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4,806,247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1,351,913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1,303,964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3,808,384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4,432,494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3,016,377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3,028,879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7,409,268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9,238,741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expenses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1,507,200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1,434,627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4,507,716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1,691,077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1,703,083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5,057,777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4,794,206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266,791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327,586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881,255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1,231,950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1,064,710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3,349,572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2,968,879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4,697,018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4,530,006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13,796,320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13,442,870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1,228,685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1,181,241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2,956,692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1,249,382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1,142,691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2,970,109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225,395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114,180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262,359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495,478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1,023,987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1,069,000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2,474,631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106,614</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163,565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305,099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689,575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917,373</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905,435</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575,233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1,785,056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NTIC PER COMMON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ASSUMED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4,538,970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4,525,109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4,538,005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4,519,279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4,563,801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4,594,992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4,587,064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4,635,561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 w:name="page6"/>
    <w:bookmarkEnd w:id="5"/>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AND NINE MONTHS ENDED MAY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77"/>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1,023,987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1,069,000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880,332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2,474,631</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 FOREIGN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432,360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(3,695,884)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1,456,347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629,541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827,962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(1,221,253)</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 TO</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124,840</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310,992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372,690</w:t>
            </w:r>
          </w:p>
        </w:tc>
        <w:tc>
          <w:tcPr>
            <w:tcW w:w="0" w:type="dxa"/>
            <w:vAlign w:val="bottom"/>
          </w:tcPr>
          <w:p>
            <w:pPr>
              <w:spacing w:after="0"/>
              <w:rPr>
                <w:sz w:val="1"/>
                <w:szCs w:val="1"/>
                <w:color w:val="auto"/>
              </w:rPr>
            </w:pPr>
          </w:p>
        </w:tc>
      </w:tr>
      <w:tr>
        <w:trPr>
          <w:trHeight w:val="178"/>
        </w:trPr>
        <w:tc>
          <w:tcPr>
            <w:tcW w:w="46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1,331,507</w:t>
            </w:r>
          </w:p>
        </w:tc>
        <w:tc>
          <w:tcPr>
            <w:tcW w:w="3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499,408</w:t>
            </w:r>
          </w:p>
        </w:tc>
        <w:tc>
          <w:tcPr>
            <w:tcW w:w="30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516,970</w:t>
            </w:r>
          </w:p>
        </w:tc>
        <w:tc>
          <w:tcPr>
            <w:tcW w:w="100" w:type="dxa"/>
            <w:vAlign w:val="bottom"/>
          </w:tcPr>
          <w:p>
            <w:pPr>
              <w:spacing w:after="0"/>
              <w:rPr>
                <w:sz w:val="15"/>
                <w:szCs w:val="15"/>
                <w:color w:val="auto"/>
              </w:rPr>
            </w:pPr>
          </w:p>
        </w:tc>
        <w:tc>
          <w:tcPr>
            <w:tcW w:w="180" w:type="dxa"/>
            <w:vAlign w:val="bottom"/>
            <w:gridSpan w:val="2"/>
            <w:vMerge w:val="restart"/>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(1,593,943)</w:t>
            </w:r>
          </w:p>
        </w:tc>
        <w:tc>
          <w:tcPr>
            <w:tcW w:w="0" w:type="dxa"/>
            <w:vAlign w:val="bottom"/>
          </w:tcPr>
          <w:p>
            <w:pPr>
              <w:spacing w:after="0"/>
              <w:rPr>
                <w:sz w:val="1"/>
                <w:szCs w:val="1"/>
                <w:color w:val="auto"/>
              </w:rPr>
            </w:pPr>
          </w:p>
        </w:tc>
      </w:tr>
      <w:tr>
        <w:trPr>
          <w:trHeight w:val="221"/>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NTIC</w:t>
            </w:r>
          </w:p>
        </w:tc>
        <w:tc>
          <w:tcPr>
            <w:tcW w:w="280" w:type="dxa"/>
            <w:vAlign w:val="bottom"/>
            <w:gridSpan w:val="2"/>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 w:name="page7"/>
    <w:bookmarkEnd w:id="6"/>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NINE MONTHS ENDED MAY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7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70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37"/>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880,332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2,474,631</w:t>
            </w:r>
          </w:p>
        </w:tc>
      </w:tr>
      <w:tr>
        <w:trPr>
          <w:trHeight w:val="243"/>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325,576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378,421</w:t>
            </w:r>
          </w:p>
        </w:tc>
      </w:tr>
      <w:tr>
        <w:trPr>
          <w:trHeight w:val="216"/>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482,576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385,126</w:t>
            </w:r>
          </w:p>
        </w:tc>
      </w:tr>
      <w:tr>
        <w:trPr>
          <w:trHeight w:val="216"/>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65,747</w:t>
            </w:r>
          </w:p>
        </w:tc>
      </w:tr>
      <w:tr>
        <w:trPr>
          <w:trHeight w:val="216"/>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20,689</w:t>
            </w:r>
          </w:p>
        </w:tc>
      </w:tr>
      <w:tr>
        <w:trPr>
          <w:trHeight w:val="216"/>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(4,806,247)</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5,449,543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2,767,771</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(27,558)</w:t>
            </w:r>
          </w:p>
        </w:tc>
      </w:tr>
      <w:tr>
        <w:trPr>
          <w:trHeight w:val="243"/>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7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Receivables: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7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(896,173)</w:t>
            </w:r>
          </w:p>
        </w:tc>
      </w:tr>
      <w:tr>
        <w:trPr>
          <w:trHeight w:val="216"/>
        </w:trPr>
        <w:tc>
          <w:tcPr>
            <w:tcW w:w="7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Trade, joint ventures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324,338</w:t>
            </w:r>
          </w:p>
        </w:tc>
      </w:tr>
      <w:tr>
        <w:trPr>
          <w:trHeight w:val="216"/>
        </w:trPr>
        <w:tc>
          <w:tcPr>
            <w:tcW w:w="7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1,257,998</w:t>
            </w:r>
          </w:p>
        </w:tc>
      </w:tr>
      <w:tr>
        <w:trPr>
          <w:trHeight w:val="216"/>
        </w:trPr>
        <w:tc>
          <w:tcPr>
            <w:tcW w:w="7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(217,055)</w:t>
            </w:r>
          </w:p>
        </w:tc>
      </w:tr>
      <w:tr>
        <w:trPr>
          <w:trHeight w:val="216"/>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(887,748)</w:t>
            </w:r>
          </w:p>
        </w:tc>
      </w:tr>
      <w:tr>
        <w:trPr>
          <w:trHeight w:val="216"/>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(95,316)</w:t>
            </w:r>
          </w:p>
        </w:tc>
      </w:tr>
      <w:tr>
        <w:trPr>
          <w:trHeight w:val="216"/>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82,550</w:t>
            </w:r>
          </w:p>
        </w:tc>
      </w:tr>
      <w:tr>
        <w:trPr>
          <w:trHeight w:val="216"/>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22,943</w:t>
            </w:r>
          </w:p>
        </w:tc>
      </w:tr>
      <w:tr>
        <w:trPr>
          <w:trHeight w:val="230"/>
        </w:trPr>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(813,896)</w:t>
            </w:r>
          </w:p>
        </w:tc>
      </w:tr>
      <w:tr>
        <w:trPr>
          <w:trHeight w:val="210"/>
        </w:trPr>
        <w:tc>
          <w:tcPr>
            <w:tcW w:w="70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3,053,297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36,221</w:t>
            </w:r>
          </w:p>
        </w:tc>
      </w:tr>
      <w:tr>
        <w:trPr>
          <w:trHeight w:val="223"/>
        </w:trPr>
        <w:tc>
          <w:tcPr>
            <w:tcW w:w="7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2,991,919</w:t>
            </w: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available for sale securities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(1,098,035)</w:t>
            </w:r>
          </w:p>
        </w:tc>
      </w:tr>
      <w:tr>
        <w:trPr>
          <w:trHeight w:val="23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Additions to patents</w:t>
            </w:r>
          </w:p>
        </w:tc>
        <w:tc>
          <w:tcPr>
            <w:tcW w:w="1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(138,786)</w:t>
            </w:r>
          </w:p>
        </w:tc>
      </w:tr>
      <w:tr>
        <w:trPr>
          <w:trHeight w:val="210"/>
        </w:trPr>
        <w:tc>
          <w:tcPr>
            <w:tcW w:w="7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1,755,098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Dividend received by non-controlling interest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860" w:type="dxa"/>
        <w:tblCellMar>
          <w:top w:w="0" w:type="dxa"/>
          <w:left w:w="0" w:type="dxa"/>
          <w:bottom w:w="0" w:type="dxa"/>
          <w:right w:w="0" w:type="dxa"/>
        </w:tblCellMar>
      </w:tblPr>
      <w:tr>
        <w:trPr>
          <w:trHeight w:val="216"/>
        </w:trPr>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6"/>
              </w:rPr>
              <w:t>(200,000)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16"/>
        </w:trPr>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(97,450)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68,633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57,980</w:t>
            </w:r>
          </w:p>
        </w:tc>
      </w:tr>
    </w:tbl>
    <w:p>
      <w:pPr>
        <w:ind w:left="1320"/>
        <w:spacing w:after="0"/>
        <w:rPr>
          <w:sz w:val="20"/>
          <w:szCs w:val="20"/>
          <w:color w:val="auto"/>
        </w:rPr>
      </w:pPr>
      <w:r>
        <w:rPr>
          <w:rFonts w:ascii="Times New Roman" w:cs="Times New Roman" w:eastAsia="Times New Roman" w:hAnsi="Times New Roman"/>
          <w:sz w:val="18"/>
          <w:szCs w:val="18"/>
          <w:color w:val="auto"/>
        </w:rPr>
        <w:t>—99,450</w:t>
      </w:r>
    </w:p>
    <w:p>
      <w:pPr>
        <w:spacing w:after="0" w:line="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(228,817)(402,570)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092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41" w:lineRule="exact"/>
        <w:rPr>
          <w:sz w:val="20"/>
          <w:szCs w:val="20"/>
          <w:color w:val="auto"/>
        </w:rPr>
      </w:pPr>
    </w:p>
    <w:p>
      <w:pPr>
        <w:jc w:val="both"/>
        <w:ind w:left="940"/>
        <w:spacing w:after="0"/>
        <w:tabs>
          <w:tab w:leader="none" w:pos="2620" w:val="left"/>
        </w:tabs>
        <w:rPr>
          <w:sz w:val="20"/>
          <w:szCs w:val="20"/>
          <w:color w:val="auto"/>
        </w:rPr>
      </w:pPr>
      <w:r>
        <w:rPr>
          <w:rFonts w:ascii="Times New Roman" w:cs="Times New Roman" w:eastAsia="Times New Roman" w:hAnsi="Times New Roman"/>
          <w:sz w:val="18"/>
          <w:szCs w:val="18"/>
          <w:color w:val="auto"/>
        </w:rPr>
        <w:t>(27,255)</w:t>
      </w:r>
      <w:r>
        <w:rPr>
          <w:sz w:val="20"/>
          <w:szCs w:val="20"/>
          <w:color w:val="auto"/>
        </w:rPr>
        <w:tab/>
      </w:r>
      <w:r>
        <w:rPr>
          <w:rFonts w:ascii="Times New Roman" w:cs="Times New Roman" w:eastAsia="Times New Roman" w:hAnsi="Times New Roman"/>
          <w:sz w:val="18"/>
          <w:szCs w:val="18"/>
          <w:color w:val="auto"/>
        </w:rPr>
        <w:t>(72,195)</w:t>
      </w:r>
    </w:p>
    <w:p>
      <w:pPr>
        <w:spacing w:after="0" w:line="252" w:lineRule="exact"/>
        <w:rPr>
          <w:sz w:val="20"/>
          <w:szCs w:val="20"/>
          <w:color w:val="auto"/>
        </w:rPr>
      </w:pPr>
    </w:p>
    <w:p>
      <w:pPr>
        <w:ind w:left="780"/>
        <w:spacing w:after="0"/>
        <w:tabs>
          <w:tab w:leader="none" w:pos="2460" w:val="left"/>
        </w:tabs>
        <w:rPr>
          <w:sz w:val="20"/>
          <w:szCs w:val="20"/>
          <w:color w:val="auto"/>
        </w:rPr>
      </w:pPr>
      <w:r>
        <w:rPr>
          <w:rFonts w:ascii="Times New Roman" w:cs="Times New Roman" w:eastAsia="Times New Roman" w:hAnsi="Times New Roman"/>
          <w:sz w:val="18"/>
          <w:szCs w:val="18"/>
          <w:color w:val="auto"/>
        </w:rPr>
        <w:t>2,002,557</w:t>
      </w:r>
      <w:r>
        <w:rPr>
          <w:sz w:val="20"/>
          <w:szCs w:val="20"/>
          <w:color w:val="auto"/>
        </w:rPr>
        <w:tab/>
      </w:r>
      <w:r>
        <w:rPr>
          <w:rFonts w:ascii="Times New Roman" w:cs="Times New Roman" w:eastAsia="Times New Roman" w:hAnsi="Times New Roman"/>
          <w:sz w:val="18"/>
          <w:szCs w:val="18"/>
          <w:color w:val="auto"/>
        </w:rPr>
        <w:t>1,316,554</w:t>
      </w:r>
    </w:p>
    <w:p>
      <w:pPr>
        <w:spacing w:after="0" w:line="27" w:lineRule="exact"/>
        <w:rPr>
          <w:sz w:val="20"/>
          <w:szCs w:val="20"/>
          <w:color w:val="auto"/>
        </w:rPr>
      </w:pPr>
    </w:p>
    <w:p>
      <w:pPr>
        <w:ind w:left="780"/>
        <w:spacing w:after="0"/>
        <w:tabs>
          <w:tab w:leader="none" w:pos="2460" w:val="left"/>
        </w:tabs>
        <w:rPr>
          <w:sz w:val="20"/>
          <w:szCs w:val="20"/>
          <w:color w:val="auto"/>
        </w:rPr>
      </w:pPr>
      <w:r>
        <w:rPr>
          <w:rFonts w:ascii="Times New Roman" w:cs="Times New Roman" w:eastAsia="Times New Roman" w:hAnsi="Times New Roman"/>
          <w:sz w:val="18"/>
          <w:szCs w:val="18"/>
          <w:color w:val="auto"/>
        </w:rPr>
        <w:t>2,623,981</w:t>
      </w:r>
      <w:r>
        <w:rPr>
          <w:sz w:val="20"/>
          <w:szCs w:val="20"/>
          <w:color w:val="auto"/>
        </w:rPr>
        <w:tab/>
      </w:r>
      <w:r>
        <w:rPr>
          <w:rFonts w:ascii="Times New Roman" w:cs="Times New Roman" w:eastAsia="Times New Roman" w:hAnsi="Times New Roman"/>
          <w:sz w:val="18"/>
          <w:szCs w:val="18"/>
          <w:color w:val="auto"/>
        </w:rPr>
        <w:t>2,477,017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092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54" w:lineRule="exact"/>
        <w:rPr>
          <w:sz w:val="20"/>
          <w:szCs w:val="20"/>
          <w:color w:val="auto"/>
        </w:rPr>
      </w:pPr>
    </w:p>
    <w:p>
      <w:pPr>
        <w:spacing w:after="0"/>
        <w:tabs>
          <w:tab w:leader="none" w:pos="760" w:val="left"/>
          <w:tab w:leader="none" w:pos="170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4,626,538</w:t>
        <w:tab/>
        <w:t>$</w:t>
      </w:r>
      <w:r>
        <w:rPr>
          <w:sz w:val="20"/>
          <w:szCs w:val="20"/>
          <w:color w:val="auto"/>
        </w:rPr>
        <w:tab/>
      </w:r>
      <w:r>
        <w:rPr>
          <w:rFonts w:ascii="Times New Roman" w:cs="Times New Roman" w:eastAsia="Times New Roman" w:hAnsi="Times New Roman"/>
          <w:sz w:val="18"/>
          <w:szCs w:val="18"/>
          <w:color w:val="auto"/>
        </w:rPr>
        <w:t>3,793,571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2092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468" w:right="2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7" w:name="page8"/>
    <w:bookmarkEnd w:id="7"/>
    <w:p>
      <w:pPr>
        <w:ind w:right="414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2016 and August 31, 2015 and the results of their operations for the three and nine months ended May 31, 2016 and 2015 and their cash flows for the nine months ended May 31, 2016 and 2015, in conformity with accounting principles generally accepted in the United States of America (U.S. GAAP).</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related notes contained in the Company’s annual report on Form 10-K for the fiscal year ended August 31, 2015. These consolidated financial statements also should be read in conjunction with the “Management’s Discussion and Analysis of Financial Condition and Results of Operations” section appearing in this report.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May 31, 2016 are not necessarily indicative of the results that may be expected for the full fiscal year ending August 31, 2016.</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believes there will be no material impact, if any.</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July 2015, the FASB issued ASU No. 2015-11,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In November 2015, FASB issued ASU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which requires that deferred tax assets and liabilities be classified as noncurrent in a classified balance sheet. The amendment takes effect for public entities for fiscal years beginning after December 15, 2017, with early adoption available. The Company is currently assessing the impact that ASU 2015-17 will have on its consolidated financial statements.</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During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Company is currently assessing the effect that ASU No. 2016-02 will have on its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8" w:name="page9"/>
    <w:bookmarkEnd w:id="8"/>
    <w:p>
      <w:pPr>
        <w:ind w:right="80"/>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No. 2016-07, “</w:t>
      </w:r>
      <w:r>
        <w:rPr>
          <w:rFonts w:ascii="Times New Roman" w:cs="Times New Roman" w:eastAsia="Times New Roman" w:hAnsi="Times New Roman"/>
          <w:sz w:val="18"/>
          <w:szCs w:val="18"/>
          <w:i w:val="1"/>
          <w:iCs w:val="1"/>
          <w:color w:val="auto"/>
        </w:rPr>
        <w:t>Investments – Equity Method and Joint Ventures (Topic 323): Simplifying the Transition to the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of Accounting</w:t>
      </w:r>
      <w:r>
        <w:rPr>
          <w:rFonts w:ascii="Times New Roman" w:cs="Times New Roman" w:eastAsia="Times New Roman" w:hAnsi="Times New Roman"/>
          <w:sz w:val="18"/>
          <w:szCs w:val="18"/>
          <w:color w:val="auto"/>
        </w:rPr>
        <w:t>.” Among other things, the amendments in ASU 2016-07 eliminate the requirement that when an investment qualifies for use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assessing the impact that ASU 2016-07 will have on its consolidated financial statements.</w:t>
      </w:r>
    </w:p>
    <w:p>
      <w:pPr>
        <w:spacing w:after="0" w:line="1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is intended to simplify several aspects of the accounting for share-based payment award transactions. The guidance will be effective for the fiscal year beginning after December 15, 2016, including interim periods within that year. The Company is in the process of evaluating the impacts of the adoption of this ASU.</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2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1,337,225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1,445,014</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9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6,073,781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6,023,427</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7,411,006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7,468,441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90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2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310,365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6,469,887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6,180,089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4,273,741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4,090,619</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11,053,993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10,581,073</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(3,287,910)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7,298,036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7,293,163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PATENTS AND TRADEMARKS, NET</w:t>
            </w: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8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2,531,858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2,440,022</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(1,177,803)</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1,264,780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1,262,219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$115,000 in each of the next five fiscal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JOINT VENTURES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of the Company’s other joint ventures,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47,930,421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22,433,723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25,496,698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51,389,757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24,189,092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27,200,665</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13,952,018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4,602,925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9,349,093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103,392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103,392</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37,334,348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19,586,166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17,748,182</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18,604,871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9,793,085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8,811,786</w:t>
            </w: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15,892,135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9,416,694</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6,475,441</w:t>
            </w:r>
          </w:p>
        </w:tc>
      </w:tr>
      <w:tr>
        <w:trPr>
          <w:trHeight w:val="648"/>
        </w:trPr>
        <w:tc>
          <w:tcPr>
            <w:tcW w:w="64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8"/>
        </w:trPr>
        <w:tc>
          <w:tcPr>
            <w:tcW w:w="64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8"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2015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49,295,116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22,620,323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26,674,793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52,853,938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24,606,880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28,247,058</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12,288,383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3,360,142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8,928,241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1,215,139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1,215,139</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39,350,417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21,246,738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18,103,679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20,544,238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11,571,361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8,972,877</w:t>
            </w: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18,483,377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11,540,456</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6,942,921</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May 31, 2016</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66,223,514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25,314,260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40,909,254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29,745,795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13,512,404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16,233,391</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7,188,274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5,409,407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1,778,867</w:t>
            </w: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of joint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ventures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3,600,884</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2,714,905</w:t>
            </w:r>
          </w:p>
        </w:tc>
        <w:tc>
          <w:tcPr>
            <w:tcW w:w="5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885,979</w:t>
            </w:r>
          </w:p>
        </w:tc>
      </w:tr>
      <w:tr>
        <w:trPr>
          <w:trHeight w:val="216"/>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May 31, 2015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Tianjin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8"/>
        </w:trPr>
        <w:tc>
          <w:tcPr>
            <w:tcW w:w="45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Zerust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75,974,770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27,580,051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3,735,457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44,659,262</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37,469,186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15,113,100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20,572,413</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9,634,318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6,334,009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265,648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3,034,661</w:t>
            </w: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4,806,247</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3,152,489</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132,824</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1,520,934</w:t>
            </w: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January 2, 2015, the Company announced that, effective as of December 31, 2014, the Company terminated its joint venture arrangement in China, Tianjin-Zerust Anticorrosion Co., Ltd. (Tianjin Zerust), and began the process of liquidating the joint venture entity. Since December 31, 2014, the Company has conducted business in China through a wholly-owned subsidiary, NTIC (Shanghai) Co. Ltd. (NTIC China). As of December 31, 2014, the Company started recognizing Tianjin Zerust based on its carrying value instead of the equity method since the Company no longer expects to significantly affect the joint venture’s operations or decision making. See Note 7.</w:t>
      </w:r>
    </w:p>
    <w:p>
      <w:pPr>
        <w:spacing w:after="0" w:line="18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 See Note 13 regarding pending litigation involving Tianjin Zerust.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make any joint venture investments during the nine months ended May 31, 2016 and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CHINA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is reported at carrying value based on the Company’s decreased level of influence over the entity, and the Company has reclassified previously unrecognized gains on foreign currency translation from accumulated other comprehensive income. Any declines in the fair value are reflected as adjustments to the carrying value. No such adjustments were recorded during the nine months ended May 31, 2016.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11" w:name="page12"/>
    <w:bookmarkEnd w:id="11"/>
    <w:p>
      <w:pPr>
        <w:ind w:right="20"/>
        <w:spacing w:after="0" w:line="256" w:lineRule="auto"/>
        <w:rPr>
          <w:sz w:val="20"/>
          <w:szCs w:val="20"/>
          <w:color w:val="auto"/>
        </w:rPr>
      </w:pPr>
      <w:r>
        <w:rPr>
          <w:rFonts w:ascii="Times New Roman" w:cs="Times New Roman" w:eastAsia="Times New Roman" w:hAnsi="Times New Roman"/>
          <w:sz w:val="18"/>
          <w:szCs w:val="18"/>
          <w:color w:val="auto"/>
        </w:rPr>
        <w:t>Because of the lack of financial and other information received from Tianjin Zerust, it is possible that receipt of future financial and other information from Tianjin Zerust may impact the realization of the Company’s investment in and realization of a receivable from Tianjin Zerust. The last time the Company received financial information from Tianjin Zerust was through November 2014. The Company, as of May 31, 2016, does not believe there are any triggering events that would require an impairment test. The Company’s current net investment is approximately $1,130,200, which is 60% of its investment in Tianjin Zerust, which was $1,883,668 as of May 31, 2016. The Company will continue to evaluate the realization of this asset on an ongoing basis and adjust if necessary.</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incurred expenses of $1,425,000 and $1,138,000 during the nine months ended May 31, 2016 and 2015, respectively, related to the termination of the joint venture agreement with Tianjin Zerust, the initiation of the liquidation of Tianjin Zerust, the formation and initial operation of NTIC China and the litigation in North America. Such expenses consisted primarily of legal expenses and personnel expenses associated with the establishment of the subsidiary and the hiring of new personnel. These expenses are recorded as operating expenses on the consolidated statements of operations and are partially offset by the gross margin contribution from sales of NTIC China.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regarding pending litigation involving Tianjin Zerust.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CORPORATE DEBT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 revolving line of credit with PNC Bank of $3,000,000. No amounts were outstanding under the line of credit as of both May 31, 2016 and August 31, 2015.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May 31, 2016, the Company was in compliance with all debt covenants.</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6, 2016, PNC Bank extended the maturity date of the line of credit from January 7, 2016 to January 7, 2017. All other terms of the line of credit and the loan agreement and other documents evidencing the line of credit remain the same.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31, 2016, the Company repurchased and retired 7,511 shares of its common stock. During the nine months ended May 31, 2015, the Company did not repurchase or retire any shares of its common stock.</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granted stock options under the Northern Technologies International Corporation Amended and Restated 2007 Stock Incentive Plan (the 2007 Plan) to purchase an aggregate of 53,447 shares of its common stock to various employees and directors during the nine months ended May 31, 2016. The weighted average per share exercise price of the stock options is $14.85, which is equal to the fair market value of the Company’s common stock on the date of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May 31, 2016, no stock options to purchase shares of common stock were exercised.</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granted stock options under the 2007 Plan to purchase an aggregate of 45,067 shares of its common stock to various employees and directors during the nine months ended May 31, 2015. The weighted average per share exercise price of the stock options is $20.10, which was equal to the fair market value of the Company’s common stock on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stock options to purchase shares of common stock were exercised during the nine months ended May 31, 2015:</w:t>
      </w:r>
    </w:p>
    <w:p>
      <w:pPr>
        <w:spacing w:after="0" w:line="212"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Exercise Price</w:t>
            </w:r>
          </w:p>
        </w:tc>
      </w:tr>
      <w:tr>
        <w:trPr>
          <w:trHeight w:val="218"/>
        </w:trPr>
        <w:tc>
          <w:tcPr>
            <w:tcW w:w="13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18,000</w:t>
            </w:r>
          </w:p>
        </w:tc>
        <w:tc>
          <w:tcPr>
            <w:tcW w:w="4520" w:type="dxa"/>
            <w:vAlign w:val="bottom"/>
          </w:tcPr>
          <w:p>
            <w:pPr>
              <w:spacing w:after="0"/>
              <w:rPr>
                <w:sz w:val="18"/>
                <w:szCs w:val="18"/>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$7.65</w:t>
            </w:r>
          </w:p>
        </w:tc>
      </w:tr>
      <w:tr>
        <w:trPr>
          <w:trHeight w:val="234"/>
        </w:trPr>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2,333</w:t>
            </w:r>
          </w:p>
        </w:tc>
        <w:tc>
          <w:tcPr>
            <w:tcW w:w="45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PER COMMON SHARE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income per share computation: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Numerators: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4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917,373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905,435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575,233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1,785,056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4,538,970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4,525,109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4,538,005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4,519,279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4,563,801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4,594,992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4,587,064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Income per share was based on the weighted average number of shares of common stock outstanding during the periods when computing the basic income per share. When dilutive, stock options are included as equivalents using the treasury stock market method when computing the diluted income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3" w:name="page14"/>
    <w:bookmarkEnd w:id="13"/>
    <w:p>
      <w:pPr>
        <w:ind w:right="80"/>
        <w:spacing w:after="0" w:line="266" w:lineRule="auto"/>
        <w:rPr>
          <w:sz w:val="20"/>
          <w:szCs w:val="20"/>
          <w:color w:val="auto"/>
        </w:rPr>
      </w:pPr>
      <w:r>
        <w:rPr>
          <w:rFonts w:ascii="Times New Roman" w:cs="Times New Roman" w:eastAsia="Times New Roman" w:hAnsi="Times New Roman"/>
          <w:sz w:val="18"/>
          <w:szCs w:val="18"/>
          <w:color w:val="auto"/>
        </w:rPr>
        <w:t>Excluded from the computation of diluted income per share for the three and nine months ended May 31, 2016 were options outstanding to purchase 170,887 shares of common stock. Excluded from the computation of diluted income per share for the three and nine months ended May 31, 2015 were options outstanding to purchase 45,067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May 31, 2016, only stock options and stock bonuses had been granted under the 2007 Plan.</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The Company issued 2,439 and 1,948 shares on September 1, 2015 and 2014, respectively, under the ESPP. The Company issued 3,144 shares on March 1, 2016 under the ESPP.</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granted options to purchase an aggregate of 53,447 and 45,067 shares of its common stock during the nine months ended May 31, 2016 and 2015, respectively. The fair value of option grants is determined at date of grant, using the Black-Scholes option pricing model with the assumptions listed below. The Company recognized compensation expense of $325,576 and $378,421 during the nine months ended May 31, 2016 and 2015, respectively, related to the options that vested during such time period. As of May 31, 2016, the total compensation cost for nonvested options not yet recognized in the Company’s consolidated statements of operations was $341,261, net of estimated forfeitures. Stock-based compensation expense of $101,861 is expected through the remainder of fiscal year 2016, and $159,600 and $79,800 is expected to be recognized during fiscal 2017 and fiscal 2018, respectively, based on outstanding options as of May 31, 2016. Future option grants will impact the compensation expense recognized. Stock-based compensation expense is included in general and administrative expense on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estimates a ten percent forfeiture rate for stock options and continually reviews this estimate for future periods.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option-pricing model with the following assumptions and results for the grants: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804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31, 2015</w:t>
            </w: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 (years)</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nine months ended May 31, 2016 and 2015 was $8.48 and $11.58, respectively. The weighted average remaining contractual life of the options outstanding as of May 31, 2016 and 2015 was 6.71 years and 6.56 years,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nine months ended May 31, 2016 and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7,185,955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7,076,760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19,548,974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19,098,816</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1,500,620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1,200,815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3,866,972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3,121,563</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8,686,575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8,277,575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23,415,946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22,220,379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nine months ended May 31, 2016 and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0" w:type="dxa"/>
            <w:vAlign w:val="bottom"/>
          </w:tcPr>
          <w:p>
            <w:pPr>
              <w:spacing w:after="0"/>
              <w:rPr>
                <w:sz w:val="1"/>
                <w:szCs w:val="1"/>
                <w:color w:val="auto"/>
              </w:rPr>
            </w:pPr>
          </w:p>
        </w:tc>
      </w:tr>
      <w:tr>
        <w:trPr>
          <w:trHeight w:val="238"/>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80" w:type="dxa"/>
            <w:vAlign w:val="bottom"/>
          </w:tcPr>
          <w:p>
            <w:pPr>
              <w:spacing w:after="0"/>
              <w:rPr>
                <w:sz w:val="20"/>
                <w:szCs w:val="20"/>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4,028,114</w:t>
            </w: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 $</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3,942,776</w:t>
            </w:r>
          </w:p>
        </w:tc>
        <w:tc>
          <w:tcPr>
            <w:tcW w:w="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 $</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10,968,742</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  $</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10,452,467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1,119,730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889,976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2,938,927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2,391,599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629,405</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762,455</w:t>
            </w: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2,013,227</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2,215,492</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5,777,249</w:t>
            </w:r>
          </w:p>
        </w:tc>
        <w:tc>
          <w:tcPr>
            <w:tcW w:w="1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5,595,207</w:t>
            </w:r>
          </w:p>
        </w:tc>
        <w:tc>
          <w:tcPr>
            <w:tcW w:w="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15,920,896</w:t>
            </w:r>
          </w:p>
        </w:tc>
        <w:tc>
          <w:tcPr>
            <w:tcW w:w="1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15,059,558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7" w:lineRule="exact"/>
        <w:rPr>
          <w:sz w:val="20"/>
          <w:szCs w:val="20"/>
          <w:color w:val="auto"/>
        </w:rPr>
      </w:pPr>
    </w:p>
    <w:p>
      <w:pPr>
        <w:ind w:left="380" w:right="580" w:hanging="372"/>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nine months ended May 31, 2016 and 2015 were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5,559,885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5,337,090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14,762,170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14,200,121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5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Joint ventures in which the Company is a shareholder directly and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indirectly</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446,322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580,622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1,967,370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2,588,501</w:t>
            </w:r>
          </w:p>
        </w:tc>
      </w:tr>
      <w:tr>
        <w:trPr>
          <w:trHeight w:val="23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2,680,368</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2,359,863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6,686,406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5,431,757</w:t>
            </w:r>
          </w:p>
        </w:tc>
      </w:tr>
      <w:tr>
        <w:trPr>
          <w:trHeight w:val="210"/>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8,686,575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8,277,575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23,415,946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22,220,379</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 Fees for services provided to joint ventures by geographic location as a percentage of total fees for services provided to joint ventures during the three and nine months ended May 31, 2016 and 2015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0" w:type="dxa"/>
            <w:vAlign w:val="bottom"/>
            <w:tcBorders>
              <w:bottom w:val="single" w:sz="8" w:color="auto"/>
            </w:tcBorders>
          </w:tcPr>
          <w:p>
            <w:pPr>
              <w:spacing w:after="0"/>
              <w:rPr>
                <w:sz w:val="20"/>
                <w:szCs w:val="20"/>
                <w:color w:val="auto"/>
              </w:rPr>
            </w:pPr>
          </w:p>
        </w:tc>
      </w:tr>
      <w:tr>
        <w:trPr>
          <w:trHeight w:val="187"/>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r>
      <w:tr>
        <w:trPr>
          <w:trHeight w:val="238"/>
        </w:trPr>
        <w:tc>
          <w:tcPr>
            <w:tcW w:w="3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242,158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219,182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167,237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149,771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148,091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124,772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135,068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93,229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132,548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128,164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87,588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108,788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74,085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70,984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70,610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72,285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66,239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103,234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55,876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74,711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54,537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56,843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117,876</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102,001</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3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1,351,913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1,303,964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46"/>
        </w:trPr>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0" w:type="dxa"/>
            <w:vAlign w:val="bottom"/>
            <w:tcBorders>
              <w:bottom w:val="single" w:sz="8" w:color="auto"/>
            </w:tcBorders>
          </w:tcPr>
          <w:p>
            <w:pPr>
              <w:spacing w:after="0"/>
              <w:rPr>
                <w:sz w:val="24"/>
                <w:szCs w:val="24"/>
                <w:color w:val="auto"/>
              </w:rPr>
            </w:pPr>
          </w:p>
        </w:tc>
      </w:tr>
      <w:tr>
        <w:trPr>
          <w:trHeight w:val="187"/>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Provided to Joint</w:t>
            </w:r>
          </w:p>
        </w:tc>
      </w:tr>
      <w:tr>
        <w:trPr>
          <w:trHeight w:val="238"/>
        </w:trPr>
        <w:tc>
          <w:tcPr>
            <w:tcW w:w="3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664,812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660,135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452,260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437,607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416,241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409,316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395,611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425,316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292,216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304,600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250,373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318,686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247,730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133,405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223,137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215,548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189,556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262,451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177,704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220,926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176,470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165,492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516,139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322,274</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362,872</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8"/>
        </w:trPr>
        <w:tc>
          <w:tcPr>
            <w:tcW w:w="3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3,808,384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4,432,494</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630"/>
        </w:trPr>
        <w:tc>
          <w:tcPr>
            <w:tcW w:w="340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340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0" w:right="239" w:bottom="1440" w:gutter="0" w:footer="0" w:header="0"/>
        </w:sectPr>
      </w:pPr>
    </w:p>
    <w:bookmarkStart w:id="16" w:name="page17"/>
    <w:bookmarkEnd w:id="16"/>
    <w:p>
      <w:pPr>
        <w:ind w:right="16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ectPr>
          <w:pgSz w:w="11900" w:h="16838" w:orient="portrait"/>
          <w:cols w:equalWidth="0" w:num="1">
            <w:col w:w="11420"/>
          </w:cols>
          <w:pgMar w:left="240" w:top="472"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distribution of key financial statement data is as follows:</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31, 2015</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64,050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46,918</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16,402</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164,765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45,220</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7,055,557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7,184,623</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7,298,036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7,293,163</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472" w:right="2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8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31, 2015</w:t>
            </w:r>
          </w:p>
        </w:tc>
      </w:tr>
      <w:tr>
        <w:trPr>
          <w:trHeight w:val="21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1,509,659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2,103,589</w:t>
            </w: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911,227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708,635</w:t>
            </w:r>
          </w:p>
        </w:tc>
      </w:tr>
      <w:tr>
        <w:trPr>
          <w:trHeight w:val="216"/>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2,473,733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442,262</w:t>
            </w:r>
          </w:p>
        </w:tc>
      </w:tr>
      <w:tr>
        <w:trPr>
          <w:trHeight w:val="23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18,521,327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18,965,893</w:t>
            </w:r>
          </w:p>
        </w:tc>
      </w:tr>
      <w:tr>
        <w:trPr>
          <w:trHeight w:val="223"/>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23,415,946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22,220,379</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Total long-lived assets located in Brazil, India and China primarily consist of property, plant and equipment. These assets are periodically reviewed to assure the net realizable value from the estimated future production based on forecasted sales exceeds the carrying value of the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18, 2015, the Compensation Committee of the Board of Directors of the Company approved the material terms of an annual bonus plan for the Company’s executive officers as well as certain officers and employees for the fiscal year ending August 31, 2016. For fiscal 2016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2016 compared to a pre-established target Adjusted EBITOI for fiscal 2016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2016. There was $215,000 accrued for management bonuses for the nine months ended May 31, 2016 compared to an accrual of $466,000 for management bonuses for the nine months ended May 31, 2015.</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Four joint ventures (consisting of the Company’s joint ventures in Korea, India, Thailand and Tianjin Zerust) accounted for 65.6% of the Company’s trade joint venture receivables at May 31, 2016 and accounted for 67.0% of the Company’s trade joint venture receivables at August 31, 2015.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7" w:name="page18"/>
    <w:bookmarkEnd w:id="17"/>
    <w:p>
      <w:pPr>
        <w:ind w:right="60"/>
        <w:spacing w:after="0" w:line="258" w:lineRule="auto"/>
        <w:rPr>
          <w:sz w:val="20"/>
          <w:szCs w:val="20"/>
          <w:color w:val="auto"/>
        </w:rPr>
      </w:pPr>
      <w:r>
        <w:rPr>
          <w:rFonts w:ascii="Times New Roman" w:cs="Times New Roman" w:eastAsia="Times New Roman" w:hAnsi="Times New Roman"/>
          <w:sz w:val="18"/>
          <w:szCs w:val="18"/>
          <w:color w:val="auto"/>
        </w:rPr>
        <w:t>On March 23, 2015, the Company and NTI Asean filed a lawsuit in Tianjin No 1 Intermediate People’s Court against two individuals, Meng Tao and Xu Hui, related to breaches of duties and contractual commitments owed to NTI Asean under certain agreements related to the Company’s former joint venture in China, Tianjin Zerust Anti-Corrosion Technologies Ltd. The lawsuit alleges, among other things, that Mr. Meng Tao and Xu Hui have engaged in self-dealing, usurped business opportunities, and received economic benefits that were required to go to Tianjin Zerust. As of May 31, 2016, the Company is not able to reasonably estimate the amount of any recovery to NTI Asean, if any.</w:t>
      </w:r>
    </w:p>
    <w:p>
      <w:pPr>
        <w:spacing w:after="0" w:line="184"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May 31, 2016, the amount of liability, if any, with respect to these matters, individually or in the aggregate, will not materially affect the Company’s consolidated results of operations, financial position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2,239,792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2,239,792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20" w:type="dxa"/>
            <w:vAlign w:val="bottom"/>
            <w:gridSpan w:val="6"/>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August 31, 2015</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2,027,441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2,027,441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during the three and nine months ended May 31, 2016 and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Management’s Discussion and Analysis of Financial Condition and Results of Operations—Forward-Looking 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2015 and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report. The following discussion of the results of the operations and financial condition of NTIC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joint venture arrangements in North America, Europe and Asia.</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resins are fully biodegradable in a composting environment and are currently being used to produce finished products including can liners, shopping and grocery bags, lawn and leaf bags, pet waste collection bags, cutlery, packaging foam and coated paper products. In North America, NTIC markets its Natur-Tec® resins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resins and finished products both directly and through its majority- owned subsidiary in India, Natur-Tec India Private Limited (Natur-Tec India), and through certain joint ventures. In November 2014, NTIC entered into an agreement with NatureWorks LLC for joint marketing and sales of Ingeo® based packaging solutions to customers in India. With recent Indian government mandates banning use of non-biodegradable plastics in certain types of food and consumer packaging, NTIC expects the market in India for bioplastic packaging solutions to grow substantially.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Termination of Chinese Joint Venture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2, 2015, NTIC announced that, effective as of December 31, 2014, it is selling its ZERUST® products and services in China through a wholly-owned subsidiary, NTIC (Shanghai) Co., Ltd., and has terminated its joint venture agreements with Tianjin-Zerust Anticorrosion Co., Ltd. (Tianjin Zerust). NTIC and NTI Asean LLC have filed a lawsuit against Mr. Tao Meng, a Chinese national and the former joint venture entity’s other shareholder, and his spouse in the Chinese court of Tianjin, seeking, among other things, an orderly liquidation of Tianjin Zerust.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 indirectly has a 30% ownership interest in Tianjin Zerust through its 60% owned holding company subsidiary, NTI Asean LLC. Commencing during the second quarter of fiscal 2015, NTIC’s consolidated financial statements include the financial results of NTIC China.</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NTIC anticipates that it may take several quarters to transition many of the previous customers of Tianjin Zerust to NTIC China and no assurance can be provided that NTIC China will be able to achieve the net sales and income levels previously achieved by Tianjin Zerust. For fiscal 2014, Tianjin Zerust had net sales of $15.9 million and net income of $1.3 million. The operating income of the joint venture before paying royalties in an aggregate amount of $4.2 million to all shareholders was over $5.5 million; NTIC’s indirect ownership of Tianjin Zerust is 30%.</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fiscal 2015, NTIC incurred approximately $1,640,000 and during the first nine months of fiscal 2016, NTIC incurred approximately $1,425,000 in expenses related either directly or indirectly to the establishment and initial business operations of NTIC China, the termination of the joint venture agreements with Tianjin Zerust, its pending litigation against Mr. Tao Meng and his spouse and Cortec Corporation, and the anticipated liquidation of Tianjin Zerust. These expenses are recorded as selling, general and administrative expenses and expenses incurred in support of joint ventures on the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expects that its operating results may be volatile over the next few quarters as a result of NTIC’s Chinese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NTIC’s Joint Venture Network</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68"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results of Zerust Brazil, NTI Asean and Natur-Tec India, and as of December 31, 2014, NTIC China,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liquidation was initiated December 31, 2014), Indonesia, South Korea, Malaysia, Philippines, Singapore, Taiwan and Thailand. NTIC holds 90% of the equity and 90% of the voting rights of Natur-Tec India. NTIC China is a wholly-owned subsidiary of NTIC.</w:t>
      </w:r>
    </w:p>
    <w:p>
      <w:pPr>
        <w:spacing w:after="0" w:line="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400"/>
        <w:spacing w:after="0" w:line="313"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3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NTIC’s consolidated net sales increased 4.9% and 5.4% during the three and nine months ended May 31, 2016, respectively, compared to the three and nine months ended May 31, 2015. These increases were primarily a result of increased sales at NTIC China and increased sales of Natur-Tec® products, partially offset by decreased sales of Zerust industrial products. During the three and nine months ended May 31, 2016, 82.7% and 83.5% of NTIC’s consolidated net sales, respectively, were derived from sales of ZERUST® products and services, which increased 1.5% and 2.4% to $7,185,955 and $19,548,974 during the three and nine months ended May 31, 2016, respectively, compared to $7,076,760 and $19,098,816 during the three and nine months ended May 31, 2015, respectively, due to increased demand from new customers, primarily at NTIC China.</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nine months ended May 31, 2016 included $1,229,426 of sales made to customers in the oil and gas industry compared to $1,382,423 for the nine months ended May 31, 2015.</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Overall demand for ZERUST® products and services depends heavily on the overall health of the markets in which NTIC sells its products, including the automotive, oil and gas, agriculture, and mining markets in particular. In addition, we believe demand for ZERUST® products and services in the oil and gas industry is dependent upon oil prices, with low oil prices causing existing or potential customers to delay purchases and installations.</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May 31, 2016, 17.3% and 16.5%, of NTIC’s consolidated net sales were derived from sales of Natur-Tec® products compared to 14.5% and 14.0% during the three and nine months ended May 31, 2015, respectively. Net sales of Natur-Tec® products increased 25.0% and 23.9% during the three and nine months ended May 31, 2016 compared to the three and nine months ended May 31, 2015, respectively. These increases were primarily due to increases in finished product sales in North America and finished product sales at NTIC’s majority owned subsidiary in India, Natur-Tec India Private Limited (Natur-Tec India).</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1" w:name="page22"/>
    <w:bookmarkEnd w:id="2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Cost of goods sold as a percentage of net sales decreased to 66.5% during the three months ended May 31, 2016 compared to 67.6% during the three months ended May 31, 2015 and increased to 68.0% during the nine months ended May 31, 2016 compared to 67.8% during the prior fiscal year period. These small variances were primarily as a result of small variances in raw material prices during the various periods and better margins on sales of Natur-Tec® products.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NTIC’s equity in income of joint ventures decreased 3.5% and 25.1% to $1,664,464 and $3,600,884, respectively, during the three and nine months ended May 31, 2016 compared to $1,724,915 and $4,806,247 during the three and nine months ended May 31, 2015. These decreases were primarily a result of decreases in profitability at the joint ventures, decreases associated with the anticipated liquidation of Tianjin Zerust and adverse effects of foreign currency exchange rate fluctuations, including in particular the Euro compared to the U.S. dollar. Equity in income provided by Tianjin Zerust was $0 for the nine months ended May 31, 2016 compared to $132,824 for the nine months ended May 31,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recognized a 3.7% increase and a 14.1% decrease in fees for services provided to joint ventures during the three and nine months ended May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three and nine months ended May 31, 2015, respectively. The decrease for the nine-month period was primarily a result of the anticipated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of Tianjin Zerust and a decrease in sales at the joint ventures. Fees for services provided to Tianjin Zerust were $0 for the nine months ended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2016 compared to $516,000 for the nine months ended May 31, 2015. Additionally, there was a decrease in sales at the joint ventures, which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$66,223,514 during the nine months ended May 31, 2016, compared to $75,974,770 for the nine months ended May 31, 2015. This decrease in the net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NTIC’s joint ventures was primarily the result of adverse effects of foreign currency exchange rate fluctuations and weaker economic trends, especially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This decrease resulted in a corresponding decrease in fees for services provided to joint ventures as such fees are a function of net sales of NTIC’s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NTIC’s total operating expenses increased 3.6% and 2.6% to $4,697,018 and $13,796,320 during the three and nine months ended May 31, 2016 compared to the nine months ended May 31, 2015, respectively. This increase was primarily the result of the expenses related to the formation and establishment of NTIC China and the anticipated liquidation of Tianjin Zerust, partially offset by decreases in expenses in North America due to companywide cost cutting initiatives. Such expenses in China consisted primarily of legal and personnel expenses associated with the establishment of the subsidiary, the hiring of new personnel and initial operations.</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NTIC expenses all costs related to product research and development as incurred. NTIC incurred $3,349,572 and $2,968,879 of expense during the nine months ended May 31, 2016 and 2015, respectively, in connection with its research and development activities. NTIC anticipates that it will spend between $4,000,000 and $4,400,000 in total during fiscal 2016 on research and development activities related to its new technologies.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income attributable to NTIC was $917,373, or $0.20 per diluted common share, for the three months ended May 31, 2016 compared to $905,435, or $0.20 per diluted common share, for the three months ended May 31, 2015. Net income attributable to NTIC decreased 67.8%, to $575,233, or $0.13 per diluted common share, for the nine months ended May 31, 2016 compared to $1,785,056 or $0.39 per diluted common share, for the nine months ended May 31, 2015.</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 anticipates that its quarterly net income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be particularly volatile as a result of the changes in its Chinese operations.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2" w:name="page23"/>
    <w:bookmarkEnd w:id="22"/>
    <w:p>
      <w:pPr>
        <w:ind w:right="100"/>
        <w:spacing w:after="0" w:line="282" w:lineRule="auto"/>
        <w:rPr>
          <w:sz w:val="20"/>
          <w:szCs w:val="20"/>
          <w:color w:val="auto"/>
        </w:rPr>
      </w:pPr>
      <w:r>
        <w:rPr>
          <w:rFonts w:ascii="Times New Roman" w:cs="Times New Roman" w:eastAsia="Times New Roman" w:hAnsi="Times New Roman"/>
          <w:sz w:val="18"/>
          <w:szCs w:val="18"/>
          <w:color w:val="auto"/>
        </w:rPr>
        <w:t>NTIC’s working capital was $18,392,783 at May 31, 2016, including $4,626,538 in cash and cash equivalents and $2,239,792 in available for sale securities, compared to $15,603,771 at August 31, 2015, including $2,623,981 in cash and cash equivalents and $2,027,441 in available for sale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NTIC’s results of operations for the three and nine months ended May 31, 2016 and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c>
          <w:tcPr>
            <w:tcW w:w="132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7,925,357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7,553,957</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371,400</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761,218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723,618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5,777,249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5,595,207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182,042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1,664,464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1,724,915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1,351,913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1,303,964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47,949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1,507,200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1,434,627</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72,573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1,691,077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1,703,083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266,791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327,586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1,231,950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1,064,710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167,240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87"/>
        </w:trPr>
        <w:tc>
          <w:tcPr>
            <w:tcW w:w="3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c>
          <w:tcPr>
            <w:tcW w:w="130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4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21,454,381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20,030,491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1,423,890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1,961,565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2,189,888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15,920,896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15,059,558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861,338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3,600,884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4,806,247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(1,205,363)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3,808,384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4,432,494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(624,110)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4,168,955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338,761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5,057,777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4,794,206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263,571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881,255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1,510,830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(629,575)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3,349,572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2,968,879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380,693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96"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i w:val="1"/>
          <w:iCs w:val="1"/>
          <w:color w:val="auto"/>
        </w:rPr>
        <w:t>Net Sales</w:t>
      </w:r>
      <w:r>
        <w:rPr>
          <w:rFonts w:ascii="Times New Roman" w:cs="Times New Roman" w:eastAsia="Times New Roman" w:hAnsi="Times New Roman"/>
          <w:sz w:val="17"/>
          <w:szCs w:val="17"/>
          <w:color w:val="auto"/>
        </w:rPr>
        <w:t>. NTIC’s consolidated net sales increased 4.9% and 5.4% to $8,686,575 and $23,415,946, respectively, during the three and nine months ended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31, 2016 compared to the three and nine months ended May 31, 2015. NTIC’s consolidated net sales excluding NTIC’s joint ventures increased 4.9% and 7.1% to $7,925,357 and $21,454,381, respectively, during the three and nine months ended May 31, 2016 compared to the same respective prior fiscal year</w:t>
      </w:r>
    </w:p>
    <w:p>
      <w:pPr>
        <w:spacing w:after="0" w:line="1" w:lineRule="exact"/>
        <w:rPr>
          <w:sz w:val="20"/>
          <w:szCs w:val="20"/>
          <w:color w:val="auto"/>
        </w:rPr>
      </w:pPr>
    </w:p>
    <w:p>
      <w:pPr>
        <w:jc w:val="both"/>
        <w:ind w:right="60"/>
        <w:spacing w:after="0" w:line="217" w:lineRule="auto"/>
        <w:rPr>
          <w:sz w:val="20"/>
          <w:szCs w:val="20"/>
          <w:color w:val="auto"/>
        </w:rPr>
      </w:pPr>
      <w:r>
        <w:rPr>
          <w:rFonts w:ascii="Times New Roman" w:cs="Times New Roman" w:eastAsia="Times New Roman" w:hAnsi="Times New Roman"/>
          <w:sz w:val="18"/>
          <w:szCs w:val="18"/>
          <w:color w:val="auto"/>
        </w:rPr>
        <w:t>periods. These increases were primarily a result of increased demand and sales of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rust and corrosion inhibiting packaging products and services at NTIC China and Natur-Tec® products. Net sales to joint ventures increased 5.2% and decreased 10.4% to $761,218 and $1,961,565 during the three and nine months ended May 31, 2016, respectively, compared to the same respective prior fiscal year periods.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for the three and nine months ended May 31, 2016 and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May 31, 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2015</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7,185,955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7,076,760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19,548,974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19,098,816</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Natur-Tec®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1,500,620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1,200,815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3,866,972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3,121,563</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8,686,575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8,277,575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23,415,946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22,220,379</w:t>
            </w:r>
          </w:p>
        </w:tc>
      </w:tr>
    </w:tbl>
    <w:p>
      <w:pPr>
        <w:spacing w:after="0" w:line="198"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7"/>
          <w:szCs w:val="17"/>
          <w:color w:val="auto"/>
        </w:rPr>
        <w:t>During the three and nine months ended May 31, 2016, 82.7% and 83.5% of NTIC’s consolidated net sales, respectively, were derived from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which increased 1.5% and 2.4% to $7,185,955 and $19,548,974 during the three and nine months ended May 31, 2016, respectively, compared to $7,076,760 and $19,098,816 during the three and nine months ended May 31, 2015, respectively. These increases were due to increased demand from existing customers and the addition of new customers, primarily at NTIC China. NTIC has strategically focused its sales efforts for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on customers with sizeable corrosion problems in industry sectors that offer sizable growth opportunities, including the oil</w:t>
      </w:r>
    </w:p>
    <w:p>
      <w:pPr>
        <w:spacing w:after="0" w:line="2" w:lineRule="exact"/>
        <w:rPr>
          <w:sz w:val="20"/>
          <w:szCs w:val="20"/>
          <w:color w:val="auto"/>
        </w:rPr>
      </w:pPr>
    </w:p>
    <w:p>
      <w:pPr>
        <w:ind w:right="300"/>
        <w:spacing w:after="0" w:line="224" w:lineRule="auto"/>
        <w:rPr>
          <w:sz w:val="20"/>
          <w:szCs w:val="20"/>
          <w:color w:val="auto"/>
        </w:rPr>
      </w:pPr>
      <w:r>
        <w:rPr>
          <w:rFonts w:ascii="Times New Roman" w:cs="Times New Roman" w:eastAsia="Times New Roman" w:hAnsi="Times New Roman"/>
          <w:sz w:val="18"/>
          <w:szCs w:val="18"/>
          <w:color w:val="auto"/>
        </w:rPr>
        <w:t>and gas sector. Overall demand for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depends heavily on the overall health of the market segments to which NTIC sells its products, including the automotive, oil and gas, agriculture, and mining markets in particular. In addition, we believe demand for ZERUST® products and services in the oil and gas industry is dependent upon oil prices, with low oil prices causing existing or potential customers to delay purchases and installations.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The following table sets forth NTIC’s net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for the three and nine months ended May 31, 2016 and 2015:</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industrial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joint venture net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oil &amp; gas net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ZERUST®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industrial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joint venture net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oil &amp; gas net sales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ZERUST® net sales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6,018,276</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5,849,301</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168,975</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511,856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503,841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8"/>
        </w:trPr>
        <w:tc>
          <w:tcPr>
            <w:tcW w:w="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7,185,955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7,076,760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109,195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-585470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-302260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16,357,983</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15,526,505</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831,478</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5.4%</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1,961,565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2,189,888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1,229,426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1,382,423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(152,997)</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8"/>
        </w:trPr>
        <w:tc>
          <w:tcPr>
            <w:tcW w:w="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19,548,974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19,098,816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450,158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-585470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-302260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840"/>
          </w:cols>
          <w:pgMar w:left="240" w:top="476" w:right="239" w:bottom="1440" w:gutter="0" w:footer="0" w:header="0"/>
          <w:type w:val="continuous"/>
        </w:sectPr>
      </w:pPr>
    </w:p>
    <w:p>
      <w:pPr>
        <w:spacing w:after="0" w:line="1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NTIC’s net sales to the oil and gas industry sector were up slightly for the three-month comparison and decreased for the nine-month comparison. NTIC anticipates that its sales of ZERUST® products and services into the oil and gas industry will continue to remain subject to significant volatility from quarter to quarter as sales are recognized.</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May 31, 2016, 17.3% and 16.5% of NTIC’s consolidated net sales, respectively, were derived from sales of Natur-Tec® products, which increased 25.0% and 23.9% to $1,500,620 and $3,866,972 during the three and nine months ended May 31, 2016, respectively, compared to the three and nine months ended May 31, 2015. These increases were due to increased demand from Natur-Tec customers in North America and India.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could materially affect NTIC’s quarterly sales of Natur-Tec® products and the comparisons to prior fiscal year quarters.</w:t>
      </w:r>
    </w:p>
    <w:p>
      <w:pPr>
        <w:spacing w:after="0" w:line="18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3.3% and 5.7% for the three and nine months ended May 31, 2016, respectively, compared to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May 31, 2015 primarily as a result of increased net sales as described above. Cost of goods sold as a percentage of net sales decreased to 66.5% during the three months ended May 31, 2016 compared to 67.6% during the three months ended May 31, 2015 and increased to 68.0% during the nine months ended May 31, 2016 compared to 67.8% during the nine months ended May 31, 2015. These changes in cost of goods sold as a percentage of net sales were primarily the result of changes in raw material costs and margins on sales of Natur-Tec®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Equity in Income of Joint Ventures. </w:t>
      </w:r>
      <w:r>
        <w:rPr>
          <w:rFonts w:ascii="Times New Roman" w:cs="Times New Roman" w:eastAsia="Times New Roman" w:hAnsi="Times New Roman"/>
          <w:sz w:val="18"/>
          <w:szCs w:val="18"/>
          <w:color w:val="auto"/>
        </w:rPr>
        <w:t>NTIC’s equity in income of joint ventures decreased 3.5% and 25.1% to $1,664,464 and $3,600,884 during the three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May 31, 2016, respectively, compared to equity in income of joint ventures of $1,724,915 and $4,806,247 during the three and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May 31, 2015, respectively. These decreases were primarily a result of decreases in the profitability at the joint ventures, a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associated with the anticipated liquidation of Tianjin Zerust and adverse effects of foreign currency exchange rate fluctuations, including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particular the Euro compared to the U.S. dollar. Equity in income provided by Tianjin Zerust was $0 for the nine months ended May 31, 2016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$132,824 for the nine months ended May 31, 2015. Of the total equity in income of joint ventures, NTIC had equity in income of joint ventures of $2,714,905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EXCOR during the nine months ended May 31, 2016 compared to $3,152,489 attributable to EXCOR during the nine months ended May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NTIC had equity in income of all other joint ventures of $885,979 during the nine months ended May 31, 2016 compared to $1,520,934 during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May 31, 2015.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24" w:name="page25"/>
    <w:bookmarkEnd w:id="24"/>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Fees for Services Provided to Joint Ventures. </w:t>
      </w:r>
      <w:r>
        <w:rPr>
          <w:rFonts w:ascii="Times New Roman" w:cs="Times New Roman" w:eastAsia="Times New Roman" w:hAnsi="Times New Roman"/>
          <w:sz w:val="18"/>
          <w:szCs w:val="18"/>
          <w:color w:val="auto"/>
        </w:rPr>
        <w:t>NTIC recognized fee income for services provided to joint ventures of $1,351,913 and $3,808,384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May 31, 2016, respectively, compared to $1,303,964 and $4,432,494 during the three and nine months ended May 31, 2015, respectively, representing an increase of 3.7% and decrease of 14.1%, respectively. The decrease for the nine-month comparison was primarily a result of the anticipated liquidation Tianjin Zerust as fees for services provided to joint ventures from Tianjin Zerust were $0 for the nine months ended May 31, 2016 compared to $516,000 for the nine months ended May 31, 2015. Additionally, there was a decrease in total sales at all joint ventures for the nine-month comparison which adversely affected fees for services provided to joint ventures since fees for services provided to joint ventures are largely a function of the net sales of NTIC’s joint ventures. Total sales at all joint ventures were $24,223,090 and $66,223,514 during the three and nine months ended May 31, 2016, respectively, compared to $23,796,532 and $75,974,770 for the three and nine months ended May 31, 2015, respectively. Net sales of NTIC’s joint ventures decreased for the nine-month comparison due primarily to the adverse effects of foreign currency exchange rate fluctuations and weaker economic trends, especially in Europe. Net sales of NTIC’s European joint ventures were adversely affected by a downturn in European manufacturing. Future net sales of NTIC’s joint ventures, including in particular its European joint ventures, may be adversely affected by the recent referendum vote of the United Kingdom to exit the European Union. Sales of NTIC’s joint ventures are not included in NTIC’s product sales and are not combined with NTIC’s sales in NTIC’s consolidated financial statements or in any description of NTIC’s sales. Of the total fee income for services provided to joint ventures, fees of $664,812 were attributable to EXCOR during the nine months ended May 31, 2016 compared to $660,135 attributable to EXCOR during the nine months ended May 31, 2015.</w:t>
      </w:r>
    </w:p>
    <w:p>
      <w:pPr>
        <w:spacing w:after="0" w:line="19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5.1% and 8.1% for the three and nine months ended May 31, 2016, respectively,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in fiscal 2015 due to increases in compensation and employee benefits, lab testing related expenses, commission expenses, travel and related expenses, and consulting expenses, each due in part to NTIC’s Chinese operations. Selling expenses as a percentage of net sales increased to 17.4% and 19.3% for the three and nine months ended May 31, 2016, respectively, from 17.3% and 18.8% and during the three and nine months ended May 31, 2015, respectively. The increases in selling expenses as a percentage of net sales were due primarily to the increase in net sales partially offset by the increase in selling expenses as previously described.</w:t>
      </w:r>
    </w:p>
    <w:p>
      <w:pPr>
        <w:spacing w:after="0" w:line="18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NTIC’s general and administrative expenses decreased 0.7% and increased 5.5% for the three and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31, 2016, respectively, compared to the same respective periods in fiscal 2015. NTIC implemented cost cutting measures companywide in the third quarter of fiscal year 2016, which partially offset the expenses incurred in connection with NTIC’s Chinese operations. As a percentage of net sales, general and administrative expenses decreased to 19.5% and remained unchanged at 21.6% for the three and nine months ended May 31, 2016, respectively, from</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20.6% and 21.6% for the three and nine months ended May 31, 2015, respectively. The decrease in general and administrative expenses as a percentage of net sales for the three-month comparison was due primarily to the decrease in general and administrative expenses as previously described.</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Expenses Incurred in Support of Joint Ventures. </w:t>
      </w:r>
      <w:r>
        <w:rPr>
          <w:rFonts w:ascii="Times New Roman" w:cs="Times New Roman" w:eastAsia="Times New Roman" w:hAnsi="Times New Roman"/>
          <w:sz w:val="18"/>
          <w:szCs w:val="18"/>
          <w:color w:val="auto"/>
        </w:rPr>
        <w:t>Expenses incurred in support of NTIC’s joint ventures were $266,791 and $881,255 during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May 31, 2016, respectively, compared to $327,586 and $1,510,830 during the three and nine months ended May 31, 2015, respectively, representing decreases of 18.6% and 41.7%, respectively. These decreases were primarily due to expenses incurred by NTIC’s Chinese operations being classified as selling expenses and general and administrative expenses upon the formation of NTIC’s subsidiary in January 2015.</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70" w:right="259" w:bottom="1440" w:gutter="0" w:footer="0" w:header="0"/>
        </w:sectPr>
      </w:pPr>
    </w:p>
    <w:bookmarkStart w:id="25" w:name="page26"/>
    <w:bookmarkEnd w:id="25"/>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15.7% for the three months ended May 31, 2016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fiscal 2015 and increased 12.8% for the nine months ended May 31, 2016 compared to the same period in fiscal 2015. These increases were due primarily to increases in personnel and consulting expenses.</w:t>
      </w:r>
    </w:p>
    <w:p>
      <w:pPr>
        <w:spacing w:after="0" w:line="17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$29,868 and $58,425 during the three and nine months ended May 31, 2016,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$7,943 and $25,504 during the three and nine months ended May 31, 2015, respectively.</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$15,465 during the three months ended May 31, 2016 compared to $6,004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May 31, 2015 and increased to $30,987 during the nine months ended May 31, 2016 compared to $14,232 during the nine months ended May 31, 2015.</w:t>
      </w:r>
    </w:p>
    <w:p>
      <w:pPr>
        <w:spacing w:after="0" w:line="15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incurred income before income tax expense of $1,249,382 and $1,142,691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2016, respectively, compared to $1,183,180 and $2,970,109 for the three and nine months ended May 31, 2015, respectively.</w:t>
      </w:r>
    </w:p>
    <w:p>
      <w:pPr>
        <w:spacing w:after="0" w:line="15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$225,395 and $262,359 during the three and nine months ended May 31, 2016, respectively, compared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of $114,180 and $495,478 during the three and nine months ended May 31, 2015, respectively. Income tax expense was calculated based on management’s estimate of NTIC’s annual effective income tax rate. NTIC’s annual effective income tax rate during the three and nine months ended May 31, 2016 and 2015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its future domestic cash needs. As a result, U.S. income and foreign withholding taxes have not been recognized on the cumulative undistributed earnings of $15,892,135 and $18,483,377 at May 31, 2016 and August 31, 2015, respectively. To the extent undistributed earnings of NTIC’s joint ventures are distributed in the future, they are not expected to result in any material additional income tax liability after the application of foreign tax credits.</w:t>
      </w:r>
    </w:p>
    <w:p>
      <w:pPr>
        <w:spacing w:after="0" w:line="182"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(Loss) Income - Foreign Currency Translations Adjustment. </w:t>
      </w:r>
      <w:r>
        <w:rPr>
          <w:rFonts w:ascii="Times New Roman" w:cs="Times New Roman" w:eastAsia="Times New Roman" w:hAnsi="Times New Roman"/>
          <w:sz w:val="18"/>
          <w:szCs w:val="18"/>
          <w:color w:val="auto"/>
        </w:rPr>
        <w:t>The significant changes in the foreign currency translations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due to the strengthening of the U.S. dollar compared to the Euro and other foreign currencies during the three and nine months ended May 31, 2016 compared to the same respective periods in fiscal 2015.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As of May 31, 2016, NTIC’s working capital was $18,392,783, including $4,626,538 in cash and cash equivalents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$2,239,792 in available for sale securities, compared to $15,603,771 at August 31, 2015, including $2,623,981 in cash and cash equivalents and $2,027,441 in available for sale securities.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May 31, 2016,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2016, NTIC was in compliance with all debt covenants. On January 6, 2016, PNC Bank extended the maturity date of the line of credit from January 7, 2016 to January 7, 2017.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2016, NTIC expects to continue to invest its Chinese operations, research and development and in marketing efforts and resources into the application of its corrosion prevention technology into the oil and gas industry and its Natur-Tec®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Net cash provided by operating activities during the nine months ended May 31, 2016 was $3,053,297,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dividends received from NTIC’s joint ventures, NTIC’s net income, the expensing of fair value of stock options vested, depreciation and amortization expense, and an increase in accounts payable, partially offset by equity income from NTIC’s joint ventures, and a decrease in trade receivables and accrued liabilities. Net cash provided by operating activities during the nine months ended May 31, 2015 was $36,221, which resulted principally from dividends received from NTIC’s joint ventures, NTIC’s net income, fees for services provided to NTIC’s joint ventures, stock-based compensation, depreciation and amortization, partially offset by NTIC’s equity in income from joint ventures and increases in receivables, inventories, accrued liabilities and prepaid expenses.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7" w:name="page28"/>
    <w:bookmarkEnd w:id="27"/>
    <w:p>
      <w:pPr>
        <w:ind w:right="10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experienced an increase in receivables and a decrease in inventory as of May 31, 2016 compared to August 31, 2015 due to the increase in net sales and a desire to stock more products to shorten lead times and anticipate customer demand. Trade receivables excluding joint ventures as of May 31, 2016 increased $570,647 compared to August 31, 2015, primarily related to the increase in NTIC’s net sales. Outstanding trade receivables excluding joint ventures balances as of May 31, 2016 increased 56 days to an average of 106 days from balances outstanding from these customers as of August 31, 2015. Outstanding trade receivables from joint ventures as of May 31, 2016 increased $73,522 compared to August 31, 2015 primarily due to the timing of payments. There was an increase of outstanding balances from trade receivables from joint ventures as of May 31, 2016 of an average of 80 days from an average of 93 days from balances outstanding from these customers compared to August 31, 2015. The significant average days outstanding of trade receivables from joint ventures as of May 31, 2016 were primarily due to the receivable balance at NTIC’s joint venture in in South Korea and Tianjin Zerust. Because of the lack of financial and other information received from Tianjin Zerust, it is possible that if and when financial and other information is received from Tianjin Zerust that NTIC may need to recognize an impairment charge on its receivable from Tianjin Zerust. NTIC estimates that its maximum exposure in terms of an impairment charge on this receivable would be approximately $114,000.</w:t>
      </w:r>
    </w:p>
    <w:p>
      <w:pPr>
        <w:spacing w:after="0" w:line="19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May 31, 2016 decreased $97,569 compared to August 31, 2015, which resulted in a decrease of 79 days of fees receivable outstanding as of May 31, 2016 to an average of 183 days compared to August 31, 2015.</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May 31, 2016 was $794,668, which was primarily the result of additions to property and equipment, cash used in the purchase of available for sale securities, and additions to patents. Net cash provided by investing activities for the nine months ended May 31, 2015 was $1,755,098, which was primarily the result of cash proceeds from the sale of available for sale securities, partially offset by additions to property and equipment and additions to patents.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May 31, 2016 was $228,817, which resulted from a dividend paid to a non-controlling interest and the repurchase of common stock, and offset by proceeds from NTIC’s employee stock purchase plan. Net cash used in financing activities for the nine months ended May 31, 2015 was $402,570, which resulted from a dividend paid to a non-controlling interest, and offset by proceeds from stock option exercises and NTIC’s employee stock purchase plan.</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During the nine months ended May 31, 2016, NTIC repurchased an aggregate of 7,511 shares for an aggregate purchase price of $97,400. As of May 31, 2016, up to $2,878,197 in shares of NTIC common stock remained available for repurchase under NTIC’s stock repurchase program.</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8" w:name="page29"/>
    <w:bookmarkEnd w:id="28"/>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$490,483 on capital expenditures during the nine months ended May 31, 2016 and expects to spend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of approximately $100,000 to $150,000 on capital expenditures during the remainder of fiscal 2016. Anticipated capital expenditures for fiscal 2016 relate primarily to the purchase of new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8"/>
          <w:szCs w:val="18"/>
          <w:color w:val="auto"/>
        </w:rPr>
        <w:t>There has been no material change to NTIC’s contractual obligations as provided in “</w:t>
      </w:r>
      <w:r>
        <w:rPr>
          <w:rFonts w:ascii="Times New Roman" w:cs="Times New Roman" w:eastAsia="Times New Roman" w:hAnsi="Times New Roman"/>
          <w:sz w:val="18"/>
          <w:szCs w:val="18"/>
          <w:i w:val="1"/>
          <w:iCs w:val="1"/>
          <w:color w:val="auto"/>
        </w:rPr>
        <w:t>Part II. Item 7,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Operations—Contractual Obligations</w:t>
      </w:r>
      <w:r>
        <w:rPr>
          <w:rFonts w:ascii="Times New Roman" w:cs="Times New Roman" w:eastAsia="Times New Roman" w:hAnsi="Times New Roman"/>
          <w:sz w:val="18"/>
          <w:szCs w:val="18"/>
          <w:color w:val="auto"/>
        </w:rPr>
        <w:t>,” included in NTIC’s annual report on Form 10-K for the fiscal year ended August 31, 2015.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in the United States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2016, NTIC had no borrowings under the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470" w:right="319" w:bottom="1440" w:gutter="0" w:footer="0" w:header="0"/>
        </w:sectPr>
      </w:pPr>
    </w:p>
    <w:bookmarkStart w:id="29" w:name="page30"/>
    <w:bookmarkEnd w:id="29"/>
    <w:p>
      <w:pPr>
        <w:jc w:val="both"/>
        <w:ind w:right="160"/>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Operations—Critical Accounting Policies</w:t>
      </w:r>
      <w:r>
        <w:rPr>
          <w:rFonts w:ascii="Times New Roman" w:cs="Times New Roman" w:eastAsia="Times New Roman" w:hAnsi="Times New Roman"/>
          <w:sz w:val="18"/>
          <w:szCs w:val="18"/>
          <w:color w:val="auto"/>
        </w:rPr>
        <w:t>”, included in NTIC’s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ended August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24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the termination of the joint venture agreements with Tianjin Zerust, the pending litigation against Mr. Tao Meng and Cortec Corporation and the anticipated liquidation of Tianjin Zerust and the effect on NTIC’s business and future operating results, including possible future impairment charges on NTIC’s investment in Tianjin Zerust and a receivable from Tianjin Zerust;</w:t>
      </w:r>
    </w:p>
    <w:p>
      <w:pPr>
        <w:spacing w:after="0" w:line="176"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the European sovereign debt crisis and turmoil and disruption in the global credit and financial markets on NTIC’s business;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recent referendum vote of the United Kingdom to exit the European Union on NTIC’s operating results, including in particular future net sales of NTIC’s European and other joint ventures;</w:t>
      </w:r>
    </w:p>
    <w:p>
      <w:pPr>
        <w:spacing w:after="0" w:line="165" w:lineRule="exact"/>
        <w:rPr>
          <w:rFonts w:ascii="Times New Roman" w:cs="Times New Roman" w:eastAsia="Times New Roman" w:hAnsi="Times New Roman"/>
          <w:sz w:val="18"/>
          <w:szCs w:val="18"/>
          <w:color w:val="auto"/>
        </w:rPr>
      </w:pPr>
    </w:p>
    <w:p>
      <w:pPr>
        <w:ind w:left="980" w:right="500" w:hanging="324"/>
        <w:spacing w:after="0" w:line="203" w:lineRule="auto"/>
        <w:tabs>
          <w:tab w:leader="none" w:pos="98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variability in NTIC’s sales of ZERUST® products and services into oil and gas industry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NTIC’s equity income of joint ventures, which variability in sales and equity in income of joint venture in turn, subject NTIC’s earnings to quarterly fluctuations;</w:t>
      </w:r>
    </w:p>
    <w:p>
      <w:pPr>
        <w:spacing w:after="0" w:line="200" w:lineRule="exact"/>
        <w:rPr>
          <w:rFonts w:ascii="Times New Roman" w:cs="Times New Roman" w:eastAsia="Times New Roman" w:hAnsi="Times New Roman"/>
          <w:sz w:val="36"/>
          <w:szCs w:val="36"/>
          <w:color w:val="auto"/>
          <w:vertAlign w:val="superscript"/>
        </w:rPr>
      </w:pPr>
    </w:p>
    <w:p>
      <w:pPr>
        <w:ind w:left="980" w:right="30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and import duties and taxes;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470" w:right="279" w:bottom="1440" w:gutter="0" w:footer="0" w:header="0"/>
        </w:sectPr>
      </w:pPr>
    </w:p>
    <w:bookmarkStart w:id="30" w:name="page31"/>
    <w:bookmarkEnd w:id="30"/>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U.S. automotive industry on NTIC’s business;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4" w:right="12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w:t>
      </w:r>
    </w:p>
    <w:p>
      <w:pPr>
        <w:spacing w:after="0" w:line="161"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w:t>
      </w:r>
    </w:p>
    <w:p>
      <w:pPr>
        <w:spacing w:after="0" w:line="225" w:lineRule="exact"/>
        <w:rPr>
          <w:rFonts w:ascii="Times New Roman" w:cs="Times New Roman" w:eastAsia="Times New Roman" w:hAnsi="Times New Roman"/>
          <w:sz w:val="18"/>
          <w:szCs w:val="18"/>
          <w:color w:val="auto"/>
        </w:rPr>
      </w:pPr>
    </w:p>
    <w:p>
      <w:pPr>
        <w:ind w:left="324" w:right="60" w:hanging="324"/>
        <w:spacing w:after="0" w:line="223"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the often lengthy and extensive sales process involved in selling such products and services;</w:t>
      </w:r>
    </w:p>
    <w:p>
      <w:pPr>
        <w:spacing w:after="0" w:line="19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8" w:lineRule="exact"/>
        <w:rPr>
          <w:rFonts w:ascii="Times New Roman" w:cs="Times New Roman" w:eastAsia="Times New Roman" w:hAnsi="Times New Roman"/>
          <w:sz w:val="18"/>
          <w:szCs w:val="18"/>
          <w:color w:val="auto"/>
        </w:rPr>
      </w:pPr>
    </w:p>
    <w:p>
      <w:pPr>
        <w:ind w:left="324" w:right="300" w:hanging="324"/>
        <w:spacing w:after="0" w:line="188" w:lineRule="auto"/>
        <w:tabs>
          <w:tab w:leader="none" w:pos="324"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Maturation of certain existing markets for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NTIC’s ability to grow market share and succeed in penetrating other existing and new markets;</w:t>
      </w:r>
    </w:p>
    <w:p>
      <w:pPr>
        <w:spacing w:after="0" w:line="202" w:lineRule="exact"/>
        <w:rPr>
          <w:rFonts w:ascii="Times New Roman" w:cs="Times New Roman" w:eastAsia="Times New Roman" w:hAnsi="Times New Roman"/>
          <w:sz w:val="36"/>
          <w:szCs w:val="36"/>
          <w:color w:val="auto"/>
          <w:vertAlign w:val="superscript"/>
        </w:rPr>
      </w:pPr>
    </w:p>
    <w:p>
      <w:pPr>
        <w:ind w:left="324" w:hanging="324"/>
        <w:spacing w:after="0" w:line="188" w:lineRule="auto"/>
        <w:tabs>
          <w:tab w:leader="none" w:pos="324"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Increased competition, especially with respect to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and the effect of such competition on NTIC’s and its joint ventures’ pricing, net sales and margins;</w:t>
      </w:r>
    </w:p>
    <w:p>
      <w:pPr>
        <w:spacing w:after="0" w:line="198" w:lineRule="exact"/>
        <w:rPr>
          <w:rFonts w:ascii="Times New Roman" w:cs="Times New Roman" w:eastAsia="Times New Roman" w:hAnsi="Times New Roman"/>
          <w:sz w:val="36"/>
          <w:szCs w:val="36"/>
          <w:color w:val="auto"/>
          <w:vertAlign w:val="superscript"/>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0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Oil prices, which may affect sales of NTIC’s ZERUST</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products and services into the oil and gas industry;</w:t>
      </w:r>
    </w:p>
    <w:p>
      <w:pPr>
        <w:spacing w:after="0" w:line="77" w:lineRule="exact"/>
        <w:rPr>
          <w:rFonts w:ascii="Times New Roman" w:cs="Times New Roman" w:eastAsia="Times New Roman" w:hAnsi="Times New Roman"/>
          <w:sz w:val="36"/>
          <w:szCs w:val="36"/>
          <w:color w:val="auto"/>
          <w:vertAlign w:val="superscript"/>
        </w:rPr>
      </w:pPr>
    </w:p>
    <w:p>
      <w:pPr>
        <w:ind w:left="324" w:right="300" w:hanging="324"/>
        <w:spacing w:after="0" w:line="279"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00" w:lineRule="exact"/>
        <w:rPr>
          <w:sz w:val="20"/>
          <w:szCs w:val="20"/>
          <w:color w:val="auto"/>
        </w:rPr>
      </w:pPr>
    </w:p>
    <w:p>
      <w:pPr>
        <w:spacing w:after="0" w:line="241"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24"/>
          </w:cols>
          <w:pgMar w:left="896" w:top="688" w:right="279" w:bottom="1440" w:gutter="0" w:footer="0" w:header="0"/>
        </w:sectPr>
      </w:pPr>
    </w:p>
    <w:bookmarkStart w:id="31" w:name="page32"/>
    <w:bookmarkEnd w:id="31"/>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accelerated filer status and its joint venture arrangements;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2015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could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2" w:name="page33"/>
    <w:bookmarkEnd w:id="32"/>
    <w:p>
      <w:pPr>
        <w:ind w:right="1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2016, NTIC had no borrowings under the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May 31, 2016 that has materially affected, or is reasonably likely to materially affect NTIC’s internal control over financial reporting.</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23, 2015, NTIC and NTI Asean LLC, a majority-owned subsidiary of NTIC, filed a lawsuit in Tianjin No 1 Intermediate People’s Court against two individuals, Meng Tao and Xu Hui, related to breaches of duties and contractual commitments owed to NTI Asean under certain agreements related to NTIC’s former joint venture in China, Tianjin Zerust Anti-Corrosion Technologies Ltd.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NTIC’s joint venture in China, Tianjin Zerust. On November 4, 2015, NTIC and NTI Asean were permitted to file an amended complaint adding new counts, including, but not limited to, one for breach of contract, arising out of Cortec’s breach of a 2005 Settlement Agreement and Consent Order. The case was subsequently assigned to the complex civil jury trial calendar, extending deadlines for discovery and trial. The current discovery deadline is September 23, 2016 and the trial will be scheduled during the March 27-April 14, 2017 jury trial block in Ramsey County. The parties attended a court ordered mediation on September 24, 2015 which did not result in a settlement. A second mediation deadline of August 12, 2016 was set by the court in the amended scheduling order.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from time to time we are involved in routine litigation that arises in the ordinary course of our business.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pending or threatened legal actions and proceedings, including those that arise in the ordinary course of our business, which may include employment matters and breach of contract disputes. Such matters are subject to many uncertainties and to outcomes that are not predictable with assurance and that may not be known for extended periods of time. In the opinion of management, the outcome of such routine pending litigation is not expected to have a material adverse effect on our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31, 2016, NTIC did not issue any shares of its common stock or other equity securities of NTIC that were not registered under the Securities Act of 1933, as amended.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stock repurchase activity during the three months ended May 31, 2016.</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60" w:type="dxa"/>
            <w:vAlign w:val="bottom"/>
            <w:tcBorders>
              <w:top w:val="single" w:sz="8" w:color="auto"/>
              <w:left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1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21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16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1, 2016 through March 31, 2016</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1, 2016 through April 30, 2016</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1, 2016 through May 31, 2016</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$13.12</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$13.12</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98" w:lineRule="exact"/>
        <w:rPr>
          <w:sz w:val="20"/>
          <w:szCs w:val="20"/>
          <w:color w:val="auto"/>
        </w:rPr>
      </w:pPr>
    </w:p>
    <w:p>
      <w:pPr>
        <w:ind w:left="660" w:right="44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6" w:lineRule="exact"/>
        <w:rPr>
          <w:rFonts w:ascii="Times New Roman" w:cs="Times New Roman" w:eastAsia="Times New Roman" w:hAnsi="Times New Roman"/>
          <w:sz w:val="18"/>
          <w:szCs w:val="18"/>
          <w:color w:val="auto"/>
        </w:rPr>
      </w:pPr>
    </w:p>
    <w:p>
      <w:pPr>
        <w:ind w:left="660" w:right="80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31, 2016, up to $2,878,197 in shares of NTIC common stock remained available for repurchase under NTIC’s stock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8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31" w:lineRule="exact"/>
        <w:rPr>
          <w:sz w:val="20"/>
          <w:szCs w:val="20"/>
          <w:color w:val="auto"/>
        </w:rPr>
      </w:pPr>
    </w:p>
    <w:p>
      <w:pPr>
        <w:ind w:left="1260" w:right="280" w:hanging="892"/>
        <w:spacing w:after="0" w:line="258" w:lineRule="auto"/>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Exchange Act Rules 13a-14(a)/15d-14(a),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60" w:right="320" w:hanging="892"/>
        <w:spacing w:after="0" w:line="250" w:lineRule="auto"/>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Pursuant to Exchange Act Rules 13a-14(a)/15d-14(a), as Adopted Pursuant to Section 302 of the Sarbanes-Oxley Act of 2002 (filed herewith)</w:t>
      </w:r>
    </w:p>
    <w:p>
      <w:pPr>
        <w:spacing w:after="0" w:line="1" w:lineRule="exact"/>
        <w:rPr>
          <w:sz w:val="20"/>
          <w:szCs w:val="20"/>
          <w:color w:val="auto"/>
        </w:rPr>
      </w:pPr>
    </w:p>
    <w:p>
      <w:pPr>
        <w:ind w:left="1260" w:right="60" w:hanging="892"/>
        <w:spacing w:after="0" w:line="250" w:lineRule="auto"/>
        <w:tabs>
          <w:tab w:leader="none" w:pos="12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 (furnished herewith)</w:t>
      </w:r>
    </w:p>
    <w:p>
      <w:pPr>
        <w:spacing w:after="0" w:line="1" w:lineRule="exact"/>
        <w:rPr>
          <w:sz w:val="20"/>
          <w:szCs w:val="20"/>
          <w:color w:val="auto"/>
        </w:rPr>
      </w:pPr>
    </w:p>
    <w:p>
      <w:pPr>
        <w:ind w:left="1260" w:right="100" w:hanging="892"/>
        <w:spacing w:after="0" w:line="250" w:lineRule="auto"/>
        <w:tabs>
          <w:tab w:leader="none" w:pos="12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 (furnished herewith)</w:t>
      </w:r>
    </w:p>
    <w:p>
      <w:pPr>
        <w:spacing w:after="0" w:line="1" w:lineRule="exact"/>
        <w:rPr>
          <w:sz w:val="20"/>
          <w:szCs w:val="20"/>
          <w:color w:val="auto"/>
        </w:rPr>
      </w:pPr>
    </w:p>
    <w:p>
      <w:pPr>
        <w:ind w:left="1260" w:right="300" w:hanging="867"/>
        <w:spacing w:after="0" w:line="254"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May 31, 2016,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Condensed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157480</wp:posOffset>
            </wp:positionV>
            <wp:extent cx="1715135" cy="694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51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2016</w:t>
            </w:r>
          </w:p>
        </w:tc>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9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9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tc>
      </w:tr>
      <w:tr>
        <w:trPr>
          <w:trHeight w:val="234"/>
        </w:trPr>
        <w:tc>
          <w:tcPr>
            <w:tcW w:w="590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0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80" w:type="dxa"/>
            <w:vAlign w:val="bottom"/>
            <w:tcBorders>
              <w:top w:val="single" w:sz="8" w:color="auto"/>
              <w:bottom w:val="single" w:sz="8" w:color="auto"/>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Method of Filing</w:t>
            </w: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31.2</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32.1</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32.2</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r>
      <w:tr>
        <w:trPr>
          <w:trHeight w:val="191"/>
        </w:trPr>
        <w:tc>
          <w:tcPr>
            <w:tcW w:w="14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62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following materials from Northern Technologies International Corporation’s</w:t>
            </w:r>
          </w:p>
        </w:tc>
        <w:tc>
          <w:tcPr>
            <w:tcW w:w="37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May 31, 2016, formatted</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XBRL (Extensible Business Reporting Language): (i) the unaudited Consolidated</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Sheets, (ii) the unaudited Consolidated Statements of Operations, (iii) the</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unaudited Consolidated Statements of Comprehensive Income, (iv) the unaudited</w:t>
            </w:r>
          </w:p>
        </w:tc>
        <w:tc>
          <w:tcPr>
            <w:tcW w:w="37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Consolidated Statements of Cash Flows, and (v) Notes to Condensed Financial</w:t>
            </w:r>
          </w:p>
        </w:tc>
        <w:tc>
          <w:tcPr>
            <w:tcW w:w="3740" w:type="dxa"/>
            <w:vAlign w:val="bottom"/>
            <w:tcBorders>
              <w:right w:val="single" w:sz="8" w:color="auto"/>
            </w:tcBorders>
          </w:tcPr>
          <w:p>
            <w:pPr>
              <w:spacing w:after="0"/>
              <w:rPr>
                <w:sz w:val="18"/>
                <w:szCs w:val="18"/>
                <w:color w:val="auto"/>
              </w:rPr>
            </w:pPr>
          </w:p>
        </w:tc>
      </w:tr>
      <w:tr>
        <w:trPr>
          <w:trHeight w:val="234"/>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Statements</w:t>
            </w:r>
          </w:p>
        </w:tc>
        <w:tc>
          <w:tcPr>
            <w:tcW w:w="37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80" w:hanging="504"/>
        <w:spacing w:after="0"/>
        <w:tabs>
          <w:tab w:leader="none" w:pos="5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80" w:right="380" w:hanging="518"/>
        <w:spacing w:after="0" w:line="266"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40" w:hanging="518"/>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360" w:hanging="518"/>
        <w:spacing w:after="0" w:line="266"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580" w:right="100" w:hanging="5"/>
        <w:spacing w:after="0" w:line="266" w:lineRule="auto"/>
        <w:tabs>
          <w:tab w:leader="none" w:pos="10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80" w:right="320" w:hanging="5"/>
        <w:spacing w:after="0" w:line="266" w:lineRule="auto"/>
        <w:tabs>
          <w:tab w:leader="none" w:pos="110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80" w:right="620" w:hanging="5"/>
        <w:spacing w:after="0" w:line="282" w:lineRule="auto"/>
        <w:tabs>
          <w:tab w:leader="none" w:pos="10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80" w:right="100" w:hanging="5"/>
        <w:spacing w:after="0" w:line="266" w:lineRule="auto"/>
        <w:tabs>
          <w:tab w:leader="none" w:pos="110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80" w:hanging="518"/>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right="20" w:hanging="5"/>
        <w:spacing w:after="0" w:line="282" w:lineRule="auto"/>
        <w:tabs>
          <w:tab w:leader="none" w:pos="108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right="540" w:hanging="5"/>
        <w:spacing w:after="0" w:line="282" w:lineRule="auto"/>
        <w:tabs>
          <w:tab w:leader="none" w:pos="1095"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-119380</wp:posOffset>
            </wp:positionV>
            <wp:extent cx="1715135" cy="445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5135" cy="44577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-127635</wp:posOffset>
            </wp:positionV>
            <wp:extent cx="2383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80" w:hanging="504"/>
        <w:spacing w:after="0"/>
        <w:tabs>
          <w:tab w:leader="none" w:pos="5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80" w:right="380" w:hanging="518"/>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40" w:hanging="518"/>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360" w:hanging="518"/>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580" w:right="100" w:hanging="5"/>
        <w:spacing w:after="0" w:line="266" w:lineRule="auto"/>
        <w:tabs>
          <w:tab w:leader="none" w:pos="82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80" w:right="320" w:hanging="5"/>
        <w:spacing w:after="0" w:line="266" w:lineRule="auto"/>
        <w:tabs>
          <w:tab w:leader="none" w:pos="83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80" w:right="900" w:hanging="5"/>
        <w:spacing w:after="0" w:line="313" w:lineRule="auto"/>
        <w:tabs>
          <w:tab w:leader="none" w:pos="825"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jc w:val="both"/>
        <w:ind w:left="580" w:right="340" w:hanging="5"/>
        <w:spacing w:after="0" w:line="266" w:lineRule="auto"/>
        <w:tabs>
          <w:tab w:leader="none" w:pos="83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80" w:hanging="518"/>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right="280" w:hanging="5"/>
        <w:spacing w:after="0" w:line="282" w:lineRule="auto"/>
        <w:tabs>
          <w:tab w:leader="none" w:pos="82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right="240" w:hanging="5"/>
        <w:spacing w:after="0" w:line="282" w:lineRule="auto"/>
        <w:tabs>
          <w:tab w:leader="none" w:pos="835"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-119380</wp:posOffset>
            </wp:positionV>
            <wp:extent cx="1715135" cy="694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51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-127635</wp:posOffset>
            </wp:positionV>
            <wp:extent cx="23837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32" w:lineRule="exact"/>
        <w:rPr>
          <w:sz w:val="20"/>
          <w:szCs w:val="20"/>
          <w:color w:val="auto"/>
        </w:rPr>
      </w:pPr>
    </w:p>
    <w:p>
      <w:pPr>
        <w:jc w:val="center"/>
        <w:ind w:left="260" w:right="140"/>
        <w:spacing w:after="0" w:line="262" w:lineRule="auto"/>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 TO SECTION 906 OF THE SARBANES-OXLEY ACT OF 2002</w:t>
      </w:r>
    </w:p>
    <w:p>
      <w:pPr>
        <w:spacing w:after="0" w:line="16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May 31, 2016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600" w:hanging="944"/>
        <w:spacing w:after="0"/>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160" w:hanging="944"/>
        <w:spacing w:after="0" w:line="282" w:lineRule="auto"/>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5135"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51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2016</w:t>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jc w:val="center"/>
        <w:ind w:left="260" w:right="140"/>
        <w:spacing w:after="0" w:line="262" w:lineRule="auto"/>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 PURSUANT TO SECTION 906 OF THE SARBANES-OXLEY ACT OF 2002</w:t>
      </w:r>
    </w:p>
    <w:p>
      <w:pPr>
        <w:spacing w:after="0" w:line="1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May 31, 2016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600" w:hanging="944"/>
        <w:spacing w:after="0"/>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160" w:hanging="944"/>
        <w:spacing w:after="0" w:line="282" w:lineRule="auto"/>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5135" cy="694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51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2016</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emdash "/>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01"/>
    </w:lvl>
  </w:abstractNum>
  <w:abstractNum w:abstractNumId="9">
    <w:nsid w:val="140E0F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
    <w:nsid w:val="3352255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1">
    <w:nsid w:val="109CF92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
    <w:nsid w:val="DED7263"/>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2019-12-29T10:48:21Z</dcterms:created>
  <dcterms:modified xsi:type="dcterms:W3CDTF">2019-12-29T10:48:21Z</dcterms:modified>
</cp:coreProperties>
</file>