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153670</wp:posOffset>
            </wp:positionH>
            <wp:positionV relativeFrom="page">
              <wp:posOffset>111760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2548255</wp:posOffset>
            </wp:positionH>
            <wp:positionV relativeFrom="paragraph">
              <wp:posOffset>137795</wp:posOffset>
            </wp:positionV>
            <wp:extent cx="216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 w:lineRule="exact"/>
        <w:rPr>
          <w:sz w:val="24"/>
          <w:szCs w:val="24"/>
          <w:color w:val="auto"/>
        </w:rPr>
      </w:pPr>
    </w:p>
    <w:p>
      <w:pPr>
        <w:ind w:left="480" w:hanging="475"/>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 the quarterly period ended May 31, 2015</w:t>
      </w:r>
    </w:p>
    <w:p>
      <w:pPr>
        <w:spacing w:after="0" w:line="247" w:lineRule="exact"/>
        <w:rPr>
          <w:sz w:val="24"/>
          <w:szCs w:val="24"/>
          <w:color w:val="auto"/>
        </w:rPr>
      </w:pPr>
    </w:p>
    <w:p>
      <w:pPr>
        <w:ind w:left="480" w:hanging="475"/>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2" w:lineRule="exact"/>
        <w:rPr>
          <w:rFonts w:ascii="Arial" w:cs="Arial" w:eastAsia="Arial" w:hAnsi="Arial"/>
          <w:sz w:val="18"/>
          <w:szCs w:val="18"/>
          <w:color w:val="auto"/>
        </w:rPr>
      </w:pPr>
    </w:p>
    <w:p>
      <w:pPr>
        <w:ind w:left="2800"/>
        <w:spacing w:after="0"/>
        <w:rPr>
          <w:rFonts w:ascii="Arial" w:cs="Arial" w:eastAsia="Arial" w:hAnsi="Arial"/>
          <w:sz w:val="18"/>
          <w:szCs w:val="18"/>
          <w:color w:val="auto"/>
        </w:rPr>
      </w:pPr>
      <w:r>
        <w:rPr>
          <w:rFonts w:ascii="Arial" w:cs="Arial" w:eastAsia="Arial" w:hAnsi="Arial"/>
          <w:sz w:val="19"/>
          <w:szCs w:val="19"/>
          <w:color w:val="auto"/>
        </w:rPr>
        <w:t>For the transition period from ________________ to __________________.</w:t>
      </w:r>
    </w:p>
    <w:p>
      <w:pPr>
        <w:spacing w:after="0" w:line="236"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9"/>
          <w:szCs w:val="19"/>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151765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00"/>
          </w:cols>
          <w:pgMar w:left="240" w:top="301" w:right="259" w:bottom="1440" w:gutter="0" w:footer="0" w:header="0"/>
        </w:sectPr>
      </w:pPr>
    </w:p>
    <w:p>
      <w:pPr>
        <w:spacing w:after="0" w:line="224"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41-0857886</w:t>
      </w:r>
    </w:p>
    <w:p>
      <w:pPr>
        <w:spacing w:after="0" w:line="57" w:lineRule="exact"/>
        <w:rPr>
          <w:sz w:val="24"/>
          <w:szCs w:val="24"/>
          <w:color w:val="auto"/>
        </w:rPr>
      </w:pPr>
    </w:p>
    <w:p>
      <w:pPr>
        <w:sectPr>
          <w:pgSz w:w="11900" w:h="16838" w:orient="portrait"/>
          <w:cols w:equalWidth="0" w:num="2">
            <w:col w:w="7380" w:space="720"/>
            <w:col w:w="3300"/>
          </w:cols>
          <w:pgMar w:left="240" w:top="301" w:right="25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700" w:space="720"/>
            <w:col w:w="3980"/>
          </w:cols>
          <w:pgMar w:left="240" w:top="301" w:right="259" w:bottom="1440" w:gutter="0" w:footer="0" w:header="0"/>
          <w:type w:val="continuous"/>
        </w:sectPr>
      </w:pP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4201 Woodland Road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P.O. Box 69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Circle Pines, Minnesota 55014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(763) 225-6600</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35" w:lineRule="exact"/>
        <w:rPr>
          <w:sz w:val="24"/>
          <w:szCs w:val="24"/>
          <w:color w:val="auto"/>
        </w:rPr>
      </w:pPr>
    </w:p>
    <w:p>
      <w:pPr>
        <w:ind w:right="400" w:firstLine="316"/>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16" w:lineRule="exact"/>
        <w:rPr>
          <w:sz w:val="24"/>
          <w:szCs w:val="24"/>
          <w:color w:val="auto"/>
        </w:rPr>
      </w:pPr>
    </w:p>
    <w:p>
      <w:pPr>
        <w:ind w:firstLine="316"/>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16" w:lineRule="exact"/>
        <w:rPr>
          <w:sz w:val="24"/>
          <w:szCs w:val="24"/>
          <w:color w:val="auto"/>
        </w:rPr>
      </w:pPr>
    </w:p>
    <w:p>
      <w:pPr>
        <w:ind w:right="60" w:firstLine="31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301" w:right="259" w:bottom="1440" w:gutter="0" w:footer="0" w:header="0"/>
          <w:type w:val="continuous"/>
        </w:sectPr>
      </w:pPr>
    </w:p>
    <w:p>
      <w:pPr>
        <w:spacing w:after="0" w:line="16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Large accelerated filer o</w:t>
      </w:r>
    </w:p>
    <w:p>
      <w:pPr>
        <w:spacing w:after="0" w:line="16"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4"/>
          <w:szCs w:val="24"/>
          <w:color w:val="auto"/>
        </w:rPr>
      </w:pPr>
    </w:p>
    <w:p>
      <w:pPr>
        <w:sectPr>
          <w:pgSz w:w="11900" w:h="16838" w:orient="portrait"/>
          <w:cols w:equalWidth="0" w:num="4">
            <w:col w:w="4920" w:space="80"/>
            <w:col w:w="1680" w:space="720"/>
            <w:col w:w="1920" w:space="100"/>
            <w:col w:w="1980"/>
          </w:cols>
          <w:pgMar w:left="240" w:top="301" w:right="259" w:bottom="1440" w:gutter="0" w:footer="0" w:header="0"/>
          <w:type w:val="continuous"/>
        </w:sectPr>
      </w:pPr>
    </w:p>
    <w:p>
      <w:pPr>
        <w:spacing w:after="0" w:line="26"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64"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July 6, 2015, there were 4,525,109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424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240" cy="438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434975</wp:posOffset>
            </wp:positionV>
            <wp:extent cx="725424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31, 2015</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60" w:type="dxa"/>
            <w:vAlign w:val="bottom"/>
            <w:gridSpan w:val="4"/>
          </w:tcPr>
          <w:p>
            <w:pPr>
              <w:spacing w:after="0"/>
              <w:rPr>
                <w:sz w:val="20"/>
                <w:szCs w:val="20"/>
                <w:color w:val="auto"/>
              </w:rPr>
            </w:pPr>
            <w:r>
              <w:rPr>
                <w:rFonts w:ascii="Arial" w:cs="Arial" w:eastAsia="Arial" w:hAnsi="Arial"/>
                <w:sz w:val="18"/>
                <w:szCs w:val="18"/>
                <w:b w:val="1"/>
                <w:bCs w:val="1"/>
                <w:color w:val="auto"/>
                <w:w w:val="84"/>
              </w:rPr>
              <w:t>Description</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Page</w:t>
            </w:r>
          </w:p>
        </w:tc>
      </w:tr>
      <w:tr>
        <w:trPr>
          <w:trHeight w:val="296"/>
        </w:trPr>
        <w:tc>
          <w:tcPr>
            <w:tcW w:w="620" w:type="dxa"/>
            <w:vAlign w:val="bottom"/>
            <w:tcBorders>
              <w:top w:val="single" w:sz="8" w:color="auto"/>
            </w:tcBorders>
            <w:gridSpan w:val="3"/>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PART I.</w:t>
              </w:r>
            </w:hyperlink>
          </w:p>
        </w:tc>
        <w:tc>
          <w:tcPr>
            <w:tcW w:w="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31, 2015 (unaudited) and August 31, 2014</w:t>
              </w:r>
            </w:hyperlink>
          </w:p>
        </w:tc>
        <w:tc>
          <w:tcPr>
            <w:tcW w:w="90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(unaudited) for the Three and Nine Months Ended May 31, 2015 and 2014</w:t>
              </w:r>
            </w:hyperlink>
          </w:p>
        </w:tc>
        <w:tc>
          <w:tcPr>
            <w:tcW w:w="1320" w:type="dxa"/>
            <w:vAlign w:val="bottom"/>
            <w:gridSpan w:val="2"/>
          </w:tcPr>
          <w:p>
            <w:pPr>
              <w:spacing w:after="0"/>
              <w:rPr>
                <w:sz w:val="24"/>
                <w:szCs w:val="24"/>
                <w:color w:val="auto"/>
              </w:rPr>
            </w:pPr>
          </w:p>
        </w:tc>
        <w:tc>
          <w:tcPr>
            <w:tcW w:w="800" w:type="dxa"/>
            <w:vAlign w:val="bottom"/>
            <w:gridSpan w:val="4"/>
          </w:tcPr>
          <w:p>
            <w:pPr>
              <w:spacing w:after="0"/>
              <w:rPr>
                <w:sz w:val="24"/>
                <w:szCs w:val="24"/>
                <w:color w:val="auto"/>
              </w:rPr>
            </w:pPr>
          </w:p>
        </w:tc>
        <w:tc>
          <w:tcPr>
            <w:tcW w:w="100" w:type="dxa"/>
            <w:vAlign w:val="bottom"/>
            <w:gridSpan w:val="2"/>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40" w:type="dxa"/>
            <w:vAlign w:val="bottom"/>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 (unaudited) for the Three and Nine Months Ended May 31, 2015 and 2014</w:t>
              </w:r>
            </w:hyperlink>
          </w:p>
        </w:tc>
        <w:tc>
          <w:tcPr>
            <w:tcW w:w="420" w:type="dxa"/>
            <w:vAlign w:val="bottom"/>
          </w:tcPr>
          <w:p>
            <w:pPr>
              <w:spacing w:after="0"/>
              <w:rPr>
                <w:sz w:val="24"/>
                <w:szCs w:val="24"/>
                <w:color w:val="auto"/>
              </w:rPr>
            </w:pPr>
          </w:p>
        </w:tc>
        <w:tc>
          <w:tcPr>
            <w:tcW w:w="800" w:type="dxa"/>
            <w:vAlign w:val="bottom"/>
            <w:gridSpan w:val="4"/>
          </w:tcPr>
          <w:p>
            <w:pPr>
              <w:spacing w:after="0"/>
              <w:rPr>
                <w:sz w:val="24"/>
                <w:szCs w:val="24"/>
                <w:color w:val="auto"/>
              </w:rPr>
            </w:pPr>
          </w:p>
        </w:tc>
        <w:tc>
          <w:tcPr>
            <w:tcW w:w="100" w:type="dxa"/>
            <w:vAlign w:val="bottom"/>
            <w:gridSpan w:val="2"/>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 for the Nine Months Ended May 31, 2015 and 2014</w:t>
              </w:r>
            </w:hyperlink>
          </w:p>
        </w:tc>
        <w:tc>
          <w:tcPr>
            <w:tcW w:w="16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4"/>
          </w:tcPr>
          <w:p>
            <w:pPr>
              <w:spacing w:after="0"/>
              <w:rPr>
                <w:sz w:val="24"/>
                <w:szCs w:val="24"/>
                <w:color w:val="auto"/>
              </w:rPr>
            </w:pPr>
          </w:p>
        </w:tc>
        <w:tc>
          <w:tcPr>
            <w:tcW w:w="100" w:type="dxa"/>
            <w:vAlign w:val="bottom"/>
            <w:gridSpan w:val="2"/>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2020" w:type="dxa"/>
            <w:vAlign w:val="bottom"/>
            <w:gridSpan w:val="3"/>
          </w:tcPr>
          <w:p>
            <w:pPr>
              <w:spacing w:after="0"/>
              <w:rPr>
                <w:sz w:val="24"/>
                <w:szCs w:val="24"/>
                <w:color w:val="auto"/>
              </w:rPr>
            </w:pPr>
          </w:p>
        </w:tc>
        <w:tc>
          <w:tcPr>
            <w:tcW w:w="90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7-16</w:t>
              </w:r>
            </w:hyperlink>
          </w:p>
        </w:tc>
      </w:tr>
      <w:tr>
        <w:trPr>
          <w:trHeight w:val="20"/>
        </w:trPr>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2.</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17-30</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00" w:type="dxa"/>
            <w:vAlign w:val="bottom"/>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4.</w:t>
              </w:r>
            </w:hyperlink>
          </w:p>
        </w:tc>
        <w:tc>
          <w:tcPr>
            <w:tcW w:w="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860" w:type="dxa"/>
            <w:vAlign w:val="bottom"/>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86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1980" w:type="dxa"/>
            <w:vAlign w:val="bottom"/>
            <w:tcBorders>
              <w:left w:val="single" w:sz="8" w:color="0000EE"/>
            </w:tcBorders>
            <w:gridSpan w:val="3"/>
            <w:shd w:val="clear" w:color="auto" w:fill="0000EE"/>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3.</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4"/>
            <w:shd w:val="clear" w:color="auto" w:fill="0000EE"/>
          </w:tcPr>
          <w:p>
            <w:pPr>
              <w:spacing w:after="0" w:line="20" w:lineRule="exact"/>
              <w:rPr>
                <w:sz w:val="1"/>
                <w:szCs w:val="1"/>
                <w:color w:val="auto"/>
              </w:rPr>
            </w:pPr>
          </w:p>
        </w:tc>
        <w:tc>
          <w:tcPr>
            <w:tcW w:w="7100" w:type="dxa"/>
            <w:vAlign w:val="bottom"/>
            <w:gridSpan w:val="9"/>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4.</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5.</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3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0420" w:type="dxa"/>
            <w:vAlign w:val="bottom"/>
            <w:gridSpan w:val="24"/>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 PAGE</w:t>
              </w:r>
            </w:hyperlink>
          </w:p>
        </w:tc>
        <w:tc>
          <w:tcPr>
            <w:tcW w:w="900" w:type="dxa"/>
            <w:vAlign w:val="bottom"/>
            <w:gridSpan w:val="6"/>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360" w:type="dxa"/>
            <w:vAlign w:val="bottom"/>
            <w:gridSpan w:val="7"/>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800" w:type="dxa"/>
            <w:vAlign w:val="bottom"/>
            <w:tcBorders>
              <w:right w:val="single" w:sz="8" w:color="0000EE"/>
            </w:tcBorders>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6"/>
        </w:trPr>
        <w:tc>
          <w:tcPr>
            <w:tcW w:w="1540" w:type="dxa"/>
            <w:vAlign w:val="bottom"/>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 INDEX</w:t>
              </w:r>
            </w:hyperlink>
          </w:p>
        </w:tc>
        <w:tc>
          <w:tcPr>
            <w:tcW w:w="8880" w:type="dxa"/>
            <w:vAlign w:val="bottom"/>
            <w:gridSpan w:val="16"/>
          </w:tcPr>
          <w:p>
            <w:pPr>
              <w:spacing w:after="0"/>
              <w:rPr>
                <w:sz w:val="24"/>
                <w:szCs w:val="24"/>
                <w:color w:val="auto"/>
              </w:rPr>
            </w:pPr>
          </w:p>
        </w:tc>
        <w:tc>
          <w:tcPr>
            <w:tcW w:w="900" w:type="dxa"/>
            <w:vAlign w:val="bottom"/>
            <w:gridSpan w:val="6"/>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452120</wp:posOffset>
            </wp:positionV>
            <wp:extent cx="728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2" w:name="page3"/>
    <w:bookmarkEnd w:id="2"/>
    <w:p>
      <w:pPr>
        <w:spacing w:after="0" w:line="21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3420745</wp:posOffset>
            </wp:positionH>
            <wp:positionV relativeFrom="page">
              <wp:posOffset>465455</wp:posOffset>
            </wp:positionV>
            <wp:extent cx="728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345" cy="8255"/>
                    </a:xfrm>
                    <a:prstGeom prst="rect">
                      <a:avLst/>
                    </a:prstGeom>
                    <a:noFill/>
                  </pic:spPr>
                </pic:pic>
              </a:graphicData>
            </a:graphic>
          </wp:anchor>
        </w:drawing>
        <w:t>As used in this report, references to “NTIC,” the “Company,” “we,” “our” or “us,” unless the context otherwise requires, refer to Northern Technologies International Corporation and its wholly owned subsidiaries, NTIC (Shanghai) Co., Ltd., NTI Facilities, Inc. and Northern Technologies Holding Company, LLC, and its majority owned subsidiaries, Zerust Prevenção de Corrosão S.A., NTI Asean LLC and Natur-Tec India Private Limited, all of which are consolidated on NTIC’s consolidated financial statements.</w:t>
      </w:r>
    </w:p>
    <w:p>
      <w:pPr>
        <w:spacing w:after="0" w:line="162"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 owned subsidiary, Northern Technologies India Private Limited, in India.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“NTIC China” refer to NTIC’s newly formed wholly owned subsidiary in China, NTIC (Shanghai)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Brazilian subsidiary, Zerust Prevenção de Corrosão S.A.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“Natur-Tec India” refer to NTIC’s recently formed majority owned subsidiary in India, Natur-Tec India Private Limited.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used in this report, references to “EXCOR” refer to NTIC’s joint venture in Germany, Excor Korrosionsschutz – Technologien und Produkte GmbH.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 w:name="page4"/>
    <w:bookmarkEnd w:id="3"/>
    <w:p>
      <w:pPr>
        <w:spacing w:after="0"/>
        <w:tabs>
          <w:tab w:leader="none" w:pos="840" w:val="left"/>
        </w:tabs>
        <w:rPr>
          <w:sz w:val="20"/>
          <w:szCs w:val="20"/>
          <w:color w:val="auto"/>
        </w:rPr>
      </w:pPr>
      <w:r>
        <w:rPr>
          <w:rFonts w:ascii="Arial" w:cs="Arial" w:eastAsia="Arial" w:hAnsi="Arial"/>
          <w:sz w:val="18"/>
          <w:szCs w:val="18"/>
          <w:b w:val="1"/>
          <w:bCs w:val="1"/>
          <w:color w:val="auto"/>
        </w:rPr>
        <w:t>PART I -</w:t>
        <w:tab/>
        <w:t>FINANCIAL INFORMATION</w:t>
      </w: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41" w:lineRule="exact"/>
        <w:rPr>
          <w:sz w:val="20"/>
          <w:szCs w:val="20"/>
          <w:color w:val="auto"/>
        </w:rPr>
      </w:pPr>
    </w:p>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AS OF MAY 31, 2015 (UNAUDITED) AND AUGUST 31, 2014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49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May 31, 2015</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7"/>
              </w:rPr>
              <w:t>August 31, 2014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3,793,571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2,477,017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2,527,847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5,519,766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80" w:type="dxa"/>
            <w:vAlign w:val="bottom"/>
          </w:tcPr>
          <w:p>
            <w:pPr>
              <w:ind w:left="460"/>
              <w:spacing w:after="0" w:line="199" w:lineRule="exact"/>
              <w:rPr>
                <w:sz w:val="20"/>
                <w:szCs w:val="20"/>
                <w:color w:val="auto"/>
              </w:rPr>
            </w:pPr>
            <w:r>
              <w:rPr>
                <w:rFonts w:ascii="Arial" w:cs="Arial" w:eastAsia="Arial" w:hAnsi="Arial"/>
                <w:sz w:val="18"/>
                <w:szCs w:val="18"/>
                <w:color w:val="auto"/>
                <w:w w:val="93"/>
              </w:rPr>
              <w:t>Trade excluding joint ventures, less allowance for doubtful accounts of $40,000 at May 31, 2015 and</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August 31, 2014</w:t>
            </w:r>
          </w:p>
        </w:tc>
        <w:tc>
          <w:tcPr>
            <w:tcW w:w="18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4,293,038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3,596,247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joint ventures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626,948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951,286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1,354,901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2,612,899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6,732,441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5,961,399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527,597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411,226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789,364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789,364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20,823,817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22,319,966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7,136,334</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6,477,987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Investments in joint ventures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19,644,767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22,961,989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Investments at carrying value (Note 6)</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1,883,668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970,783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943,279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Patents and trademarks, net</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1,270,739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1,197,700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141,303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156,854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23,911,260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25,259,822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780"/>
              <w:spacing w:after="0" w:line="205" w:lineRule="exact"/>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2"/>
              <w:spacing w:after="0" w:line="205" w:lineRule="exact"/>
              <w:rPr>
                <w:sz w:val="20"/>
                <w:szCs w:val="20"/>
                <w:color w:val="auto"/>
              </w:rPr>
            </w:pPr>
            <w:r>
              <w:rPr>
                <w:rFonts w:ascii="Arial" w:cs="Arial" w:eastAsia="Arial" w:hAnsi="Arial"/>
                <w:sz w:val="18"/>
                <w:szCs w:val="18"/>
                <w:color w:val="auto"/>
              </w:rPr>
              <w:t>51,871,411</w:t>
            </w:r>
          </w:p>
        </w:tc>
        <w:tc>
          <w:tcPr>
            <w:tcW w:w="3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line="205" w:lineRule="exact"/>
              <w:rPr>
                <w:sz w:val="20"/>
                <w:szCs w:val="20"/>
                <w:color w:val="auto"/>
              </w:rPr>
            </w:pPr>
            <w:r>
              <w:rPr>
                <w:rFonts w:ascii="Arial" w:cs="Arial" w:eastAsia="Arial" w:hAnsi="Arial"/>
                <w:sz w:val="18"/>
                <w:szCs w:val="18"/>
                <w:color w:val="auto"/>
              </w:rPr>
              <w:t>54,057,775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2,117,239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2,225,029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Payroll and related benefits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1,038,931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1,847,246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joint venture royalties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288,000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81,523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106,380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ind w:left="780"/>
              <w:spacing w:after="0" w:line="205"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3,525,693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4,466,655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980" w:type="dxa"/>
            <w:vAlign w:val="bottom"/>
            <w:shd w:val="clear" w:color="auto" w:fill="CCEEFF"/>
          </w:tcPr>
          <w:p>
            <w:pPr>
              <w:ind w:left="300"/>
              <w:spacing w:after="0" w:line="199" w:lineRule="exact"/>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4,525,109 and 4,504,552, respectively</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90,502</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90,092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13,211,987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12,676,546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34,518,356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32,733,300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(3,125,074)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ind w:left="620"/>
              <w:spacing w:after="0" w:line="205"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44,695,771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45,753,863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3,649,947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3,837,257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48,345,718</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49,591,120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620"/>
              <w:spacing w:after="0" w:line="205" w:lineRule="exact"/>
              <w:rPr>
                <w:sz w:val="20"/>
                <w:szCs w:val="20"/>
                <w:color w:val="auto"/>
              </w:rPr>
            </w:pPr>
            <w:r>
              <w:rPr>
                <w:rFonts w:ascii="Arial" w:cs="Arial" w:eastAsia="Arial" w:hAnsi="Arial"/>
                <w:sz w:val="18"/>
                <w:szCs w:val="18"/>
                <w:color w:val="auto"/>
              </w:rPr>
              <w:t>Total liabilities and equity</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2"/>
              <w:spacing w:after="0" w:line="205" w:lineRule="exact"/>
              <w:rPr>
                <w:sz w:val="20"/>
                <w:szCs w:val="20"/>
                <w:color w:val="auto"/>
              </w:rPr>
            </w:pPr>
            <w:r>
              <w:rPr>
                <w:rFonts w:ascii="Arial" w:cs="Arial" w:eastAsia="Arial" w:hAnsi="Arial"/>
                <w:sz w:val="18"/>
                <w:szCs w:val="18"/>
                <w:color w:val="auto"/>
              </w:rPr>
              <w:t>51,871,411</w:t>
            </w:r>
          </w:p>
        </w:tc>
        <w:tc>
          <w:tcPr>
            <w:tcW w:w="3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line="205" w:lineRule="exact"/>
              <w:rPr>
                <w:sz w:val="20"/>
                <w:szCs w:val="20"/>
                <w:color w:val="auto"/>
              </w:rPr>
            </w:pPr>
            <w:r>
              <w:rPr>
                <w:rFonts w:ascii="Arial" w:cs="Arial" w:eastAsia="Arial" w:hAnsi="Arial"/>
                <w:sz w:val="18"/>
                <w:szCs w:val="18"/>
                <w:color w:val="auto"/>
              </w:rPr>
              <w:t>54,057,775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49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232"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13970</wp:posOffset>
            </wp:positionV>
            <wp:extent cx="18332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10" w:lineRule="exact"/>
        <w:rPr>
          <w:sz w:val="20"/>
          <w:szCs w:val="20"/>
          <w:color w:val="auto"/>
        </w:rPr>
      </w:pPr>
    </w:p>
    <w:p>
      <w:pPr>
        <w:ind w:left="5640"/>
        <w:spacing w:after="0"/>
        <w:tabs>
          <w:tab w:leader="none" w:pos="7120" w:val="left"/>
        </w:tabs>
        <w:rPr>
          <w:sz w:val="20"/>
          <w:szCs w:val="20"/>
          <w:color w:val="auto"/>
        </w:rPr>
      </w:pPr>
      <w:r>
        <w:rPr>
          <w:rFonts w:ascii="Arial" w:cs="Arial" w:eastAsia="Arial" w:hAnsi="Arial"/>
          <w:sz w:val="18"/>
          <w:szCs w:val="18"/>
          <w:b w:val="1"/>
          <w:bCs w:val="1"/>
          <w:color w:val="auto"/>
        </w:rPr>
        <w:t>May 31, 2015</w:t>
      </w:r>
      <w:r>
        <w:rPr>
          <w:sz w:val="20"/>
          <w:szCs w:val="20"/>
          <w:color w:val="auto"/>
        </w:rPr>
        <w:tab/>
      </w:r>
      <w:r>
        <w:rPr>
          <w:rFonts w:ascii="Arial" w:cs="Arial" w:eastAsia="Arial" w:hAnsi="Arial"/>
          <w:sz w:val="16"/>
          <w:szCs w:val="16"/>
          <w:b w:val="1"/>
          <w:bCs w:val="1"/>
          <w:color w:val="auto"/>
        </w:rPr>
        <w:t>May 31, 2014</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13970</wp:posOffset>
            </wp:positionV>
            <wp:extent cx="17748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May 31, 2015</w:t>
      </w:r>
      <w:r>
        <w:rPr>
          <w:sz w:val="20"/>
          <w:szCs w:val="20"/>
          <w:color w:val="auto"/>
        </w:rPr>
        <w:tab/>
      </w:r>
      <w:r>
        <w:rPr>
          <w:rFonts w:ascii="Arial" w:cs="Arial" w:eastAsia="Arial" w:hAnsi="Arial"/>
          <w:sz w:val="16"/>
          <w:szCs w:val="16"/>
          <w:b w:val="1"/>
          <w:bCs w:val="1"/>
          <w:color w:val="auto"/>
        </w:rPr>
        <w:t>May 31, 2014</w:t>
      </w:r>
    </w:p>
    <w:p>
      <w:pPr>
        <w:spacing w:after="0" w:line="22" w:lineRule="exact"/>
        <w:rPr>
          <w:sz w:val="20"/>
          <w:szCs w:val="20"/>
          <w:color w:val="auto"/>
        </w:rPr>
      </w:pPr>
    </w:p>
    <w:p>
      <w:pPr>
        <w:sectPr>
          <w:pgSz w:w="11900" w:h="16838" w:orient="portrait"/>
          <w:cols w:equalWidth="0" w:num="2">
            <w:col w:w="8140" w:space="600"/>
            <w:col w:w="268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Net sales, excluding joint ventures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7,553,957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6,056,078</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20,030,491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17,188,462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sales, to joint ventures</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723,618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864,742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2,189,888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2,260,466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ind w:left="620"/>
              <w:spacing w:after="0" w:line="205" w:lineRule="exact"/>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8,277,575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6,920,820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2"/>
              <w:spacing w:after="0" w:line="205" w:lineRule="exact"/>
              <w:rPr>
                <w:sz w:val="20"/>
                <w:szCs w:val="20"/>
                <w:color w:val="auto"/>
              </w:rPr>
            </w:pPr>
            <w:r>
              <w:rPr>
                <w:rFonts w:ascii="Arial" w:cs="Arial" w:eastAsia="Arial" w:hAnsi="Arial"/>
                <w:sz w:val="18"/>
                <w:szCs w:val="18"/>
                <w:color w:val="auto"/>
              </w:rPr>
              <w:t>22,220,379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2"/>
              <w:spacing w:after="0" w:line="205" w:lineRule="exact"/>
              <w:rPr>
                <w:sz w:val="20"/>
                <w:szCs w:val="20"/>
                <w:color w:val="auto"/>
              </w:rPr>
            </w:pPr>
            <w:r>
              <w:rPr>
                <w:rFonts w:ascii="Arial" w:cs="Arial" w:eastAsia="Arial" w:hAnsi="Arial"/>
                <w:sz w:val="18"/>
                <w:szCs w:val="18"/>
                <w:color w:val="auto"/>
              </w:rPr>
              <w:t>19,448,928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5,595,207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4,669,322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15,059,558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12,879,186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shd w:val="clear" w:color="auto" w:fill="CCEEFF"/>
          </w:tcPr>
          <w:p>
            <w:pPr>
              <w:ind w:left="620"/>
              <w:spacing w:after="0" w:line="205"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2,682,368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2,251,498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7,160,821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6,569,742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Equity in income of joint ventures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1,724,915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1,593,465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4,806,247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4,416,664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1,303,964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2,001,775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4,432,494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6,169,094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tcPr>
          <w:p>
            <w:pPr>
              <w:ind w:left="620"/>
              <w:spacing w:after="0" w:line="205" w:lineRule="exact"/>
              <w:rPr>
                <w:sz w:val="20"/>
                <w:szCs w:val="20"/>
                <w:color w:val="auto"/>
              </w:rPr>
            </w:pPr>
            <w:r>
              <w:rPr>
                <w:rFonts w:ascii="Arial" w:cs="Arial" w:eastAsia="Arial" w:hAnsi="Arial"/>
                <w:sz w:val="18"/>
                <w:szCs w:val="18"/>
                <w:color w:val="auto"/>
              </w:rPr>
              <w:t>Total joint venture operations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3,028,879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3,595,240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2"/>
              <w:spacing w:after="0" w:line="205" w:lineRule="exact"/>
              <w:rPr>
                <w:sz w:val="20"/>
                <w:szCs w:val="20"/>
                <w:color w:val="auto"/>
              </w:rPr>
            </w:pPr>
            <w:r>
              <w:rPr>
                <w:rFonts w:ascii="Arial" w:cs="Arial" w:eastAsia="Arial" w:hAnsi="Arial"/>
                <w:sz w:val="18"/>
                <w:szCs w:val="18"/>
                <w:color w:val="auto"/>
              </w:rPr>
              <w:t>9,238,741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2"/>
              <w:spacing w:after="0" w:line="205" w:lineRule="exact"/>
              <w:rPr>
                <w:sz w:val="20"/>
                <w:szCs w:val="20"/>
                <w:color w:val="auto"/>
              </w:rPr>
            </w:pPr>
            <w:r>
              <w:rPr>
                <w:rFonts w:ascii="Arial" w:cs="Arial" w:eastAsia="Arial" w:hAnsi="Arial"/>
                <w:sz w:val="18"/>
                <w:szCs w:val="18"/>
                <w:color w:val="auto"/>
              </w:rPr>
              <w:t>10,585,758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Selling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1,434,627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1,315,264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4,168,955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3,925,466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1,703,083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1,307,653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4,794,206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3,905,082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Expenses incurred in support of joint ventures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327,586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353,958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1,510,830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1,049,691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1,064,710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1,104,632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2,968,879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3,342,497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80" w:type="dxa"/>
            <w:vAlign w:val="bottom"/>
            <w:shd w:val="clear" w:color="auto" w:fill="CCEEFF"/>
          </w:tcPr>
          <w:p>
            <w:pPr>
              <w:ind w:left="620"/>
              <w:spacing w:after="0" w:line="205"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4,530,006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4,081,507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13,442,870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12,222,736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1,181,241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1,765,231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2,956,692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4,932,764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25,504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1,183,180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1,759,537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2,970,109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4,905,783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114,180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361,280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495,478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819,039</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1,069,000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1,398,257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2,474,631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4,086,744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INCOME ATTRIBUTABLE TO 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163,565</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418,040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689,575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1,222,897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905,435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980,217</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1,785,056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2,863,847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110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380" w:type="dxa"/>
            <w:vAlign w:val="bottom"/>
            <w:shd w:val="clear" w:color="auto" w:fill="CCEEFF"/>
          </w:tcPr>
          <w:p>
            <w:pPr>
              <w:ind w:left="1100"/>
              <w:spacing w:after="0" w:line="204" w:lineRule="exact"/>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ind w:right="240"/>
              <w:spacing w:after="0" w:line="204"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0.21</w:t>
            </w:r>
          </w:p>
        </w:tc>
        <w:tc>
          <w:tcPr>
            <w:tcW w:w="50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jc w:val="right"/>
              <w:ind w:right="180"/>
              <w:spacing w:after="0" w:line="204"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WEIGHTED AVERAGE COMMON SHARES ASSUMED</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Pr>
          <w:p>
            <w:pPr>
              <w:ind w:left="11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4,525,109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4,461,880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4,519,279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4,452,798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1100"/>
              <w:spacing w:after="0" w:line="204"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4,594,992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4,590,344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4,635,561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4,583,174</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5" w:name="page6"/>
    <w:bookmarkEnd w:id="5"/>
    <w:p>
      <w:pPr>
        <w:jc w:val="both"/>
        <w:ind w:right="4260"/>
        <w:spacing w:after="0" w:line="304" w:lineRule="auto"/>
        <w:rPr>
          <w:sz w:val="20"/>
          <w:szCs w:val="20"/>
          <w:color w:val="auto"/>
        </w:rPr>
      </w:pPr>
      <w:r>
        <w:rPr>
          <w:rFonts w:ascii="Arial" w:cs="Arial" w:eastAsia="Arial" w:hAnsi="Arial"/>
          <w:sz w:val="16"/>
          <w:szCs w:val="16"/>
          <w:b w:val="1"/>
          <w:bCs w:val="1"/>
          <w:color w:val="auto"/>
        </w:rPr>
        <w:t>NORTHERN TECHNOLOGIES INTERNATIONAL CORPORATION AND SUBSIDIARIES CONSOLIDATED STATEMENTS OF COMPREHENSIVE INCOME (LOSS) (UNAUDITED) FOR THE THREE AND NINE MONTHS ENDED MAY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7249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p>
      <w:pPr>
        <w:spacing w:after="0" w:line="171"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13970</wp:posOffset>
            </wp:positionV>
            <wp:extent cx="1833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10" w:lineRule="exact"/>
        <w:rPr>
          <w:sz w:val="20"/>
          <w:szCs w:val="20"/>
          <w:color w:val="auto"/>
        </w:rPr>
      </w:pPr>
    </w:p>
    <w:p>
      <w:pPr>
        <w:ind w:left="5640"/>
        <w:spacing w:after="0"/>
        <w:tabs>
          <w:tab w:leader="none" w:pos="7120" w:val="left"/>
        </w:tabs>
        <w:rPr>
          <w:sz w:val="20"/>
          <w:szCs w:val="20"/>
          <w:color w:val="auto"/>
        </w:rPr>
      </w:pPr>
      <w:r>
        <w:rPr>
          <w:rFonts w:ascii="Arial" w:cs="Arial" w:eastAsia="Arial" w:hAnsi="Arial"/>
          <w:sz w:val="18"/>
          <w:szCs w:val="18"/>
          <w:b w:val="1"/>
          <w:bCs w:val="1"/>
          <w:color w:val="auto"/>
        </w:rPr>
        <w:t>May 31, 2015</w:t>
      </w:r>
      <w:r>
        <w:rPr>
          <w:sz w:val="20"/>
          <w:szCs w:val="20"/>
          <w:color w:val="auto"/>
        </w:rPr>
        <w:tab/>
      </w:r>
      <w:r>
        <w:rPr>
          <w:rFonts w:ascii="Arial" w:cs="Arial" w:eastAsia="Arial" w:hAnsi="Arial"/>
          <w:sz w:val="16"/>
          <w:szCs w:val="16"/>
          <w:b w:val="1"/>
          <w:bCs w:val="1"/>
          <w:color w:val="auto"/>
        </w:rPr>
        <w:t>May 31, 2014</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13970</wp:posOffset>
            </wp:positionV>
            <wp:extent cx="1774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May 31, 2015</w:t>
      </w:r>
      <w:r>
        <w:rPr>
          <w:sz w:val="20"/>
          <w:szCs w:val="20"/>
          <w:color w:val="auto"/>
        </w:rPr>
        <w:tab/>
      </w:r>
      <w:r>
        <w:rPr>
          <w:rFonts w:ascii="Arial" w:cs="Arial" w:eastAsia="Arial" w:hAnsi="Arial"/>
          <w:sz w:val="16"/>
          <w:szCs w:val="16"/>
          <w:b w:val="1"/>
          <w:bCs w:val="1"/>
          <w:color w:val="auto"/>
        </w:rPr>
        <w:t>May 31, 2014</w:t>
      </w:r>
    </w:p>
    <w:p>
      <w:pPr>
        <w:spacing w:after="0" w:line="22" w:lineRule="exact"/>
        <w:rPr>
          <w:sz w:val="20"/>
          <w:szCs w:val="20"/>
          <w:color w:val="auto"/>
        </w:rPr>
      </w:pPr>
    </w:p>
    <w:p>
      <w:pPr>
        <w:sectPr>
          <w:pgSz w:w="11900" w:h="16838" w:orient="portrait"/>
          <w:cols w:equalWidth="0" w:num="2">
            <w:col w:w="8140" w:space="600"/>
            <w:col w:w="2680"/>
          </w:cols>
          <w:pgMar w:left="240" w:top="503"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3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1,069,000</w:t>
            </w:r>
          </w:p>
        </w:tc>
        <w:tc>
          <w:tcPr>
            <w:tcW w:w="460" w:type="dxa"/>
            <w:vAlign w:val="bottom"/>
            <w:tcBorders>
              <w:top w:val="single" w:sz="8" w:color="auto"/>
            </w:tcBorders>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1,398,257</w:t>
            </w:r>
          </w:p>
        </w:tc>
        <w:tc>
          <w:tcPr>
            <w:tcW w:w="2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2,474,631</w:t>
            </w:r>
          </w:p>
        </w:tc>
        <w:tc>
          <w:tcPr>
            <w:tcW w:w="400" w:type="dxa"/>
            <w:vAlign w:val="bottom"/>
            <w:tcBorders>
              <w:top w:val="single" w:sz="8" w:color="auto"/>
            </w:tcBorders>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4,086,744</w:t>
            </w:r>
          </w:p>
        </w:tc>
      </w:tr>
      <w:tr>
        <w:trPr>
          <w:trHeight w:val="199"/>
        </w:trPr>
        <w:tc>
          <w:tcPr>
            <w:tcW w:w="20" w:type="dxa"/>
            <w:vAlign w:val="bottom"/>
          </w:tcPr>
          <w:p>
            <w:pPr>
              <w:spacing w:after="0"/>
              <w:rPr>
                <w:sz w:val="17"/>
                <w:szCs w:val="17"/>
                <w:color w:val="auto"/>
              </w:rPr>
            </w:pPr>
          </w:p>
        </w:tc>
        <w:tc>
          <w:tcPr>
            <w:tcW w:w="5480" w:type="dxa"/>
            <w:vAlign w:val="bottom"/>
          </w:tcPr>
          <w:p>
            <w:pPr>
              <w:ind w:left="300"/>
              <w:spacing w:after="0" w:line="199" w:lineRule="exact"/>
              <w:rPr>
                <w:sz w:val="20"/>
                <w:szCs w:val="20"/>
                <w:color w:val="auto"/>
              </w:rPr>
            </w:pPr>
            <w:r>
              <w:rPr>
                <w:rFonts w:ascii="Arial" w:cs="Arial" w:eastAsia="Arial" w:hAnsi="Arial"/>
                <w:sz w:val="18"/>
                <w:szCs w:val="18"/>
                <w:color w:val="auto"/>
              </w:rPr>
              <w:t>OTHER COMPREHENSIVE (LOSS) INCOME – FOREIGN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CURRENCY TRANSLATION ADJUSTMENT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(3,695,884)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472,315</w:t>
            </w:r>
          </w:p>
        </w:tc>
      </w:tr>
      <w:tr>
        <w:trPr>
          <w:trHeight w:val="224"/>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480" w:type="dxa"/>
            <w:vAlign w:val="bottom"/>
          </w:tcPr>
          <w:p>
            <w:pPr>
              <w:spacing w:after="0" w:line="204" w:lineRule="exact"/>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17"/>
                <w:szCs w:val="17"/>
                <w:color w:val="auto"/>
              </w:rPr>
            </w:pPr>
          </w:p>
        </w:tc>
        <w:tc>
          <w:tcPr>
            <w:tcW w:w="1060" w:type="dxa"/>
            <w:vAlign w:val="bottom"/>
          </w:tcPr>
          <w:p>
            <w:pPr>
              <w:jc w:val="right"/>
              <w:ind w:right="32"/>
              <w:spacing w:after="0" w:line="204" w:lineRule="exact"/>
              <w:rPr>
                <w:sz w:val="20"/>
                <w:szCs w:val="20"/>
                <w:color w:val="auto"/>
              </w:rPr>
            </w:pPr>
            <w:r>
              <w:rPr>
                <w:rFonts w:ascii="Arial" w:cs="Arial" w:eastAsia="Arial" w:hAnsi="Arial"/>
                <w:sz w:val="18"/>
                <w:szCs w:val="18"/>
                <w:color w:val="auto"/>
              </w:rPr>
              <w:t>629,541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32"/>
              <w:spacing w:after="0" w:line="204" w:lineRule="exact"/>
              <w:rPr>
                <w:sz w:val="20"/>
                <w:szCs w:val="20"/>
                <w:color w:val="auto"/>
              </w:rPr>
            </w:pPr>
            <w:r>
              <w:rPr>
                <w:rFonts w:ascii="Arial" w:cs="Arial" w:eastAsia="Arial" w:hAnsi="Arial"/>
                <w:sz w:val="18"/>
                <w:szCs w:val="18"/>
                <w:color w:val="auto"/>
              </w:rPr>
              <w:t>1,264,961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(1,221,253)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4,559,059</w:t>
            </w:r>
          </w:p>
        </w:tc>
      </w:tr>
      <w:tr>
        <w:trPr>
          <w:trHeight w:val="199"/>
        </w:trPr>
        <w:tc>
          <w:tcPr>
            <w:tcW w:w="20" w:type="dxa"/>
            <w:vAlign w:val="bottom"/>
          </w:tcPr>
          <w:p>
            <w:pPr>
              <w:spacing w:after="0"/>
              <w:rPr>
                <w:sz w:val="17"/>
                <w:szCs w:val="17"/>
                <w:color w:val="auto"/>
              </w:rPr>
            </w:pPr>
          </w:p>
        </w:tc>
        <w:tc>
          <w:tcPr>
            <w:tcW w:w="5480" w:type="dxa"/>
            <w:vAlign w:val="bottom"/>
            <w:shd w:val="clear" w:color="auto" w:fill="CCEEFF"/>
          </w:tcPr>
          <w:p>
            <w:pPr>
              <w:ind w:left="300"/>
              <w:spacing w:after="0" w:line="199" w:lineRule="exact"/>
              <w:rPr>
                <w:sz w:val="20"/>
                <w:szCs w:val="20"/>
                <w:color w:val="auto"/>
              </w:rPr>
            </w:pPr>
            <w:r>
              <w:rPr>
                <w:rFonts w:ascii="Arial" w:cs="Arial" w:eastAsia="Arial" w:hAnsi="Arial"/>
                <w:sz w:val="18"/>
                <w:szCs w:val="18"/>
                <w:color w:val="auto"/>
              </w:rPr>
              <w:t>COMPREHENSIVE INCOME ATTRIBUTABLE TO NON-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130,133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405,333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372,690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1,198,539</w:t>
            </w:r>
          </w:p>
        </w:tc>
      </w:tr>
      <w:tr>
        <w:trPr>
          <w:trHeight w:val="204"/>
        </w:trPr>
        <w:tc>
          <w:tcPr>
            <w:tcW w:w="20" w:type="dxa"/>
            <w:vAlign w:val="bottom"/>
          </w:tcPr>
          <w:p>
            <w:pPr>
              <w:spacing w:after="0"/>
              <w:rPr>
                <w:sz w:val="17"/>
                <w:szCs w:val="17"/>
                <w:color w:val="auto"/>
              </w:rPr>
            </w:pPr>
          </w:p>
        </w:tc>
        <w:tc>
          <w:tcPr>
            <w:tcW w:w="5480" w:type="dxa"/>
            <w:vAlign w:val="bottom"/>
          </w:tcPr>
          <w:p>
            <w:pPr>
              <w:spacing w:after="0" w:line="205" w:lineRule="exact"/>
              <w:rPr>
                <w:sz w:val="20"/>
                <w:szCs w:val="20"/>
                <w:color w:val="auto"/>
              </w:rPr>
            </w:pPr>
            <w:r>
              <w:rPr>
                <w:rFonts w:ascii="Arial" w:cs="Arial" w:eastAsia="Arial" w:hAnsi="Arial"/>
                <w:sz w:val="18"/>
                <w:szCs w:val="18"/>
                <w:color w:val="auto"/>
              </w:rPr>
              <w:t>COMPREHENSIVE INCOME (LOSS) ATTRIBUTABLE TO NTIC</w:t>
            </w:r>
          </w:p>
        </w:tc>
        <w:tc>
          <w:tcPr>
            <w:tcW w:w="320" w:type="dxa"/>
            <w:vAlign w:val="bottom"/>
          </w:tcPr>
          <w:p>
            <w:pPr>
              <w:jc w:val="right"/>
              <w:ind w:right="13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499,408</w:t>
            </w:r>
          </w:p>
        </w:tc>
        <w:tc>
          <w:tcPr>
            <w:tcW w:w="4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5" w:lineRule="exact"/>
              <w:rPr>
                <w:sz w:val="20"/>
                <w:szCs w:val="20"/>
                <w:color w:val="auto"/>
              </w:rPr>
            </w:pPr>
            <w:r>
              <w:rPr>
                <w:rFonts w:ascii="Arial" w:cs="Arial" w:eastAsia="Arial" w:hAnsi="Arial"/>
                <w:sz w:val="18"/>
                <w:szCs w:val="18"/>
                <w:color w:val="auto"/>
              </w:rPr>
              <w:t>859,628</w:t>
            </w:r>
          </w:p>
        </w:tc>
        <w:tc>
          <w:tcPr>
            <w:tcW w:w="520" w:type="dxa"/>
            <w:vAlign w:val="bottom"/>
            <w:gridSpan w:val="2"/>
          </w:tcPr>
          <w:p>
            <w:pPr>
              <w:jc w:val="right"/>
              <w:ind w:right="112"/>
              <w:spacing w:after="0" w:line="205"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5" w:lineRule="exact"/>
              <w:rPr>
                <w:sz w:val="20"/>
                <w:szCs w:val="20"/>
                <w:color w:val="auto"/>
              </w:rPr>
            </w:pPr>
            <w:r>
              <w:rPr>
                <w:rFonts w:ascii="Arial" w:cs="Arial" w:eastAsia="Arial" w:hAnsi="Arial"/>
                <w:sz w:val="18"/>
                <w:szCs w:val="18"/>
                <w:color w:val="auto"/>
              </w:rPr>
              <w:t>(1,593,943)</w:t>
            </w:r>
          </w:p>
        </w:tc>
        <w:tc>
          <w:tcPr>
            <w:tcW w:w="4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5" w:lineRule="exact"/>
              <w:rPr>
                <w:sz w:val="20"/>
                <w:szCs w:val="20"/>
                <w:color w:val="auto"/>
              </w:rPr>
            </w:pPr>
            <w:r>
              <w:rPr>
                <w:rFonts w:ascii="Arial" w:cs="Arial" w:eastAsia="Arial" w:hAnsi="Arial"/>
                <w:sz w:val="18"/>
                <w:szCs w:val="18"/>
                <w:color w:val="auto"/>
              </w:rPr>
              <w:t>3,360,520</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6" w:name="page7"/>
    <w:bookmarkEnd w:id="6"/>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NINE MONTHS ENDED MAY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49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472"/>
              <w:spacing w:after="0" w:line="186" w:lineRule="exact"/>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52"/>
              <w:spacing w:after="0" w:line="186" w:lineRule="exact"/>
              <w:rPr>
                <w:sz w:val="20"/>
                <w:szCs w:val="20"/>
                <w:color w:val="auto"/>
              </w:rPr>
            </w:pPr>
            <w:r>
              <w:rPr>
                <w:rFonts w:ascii="Arial" w:cs="Arial" w:eastAsia="Arial" w:hAnsi="Arial"/>
                <w:sz w:val="18"/>
                <w:szCs w:val="18"/>
                <w:b w:val="1"/>
                <w:bCs w:val="1"/>
                <w:color w:val="auto"/>
              </w:rPr>
              <w:t>May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2,474,631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4,086,744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378,421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345,319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expense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385,126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335,350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65,747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64,736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assets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Equity in income from joint ventures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(4,806,247)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(4,416,664)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Dividends received from joint ventures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2,767,771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7,307,895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Increase in allowance on doubtful accounts</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Changes in current assets and liabilities: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Trade, excluding joint ventures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(896,173)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80,459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Trade, joint ventures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324,338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90,860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Fees for services provided to joint ventures</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1,257,998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(387,356)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(887,748)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(397,090)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82,550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(227,486)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(813,896)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411,211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36,221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6,700,854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the sale of investment in joint venture</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134,606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available for sale securities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2,991,919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(1,098,035)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(428,536)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Additions to patents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(138,786)</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1,755,098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(483,323)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note payable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Dividend received by non-controlling interest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(1,440,000)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by non-controlling interest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employee stock purchase plan</w:t>
            </w:r>
          </w:p>
        </w:tc>
        <w:tc>
          <w:tcPr>
            <w:tcW w:w="28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57,980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42,514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99,450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305,996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(1,990,134)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1,316,554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4,235,531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2,477,017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4,314,258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3,793,571</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8,549,789</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8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000" w:type="dxa"/>
            <w:vAlign w:val="bottom"/>
            <w:gridSpan w:val="2"/>
          </w:tcPr>
          <w:p>
            <w:pPr>
              <w:jc w:val="right"/>
              <w:ind w:right="215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79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 w:name="page8"/>
    <w:bookmarkEnd w:id="7"/>
    <w:p>
      <w:pPr>
        <w:ind w:right="4320"/>
        <w:spacing w:after="0" w:line="333" w:lineRule="auto"/>
        <w:rPr>
          <w:sz w:val="20"/>
          <w:szCs w:val="20"/>
          <w:color w:val="auto"/>
        </w:rPr>
      </w:pPr>
      <w:r>
        <w:rPr>
          <w:rFonts w:ascii="Arial" w:cs="Arial" w:eastAsia="Arial" w:hAnsi="Arial"/>
          <w:sz w:val="16"/>
          <w:szCs w:val="16"/>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49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42" w:lineRule="exact"/>
        <w:rPr>
          <w:sz w:val="20"/>
          <w:szCs w:val="20"/>
          <w:color w:val="auto"/>
        </w:rPr>
      </w:pPr>
    </w:p>
    <w:p>
      <w:pPr>
        <w:ind w:left="480" w:hanging="475"/>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2015 and August 31, 2014 and the results of their operations for the three and nine months ended May 31, 2015 and 2014 and their cash flows for the nine months ended May 31, 2015 and 2014, in conformity with accounting principles generally accepted in the United States of America (U.S. GAAP).</w:t>
      </w:r>
    </w:p>
    <w:p>
      <w:pPr>
        <w:spacing w:after="0" w:line="189"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2014. These consolidated financial statements also should be read in conjunction with the “Management’s Discussion and Analysis of Financial Condition and Results of Operations” section appearing in this report.</w:t>
      </w:r>
    </w:p>
    <w:p>
      <w:pPr>
        <w:spacing w:after="0" w:line="18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Operating results for the three and nine months ended May 31, 2015 are not necessarily indicative of the results that may be expected for the full fiscal year ending August 31, 2015.</w:t>
      </w:r>
    </w:p>
    <w:p>
      <w:pPr>
        <w:spacing w:after="0" w:line="20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Certain amounts reported in the consolidated financial statements for the previous reporting periods have been reclassified to conform to the current period presentation. Beginning in the second quarter of fiscal 2015, the Company reclassified dividends received from equity method from investing cash flows to operating cash flows on the consolidated statements of cash flows for all periods presented. The classification reflects the continued profitability and returns of those profits to its owners, including the Company. The reclassification did not impact net income or equity.</w:t>
      </w:r>
    </w:p>
    <w:p>
      <w:pPr>
        <w:spacing w:after="0" w:line="18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201" w:lineRule="exact"/>
        <w:rPr>
          <w:sz w:val="20"/>
          <w:szCs w:val="20"/>
          <w:color w:val="auto"/>
        </w:rPr>
      </w:pPr>
    </w:p>
    <w:p>
      <w:pPr>
        <w:ind w:left="480" w:hanging="475"/>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w:t>
      </w:r>
    </w:p>
    <w:p>
      <w:pPr>
        <w:spacing w:after="0" w:line="2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the Company’s fiscal year ended August 31, 2018, and interim periods within that year. The Company is currently reviewing the revised guidance and assessing the potential impact on its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48"/>
        </w:trPr>
        <w:tc>
          <w:tcPr>
            <w:tcW w:w="42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6"/>
              </w:rPr>
              <w:t>May 31, 2015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August 31, 2014</w:t>
            </w:r>
          </w:p>
        </w:tc>
        <w:tc>
          <w:tcPr>
            <w:tcW w:w="560" w:type="dxa"/>
            <w:vAlign w:val="bottom"/>
          </w:tcPr>
          <w:p>
            <w:pPr>
              <w:spacing w:after="0"/>
              <w:rPr>
                <w:sz w:val="24"/>
                <w:szCs w:val="24"/>
                <w:color w:val="auto"/>
              </w:rPr>
            </w:pP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Production materials</w:t>
            </w:r>
          </w:p>
        </w:tc>
        <w:tc>
          <w:tcPr>
            <w:tcW w:w="33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1,509,359</w:t>
            </w:r>
          </w:p>
        </w:tc>
        <w:tc>
          <w:tcPr>
            <w:tcW w:w="3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1,242,649</w:t>
            </w:r>
          </w:p>
        </w:tc>
        <w:tc>
          <w:tcPr>
            <w:tcW w:w="560" w:type="dxa"/>
            <w:vAlign w:val="bottom"/>
          </w:tcPr>
          <w:p>
            <w:pPr>
              <w:spacing w:after="0"/>
              <w:rPr>
                <w:sz w:val="17"/>
                <w:szCs w:val="17"/>
                <w:color w:val="auto"/>
              </w:rPr>
            </w:pPr>
          </w:p>
        </w:tc>
      </w:tr>
      <w:tr>
        <w:trPr>
          <w:trHeight w:val="224"/>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Finished goods</w:t>
            </w:r>
          </w:p>
        </w:tc>
        <w:tc>
          <w:tcPr>
            <w:tcW w:w="3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5,223,082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4,718,750</w:t>
            </w:r>
          </w:p>
        </w:tc>
        <w:tc>
          <w:tcPr>
            <w:tcW w:w="560" w:type="dxa"/>
            <w:vAlign w:val="bottom"/>
          </w:tcPr>
          <w:p>
            <w:pPr>
              <w:spacing w:after="0"/>
              <w:rPr>
                <w:sz w:val="19"/>
                <w:szCs w:val="19"/>
                <w:color w:val="auto"/>
              </w:rPr>
            </w:pPr>
          </w:p>
        </w:tc>
      </w:tr>
      <w:tr>
        <w:trPr>
          <w:trHeight w:val="244"/>
        </w:trPr>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6,732,441</w:t>
            </w:r>
          </w:p>
        </w:tc>
        <w:tc>
          <w:tcPr>
            <w:tcW w:w="3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5,961,399</w:t>
            </w:r>
          </w:p>
        </w:tc>
        <w:tc>
          <w:tcPr>
            <w:tcW w:w="560" w:type="dxa"/>
            <w:vAlign w:val="bottom"/>
          </w:tcPr>
          <w:p>
            <w:pPr>
              <w:spacing w:after="0"/>
              <w:rPr>
                <w:sz w:val="21"/>
                <w:szCs w:val="21"/>
                <w:color w:val="auto"/>
              </w:rPr>
            </w:pPr>
          </w:p>
        </w:tc>
      </w:tr>
      <w:tr>
        <w:trPr>
          <w:trHeight w:val="585"/>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1532"/>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42"/>
        </w:trPr>
        <w:tc>
          <w:tcPr>
            <w:tcW w:w="3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3620" w:type="dxa"/>
            <w:vAlign w:val="bottom"/>
            <w:tcBorders>
              <w:bottom w:val="single" w:sz="8" w:color="808080"/>
            </w:tcBorders>
          </w:tcPr>
          <w:p>
            <w:pPr>
              <w:spacing w:after="0"/>
              <w:rPr>
                <w:sz w:val="12"/>
                <w:szCs w:val="12"/>
                <w:color w:val="auto"/>
              </w:rPr>
            </w:pPr>
          </w:p>
        </w:tc>
        <w:tc>
          <w:tcPr>
            <w:tcW w:w="31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48"/>
        </w:trPr>
        <w:tc>
          <w:tcPr>
            <w:tcW w:w="736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6"/>
              </w:rPr>
              <w:t>May 31, 2015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August 31, 2014</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310,365</w:t>
            </w:r>
          </w:p>
        </w:tc>
        <w:tc>
          <w:tcPr>
            <w:tcW w:w="3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r>
      <w:tr>
        <w:trPr>
          <w:trHeight w:val="211"/>
        </w:trPr>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6,317,360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5,695,268</w:t>
            </w:r>
          </w:p>
        </w:tc>
      </w:tr>
      <w:tr>
        <w:trPr>
          <w:trHeight w:val="224"/>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3,662,754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3,713,145</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2"/>
              <w:spacing w:after="0" w:line="205" w:lineRule="exact"/>
              <w:rPr>
                <w:sz w:val="20"/>
                <w:szCs w:val="20"/>
                <w:color w:val="auto"/>
              </w:rPr>
            </w:pPr>
            <w:r>
              <w:rPr>
                <w:rFonts w:ascii="Arial" w:cs="Arial" w:eastAsia="Arial" w:hAnsi="Arial"/>
                <w:sz w:val="18"/>
                <w:szCs w:val="18"/>
                <w:color w:val="auto"/>
              </w:rPr>
              <w:t>10,290,479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12"/>
              <w:spacing w:after="0" w:line="205" w:lineRule="exact"/>
              <w:rPr>
                <w:sz w:val="20"/>
                <w:szCs w:val="20"/>
                <w:color w:val="auto"/>
              </w:rPr>
            </w:pPr>
            <w:r>
              <w:rPr>
                <w:rFonts w:ascii="Arial" w:cs="Arial" w:eastAsia="Arial" w:hAnsi="Arial"/>
                <w:sz w:val="18"/>
                <w:szCs w:val="18"/>
                <w:color w:val="auto"/>
              </w:rPr>
              <w:t>9,718,778</w:t>
            </w:r>
          </w:p>
        </w:tc>
      </w:tr>
      <w:tr>
        <w:trPr>
          <w:trHeight w:val="224"/>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(3,154,144)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(3,240,791)</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2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2"/>
              <w:spacing w:after="0" w:line="205" w:lineRule="exact"/>
              <w:rPr>
                <w:sz w:val="20"/>
                <w:szCs w:val="20"/>
                <w:color w:val="auto"/>
              </w:rPr>
            </w:pPr>
            <w:r>
              <w:rPr>
                <w:rFonts w:ascii="Arial" w:cs="Arial" w:eastAsia="Arial" w:hAnsi="Arial"/>
                <w:sz w:val="18"/>
                <w:szCs w:val="18"/>
                <w:color w:val="auto"/>
              </w:rPr>
              <w:t>7,136,334</w:t>
            </w:r>
          </w:p>
        </w:tc>
        <w:tc>
          <w:tcPr>
            <w:tcW w:w="3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line="205" w:lineRule="exact"/>
              <w:rPr>
                <w:sz w:val="20"/>
                <w:szCs w:val="20"/>
                <w:color w:val="auto"/>
              </w:rPr>
            </w:pPr>
            <w:r>
              <w:rPr>
                <w:rFonts w:ascii="Arial" w:cs="Arial" w:eastAsia="Arial" w:hAnsi="Arial"/>
                <w:sz w:val="18"/>
                <w:szCs w:val="18"/>
                <w:color w:val="auto"/>
              </w:rPr>
              <w:t>6,477,987</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5320" w:type="dxa"/>
            <w:vAlign w:val="bottom"/>
            <w:gridSpan w:val="2"/>
          </w:tcPr>
          <w:p>
            <w:pPr>
              <w:ind w:left="180"/>
              <w:spacing w:after="0"/>
              <w:rPr>
                <w:sz w:val="20"/>
                <w:szCs w:val="20"/>
                <w:color w:val="auto"/>
              </w:rPr>
            </w:pPr>
            <w:r>
              <w:rPr>
                <w:rFonts w:ascii="Arial" w:cs="Arial" w:eastAsia="Arial" w:hAnsi="Arial"/>
                <w:sz w:val="18"/>
                <w:szCs w:val="18"/>
                <w:b w:val="1"/>
                <w:bCs w:val="1"/>
                <w:color w:val="auto"/>
              </w:rPr>
              <w:t>PATENTS AND TRADEMARKS, NET</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48"/>
        </w:trPr>
        <w:tc>
          <w:tcPr>
            <w:tcW w:w="5620" w:type="dxa"/>
            <w:vAlign w:val="bottom"/>
            <w:gridSpan w:val="3"/>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2"/>
        </w:trPr>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96"/>
              </w:rPr>
              <w:t>May 31, 2015</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August 31, 2014</w:t>
            </w:r>
          </w:p>
        </w:tc>
      </w:tr>
      <w:tr>
        <w:trPr>
          <w:trHeight w:val="204"/>
        </w:trPr>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Patents and trademarks</w:t>
            </w:r>
          </w:p>
        </w:tc>
        <w:tc>
          <w:tcPr>
            <w:tcW w:w="19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2,426,627</w:t>
            </w:r>
          </w:p>
        </w:tc>
        <w:tc>
          <w:tcPr>
            <w:tcW w:w="3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2,287,840</w:t>
            </w:r>
          </w:p>
        </w:tc>
      </w:tr>
      <w:tr>
        <w:trPr>
          <w:trHeight w:val="224"/>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(1,155,888)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(1,090,140)</w:t>
            </w:r>
          </w:p>
        </w:tc>
      </w:tr>
      <w:tr>
        <w:trPr>
          <w:trHeight w:val="224"/>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1,270,739</w:t>
            </w:r>
          </w:p>
        </w:tc>
        <w:tc>
          <w:tcPr>
            <w:tcW w:w="32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1,197,700</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$90,000 in each of the next five fiscal years.</w:t>
      </w:r>
    </w:p>
    <w:p>
      <w:pPr>
        <w:spacing w:after="0" w:line="210" w:lineRule="exact"/>
        <w:rPr>
          <w:sz w:val="20"/>
          <w:szCs w:val="20"/>
          <w:color w:val="auto"/>
        </w:rPr>
      </w:pPr>
    </w:p>
    <w:p>
      <w:pPr>
        <w:ind w:left="480" w:hanging="475"/>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Financial information from the financial statements of the Company’s joint venture in Germany, Excor Korrosionsschutz – Technologien und Produkte GmbH (EXCOR), joint venture in China, Tianjin-Zerust Anticorrosion Co., Ltd. (Tianjin Zerust), for the periods for which it was accounted for under the equity method (See Note 7) and all of the Company’s other joint ventures,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93"/>
              </w:rPr>
              <w:t>At May 31, 2015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EXCOR</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All Other</w:t>
            </w:r>
          </w:p>
        </w:tc>
        <w:tc>
          <w:tcPr>
            <w:tcW w:w="1140" w:type="dxa"/>
            <w:vAlign w:val="bottom"/>
          </w:tcPr>
          <w:p>
            <w:pPr>
              <w:spacing w:after="0"/>
              <w:rPr>
                <w:sz w:val="18"/>
                <w:szCs w:val="18"/>
                <w:color w:val="auto"/>
              </w:rPr>
            </w:pPr>
          </w:p>
        </w:tc>
      </w:tr>
      <w:tr>
        <w:trPr>
          <w:trHeight w:val="204"/>
        </w:trPr>
        <w:tc>
          <w:tcPr>
            <w:tcW w:w="54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60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49,454,666</w:t>
            </w:r>
          </w:p>
        </w:tc>
        <w:tc>
          <w:tcPr>
            <w:tcW w:w="32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22,205,218</w:t>
            </w:r>
          </w:p>
        </w:tc>
        <w:tc>
          <w:tcPr>
            <w:tcW w:w="2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27,249,448</w:t>
            </w:r>
          </w:p>
        </w:tc>
        <w:tc>
          <w:tcPr>
            <w:tcW w:w="1140" w:type="dxa"/>
            <w:vAlign w:val="bottom"/>
          </w:tcPr>
          <w:p>
            <w:pPr>
              <w:spacing w:after="0"/>
              <w:rPr>
                <w:sz w:val="17"/>
                <w:szCs w:val="17"/>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52,993,622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24,155,320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28,838,303</w:t>
            </w:r>
          </w:p>
        </w:tc>
        <w:tc>
          <w:tcPr>
            <w:tcW w:w="1140" w:type="dxa"/>
            <w:vAlign w:val="bottom"/>
          </w:tcPr>
          <w:p>
            <w:pPr>
              <w:spacing w:after="0"/>
              <w:rPr>
                <w:sz w:val="18"/>
                <w:szCs w:val="18"/>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12,368,822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3,298,480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9,070,342</w:t>
            </w:r>
          </w:p>
        </w:tc>
        <w:tc>
          <w:tcPr>
            <w:tcW w:w="1140" w:type="dxa"/>
            <w:vAlign w:val="bottom"/>
          </w:tcPr>
          <w:p>
            <w:pPr>
              <w:spacing w:after="0"/>
              <w:rPr>
                <w:sz w:val="18"/>
                <w:szCs w:val="18"/>
                <w:color w:val="auto"/>
              </w:rPr>
            </w:pPr>
          </w:p>
        </w:tc>
      </w:tr>
      <w:tr>
        <w:trPr>
          <w:trHeight w:val="211"/>
        </w:trPr>
        <w:tc>
          <w:tcPr>
            <w:tcW w:w="54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1,231,277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1,231,277</w:t>
            </w:r>
          </w:p>
        </w:tc>
        <w:tc>
          <w:tcPr>
            <w:tcW w:w="1140" w:type="dxa"/>
            <w:vAlign w:val="bottom"/>
          </w:tcPr>
          <w:p>
            <w:pPr>
              <w:spacing w:after="0"/>
              <w:rPr>
                <w:sz w:val="18"/>
                <w:szCs w:val="18"/>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39,393,523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20,856,840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18,536,683</w:t>
            </w:r>
          </w:p>
        </w:tc>
        <w:tc>
          <w:tcPr>
            <w:tcW w:w="1140" w:type="dxa"/>
            <w:vAlign w:val="bottom"/>
          </w:tcPr>
          <w:p>
            <w:pPr>
              <w:spacing w:after="0"/>
              <w:rPr>
                <w:sz w:val="18"/>
                <w:szCs w:val="18"/>
                <w:color w:val="auto"/>
              </w:rPr>
            </w:pPr>
          </w:p>
        </w:tc>
      </w:tr>
      <w:tr>
        <w:trPr>
          <w:trHeight w:val="199"/>
        </w:trPr>
        <w:tc>
          <w:tcPr>
            <w:tcW w:w="5460" w:type="dxa"/>
            <w:vAlign w:val="bottom"/>
          </w:tcPr>
          <w:p>
            <w:pPr>
              <w:spacing w:after="0" w:line="199" w:lineRule="exact"/>
              <w:rPr>
                <w:sz w:val="20"/>
                <w:szCs w:val="20"/>
                <w:color w:val="auto"/>
              </w:rPr>
            </w:pPr>
            <w:r>
              <w:rPr>
                <w:rFonts w:ascii="Arial" w:cs="Arial" w:eastAsia="Arial" w:hAnsi="Arial"/>
                <w:sz w:val="18"/>
                <w:szCs w:val="18"/>
                <w:color w:val="auto"/>
                <w:w w:val="93"/>
              </w:rPr>
              <w:t>Northern Technologies International Corporation’s share of joint ventures’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5460" w:type="dxa"/>
            <w:vAlign w:val="bottom"/>
          </w:tcPr>
          <w:p>
            <w:pPr>
              <w:ind w:left="16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19,644,767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10,428,422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9,216,345</w:t>
            </w:r>
          </w:p>
        </w:tc>
        <w:tc>
          <w:tcPr>
            <w:tcW w:w="1140" w:type="dxa"/>
            <w:vAlign w:val="bottom"/>
          </w:tcPr>
          <w:p>
            <w:pPr>
              <w:spacing w:after="0"/>
              <w:rPr>
                <w:sz w:val="19"/>
                <w:szCs w:val="19"/>
                <w:color w:val="auto"/>
              </w:rPr>
            </w:pPr>
          </w:p>
        </w:tc>
      </w:tr>
      <w:tr>
        <w:trPr>
          <w:trHeight w:val="199"/>
        </w:trPr>
        <w:tc>
          <w:tcPr>
            <w:tcW w:w="5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3"/>
              </w:rPr>
              <w:t>Northern Technologies International Corporation’s share of joint ventures’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undistributed earnings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17,583,956</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10,397,517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7,186,439</w:t>
            </w:r>
          </w:p>
        </w:tc>
        <w:tc>
          <w:tcPr>
            <w:tcW w:w="1140" w:type="dxa"/>
            <w:vAlign w:val="bottom"/>
          </w:tcPr>
          <w:p>
            <w:pPr>
              <w:spacing w:after="0"/>
              <w:rPr>
                <w:sz w:val="19"/>
                <w:szCs w:val="19"/>
                <w:color w:val="auto"/>
              </w:rPr>
            </w:pPr>
          </w:p>
        </w:tc>
      </w:tr>
      <w:tr>
        <w:trPr>
          <w:trHeight w:val="593"/>
        </w:trPr>
        <w:tc>
          <w:tcPr>
            <w:tcW w:w="54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54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8"/>
                <w:szCs w:val="18"/>
                <w:b w:val="1"/>
                <w:bCs w:val="1"/>
                <w:color w:val="auto"/>
              </w:rPr>
              <w:t>At August 31, 2014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86"/>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72"/>
              <w:spacing w:after="0" w:line="186" w:lineRule="exact"/>
              <w:rPr>
                <w:sz w:val="20"/>
                <w:szCs w:val="20"/>
                <w:color w:val="auto"/>
              </w:rPr>
            </w:pPr>
            <w:r>
              <w:rPr>
                <w:rFonts w:ascii="Arial" w:cs="Arial" w:eastAsia="Arial" w:hAnsi="Arial"/>
                <w:sz w:val="18"/>
                <w:szCs w:val="18"/>
                <w:b w:val="1"/>
                <w:bCs w:val="1"/>
                <w:color w:val="auto"/>
              </w:rPr>
              <w:t>Tianjin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Zerust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All Other</w:t>
            </w:r>
          </w:p>
        </w:tc>
      </w:tr>
      <w:tr>
        <w:trPr>
          <w:trHeight w:val="204"/>
        </w:trPr>
        <w:tc>
          <w:tcPr>
            <w:tcW w:w="46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Current assets</w:t>
            </w:r>
          </w:p>
        </w:tc>
        <w:tc>
          <w:tcPr>
            <w:tcW w:w="40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61,491,957</w:t>
            </w:r>
          </w:p>
        </w:tc>
        <w:tc>
          <w:tcPr>
            <w:tcW w:w="380" w:type="dxa"/>
            <w:vAlign w:val="bottom"/>
            <w:gridSpan w:val="2"/>
            <w:shd w:val="clear" w:color="auto" w:fill="CCEEFF"/>
          </w:tcPr>
          <w:p>
            <w:pPr>
              <w:jc w:val="right"/>
              <w:ind w:right="160"/>
              <w:spacing w:after="0" w:line="205"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24,361,157</w:t>
            </w:r>
          </w:p>
        </w:tc>
        <w:tc>
          <w:tcPr>
            <w:tcW w:w="4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9,774,680</w:t>
            </w:r>
          </w:p>
        </w:tc>
        <w:tc>
          <w:tcPr>
            <w:tcW w:w="3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27,356,120</w:t>
            </w:r>
          </w:p>
        </w:tc>
      </w:tr>
      <w:tr>
        <w:trPr>
          <w:trHeight w:val="211"/>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65,466,964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26,652,165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9,793,803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29,020,996</w:t>
            </w:r>
          </w:p>
        </w:tc>
      </w:tr>
      <w:tr>
        <w:trPr>
          <w:trHeight w:val="21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17,542,634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3,512,143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4,438,380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9,592,111</w:t>
            </w:r>
          </w:p>
        </w:tc>
      </w:tr>
      <w:tr>
        <w:trPr>
          <w:trHeight w:val="211"/>
        </w:trPr>
        <w:tc>
          <w:tcPr>
            <w:tcW w:w="4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1,929,488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868,377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1,061,111</w:t>
            </w:r>
          </w:p>
        </w:tc>
      </w:tr>
      <w:tr>
        <w:trPr>
          <w:trHeight w:val="211"/>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45,994,842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23,140,022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4,487,046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18,367,775</w:t>
            </w:r>
          </w:p>
        </w:tc>
      </w:tr>
      <w:tr>
        <w:trPr>
          <w:trHeight w:val="199"/>
        </w:trPr>
        <w:tc>
          <w:tcPr>
            <w:tcW w:w="4620" w:type="dxa"/>
            <w:vAlign w:val="bottom"/>
          </w:tcPr>
          <w:p>
            <w:pPr>
              <w:spacing w:after="0" w:line="199" w:lineRule="exact"/>
              <w:rPr>
                <w:sz w:val="20"/>
                <w:szCs w:val="20"/>
                <w:color w:val="auto"/>
              </w:rPr>
            </w:pPr>
            <w:r>
              <w:rPr>
                <w:rFonts w:ascii="Arial" w:cs="Arial" w:eastAsia="Arial" w:hAnsi="Arial"/>
                <w:sz w:val="18"/>
                <w:szCs w:val="18"/>
                <w:color w:val="auto"/>
                <w:w w:val="90"/>
              </w:rPr>
              <w:t>Northern Technologies International Corporation’s share of joint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4620" w:type="dxa"/>
            <w:vAlign w:val="bottom"/>
          </w:tcPr>
          <w:p>
            <w:pPr>
              <w:ind w:left="160"/>
              <w:spacing w:after="0"/>
              <w:rPr>
                <w:sz w:val="20"/>
                <w:szCs w:val="20"/>
                <w:color w:val="auto"/>
              </w:rPr>
            </w:pPr>
            <w:r>
              <w:rPr>
                <w:rFonts w:ascii="Arial" w:cs="Arial" w:eastAsia="Arial" w:hAnsi="Arial"/>
                <w:sz w:val="18"/>
                <w:szCs w:val="18"/>
                <w:color w:val="auto"/>
              </w:rPr>
              <w:t>ventures’ equity</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22,961,989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11,570,013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2,243,524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9,148,452</w:t>
            </w:r>
          </w:p>
        </w:tc>
      </w:tr>
      <w:tr>
        <w:trPr>
          <w:trHeight w:val="199"/>
        </w:trPr>
        <w:tc>
          <w:tcPr>
            <w:tcW w:w="46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Northern Technologies International Corporation’s share of joint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ventures’ undistributed earnings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20,540,523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11,539,108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2,193,524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6,807,891</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120" w:type="dxa"/>
            <w:vAlign w:val="bottom"/>
            <w:tcBorders>
              <w:top w:val="single" w:sz="8" w:color="auto"/>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w w:val="93"/>
              </w:rPr>
              <w:t>Nine Months Ended May 31, 2015</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r>
      <w:tr>
        <w:trPr>
          <w:trHeight w:val="186"/>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72"/>
              <w:spacing w:after="0" w:line="186" w:lineRule="exact"/>
              <w:rPr>
                <w:sz w:val="20"/>
                <w:szCs w:val="20"/>
                <w:color w:val="auto"/>
              </w:rPr>
            </w:pPr>
            <w:r>
              <w:rPr>
                <w:rFonts w:ascii="Arial" w:cs="Arial" w:eastAsia="Arial" w:hAnsi="Arial"/>
                <w:sz w:val="18"/>
                <w:szCs w:val="18"/>
                <w:b w:val="1"/>
                <w:bCs w:val="1"/>
                <w:color w:val="auto"/>
              </w:rPr>
              <w:t>Tianjin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Zerust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All Other</w:t>
            </w:r>
          </w:p>
        </w:tc>
      </w:tr>
      <w:tr>
        <w:trPr>
          <w:trHeight w:val="204"/>
        </w:trPr>
        <w:tc>
          <w:tcPr>
            <w:tcW w:w="4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75,974,770</w:t>
            </w:r>
          </w:p>
        </w:tc>
        <w:tc>
          <w:tcPr>
            <w:tcW w:w="3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27,580,051</w:t>
            </w:r>
          </w:p>
        </w:tc>
        <w:tc>
          <w:tcPr>
            <w:tcW w:w="4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3,735,457</w:t>
            </w:r>
          </w:p>
        </w:tc>
        <w:tc>
          <w:tcPr>
            <w:tcW w:w="3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44,659,262</w:t>
            </w:r>
          </w:p>
        </w:tc>
      </w:tr>
      <w:tr>
        <w:trPr>
          <w:trHeight w:val="211"/>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37,469,186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15,113,100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1,783,673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20,572,413</w:t>
            </w: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9,634,318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6,334,009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265,648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3,034,661</w:t>
            </w:r>
          </w:p>
        </w:tc>
      </w:tr>
      <w:tr>
        <w:trPr>
          <w:trHeight w:val="199"/>
        </w:trPr>
        <w:tc>
          <w:tcPr>
            <w:tcW w:w="4440" w:type="dxa"/>
            <w:vAlign w:val="bottom"/>
          </w:tcPr>
          <w:p>
            <w:pPr>
              <w:spacing w:after="0" w:line="199" w:lineRule="exact"/>
              <w:rPr>
                <w:sz w:val="20"/>
                <w:szCs w:val="20"/>
                <w:color w:val="auto"/>
              </w:rPr>
            </w:pPr>
            <w:r>
              <w:rPr>
                <w:rFonts w:ascii="Arial" w:cs="Arial" w:eastAsia="Arial" w:hAnsi="Arial"/>
                <w:sz w:val="18"/>
                <w:szCs w:val="18"/>
                <w:color w:val="auto"/>
                <w:w w:val="94"/>
              </w:rPr>
              <w:t>Northern Technologies International Corporation’s share of</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4440" w:type="dxa"/>
            <w:vAlign w:val="bottom"/>
          </w:tcPr>
          <w:p>
            <w:pPr>
              <w:ind w:left="160"/>
              <w:spacing w:after="0"/>
              <w:rPr>
                <w:sz w:val="20"/>
                <w:szCs w:val="20"/>
                <w:color w:val="auto"/>
              </w:rPr>
            </w:pPr>
            <w:r>
              <w:rPr>
                <w:rFonts w:ascii="Arial" w:cs="Arial" w:eastAsia="Arial" w:hAnsi="Arial"/>
                <w:sz w:val="18"/>
                <w:szCs w:val="18"/>
                <w:color w:val="auto"/>
              </w:rPr>
              <w:t>equity in income of joint ventures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4,806,247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3,152,489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132,824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1,520,934</w:t>
            </w: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120" w:type="dxa"/>
            <w:vAlign w:val="bottom"/>
            <w:tcBorders>
              <w:top w:val="single" w:sz="8" w:color="auto"/>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w w:val="93"/>
              </w:rPr>
              <w:t>Nine Months Ended May 31, 2014</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r>
      <w:tr>
        <w:trPr>
          <w:trHeight w:val="186"/>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72"/>
              <w:spacing w:after="0" w:line="186" w:lineRule="exact"/>
              <w:rPr>
                <w:sz w:val="20"/>
                <w:szCs w:val="20"/>
                <w:color w:val="auto"/>
              </w:rPr>
            </w:pPr>
            <w:r>
              <w:rPr>
                <w:rFonts w:ascii="Arial" w:cs="Arial" w:eastAsia="Arial" w:hAnsi="Arial"/>
                <w:sz w:val="18"/>
                <w:szCs w:val="18"/>
                <w:b w:val="1"/>
                <w:bCs w:val="1"/>
                <w:color w:val="auto"/>
              </w:rPr>
              <w:t>Tianjin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9"/>
        </w:trPr>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Zerust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All Other</w:t>
            </w:r>
          </w:p>
        </w:tc>
      </w:tr>
      <w:tr>
        <w:trPr>
          <w:trHeight w:val="204"/>
        </w:trPr>
        <w:tc>
          <w:tcPr>
            <w:tcW w:w="4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88,213,101</w:t>
            </w:r>
          </w:p>
        </w:tc>
        <w:tc>
          <w:tcPr>
            <w:tcW w:w="3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29,020,416</w:t>
            </w:r>
          </w:p>
        </w:tc>
        <w:tc>
          <w:tcPr>
            <w:tcW w:w="4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11,952,115</w:t>
            </w:r>
          </w:p>
        </w:tc>
        <w:tc>
          <w:tcPr>
            <w:tcW w:w="3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47,240,570</w:t>
            </w:r>
          </w:p>
        </w:tc>
      </w:tr>
      <w:tr>
        <w:trPr>
          <w:trHeight w:val="211"/>
        </w:trPr>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41,609,619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15,000,023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5,550,166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21,059,430</w:t>
            </w: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9,960,639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5,574,387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1,543,155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1,913,097</w:t>
            </w:r>
          </w:p>
        </w:tc>
      </w:tr>
      <w:tr>
        <w:trPr>
          <w:trHeight w:val="199"/>
        </w:trPr>
        <w:tc>
          <w:tcPr>
            <w:tcW w:w="4440" w:type="dxa"/>
            <w:vAlign w:val="bottom"/>
          </w:tcPr>
          <w:p>
            <w:pPr>
              <w:spacing w:after="0" w:line="199" w:lineRule="exact"/>
              <w:rPr>
                <w:sz w:val="20"/>
                <w:szCs w:val="20"/>
                <w:color w:val="auto"/>
              </w:rPr>
            </w:pPr>
            <w:r>
              <w:rPr>
                <w:rFonts w:ascii="Arial" w:cs="Arial" w:eastAsia="Arial" w:hAnsi="Arial"/>
                <w:sz w:val="18"/>
                <w:szCs w:val="18"/>
                <w:color w:val="auto"/>
                <w:w w:val="94"/>
              </w:rPr>
              <w:t>Northern Technologies International Corporation’s share of</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4440" w:type="dxa"/>
            <w:vAlign w:val="bottom"/>
          </w:tcPr>
          <w:p>
            <w:pPr>
              <w:ind w:left="160"/>
              <w:spacing w:after="0"/>
              <w:rPr>
                <w:sz w:val="20"/>
                <w:szCs w:val="20"/>
                <w:color w:val="auto"/>
              </w:rPr>
            </w:pPr>
            <w:r>
              <w:rPr>
                <w:rFonts w:ascii="Arial" w:cs="Arial" w:eastAsia="Arial" w:hAnsi="Arial"/>
                <w:sz w:val="18"/>
                <w:szCs w:val="18"/>
                <w:color w:val="auto"/>
              </w:rPr>
              <w:t>equity in income of joint ventures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4,416,664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2,787,048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659,684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969,932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All material profits recorded on sales from the Company to its joint ventures have been eliminated for financial reporting purposes.</w:t>
      </w:r>
    </w:p>
    <w:p>
      <w:pPr>
        <w:spacing w:after="0" w:line="24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On January 2, 2015, the Company announced that, effective as of December 31, 2014, the Company terminated its joint venture agreements with its previous joint venture in China, Tianjin Zerust, and began the process of liquidating the joint venture entity. The Company intends to conduct future business in China through a newly formed wholly owned subsidiary, NTIC (Shanghai) Co. Ltd. (NTIC China). As of December 31, 2014, the Company started recognizing Tianjin Zerust based on its carrying value instead of the equity method since the Company no longer expects to significantly affect the joint venture’s operations or decision making during its anticipated liquidation.</w:t>
      </w:r>
    </w:p>
    <w:p>
      <w:pPr>
        <w:spacing w:after="0" w:line="218" w:lineRule="exact"/>
        <w:rPr>
          <w:sz w:val="20"/>
          <w:szCs w:val="20"/>
          <w:color w:val="auto"/>
        </w:rPr>
      </w:pPr>
    </w:p>
    <w:p>
      <w:pPr>
        <w:ind w:right="100"/>
        <w:spacing w:after="0" w:line="363" w:lineRule="auto"/>
        <w:rPr>
          <w:sz w:val="20"/>
          <w:szCs w:val="20"/>
          <w:color w:val="auto"/>
        </w:rPr>
      </w:pPr>
      <w:r>
        <w:rPr>
          <w:rFonts w:ascii="Arial" w:cs="Arial" w:eastAsia="Arial" w:hAnsi="Arial"/>
          <w:sz w:val="15"/>
          <w:szCs w:val="15"/>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13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Company did not make any joint venture investments during the nine months ended May 31, 2015. On May 31, 2014, NTI Asean bought out the other 50% owner in its joint venture in Singapore for $110,988, thereby increasing NTI Asean’s ownership in the joint venture from 50% to 100%. The Company did not make any other joint venture investments during the nine months ended May 31, 2014.</w:t>
      </w:r>
    </w:p>
    <w:p>
      <w:pPr>
        <w:spacing w:after="0" w:line="216"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On November 30, 2013, the Company agreed to sell its indirect ownership interest in Mütec GmbH (Mütec), the Company’s former joint venture in Germany which manufactures proprietary electronic sensing instruments. Since the purchase price paid to the Company was less than the book value of the Company’s investment in Mütec, the Company recognized a $50,000 impairment charge during the three months ended November 30, 2013, which is included in the consolidated statements of operations in the line item “Equity income of joint ventures.” In connection with the transaction, the owner of Mütec borrowed $168,000 from the Company to be repaid over four years with no interest. As of May 31, 2015 and August 31, 2014, $134,097 and $156,854 was due to the Company related to this transaction.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480" w:hanging="475"/>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CHINA OPERATIONS</w:t>
      </w:r>
    </w:p>
    <w:p>
      <w:pPr>
        <w:spacing w:after="0" w:line="24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January 2, 2015, the Company announced that, effective as of December 31, 2014, the Company terminated its joint venture agreements with its previous joint venture in China, Tianjin Zerust, began the process of liquidating the joint venture entity, and has commenced conducting business in China through a newly formed wholly 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other comprehensive income. Any declines in the fair value are reflected as adjustments to the carrying value. No such adjustments were recorded during the nine months ended May 31,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The investment in Tianjin Zerust is as follows: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62"/>
        </w:trPr>
        <w:tc>
          <w:tcPr>
            <w:tcW w:w="5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8"/>
              </w:rPr>
              <w:t>Investment</w:t>
            </w:r>
          </w:p>
        </w:tc>
      </w:tr>
      <w:tr>
        <w:trPr>
          <w:trHeight w:val="204"/>
        </w:trPr>
        <w:tc>
          <w:tcPr>
            <w:tcW w:w="580" w:type="dxa"/>
            <w:vAlign w:val="bottom"/>
          </w:tcPr>
          <w:p>
            <w:pPr>
              <w:spacing w:after="0"/>
              <w:rPr>
                <w:sz w:val="17"/>
                <w:szCs w:val="17"/>
                <w:color w:val="auto"/>
              </w:rPr>
            </w:pPr>
          </w:p>
        </w:tc>
        <w:tc>
          <w:tcPr>
            <w:tcW w:w="86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Equity method investment – August 31, 2014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2,243,524</w:t>
            </w:r>
          </w:p>
        </w:tc>
      </w:tr>
      <w:tr>
        <w:trPr>
          <w:trHeight w:val="211"/>
        </w:trPr>
        <w:tc>
          <w:tcPr>
            <w:tcW w:w="58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Equity in earnings – nine months ended May 31, 2015</w:t>
            </w:r>
          </w:p>
        </w:tc>
        <w:tc>
          <w:tcPr>
            <w:tcW w:w="22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132,824</w:t>
            </w:r>
          </w:p>
        </w:tc>
      </w:tr>
      <w:tr>
        <w:trPr>
          <w:trHeight w:val="224"/>
        </w:trPr>
        <w:tc>
          <w:tcPr>
            <w:tcW w:w="58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of translation gains on foreign currency translation</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(492,680)</w:t>
            </w:r>
          </w:p>
        </w:tc>
      </w:tr>
      <w:tr>
        <w:trPr>
          <w:trHeight w:val="204"/>
        </w:trPr>
        <w:tc>
          <w:tcPr>
            <w:tcW w:w="580" w:type="dxa"/>
            <w:vAlign w:val="bottom"/>
          </w:tcPr>
          <w:p>
            <w:pPr>
              <w:spacing w:after="0"/>
              <w:rPr>
                <w:sz w:val="17"/>
                <w:szCs w:val="17"/>
                <w:color w:val="auto"/>
              </w:rPr>
            </w:pPr>
          </w:p>
        </w:tc>
        <w:tc>
          <w:tcPr>
            <w:tcW w:w="8640" w:type="dxa"/>
            <w:vAlign w:val="bottom"/>
          </w:tcPr>
          <w:p>
            <w:pPr>
              <w:spacing w:after="0" w:line="205" w:lineRule="exact"/>
              <w:rPr>
                <w:sz w:val="20"/>
                <w:szCs w:val="20"/>
                <w:color w:val="auto"/>
              </w:rPr>
            </w:pPr>
            <w:r>
              <w:rPr>
                <w:rFonts w:ascii="Arial" w:cs="Arial" w:eastAsia="Arial" w:hAnsi="Arial"/>
                <w:sz w:val="18"/>
                <w:szCs w:val="18"/>
                <w:color w:val="auto"/>
              </w:rPr>
              <w:t>Investment at carrying value – May 31, 2015</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2"/>
              <w:spacing w:after="0" w:line="205" w:lineRule="exact"/>
              <w:rPr>
                <w:sz w:val="20"/>
                <w:szCs w:val="20"/>
                <w:color w:val="auto"/>
              </w:rPr>
            </w:pPr>
            <w:r>
              <w:rPr>
                <w:rFonts w:ascii="Arial" w:cs="Arial" w:eastAsia="Arial" w:hAnsi="Arial"/>
                <w:sz w:val="18"/>
                <w:szCs w:val="18"/>
                <w:color w:val="auto"/>
              </w:rPr>
              <w:t>1,883,668</w:t>
            </w:r>
          </w:p>
        </w:tc>
      </w:tr>
      <w:tr>
        <w:trPr>
          <w:trHeight w:val="20"/>
        </w:trPr>
        <w:tc>
          <w:tcPr>
            <w:tcW w:w="5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incurred expenses of $1,138,000 during the nine months ended May 31, 2015 related to the termination of the joint venture agreement with Tianjin Zerust, the initiation of the liquidation of Tianjin Zerust and the formation and initial operation of NTIC China. Such expenses consisted primarily of legal expenses and personnel expenses associated with the establishment of the subsidiary and the hiring of new personnel. These expenses are recorded as operating expenses on the consolidated statements of operations and are partially off-set by the gross margin contribution from sales of NTIC China .</w:t>
      </w:r>
    </w:p>
    <w:p>
      <w:pPr>
        <w:spacing w:after="0" w:line="183" w:lineRule="exact"/>
        <w:rPr>
          <w:sz w:val="20"/>
          <w:szCs w:val="20"/>
          <w:color w:val="auto"/>
        </w:rPr>
      </w:pPr>
    </w:p>
    <w:p>
      <w:pPr>
        <w:ind w:left="480" w:hanging="475"/>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47"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May 31, 2015 and August 31, 2014. At the option of the Company, outstanding advances under the line of credit bear interest at either (a) an annual rate based on LIBOR plus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2.15% for the applicable LIBOR interest period selected by the Company or (b) at the rate publicly announced by PNC Bank from time to time as its prime rate.</w:t>
      </w:r>
    </w:p>
    <w:p>
      <w:pPr>
        <w:spacing w:after="0" w:line="25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May 31, 2015, the Company was in compliance with all debt covenants.</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On January 5, 2015, PNC Bank extended the maturity date of the line of credit from January 7, 2015 to January 7, 2016 under substantially similar terms, and waived a technical covenant default by the Company to deliver quarterly compliance certificates.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1" w:name="page12"/>
    <w:bookmarkEnd w:id="11"/>
    <w:p>
      <w:pPr>
        <w:ind w:left="480" w:hanging="475"/>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nine months ended May 31, 2015, the Company did not purchase or retire any shares of its common stock. The following stock options to purchase shares of common stock were exercised during the nine months ended May 31, 2015:</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17"/>
        </w:trPr>
        <w:tc>
          <w:tcPr>
            <w:tcW w:w="10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b w:val="1"/>
                <w:bCs w:val="1"/>
                <w:color w:val="auto"/>
                <w:w w:val="86"/>
              </w:rPr>
              <w:t>Options Exercised</w:t>
            </w:r>
          </w:p>
        </w:tc>
        <w:tc>
          <w:tcPr>
            <w:tcW w:w="22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r>
      <w:tr>
        <w:trPr>
          <w:trHeight w:val="221"/>
        </w:trPr>
        <w:tc>
          <w:tcPr>
            <w:tcW w:w="1020" w:type="dxa"/>
            <w:vAlign w:val="bottom"/>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18,000</w:t>
            </w:r>
          </w:p>
        </w:tc>
        <w:tc>
          <w:tcPr>
            <w:tcW w:w="220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$ 7.65</w:t>
            </w:r>
          </w:p>
        </w:tc>
        <w:tc>
          <w:tcPr>
            <w:tcW w:w="1180" w:type="dxa"/>
            <w:vAlign w:val="bottom"/>
            <w:shd w:val="clear" w:color="auto" w:fill="CCEEFF"/>
          </w:tcPr>
          <w:p>
            <w:pPr>
              <w:spacing w:after="0"/>
              <w:rPr>
                <w:sz w:val="19"/>
                <w:szCs w:val="19"/>
                <w:color w:val="auto"/>
              </w:rPr>
            </w:pPr>
          </w:p>
        </w:tc>
      </w:tr>
      <w:tr>
        <w:trPr>
          <w:trHeight w:val="223"/>
        </w:trPr>
        <w:tc>
          <w:tcPr>
            <w:tcW w:w="2400" w:type="dxa"/>
            <w:vAlign w:val="bottom"/>
            <w:gridSpan w:val="2"/>
          </w:tcPr>
          <w:p>
            <w:pPr>
              <w:jc w:val="right"/>
              <w:ind w:right="412"/>
              <w:spacing w:after="0"/>
              <w:rPr>
                <w:sz w:val="20"/>
                <w:szCs w:val="20"/>
                <w:color w:val="auto"/>
              </w:rPr>
            </w:pPr>
            <w:r>
              <w:rPr>
                <w:rFonts w:ascii="Arial" w:cs="Arial" w:eastAsia="Arial" w:hAnsi="Arial"/>
                <w:sz w:val="18"/>
                <w:szCs w:val="18"/>
                <w:color w:val="auto"/>
              </w:rPr>
              <w:t>2,333</w:t>
            </w:r>
          </w:p>
        </w:tc>
        <w:tc>
          <w:tcPr>
            <w:tcW w:w="2200" w:type="dxa"/>
            <w:vAlign w:val="bottom"/>
          </w:tcPr>
          <w:p>
            <w:pPr>
              <w:spacing w:after="0"/>
              <w:rPr>
                <w:sz w:val="19"/>
                <w:szCs w:val="19"/>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10.20</w:t>
            </w:r>
          </w:p>
        </w:tc>
        <w:tc>
          <w:tcPr>
            <w:tcW w:w="1180" w:type="dxa"/>
            <w:vAlign w:val="bottom"/>
          </w:tcPr>
          <w:p>
            <w:pPr>
              <w:spacing w:after="0"/>
              <w:rPr>
                <w:sz w:val="19"/>
                <w:szCs w:val="19"/>
                <w:color w:val="auto"/>
              </w:rPr>
            </w:pPr>
          </w:p>
        </w:tc>
      </w:tr>
    </w:tbl>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45,067 shares of its common stock to various employees and directors during the nine months ended May 31, 2015. The weighted average per share exercise price of the stock options is $20.10, which was equal to the fair market value of the Company’s common stock on the date of grant.</w:t>
      </w:r>
    </w:p>
    <w:p>
      <w:pPr>
        <w:spacing w:after="0" w:line="2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nine months ended May 31, 2014, the Company did not purchase or retire any shares of its common stock. The following stock options to purchase shares of common stock were exercised during the nine months ended May 31, 2014:</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17"/>
        </w:trPr>
        <w:tc>
          <w:tcPr>
            <w:tcW w:w="10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Options Exercised</w:t>
            </w:r>
          </w:p>
        </w:tc>
        <w:tc>
          <w:tcPr>
            <w:tcW w:w="2200" w:type="dxa"/>
            <w:vAlign w:val="bottom"/>
          </w:tcPr>
          <w:p>
            <w:pPr>
              <w:spacing w:after="0"/>
              <w:rPr>
                <w:sz w:val="18"/>
                <w:szCs w:val="18"/>
                <w:color w:val="auto"/>
              </w:rPr>
            </w:pPr>
          </w:p>
        </w:tc>
        <w:tc>
          <w:tcPr>
            <w:tcW w:w="224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86"/>
              </w:rPr>
              <w:t>Exercise Price</w:t>
            </w:r>
          </w:p>
        </w:tc>
      </w:tr>
      <w:tr>
        <w:trPr>
          <w:trHeight w:val="221"/>
        </w:trPr>
        <w:tc>
          <w:tcPr>
            <w:tcW w:w="1020" w:type="dxa"/>
            <w:vAlign w:val="bottom"/>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rPr>
              <w:t>44,000</w:t>
            </w:r>
          </w:p>
        </w:tc>
        <w:tc>
          <w:tcPr>
            <w:tcW w:w="2200" w:type="dxa"/>
            <w:vAlign w:val="bottom"/>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$ 7.65</w:t>
            </w:r>
          </w:p>
        </w:tc>
        <w:tc>
          <w:tcPr>
            <w:tcW w:w="1180" w:type="dxa"/>
            <w:vAlign w:val="bottom"/>
            <w:shd w:val="clear" w:color="auto" w:fill="CCEEFF"/>
          </w:tcPr>
          <w:p>
            <w:pPr>
              <w:spacing w:after="0"/>
              <w:rPr>
                <w:sz w:val="19"/>
                <w:szCs w:val="19"/>
                <w:color w:val="auto"/>
              </w:rPr>
            </w:pPr>
          </w:p>
        </w:tc>
      </w:tr>
    </w:tbl>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Company granted stock options under the 2007 Plan to purchase an aggregate of 56,373 shares of its common stock to various employees and directors during the nine months ended May 31, 2014. The weighted average per share exercise price of the stock options is $14.83, which was equal to the fair market value of the Company’s common stock on the date of grant.</w:t>
      </w:r>
    </w:p>
    <w:p>
      <w:pPr>
        <w:spacing w:after="0" w:line="210" w:lineRule="exact"/>
        <w:rPr>
          <w:sz w:val="20"/>
          <w:szCs w:val="20"/>
          <w:color w:val="auto"/>
        </w:rPr>
      </w:pPr>
    </w:p>
    <w:p>
      <w:pPr>
        <w:ind w:left="480" w:hanging="475"/>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and nine months ended May 31, 2015 and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8"/>
        </w:trPr>
        <w:tc>
          <w:tcPr>
            <w:tcW w:w="4340" w:type="dxa"/>
            <w:vAlign w:val="bottom"/>
            <w:gridSpan w:val="2"/>
          </w:tcPr>
          <w:p>
            <w:pPr>
              <w:spacing w:after="0" w:line="204" w:lineRule="exact"/>
              <w:rPr>
                <w:sz w:val="20"/>
                <w:szCs w:val="20"/>
                <w:color w:val="auto"/>
              </w:rPr>
            </w:pPr>
            <w:r>
              <w:rPr>
                <w:rFonts w:ascii="Arial" w:cs="Arial" w:eastAsia="Arial" w:hAnsi="Arial"/>
                <w:sz w:val="18"/>
                <w:szCs w:val="18"/>
                <w:color w:val="auto"/>
              </w:rPr>
              <w:t>Numerators:</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May 31, 2015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May 31, 2014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6"/>
              </w:rPr>
              <w:t>May 31, 2015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May 31, 2014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income attributable to NTIC</w:t>
            </w:r>
          </w:p>
        </w:tc>
        <w:tc>
          <w:tcPr>
            <w:tcW w:w="52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905,435</w:t>
            </w:r>
          </w:p>
        </w:tc>
        <w:tc>
          <w:tcPr>
            <w:tcW w:w="30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980,217</w:t>
            </w:r>
          </w:p>
        </w:tc>
        <w:tc>
          <w:tcPr>
            <w:tcW w:w="28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1,785,056</w:t>
            </w:r>
          </w:p>
        </w:tc>
        <w:tc>
          <w:tcPr>
            <w:tcW w:w="28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2,863,847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4,525,109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4,461,880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4,519,279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4,452,798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 shares assumed upon exercise of stock options</w:t>
            </w: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69,883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128,464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116,282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130,376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tcPr>
          <w:p>
            <w:pPr>
              <w:spacing w:after="0" w:line="205" w:lineRule="exact"/>
              <w:rPr>
                <w:sz w:val="20"/>
                <w:szCs w:val="20"/>
                <w:color w:val="auto"/>
              </w:rPr>
            </w:pPr>
            <w:r>
              <w:rPr>
                <w:rFonts w:ascii="Arial" w:cs="Arial" w:eastAsia="Arial" w:hAnsi="Arial"/>
                <w:sz w:val="18"/>
                <w:szCs w:val="18"/>
                <w:color w:val="auto"/>
              </w:rPr>
              <w:t>Diluted – weighted shares outstanding</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ind w:right="32"/>
              <w:spacing w:after="0" w:line="205" w:lineRule="exact"/>
              <w:rPr>
                <w:sz w:val="20"/>
                <w:szCs w:val="20"/>
                <w:color w:val="auto"/>
              </w:rPr>
            </w:pPr>
            <w:r>
              <w:rPr>
                <w:rFonts w:ascii="Arial" w:cs="Arial" w:eastAsia="Arial" w:hAnsi="Arial"/>
                <w:sz w:val="18"/>
                <w:szCs w:val="18"/>
                <w:color w:val="auto"/>
              </w:rPr>
              <w:t>4,594,992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32"/>
              <w:spacing w:after="0" w:line="205" w:lineRule="exact"/>
              <w:rPr>
                <w:sz w:val="20"/>
                <w:szCs w:val="20"/>
                <w:color w:val="auto"/>
              </w:rPr>
            </w:pPr>
            <w:r>
              <w:rPr>
                <w:rFonts w:ascii="Arial" w:cs="Arial" w:eastAsia="Arial" w:hAnsi="Arial"/>
                <w:sz w:val="18"/>
                <w:szCs w:val="18"/>
                <w:color w:val="auto"/>
              </w:rPr>
              <w:t>4,590,344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2"/>
              <w:spacing w:after="0" w:line="205" w:lineRule="exact"/>
              <w:rPr>
                <w:sz w:val="20"/>
                <w:szCs w:val="20"/>
                <w:color w:val="auto"/>
              </w:rPr>
            </w:pPr>
            <w:r>
              <w:rPr>
                <w:rFonts w:ascii="Arial" w:cs="Arial" w:eastAsia="Arial" w:hAnsi="Arial"/>
                <w:sz w:val="18"/>
                <w:szCs w:val="18"/>
                <w:color w:val="auto"/>
              </w:rPr>
              <w:t>4,635,561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2"/>
              <w:spacing w:after="0" w:line="205" w:lineRule="exact"/>
              <w:rPr>
                <w:sz w:val="20"/>
                <w:szCs w:val="20"/>
                <w:color w:val="auto"/>
              </w:rPr>
            </w:pPr>
            <w:r>
              <w:rPr>
                <w:rFonts w:ascii="Arial" w:cs="Arial" w:eastAsia="Arial" w:hAnsi="Arial"/>
                <w:sz w:val="18"/>
                <w:szCs w:val="18"/>
                <w:color w:val="auto"/>
              </w:rPr>
              <w:t>4,583,174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(loss) per common share were based on the weighted average number of common shares outstanding during the periods when computing the basic earnings (loss) per share. When dilutive, stock options are included as equivalents using the treasury stock market method when computing the diluted earnings (loss) per share.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 w:name="page13"/>
    <w:bookmarkEnd w:id="12"/>
    <w:p>
      <w:pPr>
        <w:ind w:left="480" w:hanging="475"/>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performance awards and stock bonuses to eligible recipients to enable the Company and its subsidiaries to attract and retain qualified individuals through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opportunities for equity participation in the Company, and to reward those individuals who contribute to the achievement of the Company’s economic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objectives. Subject to adjustment as provided in the 2007 Plan, up to a maximum of 800,000 shares of the Company’s common stock are issuable under the 2007</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Plan. Options granted under the 2007 Plan generally have a term of ten years and become exercisable over a three- or four-year period beginning on the one-year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date of grant. Options are granted at per share exercise prices equal to the market value of the Company’s common stock on the date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grant. The Company issues new shares upon the exercise of options. As of May 31, 2015, only stock options and stock bonuses had been granted under the 2007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 granted options to purchase an aggregate of 45,067 and 56,373 shares of its common stock during the nine months ended May 31, 2015 and 2014, respectively. The fair value of option grants is determined at date of grant, using the Black-Scholes option pricing model with the assumptions listed below. The Company recognized compensation expense of $378,421 and $345,319 during the nine months ended May 31, 2015 and 2014, respectively, related to the options that vested during such time period. As of May 31, 2015, the total compensation cost for non-vested options not yet recognized in the Company’s consolidated statements of operations was $376,847 net of estimated forfeitures. Stock-based compensation expense of $117,262 is expected through the remainder of fiscal year 2015, and $179,785 and $79,800 is expected to be recognized during fiscal 2016 and fiscal 2017, respectively, based on outstanding options as of May 31, 2015. Future option grants will impact the compensation expense recognized. Stock-based compensation expense is included in general and administrative expense on the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1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Nine Months Ended</w:t>
            </w:r>
          </w:p>
        </w:tc>
        <w:tc>
          <w:tcPr>
            <w:tcW w:w="114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May 31, 2015</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May 31, 2014</w:t>
            </w:r>
          </w:p>
        </w:tc>
        <w:tc>
          <w:tcPr>
            <w:tcW w:w="1140" w:type="dxa"/>
            <w:vAlign w:val="bottom"/>
          </w:tcPr>
          <w:p>
            <w:pPr>
              <w:spacing w:after="0"/>
              <w:rPr>
                <w:sz w:val="18"/>
                <w:szCs w:val="18"/>
                <w:color w:val="auto"/>
              </w:rPr>
            </w:pPr>
          </w:p>
        </w:tc>
      </w:tr>
      <w:tr>
        <w:trPr>
          <w:trHeight w:val="204"/>
        </w:trPr>
        <w:tc>
          <w:tcPr>
            <w:tcW w:w="1160" w:type="dxa"/>
            <w:vAlign w:val="bottom"/>
          </w:tcPr>
          <w:p>
            <w:pPr>
              <w:spacing w:after="0"/>
              <w:rPr>
                <w:sz w:val="17"/>
                <w:szCs w:val="17"/>
                <w:color w:val="auto"/>
              </w:rPr>
            </w:pPr>
          </w:p>
        </w:tc>
        <w:tc>
          <w:tcPr>
            <w:tcW w:w="33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Dividend yield</w:t>
            </w:r>
          </w:p>
        </w:tc>
        <w:tc>
          <w:tcPr>
            <w:tcW w:w="41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c>
          <w:tcPr>
            <w:tcW w:w="16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c>
          <w:tcPr>
            <w:tcW w:w="1140" w:type="dxa"/>
            <w:vAlign w:val="bottom"/>
          </w:tcPr>
          <w:p>
            <w:pPr>
              <w:spacing w:after="0"/>
              <w:rPr>
                <w:sz w:val="17"/>
                <w:szCs w:val="17"/>
                <w:color w:val="auto"/>
              </w:rPr>
            </w:pPr>
          </w:p>
        </w:tc>
      </w:tr>
      <w:tr>
        <w:trPr>
          <w:trHeight w:val="211"/>
        </w:trPr>
        <w:tc>
          <w:tcPr>
            <w:tcW w:w="1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Expected volatility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140" w:type="dxa"/>
            <w:vAlign w:val="bottom"/>
          </w:tcPr>
          <w:p>
            <w:pPr>
              <w:spacing w:after="0"/>
              <w:rPr>
                <w:sz w:val="18"/>
                <w:szCs w:val="18"/>
                <w:color w:val="auto"/>
              </w:rPr>
            </w:pPr>
          </w:p>
        </w:tc>
      </w:tr>
      <w:tr>
        <w:trPr>
          <w:trHeight w:val="211"/>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41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140" w:type="dxa"/>
            <w:vAlign w:val="bottom"/>
          </w:tcPr>
          <w:p>
            <w:pPr>
              <w:spacing w:after="0"/>
              <w:rPr>
                <w:sz w:val="19"/>
                <w:szCs w:val="19"/>
                <w:color w:val="auto"/>
              </w:rPr>
            </w:pPr>
          </w:p>
        </w:tc>
      </w:tr>
      <w:tr>
        <w:trPr>
          <w:trHeight w:val="581"/>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40" w:type="dxa"/>
            <w:vAlign w:val="bottom"/>
          </w:tcPr>
          <w:p>
            <w:pPr>
              <w:jc w:val="right"/>
              <w:ind w:right="1212"/>
              <w:spacing w:after="0"/>
              <w:rPr>
                <w:sz w:val="20"/>
                <w:szCs w:val="20"/>
                <w:color w:val="auto"/>
              </w:rPr>
            </w:pPr>
            <w:r>
              <w:rPr>
                <w:rFonts w:ascii="Arial" w:cs="Arial" w:eastAsia="Arial" w:hAnsi="Arial"/>
                <w:sz w:val="18"/>
                <w:szCs w:val="18"/>
                <w:color w:val="auto"/>
              </w:rPr>
              <w:t>12</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1160" w:type="dxa"/>
            <w:vAlign w:val="bottom"/>
            <w:tcBorders>
              <w:bottom w:val="single" w:sz="8" w:color="808080"/>
            </w:tcBorders>
          </w:tcPr>
          <w:p>
            <w:pPr>
              <w:spacing w:after="0"/>
              <w:rPr>
                <w:sz w:val="12"/>
                <w:szCs w:val="12"/>
                <w:color w:val="auto"/>
              </w:rPr>
            </w:pPr>
          </w:p>
        </w:tc>
        <w:tc>
          <w:tcPr>
            <w:tcW w:w="3300" w:type="dxa"/>
            <w:vAlign w:val="bottom"/>
            <w:tcBorders>
              <w:bottom w:val="single" w:sz="8" w:color="808080"/>
            </w:tcBorders>
          </w:tcPr>
          <w:p>
            <w:pPr>
              <w:spacing w:after="0"/>
              <w:rPr>
                <w:sz w:val="12"/>
                <w:szCs w:val="12"/>
                <w:color w:val="auto"/>
              </w:rPr>
            </w:pPr>
          </w:p>
        </w:tc>
        <w:tc>
          <w:tcPr>
            <w:tcW w:w="264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 w:name="page14"/>
    <w:bookmarkEnd w:id="13"/>
    <w:p>
      <w:pPr>
        <w:spacing w:after="0" w:line="325" w:lineRule="auto"/>
        <w:rPr>
          <w:sz w:val="20"/>
          <w:szCs w:val="20"/>
          <w:color w:val="auto"/>
        </w:rPr>
      </w:pPr>
      <w:r>
        <w:rPr>
          <w:rFonts w:ascii="Arial" w:cs="Arial" w:eastAsia="Arial" w:hAnsi="Arial"/>
          <w:sz w:val="16"/>
          <w:szCs w:val="16"/>
          <w:color w:val="auto"/>
        </w:rPr>
        <w:t>The weighted average per share fair value of options granted during nine months ended May 31, 2015 and 2014 was $11.58 and $8.57, respectively. The weighted average remaining contractual life of the options outstanding as of May 31, 2015 and 2014 was 6.56 years and 5.44 years, respectively.</w:t>
      </w:r>
    </w:p>
    <w:p>
      <w:pPr>
        <w:spacing w:after="0" w:line="155"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as a percentage of total consolidated net sales for the three and nine months ended May 31, 2015 and 2014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290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90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8"/>
                <w:szCs w:val="18"/>
                <w:b w:val="1"/>
                <w:bCs w:val="1"/>
                <w:color w:val="auto"/>
              </w:rPr>
              <w:t>Nine Months Ended</w:t>
            </w:r>
          </w:p>
        </w:tc>
      </w:tr>
      <w:tr>
        <w:trPr>
          <w:trHeight w:val="218"/>
        </w:trPr>
        <w:tc>
          <w:tcPr>
            <w:tcW w:w="5520" w:type="dxa"/>
            <w:vAlign w:val="bottom"/>
          </w:tcPr>
          <w:p>
            <w:pPr>
              <w:spacing w:after="0"/>
              <w:rPr>
                <w:sz w:val="18"/>
                <w:szCs w:val="18"/>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May 31, 2015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May 31, 2014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May 31, 2015</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May 31, 2014</w:t>
            </w:r>
          </w:p>
        </w:tc>
      </w:tr>
      <w:tr>
        <w:trPr>
          <w:trHeight w:val="204"/>
        </w:trPr>
        <w:tc>
          <w:tcPr>
            <w:tcW w:w="55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Inside the U.S.A. to unaffiliated customers</w:t>
            </w:r>
          </w:p>
        </w:tc>
        <w:tc>
          <w:tcPr>
            <w:tcW w:w="14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63.0%</w:t>
            </w:r>
          </w:p>
        </w:tc>
        <w:tc>
          <w:tcPr>
            <w:tcW w:w="15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69.0%</w:t>
            </w:r>
          </w:p>
        </w:tc>
        <w:tc>
          <w:tcPr>
            <w:tcW w:w="15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63.8%</w:t>
            </w:r>
          </w:p>
        </w:tc>
        <w:tc>
          <w:tcPr>
            <w:tcW w:w="15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67.4%</w:t>
            </w:r>
          </w:p>
        </w:tc>
      </w:tr>
      <w:tr>
        <w:trPr>
          <w:trHeight w:val="211"/>
        </w:trPr>
        <w:tc>
          <w:tcPr>
            <w:tcW w:w="5520" w:type="dxa"/>
            <w:vAlign w:val="bottom"/>
          </w:tcPr>
          <w:p>
            <w:pPr>
              <w:spacing w:after="0"/>
              <w:rPr>
                <w:sz w:val="20"/>
                <w:szCs w:val="20"/>
                <w:color w:val="auto"/>
              </w:rPr>
            </w:pPr>
            <w:r>
              <w:rPr>
                <w:rFonts w:ascii="Arial" w:cs="Arial" w:eastAsia="Arial" w:hAnsi="Arial"/>
                <w:sz w:val="18"/>
                <w:szCs w:val="18"/>
                <w:color w:val="auto"/>
              </w:rPr>
              <w:t>Outside the U.S.A to: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9"/>
        </w:trPr>
        <w:tc>
          <w:tcPr>
            <w:tcW w:w="55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Joint ventures in which the Company is a shareholder directly and</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3"/>
        </w:trPr>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indirectly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5520" w:type="dxa"/>
            <w:vAlign w:val="bottom"/>
          </w:tcPr>
          <w:p>
            <w:pPr>
              <w:ind w:left="160"/>
              <w:spacing w:after="0"/>
              <w:rPr>
                <w:sz w:val="20"/>
                <w:szCs w:val="20"/>
                <w:color w:val="auto"/>
              </w:rPr>
            </w:pPr>
            <w:r>
              <w:rPr>
                <w:rFonts w:ascii="Arial" w:cs="Arial" w:eastAsia="Arial" w:hAnsi="Arial"/>
                <w:sz w:val="18"/>
                <w:szCs w:val="18"/>
                <w:color w:val="auto"/>
              </w:rPr>
              <w:t>Unaffiliated customers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w:t>
            </w:r>
          </w:p>
        </w:tc>
      </w:tr>
      <w:tr>
        <w:trPr>
          <w:trHeight w:val="204"/>
        </w:trPr>
        <w:tc>
          <w:tcPr>
            <w:tcW w:w="55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4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Fees for services provided to joint ventures accounted for under the equity method by geographic location as a percentage of total fees for services provided to joint ventures during the three and nine months ended May 31, 2015 and 2014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86"/>
        </w:trPr>
        <w:tc>
          <w:tcPr>
            <w:tcW w:w="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280" w:type="dxa"/>
            <w:vAlign w:val="bottom"/>
          </w:tcPr>
          <w:p>
            <w:pPr>
              <w:spacing w:after="0"/>
              <w:rPr>
                <w:sz w:val="16"/>
                <w:szCs w:val="16"/>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May 31,</w:t>
            </w:r>
          </w:p>
        </w:tc>
        <w:tc>
          <w:tcPr>
            <w:tcW w:w="100" w:type="dxa"/>
            <w:vAlign w:val="bottom"/>
          </w:tcPr>
          <w:p>
            <w:pPr>
              <w:spacing w:after="0"/>
              <w:rPr>
                <w:sz w:val="18"/>
                <w:szCs w:val="18"/>
                <w:color w:val="auto"/>
              </w:rPr>
            </w:pPr>
          </w:p>
        </w:tc>
        <w:tc>
          <w:tcPr>
            <w:tcW w:w="134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May 31,</w:t>
            </w:r>
          </w:p>
        </w:tc>
        <w:tc>
          <w:tcPr>
            <w:tcW w:w="100" w:type="dxa"/>
            <w:vAlign w:val="bottom"/>
          </w:tcPr>
          <w:p>
            <w:pPr>
              <w:spacing w:after="0"/>
              <w:rPr>
                <w:sz w:val="18"/>
                <w:szCs w:val="18"/>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c>
          <w:tcPr>
            <w:tcW w:w="28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c>
          <w:tcPr>
            <w:tcW w:w="28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3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Germany</w:t>
            </w:r>
          </w:p>
        </w:tc>
        <w:tc>
          <w:tcPr>
            <w:tcW w:w="238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219,182</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16.8%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257,215</w:t>
            </w:r>
          </w:p>
        </w:tc>
        <w:tc>
          <w:tcPr>
            <w:tcW w:w="14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12.8%</w:t>
            </w:r>
          </w:p>
        </w:tc>
        <w:tc>
          <w:tcPr>
            <w:tcW w:w="280" w:type="dxa"/>
            <w:vAlign w:val="bottom"/>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Poland</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149,771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152,157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128,164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148,113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Japan</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124,772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170,079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108,788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139,719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Sweden</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103,234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130,613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93,229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127,697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Finland</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74,711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87,416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72,285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204,777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China</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478,979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r>
      <w:tr>
        <w:trPr>
          <w:trHeight w:val="224"/>
        </w:trPr>
        <w:tc>
          <w:tcPr>
            <w:tcW w:w="30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229,828</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104,840</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1,303,964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2,001,775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r>
      <w:tr>
        <w:trPr>
          <w:trHeight w:val="449"/>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186"/>
        </w:trPr>
        <w:tc>
          <w:tcPr>
            <w:tcW w:w="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280" w:type="dxa"/>
            <w:vAlign w:val="bottom"/>
          </w:tcPr>
          <w:p>
            <w:pPr>
              <w:spacing w:after="0"/>
              <w:rPr>
                <w:sz w:val="16"/>
                <w:szCs w:val="16"/>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5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May 31,</w:t>
            </w:r>
          </w:p>
        </w:tc>
        <w:tc>
          <w:tcPr>
            <w:tcW w:w="100" w:type="dxa"/>
            <w:vAlign w:val="bottom"/>
          </w:tcPr>
          <w:p>
            <w:pPr>
              <w:spacing w:after="0"/>
              <w:rPr>
                <w:sz w:val="18"/>
                <w:szCs w:val="18"/>
                <w:color w:val="auto"/>
              </w:rPr>
            </w:pPr>
          </w:p>
        </w:tc>
        <w:tc>
          <w:tcPr>
            <w:tcW w:w="134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72"/>
              <w:spacing w:after="0"/>
              <w:rPr>
                <w:sz w:val="20"/>
                <w:szCs w:val="20"/>
                <w:color w:val="auto"/>
              </w:rPr>
            </w:pPr>
            <w:r>
              <w:rPr>
                <w:rFonts w:ascii="Arial" w:cs="Arial" w:eastAsia="Arial" w:hAnsi="Arial"/>
                <w:sz w:val="18"/>
                <w:szCs w:val="18"/>
                <w:b w:val="1"/>
                <w:bCs w:val="1"/>
                <w:color w:val="auto"/>
                <w:w w:val="92"/>
              </w:rPr>
              <w:t>May 31,</w:t>
            </w:r>
          </w:p>
        </w:tc>
        <w:tc>
          <w:tcPr>
            <w:tcW w:w="100" w:type="dxa"/>
            <w:vAlign w:val="bottom"/>
          </w:tcPr>
          <w:p>
            <w:pPr>
              <w:spacing w:after="0"/>
              <w:rPr>
                <w:sz w:val="18"/>
                <w:szCs w:val="18"/>
                <w:color w:val="auto"/>
              </w:rPr>
            </w:pPr>
          </w:p>
        </w:tc>
        <w:tc>
          <w:tcPr>
            <w:tcW w:w="136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c>
          <w:tcPr>
            <w:tcW w:w="280" w:type="dxa"/>
            <w:vAlign w:val="bottom"/>
          </w:tcPr>
          <w:p>
            <w:pPr>
              <w:spacing w:after="0"/>
              <w:rPr>
                <w:sz w:val="18"/>
                <w:szCs w:val="18"/>
                <w:color w:val="auto"/>
              </w:rPr>
            </w:pPr>
          </w:p>
        </w:tc>
      </w:tr>
      <w:tr>
        <w:trPr>
          <w:trHeight w:val="229"/>
        </w:trPr>
        <w:tc>
          <w:tcPr>
            <w:tcW w:w="3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c>
          <w:tcPr>
            <w:tcW w:w="28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3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Germany</w:t>
            </w:r>
          </w:p>
        </w:tc>
        <w:tc>
          <w:tcPr>
            <w:tcW w:w="238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660,135</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784,326</w:t>
            </w:r>
          </w:p>
        </w:tc>
        <w:tc>
          <w:tcPr>
            <w:tcW w:w="14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12.7%</w:t>
            </w:r>
          </w:p>
        </w:tc>
        <w:tc>
          <w:tcPr>
            <w:tcW w:w="280" w:type="dxa"/>
            <w:vAlign w:val="bottom"/>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China</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516,139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1,590,612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437,607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469,242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Thailand</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425,316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431,112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409,316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510,769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France</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318,686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390,794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304,600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282,329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Sweden</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262,451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332,806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220,926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269,155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India</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215,548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371,635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r>
      <w:tr>
        <w:trPr>
          <w:trHeight w:val="224"/>
        </w:trPr>
        <w:tc>
          <w:tcPr>
            <w:tcW w:w="30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661,770</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736,314</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4,432,494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6,169,094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r>
      <w:tr>
        <w:trPr>
          <w:trHeight w:val="581"/>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42"/>
        </w:trPr>
        <w:tc>
          <w:tcPr>
            <w:tcW w:w="300" w:type="dxa"/>
            <w:vAlign w:val="bottom"/>
            <w:tcBorders>
              <w:bottom w:val="single" w:sz="8" w:color="808080"/>
            </w:tcBorders>
          </w:tcPr>
          <w:p>
            <w:pPr>
              <w:spacing w:after="0"/>
              <w:rPr>
                <w:sz w:val="12"/>
                <w:szCs w:val="12"/>
                <w:color w:val="auto"/>
              </w:rPr>
            </w:pPr>
          </w:p>
        </w:tc>
        <w:tc>
          <w:tcPr>
            <w:tcW w:w="326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2015 and 2014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Nine Months Ended</w:t>
            </w:r>
          </w:p>
        </w:tc>
      </w:tr>
      <w:tr>
        <w:trPr>
          <w:trHeight w:val="218"/>
        </w:trPr>
        <w:tc>
          <w:tcPr>
            <w:tcW w:w="5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May 31, 2015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0"/>
              </w:rPr>
              <w:t>May 31, 2014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May 31, 2015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2014</w:t>
            </w:r>
          </w:p>
        </w:tc>
      </w:tr>
      <w:tr>
        <w:trPr>
          <w:trHeight w:val="204"/>
        </w:trPr>
        <w:tc>
          <w:tcPr>
            <w:tcW w:w="56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w w:val="99"/>
              </w:rPr>
              <w:t>7,076,760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5,992,095</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19,098,816</w:t>
            </w:r>
          </w:p>
        </w:tc>
        <w:tc>
          <w:tcPr>
            <w:tcW w:w="2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17,296,159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Natur-Tec™ sales</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1,200,815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928,725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3,121,563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2,152,769</w:t>
            </w:r>
          </w:p>
        </w:tc>
      </w:tr>
      <w:tr>
        <w:trPr>
          <w:trHeight w:val="204"/>
        </w:trPr>
        <w:tc>
          <w:tcPr>
            <w:tcW w:w="5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w w:val="99"/>
              </w:rPr>
              <w:t>8,277,575</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6,920,820</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22,220,379</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19,448,928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and nine months ended May 31, 2015 and 2014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3"/>
              </w:rPr>
              <w:t>Three Months Ended</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b w:val="1"/>
                <w:bCs w:val="1"/>
                <w:color w:val="auto"/>
                <w:w w:val="96"/>
              </w:rPr>
              <w:t>Nine Months Ended</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86"/>
        </w:trPr>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92"/>
              <w:spacing w:after="0" w:line="186" w:lineRule="exact"/>
              <w:rPr>
                <w:sz w:val="20"/>
                <w:szCs w:val="20"/>
                <w:color w:val="auto"/>
              </w:rPr>
            </w:pPr>
            <w:r>
              <w:rPr>
                <w:rFonts w:ascii="Arial" w:cs="Arial" w:eastAsia="Arial" w:hAnsi="Arial"/>
                <w:sz w:val="18"/>
                <w:szCs w:val="18"/>
                <w:b w:val="1"/>
                <w:bCs w:val="1"/>
                <w:color w:val="auto"/>
                <w:w w:val="94"/>
              </w:rPr>
              <w:t>%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72"/>
              <w:spacing w:after="0" w:line="186" w:lineRule="exact"/>
              <w:rPr>
                <w:sz w:val="20"/>
                <w:szCs w:val="20"/>
                <w:color w:val="auto"/>
              </w:rPr>
            </w:pPr>
            <w:r>
              <w:rPr>
                <w:rFonts w:ascii="Arial" w:cs="Arial" w:eastAsia="Arial" w:hAnsi="Arial"/>
                <w:sz w:val="18"/>
                <w:szCs w:val="18"/>
                <w:b w:val="1"/>
                <w:bCs w:val="1"/>
                <w:color w:val="auto"/>
                <w:w w:val="99"/>
              </w:rPr>
              <w:t>% of</w:t>
            </w:r>
          </w:p>
        </w:tc>
      </w:tr>
      <w:tr>
        <w:trPr>
          <w:trHeight w:val="211"/>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Product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Product</w:t>
            </w:r>
          </w:p>
        </w:tc>
      </w:tr>
      <w:tr>
        <w:trPr>
          <w:trHeight w:val="229"/>
        </w:trPr>
        <w:tc>
          <w:tcPr>
            <w:tcW w:w="27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6"/>
              </w:rPr>
              <w:t>May 31, 2015</w:t>
            </w:r>
          </w:p>
        </w:tc>
        <w:tc>
          <w:tcPr>
            <w:tcW w:w="10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Sales*</w:t>
            </w:r>
          </w:p>
        </w:tc>
        <w:tc>
          <w:tcPr>
            <w:tcW w:w="118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May 31, 2014</w:t>
            </w:r>
          </w:p>
        </w:tc>
        <w:tc>
          <w:tcPr>
            <w:tcW w:w="100" w:type="dxa"/>
            <w:vAlign w:val="bottom"/>
          </w:tcPr>
          <w:p>
            <w:pPr>
              <w:spacing w:after="0"/>
              <w:rPr>
                <w:sz w:val="19"/>
                <w:szCs w:val="19"/>
                <w:color w:val="auto"/>
              </w:rPr>
            </w:pPr>
          </w:p>
        </w:tc>
        <w:tc>
          <w:tcPr>
            <w:tcW w:w="9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May 31, 2015</w:t>
            </w:r>
          </w:p>
        </w:tc>
        <w:tc>
          <w:tcPr>
            <w:tcW w:w="100" w:type="dxa"/>
            <w:vAlign w:val="bottom"/>
          </w:tcPr>
          <w:p>
            <w:pPr>
              <w:spacing w:after="0"/>
              <w:rPr>
                <w:sz w:val="19"/>
                <w:szCs w:val="19"/>
                <w:color w:val="auto"/>
              </w:rPr>
            </w:pPr>
          </w:p>
        </w:tc>
        <w:tc>
          <w:tcPr>
            <w:tcW w:w="90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Sales*</w:t>
            </w:r>
          </w:p>
        </w:tc>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6"/>
              </w:rPr>
              <w:t>May 31, 2014</w:t>
            </w:r>
          </w:p>
        </w:tc>
        <w:tc>
          <w:tcPr>
            <w:tcW w:w="120" w:type="dxa"/>
            <w:vAlign w:val="bottom"/>
          </w:tcPr>
          <w:p>
            <w:pPr>
              <w:spacing w:after="0"/>
              <w:rPr>
                <w:sz w:val="19"/>
                <w:szCs w:val="19"/>
                <w:color w:val="auto"/>
              </w:rPr>
            </w:pPr>
          </w:p>
        </w:tc>
        <w:tc>
          <w:tcPr>
            <w:tcW w:w="90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Sales*</w:t>
            </w:r>
          </w:p>
        </w:tc>
      </w:tr>
      <w:tr>
        <w:trPr>
          <w:trHeight w:val="204"/>
        </w:trPr>
        <w:tc>
          <w:tcPr>
            <w:tcW w:w="2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Direct cost of goods sold</w:t>
            </w: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1"/>
        </w:trPr>
        <w:tc>
          <w:tcPr>
            <w:tcW w:w="2720" w:type="dxa"/>
            <w:vAlign w:val="bottom"/>
          </w:tcPr>
          <w:p>
            <w:pPr>
              <w:ind w:left="160"/>
              <w:spacing w:after="0"/>
              <w:rPr>
                <w:sz w:val="20"/>
                <w:szCs w:val="20"/>
                <w:color w:val="auto"/>
              </w:rPr>
            </w:pPr>
            <w:r>
              <w:rPr>
                <w:rFonts w:ascii="Arial" w:cs="Arial" w:eastAsia="Arial" w:hAnsi="Arial"/>
                <w:sz w:val="18"/>
                <w:szCs w:val="18"/>
                <w:color w:val="auto"/>
              </w:rPr>
              <w:t>ZERUST®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3,942,776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3,288,809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w w:val="90"/>
              </w:rPr>
              <w:t>10,452,467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9,336,363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54.0%</w:t>
            </w:r>
          </w:p>
        </w:tc>
      </w:tr>
      <w:tr>
        <w:trPr>
          <w:trHeight w:val="211"/>
        </w:trPr>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Natur-Tec®</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695,778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2,391,599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1,635,815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37"/>
        </w:trPr>
        <w:tc>
          <w:tcPr>
            <w:tcW w:w="2720" w:type="dxa"/>
            <w:vAlign w:val="bottom"/>
          </w:tcPr>
          <w:p>
            <w:pPr>
              <w:spacing w:after="0"/>
              <w:rPr>
                <w:sz w:val="20"/>
                <w:szCs w:val="20"/>
                <w:color w:val="auto"/>
              </w:rPr>
            </w:pPr>
            <w:r>
              <w:rPr>
                <w:rFonts w:ascii="Arial" w:cs="Arial" w:eastAsia="Arial" w:hAnsi="Arial"/>
                <w:sz w:val="18"/>
                <w:szCs w:val="18"/>
                <w:color w:val="auto"/>
              </w:rPr>
              <w:t>Indirect cost of goods sold</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762,455</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684,735</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2,215,492</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1,907,008</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04"/>
        </w:trPr>
        <w:tc>
          <w:tcPr>
            <w:tcW w:w="2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net cost of goods sold</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99"/>
              </w:rPr>
              <w:t>5,595,207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8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4,669,322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90"/>
              </w:rPr>
              <w:t>15,059,558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0"/>
              </w:rPr>
              <w:t>12,879,186</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1"/>
        </w:trPr>
        <w:tc>
          <w:tcPr>
            <w:tcW w:w="2720" w:type="dxa"/>
            <w:vAlign w:val="bottom"/>
          </w:tcPr>
          <w:p>
            <w:pPr>
              <w:spacing w:after="0" w:line="231" w:lineRule="exact"/>
              <w:rPr>
                <w:sz w:val="20"/>
                <w:szCs w:val="20"/>
                <w:color w:val="auto"/>
              </w:rPr>
            </w:pPr>
            <w:r>
              <w:rPr>
                <w:rFonts w:ascii="Arial" w:cs="Arial" w:eastAsia="Arial" w:hAnsi="Arial"/>
                <w:sz w:val="21"/>
                <w:szCs w:val="21"/>
                <w:color w:val="auto"/>
              </w:rPr>
              <w:t>__________________</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percent of segment sales is calculated by dividing the direct cost of goods sold for each individual segment category by the net sales for each segment category.</w:t>
      </w:r>
    </w:p>
    <w:p>
      <w:pPr>
        <w:spacing w:after="0" w:line="21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16"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w w:val="92"/>
              </w:rPr>
              <w:t>The geographical distribution of key financial statement data is as follows: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31"/>
        </w:trPr>
        <w:tc>
          <w:tcPr>
            <w:tcW w:w="3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472"/>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As of</w:t>
            </w:r>
          </w:p>
        </w:tc>
        <w:tc>
          <w:tcPr>
            <w:tcW w:w="2220" w:type="dxa"/>
            <w:vAlign w:val="bottom"/>
          </w:tcPr>
          <w:p>
            <w:pPr>
              <w:spacing w:after="0"/>
              <w:rPr>
                <w:sz w:val="24"/>
                <w:szCs w:val="24"/>
                <w:color w:val="auto"/>
              </w:rPr>
            </w:pPr>
          </w:p>
        </w:tc>
      </w:tr>
      <w:tr>
        <w:trPr>
          <w:trHeight w:val="229"/>
        </w:trPr>
        <w:tc>
          <w:tcPr>
            <w:tcW w:w="3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2"/>
              </w:rPr>
              <w:t>May 31, 2015</w:t>
            </w:r>
          </w:p>
        </w:tc>
        <w:tc>
          <w:tcPr>
            <w:tcW w:w="16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0"/>
              </w:rPr>
              <w:t>August 31, 2014</w:t>
            </w:r>
          </w:p>
        </w:tc>
        <w:tc>
          <w:tcPr>
            <w:tcW w:w="2220" w:type="dxa"/>
            <w:vAlign w:val="bottom"/>
          </w:tcPr>
          <w:p>
            <w:pPr>
              <w:spacing w:after="0"/>
              <w:rPr>
                <w:sz w:val="19"/>
                <w:szCs w:val="19"/>
                <w:color w:val="auto"/>
              </w:rPr>
            </w:pPr>
          </w:p>
        </w:tc>
      </w:tr>
      <w:tr>
        <w:trPr>
          <w:trHeight w:val="204"/>
        </w:trPr>
        <w:tc>
          <w:tcPr>
            <w:tcW w:w="320" w:type="dxa"/>
            <w:vAlign w:val="bottom"/>
          </w:tcPr>
          <w:p>
            <w:pPr>
              <w:spacing w:after="0"/>
              <w:rPr>
                <w:sz w:val="17"/>
                <w:szCs w:val="17"/>
                <w:color w:val="auto"/>
              </w:rPr>
            </w:pPr>
          </w:p>
        </w:tc>
        <w:tc>
          <w:tcPr>
            <w:tcW w:w="51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Brazil</w:t>
            </w:r>
          </w:p>
        </w:tc>
        <w:tc>
          <w:tcPr>
            <w:tcW w:w="8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1,046,801</w:t>
            </w:r>
          </w:p>
        </w:tc>
        <w:tc>
          <w:tcPr>
            <w:tcW w:w="440" w:type="dxa"/>
            <w:vAlign w:val="bottom"/>
            <w:gridSpan w:val="2"/>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1,429,054</w:t>
            </w:r>
          </w:p>
        </w:tc>
        <w:tc>
          <w:tcPr>
            <w:tcW w:w="2220" w:type="dxa"/>
            <w:vAlign w:val="bottom"/>
          </w:tcPr>
          <w:p>
            <w:pPr>
              <w:spacing w:after="0"/>
              <w:rPr>
                <w:sz w:val="17"/>
                <w:szCs w:val="17"/>
                <w:color w:val="auto"/>
              </w:rPr>
            </w:pPr>
          </w:p>
        </w:tc>
      </w:tr>
      <w:tr>
        <w:trPr>
          <w:trHeight w:val="211"/>
        </w:trPr>
        <w:tc>
          <w:tcPr>
            <w:tcW w:w="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China</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1,395,952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8"/>
                <w:szCs w:val="18"/>
                <w:color w:val="auto"/>
              </w:rPr>
            </w:pPr>
          </w:p>
        </w:tc>
      </w:tr>
      <w:tr>
        <w:trPr>
          <w:trHeight w:val="211"/>
        </w:trPr>
        <w:tc>
          <w:tcPr>
            <w:tcW w:w="3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363,894</w:t>
            </w:r>
          </w:p>
        </w:tc>
        <w:tc>
          <w:tcPr>
            <w:tcW w:w="2220" w:type="dxa"/>
            <w:vAlign w:val="bottom"/>
          </w:tcPr>
          <w:p>
            <w:pPr>
              <w:spacing w:after="0"/>
              <w:rPr>
                <w:sz w:val="18"/>
                <w:szCs w:val="18"/>
                <w:color w:val="auto"/>
              </w:rPr>
            </w:pPr>
          </w:p>
        </w:tc>
      </w:tr>
      <w:tr>
        <w:trPr>
          <w:trHeight w:val="224"/>
        </w:trPr>
        <w:tc>
          <w:tcPr>
            <w:tcW w:w="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United States</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49,038,999</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52,264,827</w:t>
            </w:r>
          </w:p>
        </w:tc>
        <w:tc>
          <w:tcPr>
            <w:tcW w:w="2220" w:type="dxa"/>
            <w:vAlign w:val="bottom"/>
          </w:tcPr>
          <w:p>
            <w:pPr>
              <w:spacing w:after="0"/>
              <w:rPr>
                <w:sz w:val="19"/>
                <w:szCs w:val="19"/>
                <w:color w:val="auto"/>
              </w:rPr>
            </w:pPr>
          </w:p>
        </w:tc>
      </w:tr>
      <w:tr>
        <w:trPr>
          <w:trHeight w:val="244"/>
        </w:trPr>
        <w:tc>
          <w:tcPr>
            <w:tcW w:w="320" w:type="dxa"/>
            <w:vAlign w:val="bottom"/>
          </w:tcPr>
          <w:p>
            <w:pPr>
              <w:spacing w:after="0"/>
              <w:rPr>
                <w:sz w:val="21"/>
                <w:szCs w:val="21"/>
                <w:color w:val="auto"/>
              </w:rPr>
            </w:pPr>
          </w:p>
        </w:tc>
        <w:tc>
          <w:tcPr>
            <w:tcW w:w="512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51,871,411</w:t>
            </w:r>
          </w:p>
        </w:tc>
        <w:tc>
          <w:tcPr>
            <w:tcW w:w="440" w:type="dxa"/>
            <w:vAlign w:val="bottom"/>
            <w:gridSpan w:val="2"/>
            <w:shd w:val="clear" w:color="auto" w:fill="CCEEFF"/>
          </w:tcPr>
          <w:p>
            <w:pPr>
              <w:jc w:val="right"/>
              <w:ind w:right="92"/>
              <w:spacing w:after="0" w:line="205"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54,057,775</w:t>
            </w:r>
          </w:p>
        </w:tc>
        <w:tc>
          <w:tcPr>
            <w:tcW w:w="2220" w:type="dxa"/>
            <w:vAlign w:val="bottom"/>
          </w:tcPr>
          <w:p>
            <w:pPr>
              <w:spacing w:after="0"/>
              <w:rPr>
                <w:sz w:val="21"/>
                <w:szCs w:val="21"/>
                <w:color w:val="auto"/>
              </w:rPr>
            </w:pPr>
          </w:p>
        </w:tc>
      </w:tr>
      <w:tr>
        <w:trPr>
          <w:trHeight w:val="823"/>
        </w:trPr>
        <w:tc>
          <w:tcPr>
            <w:tcW w:w="320" w:type="dxa"/>
            <w:vAlign w:val="bottom"/>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jc w:val="right"/>
              <w:ind w:right="292"/>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142"/>
        </w:trPr>
        <w:tc>
          <w:tcPr>
            <w:tcW w:w="320" w:type="dxa"/>
            <w:vAlign w:val="bottom"/>
            <w:tcBorders>
              <w:bottom w:val="single" w:sz="8" w:color="808080"/>
            </w:tcBorders>
          </w:tcPr>
          <w:p>
            <w:pPr>
              <w:spacing w:after="0"/>
              <w:rPr>
                <w:sz w:val="12"/>
                <w:szCs w:val="12"/>
                <w:color w:val="auto"/>
              </w:rPr>
            </w:pPr>
          </w:p>
        </w:tc>
        <w:tc>
          <w:tcPr>
            <w:tcW w:w="51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tbl>
      <w:tblPr>
        <w:tblLayout w:type="fixed"/>
        <w:tblInd w:w="32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b w:val="1"/>
                <w:bCs w:val="1"/>
                <w:color w:val="auto"/>
              </w:rPr>
              <w:t>Nine Months Ended</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2"/>
              </w:rPr>
              <w:t>May 31, 2015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May 31, 2014</w:t>
            </w:r>
          </w:p>
        </w:tc>
      </w:tr>
      <w:tr>
        <w:trPr>
          <w:trHeight w:val="204"/>
        </w:trPr>
        <w:tc>
          <w:tcPr>
            <w:tcW w:w="36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Brazil</w:t>
            </w:r>
          </w:p>
        </w:tc>
        <w:tc>
          <w:tcPr>
            <w:tcW w:w="24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2,103,589</w:t>
            </w:r>
          </w:p>
        </w:tc>
        <w:tc>
          <w:tcPr>
            <w:tcW w:w="3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1,865,137</w:t>
            </w:r>
          </w:p>
        </w:tc>
      </w:tr>
      <w:tr>
        <w:trPr>
          <w:trHeight w:val="211"/>
        </w:trPr>
        <w:tc>
          <w:tcPr>
            <w:tcW w:w="3600" w:type="dxa"/>
            <w:vAlign w:val="bottom"/>
          </w:tcPr>
          <w:p>
            <w:pPr>
              <w:spacing w:after="0"/>
              <w:rPr>
                <w:sz w:val="20"/>
                <w:szCs w:val="20"/>
                <w:color w:val="auto"/>
              </w:rPr>
            </w:pPr>
            <w:r>
              <w:rPr>
                <w:rFonts w:ascii="Arial" w:cs="Arial" w:eastAsia="Arial" w:hAnsi="Arial"/>
                <w:sz w:val="18"/>
                <w:szCs w:val="18"/>
                <w:color w:val="auto"/>
              </w:rPr>
              <w:t>China</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442,262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361,700</w:t>
            </w:r>
          </w:p>
        </w:tc>
      </w:tr>
      <w:tr>
        <w:trPr>
          <w:trHeight w:val="224"/>
        </w:trPr>
        <w:tc>
          <w:tcPr>
            <w:tcW w:w="3600" w:type="dxa"/>
            <w:vAlign w:val="bottom"/>
          </w:tcPr>
          <w:p>
            <w:pPr>
              <w:spacing w:after="0"/>
              <w:rPr>
                <w:sz w:val="20"/>
                <w:szCs w:val="20"/>
                <w:color w:val="auto"/>
              </w:rPr>
            </w:pPr>
            <w:r>
              <w:rPr>
                <w:rFonts w:ascii="Arial" w:cs="Arial" w:eastAsia="Arial" w:hAnsi="Arial"/>
                <w:sz w:val="18"/>
                <w:szCs w:val="18"/>
                <w:color w:val="auto"/>
              </w:rPr>
              <w:t>United States</w:t>
            </w:r>
          </w:p>
        </w:tc>
        <w:tc>
          <w:tcPr>
            <w:tcW w:w="2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18,965,893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17,222,091</w:t>
            </w:r>
          </w:p>
        </w:tc>
      </w:tr>
      <w:tr>
        <w:trPr>
          <w:trHeight w:val="244"/>
        </w:trPr>
        <w:tc>
          <w:tcPr>
            <w:tcW w:w="360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net sales</w:t>
            </w:r>
          </w:p>
        </w:tc>
        <w:tc>
          <w:tcPr>
            <w:tcW w:w="2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22,220,379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19,448,928</w:t>
            </w:r>
          </w:p>
        </w:tc>
      </w:tr>
    </w:tbl>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b w:val="1"/>
                <w:bCs w:val="1"/>
                <w:color w:val="auto"/>
              </w:rPr>
              <w:t>Nine Months Ended</w:t>
            </w:r>
          </w:p>
        </w:tc>
      </w:tr>
      <w:tr>
        <w:trPr>
          <w:trHeight w:val="218"/>
        </w:trPr>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2"/>
              </w:rPr>
              <w:t>May 31, 2015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2"/>
              </w:rPr>
              <w:t>May 31, 2014</w:t>
            </w:r>
          </w:p>
        </w:tc>
      </w:tr>
      <w:tr>
        <w:trPr>
          <w:trHeight w:val="204"/>
        </w:trPr>
        <w:tc>
          <w:tcPr>
            <w:tcW w:w="39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Brazil</w:t>
            </w:r>
          </w:p>
        </w:tc>
        <w:tc>
          <w:tcPr>
            <w:tcW w:w="21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(72,785)</w:t>
            </w:r>
          </w:p>
        </w:tc>
        <w:tc>
          <w:tcPr>
            <w:tcW w:w="3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(75,491)</w:t>
            </w:r>
          </w:p>
        </w:tc>
      </w:tr>
      <w:tr>
        <w:trPr>
          <w:trHeight w:val="211"/>
        </w:trPr>
        <w:tc>
          <w:tcPr>
            <w:tcW w:w="3900" w:type="dxa"/>
            <w:vAlign w:val="bottom"/>
          </w:tcPr>
          <w:p>
            <w:pPr>
              <w:spacing w:after="0"/>
              <w:rPr>
                <w:sz w:val="20"/>
                <w:szCs w:val="20"/>
                <w:color w:val="auto"/>
              </w:rPr>
            </w:pPr>
            <w:r>
              <w:rPr>
                <w:rFonts w:ascii="Arial" w:cs="Arial" w:eastAsia="Arial" w:hAnsi="Arial"/>
                <w:sz w:val="18"/>
                <w:szCs w:val="18"/>
                <w:color w:val="auto"/>
              </w:rPr>
              <w:t>China</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(585,790)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United States</w:t>
            </w: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3,594,827</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5,002,383</w:t>
            </w:r>
          </w:p>
        </w:tc>
      </w:tr>
      <w:tr>
        <w:trPr>
          <w:trHeight w:val="244"/>
        </w:trPr>
        <w:tc>
          <w:tcPr>
            <w:tcW w:w="390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operating income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2,956,692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4,932,764</w:t>
            </w:r>
          </w:p>
        </w:tc>
      </w:tr>
    </w:tbl>
    <w:p>
      <w:pPr>
        <w:spacing w:after="0" w:line="22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Total assets located in Brazil, China and India primarily consist of cash and cash equivalents, customer receivables and inventory.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210"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expenses all costs related to product research and development as incurred. The Company incurred $2,968,879 and $3,342,497 of expense during the nine months ended May 31, 2015 and 2014, respectively, in connection with its research and development activities. These amounts are net of reimbursements related to certain research and development contracts. Such reimbursements totaled $0 and $45,788 for the nine months ended May 31, 2015 and 2014, respectively. The net fees are accounted for in the “Research and Development Expenses” section of the consolidated statements of operations.</w:t>
      </w:r>
    </w:p>
    <w:p>
      <w:pPr>
        <w:spacing w:after="0" w:line="183" w:lineRule="exact"/>
        <w:rPr>
          <w:sz w:val="20"/>
          <w:szCs w:val="20"/>
          <w:color w:val="auto"/>
        </w:rPr>
      </w:pPr>
    </w:p>
    <w:p>
      <w:pPr>
        <w:ind w:left="480" w:hanging="475"/>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On August 19, 2014, the Compensation Committee of the Board of Directors of the Company approved the material terms of an annual bonus plan for the Company’s executive officers as well as certain officers and employees for the fiscal year ending August 31, 2015. For fiscal 2015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2015 compared to a pre-established target Adjusted EBITOI for fiscal 2015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2015. There was an accrual of $466,000 for management bonuses for the nine months ended May 31, 2015 compared to an accrual of $1,063,000 for management bonuses for the nine months ended May 31, 2014.</w:t>
      </w:r>
    </w:p>
    <w:p>
      <w:pPr>
        <w:spacing w:after="0" w:line="202" w:lineRule="exact"/>
        <w:rPr>
          <w:sz w:val="20"/>
          <w:szCs w:val="20"/>
          <w:color w:val="auto"/>
        </w:rPr>
      </w:pPr>
    </w:p>
    <w:p>
      <w:pPr>
        <w:jc w:val="both"/>
        <w:ind w:right="40"/>
        <w:spacing w:after="0" w:line="300" w:lineRule="auto"/>
        <w:rPr>
          <w:sz w:val="20"/>
          <w:szCs w:val="20"/>
          <w:color w:val="auto"/>
        </w:rPr>
      </w:pPr>
      <w:r>
        <w:rPr>
          <w:rFonts w:ascii="Arial" w:cs="Arial" w:eastAsia="Arial" w:hAnsi="Arial"/>
          <w:sz w:val="16"/>
          <w:szCs w:val="16"/>
          <w:color w:val="auto"/>
        </w:rPr>
        <w:t>Three joint ventures (consisting of the Company’s joint venture in Korea, Thailand and remaining payables balance to the Company at Tianjin Zerust) accounted for 54.1% of the Company’s trade joint venture receivables at May 31, 2015. Three joint ventures (consisting of the Company’s joint ventures in Korea, Thailand and Tianjin Zerust) accounted for 62.9% of the Company’s trade joint venture receivables at August 31, 2014.</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right="40"/>
        <w:spacing w:after="0" w:line="282" w:lineRule="auto"/>
        <w:rPr>
          <w:sz w:val="20"/>
          <w:szCs w:val="20"/>
          <w:color w:val="auto"/>
        </w:rPr>
      </w:pPr>
      <w:r>
        <w:rPr>
          <w:rFonts w:ascii="Arial" w:cs="Arial" w:eastAsia="Arial" w:hAnsi="Arial"/>
          <w:sz w:val="16"/>
          <w:szCs w:val="16"/>
          <w:color w:val="auto"/>
        </w:rPr>
        <w:t>On March 23, 2015, the Company and NTI Asean LLC (NTI Asean), a majority owned subsidiary of the Company,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(Tianjin Zerust).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 if any. 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w:t>
      </w:r>
    </w:p>
    <w:p>
      <w:pPr>
        <w:spacing w:after="0" w:line="19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From time to time, the Company is subject to other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May 31, 2015, the amount of liability, if any, with respect to these matters, individually or in the aggregate, will not materially affect the Company’s consolidated results of operations, financial position or cash flows.</w:t>
      </w:r>
    </w:p>
    <w:p>
      <w:pPr>
        <w:spacing w:after="0" w:line="189" w:lineRule="exact"/>
        <w:rPr>
          <w:sz w:val="20"/>
          <w:szCs w:val="20"/>
          <w:color w:val="auto"/>
        </w:rPr>
      </w:pPr>
    </w:p>
    <w:p>
      <w:pPr>
        <w:ind w:left="480" w:hanging="475"/>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6"/>
          </w:tcPr>
          <w:p>
            <w:pPr>
              <w:jc w:val="center"/>
              <w:ind w:left="652"/>
              <w:spacing w:after="0"/>
              <w:rPr>
                <w:sz w:val="20"/>
                <w:szCs w:val="20"/>
                <w:color w:val="auto"/>
              </w:rPr>
            </w:pPr>
            <w:r>
              <w:rPr>
                <w:rFonts w:ascii="Arial" w:cs="Arial" w:eastAsia="Arial" w:hAnsi="Arial"/>
                <w:sz w:val="18"/>
                <w:szCs w:val="18"/>
                <w:b w:val="1"/>
                <w:bCs w:val="1"/>
                <w:color w:val="auto"/>
                <w:w w:val="89"/>
              </w:rPr>
              <w:t>Fair Value Measurements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1400" w:type="dxa"/>
            <w:vAlign w:val="bottom"/>
            <w:gridSpan w:val="2"/>
            <w:vMerge w:val="restart"/>
          </w:tcPr>
          <w:p>
            <w:pPr>
              <w:jc w:val="center"/>
              <w:ind w:right="12"/>
              <w:spacing w:after="0"/>
              <w:rPr>
                <w:sz w:val="20"/>
                <w:szCs w:val="20"/>
                <w:color w:val="auto"/>
              </w:rPr>
            </w:pPr>
            <w:r>
              <w:rPr>
                <w:rFonts w:ascii="Arial" w:cs="Arial" w:eastAsia="Arial" w:hAnsi="Arial"/>
                <w:sz w:val="18"/>
                <w:szCs w:val="18"/>
                <w:b w:val="1"/>
                <w:bCs w:val="1"/>
                <w:color w:val="auto"/>
                <w:w w:val="88"/>
              </w:rPr>
              <w:t>Fair Value as of</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8"/>
                <w:szCs w:val="18"/>
                <w:b w:val="1"/>
                <w:bCs w:val="1"/>
                <w:color w:val="auto"/>
                <w:w w:val="86"/>
              </w:rPr>
              <w:t>Using Inputs Considered as</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90"/>
              </w:rPr>
              <w:t>May 31, 2015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2,527,847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2,527,847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jc w:val="center"/>
              <w:ind w:left="652"/>
              <w:spacing w:after="0"/>
              <w:rPr>
                <w:sz w:val="20"/>
                <w:szCs w:val="20"/>
                <w:color w:val="auto"/>
              </w:rPr>
            </w:pPr>
            <w:r>
              <w:rPr>
                <w:rFonts w:ascii="Arial" w:cs="Arial" w:eastAsia="Arial" w:hAnsi="Arial"/>
                <w:sz w:val="18"/>
                <w:szCs w:val="18"/>
                <w:b w:val="1"/>
                <w:bCs w:val="1"/>
                <w:color w:val="auto"/>
                <w:w w:val="89"/>
              </w:rPr>
              <w:t>Fair Value Measurements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1400" w:type="dxa"/>
            <w:vAlign w:val="bottom"/>
            <w:gridSpan w:val="2"/>
            <w:vMerge w:val="restart"/>
          </w:tcPr>
          <w:p>
            <w:pPr>
              <w:jc w:val="center"/>
              <w:ind w:right="12"/>
              <w:spacing w:after="0"/>
              <w:rPr>
                <w:sz w:val="20"/>
                <w:szCs w:val="20"/>
                <w:color w:val="auto"/>
              </w:rPr>
            </w:pPr>
            <w:r>
              <w:rPr>
                <w:rFonts w:ascii="Arial" w:cs="Arial" w:eastAsia="Arial" w:hAnsi="Arial"/>
                <w:sz w:val="18"/>
                <w:szCs w:val="18"/>
                <w:b w:val="1"/>
                <w:bCs w:val="1"/>
                <w:color w:val="auto"/>
                <w:w w:val="88"/>
              </w:rPr>
              <w:t>Fair Value as of</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8"/>
                <w:szCs w:val="18"/>
                <w:b w:val="1"/>
                <w:bCs w:val="1"/>
                <w:color w:val="auto"/>
                <w:w w:val="86"/>
              </w:rPr>
              <w:t>Using Inputs Considered as</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140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87"/>
              </w:rPr>
              <w:t>August 31, 2014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5,519,766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5,519,766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6"/>
        </w:trPr>
        <w:tc>
          <w:tcPr>
            <w:tcW w:w="560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7" w:name="page18"/>
    <w:bookmarkEnd w:id="17"/>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in this report and under “Part 1. Item 1A. Risk Factors” in our annual report on Form 10-K for the fiscal year ended August 31, 2014 and “Part II. Item 1A. Risk Factors” in this report.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newly formed wholly owned subsidiary in China, NTIC (Shanghai) Co., Ltd. (NTIC China), its majority owned joint venture holding company for NTIC’s joint venture investments in the Association of Southeast Asian Nations (ASEAN) region, and joint venture arrangements in North America, Europe and Asia.</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189"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NTIC markets and sells its ZERUST® rust and corrosion prevention solutions to customers in the oil and gas industry across several countries either directly or through NTIC’s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18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resins and finished products both directly and through its recently formed majority owned subsidiary in India, Natur-Tec India Private Limited (Natur-Tec India), and through certain joint ventures. In November 2014, NTIC entered into an agreement with NatureWorks LLC for joint marketing and sales of Ingeo® based packaging solutions to customers in India. With recent Indian government mandates banning use of non-biodegradable plastics in certain types of food and consumer packaging, NTIC expects the market in India for bioplastic packaging solutions to grow substantially.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 Termination of Chinese Joint Venture</w:t>
      </w:r>
    </w:p>
    <w:p>
      <w:pPr>
        <w:spacing w:after="0" w:line="247"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On January 2, 2015, NTIC announced that, effective as of December 31, 2014, it is selling its ZERUST® products and services in China through a newly formed wholly owned subsidiary, NTIC (Shanghai) Co., Ltd. (NTIC China), and has terminated its joint venture agreements with Tianjin-Zerust Anticorrosion Co., Ltd. (Tianjin Zerust). NTIC and NTI Asean have filed a lawsuit against Mr. Tao Meng, a Chinese national and the former joint venture entity’s other shareholder, and his spouse in the Chinese court of Tianjin, seeking, among other things, an orderly liquidation of Tianjin Zerust.</w:t>
      </w:r>
    </w:p>
    <w:p>
      <w:pPr>
        <w:spacing w:after="0" w:line="18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 Commencing during the second quarter of fiscal 2015, NTIC’s consolidated financial statements include the financial results of NTIC China. NTIC anticipates that NTIC’s net sales, costs of goods sold and operating expenses will increase and its equity in income from joint ventures and fee income for services provided to its joint ventures will decrease in future periods compared to the prior fiscal year periods as NTIC started recognizing Tianjin Zerust based on its carrying value instead of the equity method and will continue to do so until Tianjin Zerust is fully liquidated. As of May 31, 2015, Tianjin Zerust has been evaluated for impairment and no such losses have been recorded.</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anticipates that it may take several quarters to transition many of the previous customers of Tianjin Zerust to NTIC China and no assurance can be provided that NTIC China will be able to achieve the net sales and income levels previously achieved by Tianjin Zerust. For the fiscal year ended August 31, 2014, Tianjin Zerust had net sales of $15.9 million and net income of $1.3 million. The operating income of the joint venture before paying royalties in an aggregate amount of $4.2 million to all shareholders was over $5.5 million; NTIC’s 30% portion of that operating income was $1.6 million.</w:t>
      </w:r>
    </w:p>
    <w:p>
      <w:pPr>
        <w:spacing w:after="0" w:line="18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During the nine months ended May 31, 2015, NTIC incurred approximately $1,138,000 in start-up expenses related either directly or indirectly to the establishment of NTIC China, the termination of the joint venture agreements with Tianjin Zerust, the pending litigation against Mr. Tao Meng and his spouse, and the anticipated liquidation of Tianjin Zerust. These expenses are recorded as selling, general and administrative expenses and expenses incurred in support of joint ventures on the consolidated statements of operations.</w:t>
      </w:r>
    </w:p>
    <w:p>
      <w:pPr>
        <w:spacing w:after="0" w:line="219"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NTIC expects that its operating results may be volatile over the next few quarters. In addition, NTIC does not anticipate incurring any impairment on its investment in the Tianjin Zerust, collectability of receivables from sales of product or fees for services from the joint venture or any material issue in recoverability of inventory.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4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9" w:name="page20"/>
    <w:bookmarkEnd w:id="19"/>
    <w:p>
      <w:pPr>
        <w:ind w:right="40"/>
        <w:spacing w:after="0" w:line="281" w:lineRule="auto"/>
        <w:rPr>
          <w:sz w:val="20"/>
          <w:szCs w:val="20"/>
          <w:color w:val="auto"/>
        </w:rPr>
      </w:pPr>
      <w:r>
        <w:rPr>
          <w:rFonts w:ascii="Arial" w:cs="Arial" w:eastAsia="Arial" w:hAnsi="Arial"/>
          <w:sz w:val="16"/>
          <w:szCs w:val="16"/>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4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results of Zerust Brazil, NTI Asean and Natur-Tec India, and as of December 31, 2014, NTI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Korea, Malaysia, Philippines, Singapore, Taiwan and Thailand. NTIC holds 90% of the equity and 90% of the voting rights of Natur-Tec India. NTI China is a wholly owned subsidiary of NTIC.</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considers EXCOR and its former joint venture in China to be individually significant to NTIC’s consolidated assets and income; and therefore, provides certain additional information regarding EXCOR and its former joint venture in China in the notes to NTIC’s consolidated financial statements and in this section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7" w:lineRule="exact"/>
        <w:rPr>
          <w:sz w:val="20"/>
          <w:szCs w:val="20"/>
          <w:color w:val="auto"/>
        </w:rPr>
      </w:pPr>
    </w:p>
    <w:p>
      <w:pPr>
        <w:ind w:right="640"/>
        <w:spacing w:after="0" w:line="363"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NTIC’s consolidated net sales increased 19.6% and 14.2% during the three and nine months ended May 31, 2015, respectively, compared to the three and nine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May 31, 2014. These increases were primarily a result of increased demand for ZERUST® rust and corrosion inhibiting packaging products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services and Natur-Tec® products and, to some extent, sales at NTI China, which subsidiary did not exist during the same periods in fiscal 2014. During the three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May 31, 2015, 85.5% and 86.0% of NTIC’s consolidated net sales, respectively, were derived from sales of ZERUST® products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services, which increased 18.1% and 10.4% to $7,076,760 and $19,098,816 during the three and nine months ended May 31, 2015, respectively,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$5,992,095 and $17,296,159 during the three and nine months ended May 31, 2014, respectively. These increases were due to increased demand from both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existing customers for new and existing products. NTIC has focused its sales efforts of ZERUST® products and services by strategically targeting customers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with specific corrosion issues in new market areas, including the oil and gas industry and other industrial sectors that offer sizable growth opportunities. NTIC’s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sales for the nine months ended May 31, 2015 included $1,382,423 of sales made to customers in the oil and gas industry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$1,043,604 for the prior fiscal year period. Overall demand for ZERUST® products and services depends heavily on the overall health of the markets in which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NTIC sells its products, including the automotive market in particular.</w:t>
      </w:r>
    </w:p>
    <w:p>
      <w:pPr>
        <w:spacing w:after="0" w:line="23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During the three and nine months ended May 31, 2015, 14.5% and 14.0% of NTIC’s consolidated net sales were derived from sales of Natur-Tec® products compared to 13.4% and 11.1% during the three and nine months ended May 31, 2014, respectively. Net sales of Natur-Tec® products increased 29.3% and 45.0% during the three and nine months ended May 31, 2015 compared to the three and nine months ended May 31, 2014, respectively. These increases were primarily due to finished product sales in North America and finished product sales at NTIC’s majority owned subsidiary, NTI India.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 w:name="page21"/>
    <w:bookmarkEnd w:id="20"/>
    <w:p>
      <w:pPr>
        <w:ind w:right="100"/>
        <w:spacing w:after="0" w:line="328" w:lineRule="auto"/>
        <w:rPr>
          <w:sz w:val="20"/>
          <w:szCs w:val="20"/>
          <w:color w:val="auto"/>
        </w:rPr>
      </w:pPr>
      <w:r>
        <w:rPr>
          <w:rFonts w:ascii="Arial" w:cs="Arial" w:eastAsia="Arial" w:hAnsi="Arial"/>
          <w:sz w:val="15"/>
          <w:szCs w:val="15"/>
          <w:color w:val="auto"/>
        </w:rPr>
        <w:t>Cost of goods sold as a percentage of net sales increased to 67.6% during the three months ended May 31, 2015 compared to 67.5% during the three months ended May 31, 2014 and increased to 67.8% during the nine months ended May 31, 2015 compared to 66.2% during the prior fiscal year period. These increases were primarily as a result of increased sales during the current fiscal year periods of Natur-Tec® products, which carry lower margins than ZERUST® products.</w:t>
      </w:r>
    </w:p>
    <w:p>
      <w:pPr>
        <w:spacing w:after="0" w:line="16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NTIC’s equity in income of joint ventures increased 8.2% and 8.8% to $1,724,915 and $4,806,247, respectively, during the three and nine months ended May 31, 2015 compared to $1,593,465 and $4,416,664 during the three and nine months ended May 31, 2014. These increases were primarily a result of increases in profitability at the joint ventures, partially offset by decreases associated with the anticipated liquidation of Tianjin Zerust and adverse effects of foreign currency exchange rate fluctuations, including in particular the Euro compared to the U.S. dollar.</w:t>
      </w:r>
    </w:p>
    <w:p>
      <w:pPr>
        <w:spacing w:after="0" w:line="18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NTIC recognized a 34.9% and 28.2% decrease in fees for services provided to joint ventures during the three and nine months ended May 31, 2015 compared to the three and nine months ended May 31, 2014, respectively. These decreases were primarily a result of the anticipated liquidation of Tianjin Zerust. Fees for services provided to Tianjin Zerust decreased $1,075,000 to $516,000 for the nine months ended May 31, 2015 compared to $1,591,000 for the nine months ended May 31, 2014. Additionally, there was a decrease in sales at the joint ventures, which were $23,796,532 and $75,974,770 during the three and nine months ended May 31, 2015, respectively, compared to $30,162,725 and $88,213,101 for the three and nine months ended May 31, 2014, respectively. These decreases resulted in corresponding decreases in fees for services provided to joint ventures as such fees are a function of net sales of NTIC’s joint ventures. Net sales of NTIC’s joint ventures decreased also as a result of a significant weakening of the Euro compared to the U.S. dollar and, to a lesser extent, the sale of NTIC’s ownership interest in Mütec GmbH.</w:t>
      </w:r>
    </w:p>
    <w:p>
      <w:pPr>
        <w:spacing w:after="0" w:line="19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NTIC’s total operating expenses increased 10.0%, or $1,220,134, to $13,442,870 during the nine months ended May 31, 2015 compared to the nine months ended May 31, 2014. This increase was primarily the result of $1,138,000 in expenses related to the formation and establishment of NTIC China and the anticipated liquidation of Tianjin Zerust. Such expenses consisted primarily of legal and personnel expenses associated with the establishment of the subsidiary, the hiring of new personnel and initial operations.</w:t>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NTIC expenses all costs related to product research and development as incurred. NTIC incurred $2,968,879 and $3,342,497 of expense during the nine months ended May 31, 2015 and 2014, respectively, in connection with its research and development activities. These represent net amounts after being reduced by reimbursements related to certain research and development contracts. Such reimbursements totaled $0 and $45,788 for the nine months ended May 31, 2015 and 2014, respectively. NTIC anticipates that it will spend between $4,000,000 and $4,400,000 in total during fiscal 2015 on research and development activities related to its new technologies.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decreased 7.6% to $905,435, or $0.20 per diluted common share, for the three months ended May 31, 2015 compared to</w:t>
      </w:r>
    </w:p>
    <w:p>
      <w:pPr>
        <w:spacing w:after="0" w:line="3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$980,217, or $0.21 per diluted common share, for the three months ended May 31, 2014. Net income attributable to NTIC decreased 37.7% to $1,785,056, or $0.39 per diluted common share, for the nine months ended May 31, 2015 compared to $2,863,847, or $0.63 per diluted common share, for the nine months ended May 31, 2014. These decreases were primarily the result of decreases in income from NTIC’s joint venture operations as a result of the anticipated liquidation of Tianjin Zerust and the establishment of NTIC China.</w:t>
      </w:r>
    </w:p>
    <w:p>
      <w:pPr>
        <w:spacing w:after="0" w:line="22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NTIC anticipates that its quarterly net income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1" w:name="page22"/>
    <w:bookmarkEnd w:id="21"/>
    <w:p>
      <w:pPr>
        <w:ind w:right="380"/>
        <w:spacing w:after="0" w:line="325" w:lineRule="auto"/>
        <w:rPr>
          <w:sz w:val="20"/>
          <w:szCs w:val="20"/>
          <w:color w:val="auto"/>
        </w:rPr>
      </w:pPr>
      <w:r>
        <w:rPr>
          <w:rFonts w:ascii="Arial" w:cs="Arial" w:eastAsia="Arial" w:hAnsi="Arial"/>
          <w:sz w:val="16"/>
          <w:szCs w:val="16"/>
          <w:color w:val="auto"/>
        </w:rPr>
        <w:t>NTIC’s working capital was $17,298,124 at May 31, 2015, including $3,793,571 in cash and cash equivalents and $2,527,847 in available for sale securities, compared to $17,853,311 at August 31, 2014, including $2,477,017 in cash and cash equivalents and $5,519,766 in available for sale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NTIC’s results of operations for the three and nine months ended May 31, 2015 and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86"/>
        </w:trPr>
        <w:tc>
          <w:tcPr>
            <w:tcW w:w="3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92"/>
              <w:spacing w:after="0" w:line="186"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92"/>
              <w:spacing w:after="0" w:line="186"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2"/>
              <w:spacing w:after="0" w:line="186"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53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3960" w:type="dxa"/>
            <w:vAlign w:val="bottom"/>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8"/>
              </w:rPr>
              <w:t>May 31, 2015</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May 31, 2014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Change</w:t>
            </w:r>
          </w:p>
        </w:tc>
      </w:tr>
      <w:tr>
        <w:trPr>
          <w:trHeight w:val="204"/>
        </w:trPr>
        <w:tc>
          <w:tcPr>
            <w:tcW w:w="39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11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5"/>
              </w:rPr>
              <w:t>$   7,553,957</w:t>
            </w: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91.3%</w:t>
            </w:r>
          </w:p>
        </w:tc>
        <w:tc>
          <w:tcPr>
            <w:tcW w:w="122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   6,056,078</w:t>
            </w: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87.5%</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1,497,879</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24.7%</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723,618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864,742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5,595,207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4,669,322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925,885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1,724,915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1,593,465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131,450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1,303,964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2,001,775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1,434,627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1,315,264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119,363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1,703,083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1,307,653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395,430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327,586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353,958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1,064,710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1,104,632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86"/>
        </w:trPr>
        <w:tc>
          <w:tcPr>
            <w:tcW w:w="3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92"/>
              <w:spacing w:after="0" w:line="186"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92"/>
              <w:spacing w:after="0" w:line="186"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492"/>
              <w:spacing w:after="0" w:line="186"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532"/>
              <w:spacing w:after="0" w:line="186" w:lineRule="exact"/>
              <w:rPr>
                <w:sz w:val="20"/>
                <w:szCs w:val="20"/>
                <w:color w:val="auto"/>
              </w:rPr>
            </w:pPr>
            <w:r>
              <w:rPr>
                <w:rFonts w:ascii="Arial" w:cs="Arial" w:eastAsia="Arial" w:hAnsi="Arial"/>
                <w:sz w:val="18"/>
                <w:szCs w:val="18"/>
                <w:b w:val="1"/>
                <w:bCs w:val="1"/>
                <w:color w:val="auto"/>
              </w:rPr>
              <w:t>%</w:t>
            </w:r>
          </w:p>
        </w:tc>
      </w:tr>
      <w:tr>
        <w:trPr>
          <w:trHeight w:val="229"/>
        </w:trPr>
        <w:tc>
          <w:tcPr>
            <w:tcW w:w="3960" w:type="dxa"/>
            <w:vAlign w:val="bottom"/>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8"/>
              </w:rPr>
              <w:t>May 31, 2015</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0"/>
              </w:rPr>
              <w:t>May 31, 2014</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Change</w:t>
            </w:r>
          </w:p>
        </w:tc>
      </w:tr>
      <w:tr>
        <w:trPr>
          <w:trHeight w:val="204"/>
        </w:trPr>
        <w:tc>
          <w:tcPr>
            <w:tcW w:w="39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11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0"/>
              </w:rPr>
              <w:t>$  20,030,491</w:t>
            </w: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90.1%</w:t>
            </w:r>
          </w:p>
        </w:tc>
        <w:tc>
          <w:tcPr>
            <w:tcW w:w="122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9"/>
              </w:rPr>
              <w:t>$  17,188,462</w:t>
            </w: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88.4%</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2,842,029</w:t>
            </w:r>
          </w:p>
        </w:tc>
        <w:tc>
          <w:tcPr>
            <w:tcW w:w="13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16.5%</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2,189,888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2,260,466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15,059,558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12,879,186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2,180,372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4,806,247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4,416,664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389,583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4,432,494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6,169,094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4,168,955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3,925,466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243,489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4,794,206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3,905,082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889,124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11"/>
        </w:trPr>
        <w:tc>
          <w:tcPr>
            <w:tcW w:w="396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1,510,830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rPr>
              <w:t>1,049,691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461,139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43.9%</w:t>
            </w: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2,968,879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3,342,497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i w:val="1"/>
          <w:iCs w:val="1"/>
          <w:color w:val="auto"/>
        </w:rPr>
        <w:t>Net Sales</w:t>
      </w:r>
      <w:r>
        <w:rPr>
          <w:rFonts w:ascii="Arial" w:cs="Arial" w:eastAsia="Arial" w:hAnsi="Arial"/>
          <w:sz w:val="15"/>
          <w:szCs w:val="15"/>
          <w:color w:val="auto"/>
        </w:rPr>
        <w:t>. NTIC’s consolidated net sales increased 19.6% and 14.2% to $8,277,575 and $22,220,379, respectively, during the three and nine months ended May</w:t>
      </w:r>
      <w:r>
        <w:rPr>
          <w:rFonts w:ascii="Arial" w:cs="Arial" w:eastAsia="Arial" w:hAnsi="Arial"/>
          <w:sz w:val="15"/>
          <w:szCs w:val="15"/>
          <w:i w:val="1"/>
          <w:iCs w:val="1"/>
          <w:color w:val="auto"/>
        </w:rPr>
        <w:t xml:space="preserve"> </w:t>
      </w:r>
      <w:r>
        <w:rPr>
          <w:rFonts w:ascii="Arial" w:cs="Arial" w:eastAsia="Arial" w:hAnsi="Arial"/>
          <w:sz w:val="15"/>
          <w:szCs w:val="15"/>
          <w:color w:val="auto"/>
        </w:rPr>
        <w:t>31, 2015 compared to the three and nine months ended May 31, 2014. NTIC’s consolidated net sales excluding NTIC’s joint ventures increased 24.7% and</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16.5% to $7,553,957 and $20,030,491, respectively, during the three and nine months ended May 31, 2015 compared to the same respective prior fiscal year periods. These increases were primarily a result of increased demand and sales of ZERUST® rust and corrosion inhibiting packaging products and services and Natur-Tec® products. Net sales to joint ventures decreased 16.3% and 3.1% to $723,618 and $2,189,888 during the three and nine months ended May 31, 2015, respectively, compared to the same respective prior fiscal year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and nine months ended May 31, 2015 and 2014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Nine Months Ended</w:t>
            </w:r>
          </w:p>
        </w:tc>
      </w:tr>
      <w:tr>
        <w:trPr>
          <w:trHeight w:val="218"/>
        </w:trPr>
        <w:tc>
          <w:tcPr>
            <w:tcW w:w="5600" w:type="dxa"/>
            <w:vAlign w:val="bottom"/>
          </w:tcPr>
          <w:p>
            <w:pPr>
              <w:spacing w:after="0"/>
              <w:rPr>
                <w:sz w:val="18"/>
                <w:szCs w:val="18"/>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May 31, 2015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0"/>
              </w:rPr>
              <w:t>May 31, 2014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0"/>
              </w:rPr>
              <w:t>May 31, 2015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2014</w:t>
            </w:r>
          </w:p>
        </w:tc>
      </w:tr>
      <w:tr>
        <w:trPr>
          <w:trHeight w:val="204"/>
        </w:trPr>
        <w:tc>
          <w:tcPr>
            <w:tcW w:w="56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3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00"/>
              <w:spacing w:after="0" w:line="204" w:lineRule="exact"/>
              <w:rPr>
                <w:sz w:val="20"/>
                <w:szCs w:val="20"/>
                <w:color w:val="auto"/>
              </w:rPr>
            </w:pPr>
            <w:r>
              <w:rPr>
                <w:rFonts w:ascii="Arial" w:cs="Arial" w:eastAsia="Arial" w:hAnsi="Arial"/>
                <w:sz w:val="18"/>
                <w:szCs w:val="18"/>
                <w:color w:val="auto"/>
                <w:w w:val="99"/>
              </w:rPr>
              <w:t>7,076,760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5,992,095</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19,098,816</w:t>
            </w:r>
          </w:p>
        </w:tc>
        <w:tc>
          <w:tcPr>
            <w:tcW w:w="2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17,296,159</w:t>
            </w: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Natur-Tec® sales</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1,200,815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928,725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3,121,563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2,152,769</w:t>
            </w:r>
          </w:p>
        </w:tc>
      </w:tr>
      <w:tr>
        <w:trPr>
          <w:trHeight w:val="204"/>
        </w:trPr>
        <w:tc>
          <w:tcPr>
            <w:tcW w:w="560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net sales</w:t>
            </w:r>
          </w:p>
        </w:tc>
        <w:tc>
          <w:tcPr>
            <w:tcW w:w="3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200"/>
              <w:spacing w:after="0" w:line="205" w:lineRule="exact"/>
              <w:rPr>
                <w:sz w:val="20"/>
                <w:szCs w:val="20"/>
                <w:color w:val="auto"/>
              </w:rPr>
            </w:pPr>
            <w:r>
              <w:rPr>
                <w:rFonts w:ascii="Arial" w:cs="Arial" w:eastAsia="Arial" w:hAnsi="Arial"/>
                <w:sz w:val="18"/>
                <w:szCs w:val="18"/>
                <w:color w:val="auto"/>
                <w:w w:val="99"/>
              </w:rPr>
              <w:t>8,277,575</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6,920,820</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22,220,379</w:t>
            </w:r>
          </w:p>
        </w:tc>
        <w:tc>
          <w:tcPr>
            <w:tcW w:w="20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19,448,928</w:t>
            </w:r>
          </w:p>
        </w:tc>
      </w:tr>
      <w:tr>
        <w:trPr>
          <w:trHeight w:val="593"/>
        </w:trPr>
        <w:tc>
          <w:tcPr>
            <w:tcW w:w="56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42"/>
        </w:trPr>
        <w:tc>
          <w:tcPr>
            <w:tcW w:w="56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2" w:name="page23"/>
    <w:bookmarkEnd w:id="22"/>
    <w:p>
      <w:pPr>
        <w:ind w:right="200"/>
        <w:spacing w:after="0" w:line="263" w:lineRule="auto"/>
        <w:rPr>
          <w:sz w:val="20"/>
          <w:szCs w:val="20"/>
          <w:color w:val="auto"/>
        </w:rPr>
      </w:pPr>
      <w:r>
        <w:rPr>
          <w:rFonts w:ascii="Arial" w:cs="Arial" w:eastAsia="Arial" w:hAnsi="Arial"/>
          <w:sz w:val="16"/>
          <w:szCs w:val="16"/>
          <w:color w:val="auto"/>
        </w:rPr>
        <w:t>During the three and nine months ended May 31, 2015, 85.5% and 86.0% of NTIC’s consolidated net sales, respectively,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 increased 18.1% and 10.4% to $7,076,760 and $19,098,816 during the three and nine months ended May 31, 2015, respectively, compared to $5,992,095 and $17,296,159 during the three and nine months ended May 31, 2014, respectively. These increases were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for the three and nine months ended May 31, 2015 and 2014:</w:t>
      </w:r>
    </w:p>
    <w:p>
      <w:pPr>
        <w:spacing w:after="0" w:line="181"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Three Months Ended</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ZERUST® industrial net sales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ZERUST® joint venture 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ZERUST® oil &amp; gas net sales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ZERUST® net sales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2"/>
              <w:spacing w:after="0" w:line="187" w:lineRule="exact"/>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gridSpan w:val="2"/>
          </w:tcPr>
          <w:p>
            <w:pPr>
              <w:jc w:val="right"/>
              <w:ind w:right="652"/>
              <w:spacing w:after="0" w:line="187" w:lineRule="exact"/>
              <w:rPr>
                <w:sz w:val="20"/>
                <w:szCs w:val="20"/>
                <w:color w:val="auto"/>
              </w:rPr>
            </w:pPr>
            <w:r>
              <w:rPr>
                <w:rFonts w:ascii="Arial" w:cs="Arial" w:eastAsia="Arial" w:hAnsi="Arial"/>
                <w:sz w:val="18"/>
                <w:szCs w:val="18"/>
                <w:b w:val="1"/>
                <w:bCs w:val="1"/>
                <w:color w:val="auto"/>
              </w:rPr>
              <w:t>%</w:t>
            </w:r>
          </w:p>
        </w:tc>
      </w:tr>
      <w:tr>
        <w:trPr>
          <w:trHeight w:val="229"/>
        </w:trPr>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Change</w:t>
            </w:r>
          </w:p>
        </w:tc>
      </w:tr>
      <w:tr>
        <w:trPr>
          <w:trHeight w:val="192"/>
        </w:trPr>
        <w:tc>
          <w:tcPr>
            <w:tcW w:w="12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line="192" w:lineRule="exact"/>
              <w:rPr>
                <w:sz w:val="20"/>
                <w:szCs w:val="20"/>
                <w:color w:val="auto"/>
              </w:rPr>
            </w:pPr>
            <w:r>
              <w:rPr>
                <w:rFonts w:ascii="Arial" w:cs="Arial" w:eastAsia="Arial" w:hAnsi="Arial"/>
                <w:sz w:val="18"/>
                <w:szCs w:val="18"/>
                <w:color w:val="auto"/>
              </w:rPr>
              <w:t>5,849,301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2"/>
              <w:spacing w:after="0" w:line="192" w:lineRule="exact"/>
              <w:rPr>
                <w:sz w:val="20"/>
                <w:szCs w:val="20"/>
                <w:color w:val="auto"/>
              </w:rPr>
            </w:pPr>
            <w:r>
              <w:rPr>
                <w:rFonts w:ascii="Arial" w:cs="Arial" w:eastAsia="Arial" w:hAnsi="Arial"/>
                <w:sz w:val="18"/>
                <w:szCs w:val="18"/>
                <w:color w:val="auto"/>
              </w:rPr>
              <w:t>4,879,899</w:t>
            </w:r>
          </w:p>
        </w:tc>
        <w:tc>
          <w:tcPr>
            <w:tcW w:w="100" w:type="dxa"/>
            <w:vAlign w:val="bottom"/>
          </w:tcPr>
          <w:p>
            <w:pPr>
              <w:spacing w:after="0"/>
              <w:rPr>
                <w:sz w:val="16"/>
                <w:szCs w:val="16"/>
                <w:color w:val="auto"/>
              </w:rPr>
            </w:pPr>
          </w:p>
        </w:tc>
        <w:tc>
          <w:tcPr>
            <w:tcW w:w="220" w:type="dxa"/>
            <w:vAlign w:val="bottom"/>
          </w:tcPr>
          <w:p>
            <w:pPr>
              <w:jc w:val="right"/>
              <w:ind w:right="32"/>
              <w:spacing w:after="0" w:line="19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line="192" w:lineRule="exact"/>
              <w:rPr>
                <w:sz w:val="20"/>
                <w:szCs w:val="20"/>
                <w:color w:val="auto"/>
              </w:rPr>
            </w:pPr>
            <w:r>
              <w:rPr>
                <w:rFonts w:ascii="Arial" w:cs="Arial" w:eastAsia="Arial" w:hAnsi="Arial"/>
                <w:sz w:val="18"/>
                <w:szCs w:val="18"/>
                <w:color w:val="auto"/>
              </w:rPr>
              <w:t>969,402</w:t>
            </w:r>
          </w:p>
        </w:tc>
        <w:tc>
          <w:tcPr>
            <w:tcW w:w="120" w:type="dxa"/>
            <w:vAlign w:val="bottom"/>
          </w:tcPr>
          <w:p>
            <w:pPr>
              <w:spacing w:after="0"/>
              <w:rPr>
                <w:sz w:val="16"/>
                <w:szCs w:val="16"/>
                <w:color w:val="auto"/>
              </w:rPr>
            </w:pPr>
          </w:p>
        </w:tc>
        <w:tc>
          <w:tcPr>
            <w:tcW w:w="1440" w:type="dxa"/>
            <w:vAlign w:val="bottom"/>
          </w:tcPr>
          <w:p>
            <w:pPr>
              <w:jc w:val="right"/>
              <w:spacing w:after="0" w:line="192" w:lineRule="exact"/>
              <w:rPr>
                <w:sz w:val="20"/>
                <w:szCs w:val="20"/>
                <w:color w:val="auto"/>
              </w:rPr>
            </w:pPr>
            <w:r>
              <w:rPr>
                <w:rFonts w:ascii="Arial" w:cs="Arial" w:eastAsia="Arial" w:hAnsi="Arial"/>
                <w:sz w:val="18"/>
                <w:szCs w:val="18"/>
                <w:color w:val="auto"/>
              </w:rPr>
              <w:t>19.9%</w:t>
            </w:r>
          </w:p>
        </w:tc>
      </w:tr>
      <w:tr>
        <w:trPr>
          <w:trHeight w:val="223"/>
        </w:trPr>
        <w:tc>
          <w:tcPr>
            <w:tcW w:w="1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723,618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861,312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(137,694)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24"/>
        </w:trPr>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503,841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250,884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252,957</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7,076,760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5,992,095</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1,084,665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-559435</wp:posOffset>
            </wp:positionV>
            <wp:extent cx="7249795" cy="133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795" cy="133985"/>
                    </a:xfrm>
                    <a:prstGeom prst="rect">
                      <a:avLst/>
                    </a:prstGeom>
                    <a:noFill/>
                  </pic:spPr>
                </pic:pic>
              </a:graphicData>
            </a:graphic>
          </wp:anchor>
        </w:drawing>
        <w:drawing>
          <wp:anchor simplePos="0" relativeHeight="251657728" behindDoc="1" locked="0" layoutInCell="0" allowOverlap="1">
            <wp:simplePos x="0" y="0"/>
            <wp:positionH relativeFrom="column">
              <wp:posOffset>-3552190</wp:posOffset>
            </wp:positionH>
            <wp:positionV relativeFrom="paragraph">
              <wp:posOffset>-291465</wp:posOffset>
            </wp:positionV>
            <wp:extent cx="7249795" cy="150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795" cy="150495"/>
                    </a:xfrm>
                    <a:prstGeom prst="rect">
                      <a:avLst/>
                    </a:prstGeom>
                    <a:noFill/>
                  </pic:spPr>
                </pic:pic>
              </a:graphicData>
            </a:graphic>
          </wp:anchor>
        </w:drawing>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Nine Months Ended</w:t>
      </w:r>
    </w:p>
    <w:p>
      <w:pPr>
        <w:spacing w:after="0" w:line="22" w:lineRule="exact"/>
        <w:rPr>
          <w:sz w:val="20"/>
          <w:szCs w:val="20"/>
          <w:color w:val="auto"/>
        </w:rPr>
      </w:pPr>
    </w:p>
    <w:p>
      <w:pPr>
        <w:sectPr>
          <w:pgSz w:w="11900" w:h="16838" w:orient="portrait"/>
          <w:cols w:equalWidth="0" w:num="2">
            <w:col w:w="4880" w:space="720"/>
            <w:col w:w="582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2"/>
              <w:spacing w:after="0" w:line="187" w:lineRule="exact"/>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gridSpan w:val="2"/>
          </w:tcPr>
          <w:p>
            <w:pPr>
              <w:jc w:val="right"/>
              <w:ind w:right="652"/>
              <w:spacing w:after="0" w:line="187" w:lineRule="exact"/>
              <w:rPr>
                <w:sz w:val="20"/>
                <w:szCs w:val="20"/>
                <w:color w:val="auto"/>
              </w:rPr>
            </w:pPr>
            <w:r>
              <w:rPr>
                <w:rFonts w:ascii="Arial" w:cs="Arial" w:eastAsia="Arial" w:hAnsi="Arial"/>
                <w:sz w:val="18"/>
                <w:szCs w:val="18"/>
                <w:b w:val="1"/>
                <w:bCs w:val="1"/>
                <w:color w:val="auto"/>
              </w:rPr>
              <w:t>%</w:t>
            </w:r>
          </w:p>
        </w:tc>
      </w:tr>
      <w:tr>
        <w:trPr>
          <w:trHeight w:val="229"/>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0"/>
              </w:rPr>
              <w:t>May 31, 2014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Change</w:t>
            </w:r>
          </w:p>
        </w:tc>
      </w:tr>
      <w:tr>
        <w:trPr>
          <w:trHeight w:val="204"/>
        </w:trPr>
        <w:tc>
          <w:tcPr>
            <w:tcW w:w="5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ZERUST® industrial net sales</w:t>
            </w:r>
          </w:p>
        </w:tc>
        <w:tc>
          <w:tcPr>
            <w:tcW w:w="1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15,526,505</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13,999,907</w:t>
            </w:r>
          </w:p>
        </w:tc>
        <w:tc>
          <w:tcPr>
            <w:tcW w:w="3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1,526,598</w:t>
            </w:r>
          </w:p>
        </w:tc>
        <w:tc>
          <w:tcPr>
            <w:tcW w:w="156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10.9%</w:t>
            </w:r>
          </w:p>
        </w:tc>
      </w:tr>
      <w:tr>
        <w:trPr>
          <w:trHeight w:val="211"/>
        </w:trPr>
        <w:tc>
          <w:tcPr>
            <w:tcW w:w="560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2,189,888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2,252,648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(62,760)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1,382,423</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1,043,604</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338,819</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5600" w:type="dxa"/>
            <w:vAlign w:val="bottom"/>
          </w:tcPr>
          <w:p>
            <w:pPr>
              <w:ind w:left="320"/>
              <w:spacing w:after="0"/>
              <w:rPr>
                <w:sz w:val="20"/>
                <w:szCs w:val="20"/>
                <w:color w:val="auto"/>
              </w:rPr>
            </w:pPr>
            <w:r>
              <w:rPr>
                <w:rFonts w:ascii="Arial" w:cs="Arial" w:eastAsia="Arial" w:hAnsi="Arial"/>
                <w:sz w:val="18"/>
                <w:szCs w:val="18"/>
                <w:color w:val="auto"/>
              </w:rPr>
              <w:t>Total ZERUST®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19,098,816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17,296,159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1,802,657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bl>
    <w:p>
      <w:pPr>
        <w:spacing w:after="0" w:line="21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20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During the three and nine months ended May 31, 2015, 14.5% and 14.0% of NTIC’s consolidated net sales, respectively, were derived from sales of Natur-Tec® products, which increased 29.3% and 45.0% to $1,200,815 and $3,121,563 during the three and nine months ended May 31, 2015, respectively, compared to the three and nine months ended May 31, 2014. This increase was split between an increase in finished product sales in North America and finished product sales through Natur-Tec India, which subsidiary did not exist during the same periods in fiscal 2014.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9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Assuming NTIC is able to transition the previous customers of Tianjin Zerust to NTIC China, of which there can be no assurance, NTIC expects its net sales to increase in future periods compared to prior fiscal year periods as a result of the consolidation of NTIC China.</w:t>
      </w:r>
    </w:p>
    <w:p>
      <w:pPr>
        <w:spacing w:after="0" w:line="207"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i w:val="1"/>
          <w:iCs w:val="1"/>
          <w:color w:val="auto"/>
        </w:rPr>
        <w:t>Cost of Goods Sold</w:t>
      </w:r>
      <w:r>
        <w:rPr>
          <w:rFonts w:ascii="Arial" w:cs="Arial" w:eastAsia="Arial" w:hAnsi="Arial"/>
          <w:sz w:val="15"/>
          <w:szCs w:val="15"/>
          <w:color w:val="auto"/>
        </w:rPr>
        <w:t>. Cost of goods sold increased 19.8% and 16.9% for the three and nine months ended May 31, 2015, respectively, compared to the three and</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ended May 31, 2014 primarily as a result of increased net sales as described above. Cost of goods sold as a percentage of net sales increased to</w:t>
      </w:r>
    </w:p>
    <w:p>
      <w:pPr>
        <w:spacing w:after="0" w:line="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67.6% during the three months ended May 31, 2015 compared to 67.5% the three months ended May 31, 2014 and increased to 67.8% during the nine months ended May 31, 2015 compared to 66.2% during the nine months ended May 31, 2014. These increases were primarily the result of increased sales during the current fiscal year periods of Natur-Tec® products, which carry lower margins than other traditional ZERUST® products. NTIC anticipates that due to the change in its China operations, NTIC’s costs of goods sold will increase in future periods compared to the prior fiscal year periods.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NTIC’s equity in income of joint ventures increased 8.2% and 8.8% to $1,724,915 and $4,806,247 during the three and nine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May 31, 2015, respectively, compared to equity in income of joint ventures of $1,593,465 and $4,416,664 during the three and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May 31, 2014, respectively. These increases were primarily a result of increases in profitability at the joint ventures, partially offset by decreases in 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anticipated liquidation of Tianjin Zerust and adverse effects of foreign currency exchange rate fluctuations, including in particular the Euro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U.S. dollar. Of the total equity in income of joint ventures, NTIC had equity in income of joint ventures of $3,152,489 attributable to EXCOR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May 31, 2015 compared to $2,787,048 attributable to EXCOR during the nine months ended May 31, 2014. Of the total equity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income of joint ventures, NTIC had equity in income of joint ventures of $132,824 attributable to Tianjin Zerust during the nine months ended May 31, 2015</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compared to $659,684 attributable to Tianjin Zerust during the nine months ended May 31, 2014. NTIC had equity in income of all other joint ventures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$1,520,935 during the nine months ended May 31, 2015 compared to $969,932 during the nine months ended May 31, 2014. NTIC expects its equity in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joint ventures to be lower in future periods compared to prior fiscal year periods as a result of the anticipated liquidation of Tianjin Zerust.</w:t>
      </w:r>
    </w:p>
    <w:p>
      <w:pPr>
        <w:spacing w:after="0" w:line="23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$1,303,964 and $4,432,494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May 31, 2015, respectively, compared to $2,001,775 and $6,169,094 during the three and nine months ended May 31, 2014, respectively, representing a decrease of 34.9% and 28.2%, respectively. These decreases were primarily a result of the anticipated liquidation of Tianjin Zerust as fees for services provided to joint ventures from Tianjin Zerust decreased $1,075,000 to $516,000 for the nine months ended May 31, 2015 compared to $1,591,000 for the nine months ended May 31, 2014. Additionally, these decreases in fees for services provided to joint ventures were a result of decreases in total sales at all joint ventures, which were $23,796,532 and $75,974,770 during the three and nine months ended May 31, 2015 compared to $30,162,725 and $88,213,101 for the three and nine months ended May 31, 2014, respectively. Net sales of NTIC’s joint ventures decreased due to the anticipated liquidation of Tianjin Zerust, a significant weakening of the Euro compared to the U.S. dollar and, to a lesser extent, the sale of NTIC’s ownership interest in Mütec GmbH. Sales of NTIC’s joint ventures are not included in NTIC’s product sales and are not combined with NTIC’s sales in NTIC’s consolidated financial statements or in any description of NTIC’s sales.</w:t>
      </w:r>
    </w:p>
    <w:p>
      <w:pPr>
        <w:spacing w:after="0" w:line="20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Of the total fee income for services provided to joint ventures, fees of $660,135 were attributable to EXCOR during the nine months ended May 31, 2015 compared to $784,326 attributable to EXCOR during the nine months ended May 31, 2014. The decrease in fee income for services provided to joint ventures attributable to EXCOR was primarily the result of foreign currency exchange rate fluctuations. NTIC anticipates that due to the consolidation of NTIC China, NTIC’s fee income for services provided to its joint ventures will decrease in future periods compared to the prior fiscal year periods.</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9.1% and 6.2% for the three and nine months ended May 31, 2015 compared to the same respective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2014 due to increases in compensation and employee benefits, lab testing related expenses, commission expenses, travel and related expenses, and consulting expenses. Selling expenses as a percentage of net sales decreased slightly to 17.3% and 18.8% for the three and nine months ended May 31, 2015, respectively, from 19.0% and 20.2% during the three and nine months ended May 31, 2014, respectively, due primarily to the increase in net sales as well as certain personnel expenses, partially offset by the increase in selling expenses as previously described.</w:t>
      </w:r>
    </w:p>
    <w:p>
      <w:pPr>
        <w:spacing w:after="0" w:line="192" w:lineRule="exact"/>
        <w:rPr>
          <w:sz w:val="20"/>
          <w:szCs w:val="20"/>
          <w:color w:val="auto"/>
        </w:rPr>
      </w:pPr>
    </w:p>
    <w:p>
      <w:pPr>
        <w:spacing w:after="0" w:line="316"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NTIC’s general and administrative expenses increased 30.2% and 22.8% for the three and nine months ended May 31,</w:t>
      </w:r>
      <w:r>
        <w:rPr>
          <w:rFonts w:ascii="Arial" w:cs="Arial" w:eastAsia="Arial" w:hAnsi="Arial"/>
          <w:sz w:val="15"/>
          <w:szCs w:val="15"/>
          <w:i w:val="1"/>
          <w:iCs w:val="1"/>
          <w:color w:val="auto"/>
        </w:rPr>
        <w:t xml:space="preserve"> </w:t>
      </w:r>
      <w:r>
        <w:rPr>
          <w:rFonts w:ascii="Arial" w:cs="Arial" w:eastAsia="Arial" w:hAnsi="Arial"/>
          <w:sz w:val="15"/>
          <w:szCs w:val="15"/>
          <w:color w:val="auto"/>
        </w:rPr>
        <w:t>2015 compared to the same respective periods in fiscal 2014 due primarily to expenses incurred to establish and operate NTIC China. As a percentage of net sales, general and administrative expenses increased to 20.6% and 21.6% for the three and nine months ended May 31, 2015, respectively, from 18.9% and 20.1% for the three and nine months ended May 31, 2014, respectively, due primarily to the increase in general and administrative expenses as previously described.</w:t>
      </w:r>
    </w:p>
    <w:p>
      <w:pPr>
        <w:spacing w:after="0" w:line="17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i w:val="1"/>
          <w:iCs w:val="1"/>
          <w:color w:val="auto"/>
        </w:rPr>
        <w:t xml:space="preserve">Expenses Incurred in Support of Joint Ventures. </w:t>
      </w:r>
      <w:r>
        <w:rPr>
          <w:rFonts w:ascii="Arial" w:cs="Arial" w:eastAsia="Arial" w:hAnsi="Arial"/>
          <w:sz w:val="16"/>
          <w:szCs w:val="16"/>
          <w:color w:val="auto"/>
        </w:rPr>
        <w:t>Expenses incurred in support of NTIC’s joint ventures were $327,586 and $1,510,830 during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May 31, 2015, respectively, compared to $353,958 and $1,049,691 during the three and nine months ended May 31, 2014, respectively, representing a decrease of 7.5% and increase of 43.9%, respectively. These changes were due primarily to expenses related to the change in NTIC’s Chinese operations during the first nine months of the fiscal year. NTIC incurred direct expenses during the nine months ended May 31, 2015 related to the anticipated liquidation of Tianjin Zerust and the formation and operation of NTIC China. Such expenses consisted primarily of legal expenses and personnel expenses associated with the establishment of the subsidiary, the hiring of new personnel and initial operations.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4" w:name="page25"/>
    <w:bookmarkEnd w:id="24"/>
    <w:p>
      <w:pPr>
        <w:ind w:right="100"/>
        <w:spacing w:after="0" w:line="25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3.6% for the three months ended May 31, 2015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fiscal 2014 and decreased 11.2% for the nine months ended May 31, 2015 compared to the same period in fiscal 2014. These decreases were due primarily to decreases in personnel and consulting expenses.</w:t>
      </w:r>
    </w:p>
    <w:p>
      <w:pPr>
        <w:spacing w:after="0" w:line="21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$7,943 and $25,504 during the three and nine months ended May 31, 2015,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$1,369 and $5,278 during the three and nine months ended May 31, 2014, respectively.</w:t>
      </w:r>
    </w:p>
    <w:p>
      <w:pPr>
        <w:spacing w:after="0" w:line="207"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decreased to $6,004 during the three months ended May 31, 2015 compared to $7,063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2014 and decreased to $14,232 during the nine months ended May 31, 2015 compared to $32,709 during the nine months ended May 31, 2014. These decreases were primarily due to higher average outstanding debt levels during the prior fiscal year periods.</w:t>
      </w:r>
    </w:p>
    <w:p>
      <w:pPr>
        <w:spacing w:after="0" w:line="180"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decreased to $1,183,180 and $2,970,109 for the three and nine months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2015, respectively, compared to $1,759,537 and $4,905,783 for the three and nine months ended May 31, 2014, respectively.</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$114,180 and $495,478 during the three and nine months ended May 31, 2015, respectively, compared $361,280</w:t>
      </w:r>
      <w:r>
        <w:rPr>
          <w:rFonts w:ascii="Arial" w:cs="Arial" w:eastAsia="Arial" w:hAnsi="Arial"/>
          <w:sz w:val="16"/>
          <w:szCs w:val="16"/>
          <w:i w:val="1"/>
          <w:iCs w:val="1"/>
          <w:color w:val="auto"/>
        </w:rPr>
        <w:t xml:space="preserve"> </w:t>
      </w:r>
      <w:r>
        <w:rPr>
          <w:rFonts w:ascii="Arial" w:cs="Arial" w:eastAsia="Arial" w:hAnsi="Arial"/>
          <w:sz w:val="16"/>
          <w:szCs w:val="16"/>
          <w:color w:val="auto"/>
        </w:rPr>
        <w:t>and $819,039 during the three and nine months ended May 31, 2014, respectively. Income tax expense was calculated based on management’s estimate of NTIC’s annual effective income tax rate. NTIC’s annual effective income tax rate during the three and nine months ended March 31, 2015 and 2014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$17,583,956 and $20,540,523 at May 31, 2015 and August 31, 2014, respectively. To the extent undistributed earnings of NTIC’s joint ventures are distributed in the future, they are not expected to result in any material additional income tax liability after the application of foreign tax credits.</w:t>
      </w:r>
    </w:p>
    <w:p>
      <w:pPr>
        <w:spacing w:after="0" w:line="21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significant changes in the foreign currency translations adjustment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strengthening of the U.S. dollar compared to the Euro and other foreign currencies during the three and nine months ended May 31, 2015 compared to the same respective periods in fiscal 2014.</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2015, NTIC’s working capital was $17,298,124, including $3,793,571 in cash and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$2,527,847 in available for sale securities, compared to $17,853,311 at August 31, 2014, including $2,477,017 in cash and cash equivalents and $5,519,766 in available for sale securities.</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May 31, 2015,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w:t>
      </w:r>
    </w:p>
    <w:p>
      <w:pPr>
        <w:spacing w:after="0" w:line="216"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2015, NTIC was in compliance with all debt covenants.</w:t>
      </w:r>
    </w:p>
    <w:p>
      <w:pPr>
        <w:spacing w:after="0" w:line="18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On January 5, 2015, PNC Bank extended the maturity date of the line of credit from January 7, 2015 to January 7, 2016 under substantially similar terms, and waived a technical covenant default by NTIC to deliver quarterly compliance certificates. It is anticipated that, as historically has been the practice, the line of credit will be renewed each year for one additional year for the immediate foreseeable future.</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2015, NTIC expects to continue to invest in NTIC China,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9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owners. Therefore, NTIC believes there is limited exposure by NTIC’s joint ventures that could materially impact their respective operations and/or liquidity.</w:t>
      </w:r>
    </w:p>
    <w:p>
      <w:pPr>
        <w:spacing w:after="0" w:line="25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provided by operating activities during the nine months ended May 31, 2015 was $36,221, which resulted principally</w:t>
      </w:r>
      <w:r>
        <w:rPr>
          <w:rFonts w:ascii="Arial" w:cs="Arial" w:eastAsia="Arial" w:hAnsi="Arial"/>
          <w:sz w:val="16"/>
          <w:szCs w:val="16"/>
          <w:i w:val="1"/>
          <w:iCs w:val="1"/>
          <w:color w:val="auto"/>
        </w:rPr>
        <w:t xml:space="preserve"> </w:t>
      </w:r>
      <w:r>
        <w:rPr>
          <w:rFonts w:ascii="Arial" w:cs="Arial" w:eastAsia="Arial" w:hAnsi="Arial"/>
          <w:sz w:val="16"/>
          <w:szCs w:val="16"/>
          <w:color w:val="auto"/>
        </w:rPr>
        <w:t>from dividends received from NTIC’s joint ventures, NTIC’s net income, fees for services provided to NTIC’s joint ventures, stock-based compensation, depreciation and amortization, partially offset by NTIC’s equity in income from joint ventures and increases in receivables, inventories and prepaid expenses. Net cash provided by operating activities during the nine months ended May 31, 2014 was $6,700,854, which resulted principally from dividends received from NTIC’s joint ventures, NTIC’s net income, depreciation and amortization and decreases in accrued liabilities, partially offset by NTIC’s equity in income from joint ventures and increases in receivables, inventories and prepaid expenses.</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60"/>
          </w:cols>
          <w:pgMar w:left="240" w:top="266" w:right="299" w:bottom="1440" w:gutter="0" w:footer="0" w:header="0"/>
        </w:sectPr>
      </w:pPr>
    </w:p>
    <w:bookmarkStart w:id="26" w:name="page27"/>
    <w:bookmarkEnd w:id="26"/>
    <w:p>
      <w:pPr>
        <w:spacing w:after="0" w:line="279"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99"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NTIC experienced an increase in receivables and inventory as of May 31, 2015 compared to August 31, 2014 due to the increase in receivables and a desire to stock more products to shorten lead times and anticipate customer demand. Trade receivables excluding joint ventures as of May 31, 2015 increased $696,791 compared to August 31, 2014, primarily related to the increase in net sales.</w:t>
      </w:r>
    </w:p>
    <w:p>
      <w:pPr>
        <w:spacing w:after="0" w:line="2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Outstanding trade receivables excluding joint ventures balances as of May 31, 2015 increased one day to an average of 52 days from balances outstanding from these customers as of August 31, 2014.</w:t>
      </w:r>
    </w:p>
    <w:p>
      <w:pPr>
        <w:spacing w:after="0" w:line="2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Outstanding trade receivables from joint ventures as of May 31, 2015 decreased $324,338 compared to August 31, 2014 primarily due to the timing of payments. There was a decrease of outstanding balances from trade receivables from joint ventures as of May 31, 2015 of 11 days from an average of 91 days from balances outstanding from these customers compared to August 31, 2014. The significant average days outstanding of trade receivables from joint ventures as of May 31, 2015 were primarily due to the receivable balance at NTIC’s joint venture in Korea and Tianjin Zerust.</w:t>
      </w:r>
    </w:p>
    <w:p>
      <w:pPr>
        <w:spacing w:after="0" w:line="189" w:lineRule="exact"/>
        <w:rPr>
          <w:sz w:val="20"/>
          <w:szCs w:val="20"/>
          <w:color w:val="auto"/>
        </w:rPr>
      </w:pPr>
    </w:p>
    <w:p>
      <w:pPr>
        <w:ind w:right="480"/>
        <w:spacing w:after="0" w:line="325" w:lineRule="auto"/>
        <w:rPr>
          <w:sz w:val="20"/>
          <w:szCs w:val="20"/>
          <w:color w:val="auto"/>
        </w:rPr>
      </w:pPr>
      <w:r>
        <w:rPr>
          <w:rFonts w:ascii="Arial" w:cs="Arial" w:eastAsia="Arial" w:hAnsi="Arial"/>
          <w:sz w:val="16"/>
          <w:szCs w:val="16"/>
          <w:color w:val="auto"/>
        </w:rPr>
        <w:t>Outstanding receivables for services provided to joint ventures as of May 31, 2015 decreased $1,257,998 compared to August 31, 2014, which resulted in a decrease of 26 days of fees receivable outstanding as of May 31, 2015 to an average of 96 days compared to August 31, 2014.</w:t>
      </w:r>
    </w:p>
    <w:p>
      <w:pPr>
        <w:spacing w:after="0" w:line="161"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Net cash provided by investing activities for the nine months ended May 31, 2015 was $1,755,098, which was primarily the result of cash proceeds from the sale of available for sale securities, partially offset by additions to property and equipment and additions to patents. Net cash used in investing activities for the nine months ended May 31, 2014 was $483,323, which was comprised primarily of additions to property and equipment and additions to patents.</w:t>
      </w:r>
    </w:p>
    <w:p>
      <w:pPr>
        <w:spacing w:after="0" w:line="180"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Net cash used in financing activities for the nine months ended May 31, 2015 was $402,570, which resulted from a dividend paid to a non-controlling interest, partially offset by proceeds from stock option exercises and NTIC’s employee stock purchase plan. Net cash used in financing activities for the nine months ended May 31, 2014 was $1,990,134, which resulted from principal payments on the bank loan for NTIC’s corporate headquarters building, partially offset by proceeds from option exercises and NTIC’s employee stock purchase plan.</w:t>
      </w:r>
    </w:p>
    <w:p>
      <w:pPr>
        <w:spacing w:after="0" w:line="219"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$1,098,035 on capital expenditures during the nine months ended May 31, 2015 and expects to spend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of approximately $200,000 to 300,000 on capital expenditures during the remainder of fiscal 2015. Anticipated capital expenditures for fiscal 2015 relate primarily to the purchase of new equipment and to expand lab capabilities.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340"/>
        <w:spacing w:after="0" w:line="300"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United States and abroad historically has had little effect on NTIC. NTIC’s business has not historically been seasonal.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7"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2015, NTIC had no borrowings under the line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its wholly owned subsidiary, NTIC (Shanghai) Co., Ltd. (NTIC China), and NTIC’s majority owned subsidiary in Brazil, Zerust Prevenção de Corrosão S.A., NTIC’s majority owned holding company, NTI Asean LLC, and NTIC’s majority owned subsidiary in India, Northern Technologies India Private Limited. NTIC’s consolidated financial statements do not include the accounts of any of its joint ventures.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our fiscal year ended August 31, 2018, and interim periods within that year. We are currently reviewing the revised guidance and assessing the potential impact on our consolidated financial statements.</w:t>
      </w:r>
    </w:p>
    <w:p>
      <w:pPr>
        <w:spacing w:after="0" w:line="189" w:lineRule="exact"/>
        <w:rPr>
          <w:sz w:val="20"/>
          <w:szCs w:val="20"/>
          <w:color w:val="auto"/>
        </w:rPr>
      </w:pPr>
    </w:p>
    <w:p>
      <w:pPr>
        <w:jc w:val="both"/>
        <w:ind w:right="180"/>
        <w:spacing w:after="0" w:line="363" w:lineRule="auto"/>
        <w:rPr>
          <w:sz w:val="20"/>
          <w:szCs w:val="20"/>
          <w:color w:val="auto"/>
        </w:rPr>
      </w:pPr>
      <w:r>
        <w:rPr>
          <w:rFonts w:ascii="Arial" w:cs="Arial" w:eastAsia="Arial" w:hAnsi="Arial"/>
          <w:sz w:val="15"/>
          <w:szCs w:val="15"/>
          <w:color w:val="auto"/>
        </w:rPr>
        <w:t>Although there are several other new accounting pronouncements issued or proposed by the FASB, which NTIC has adopted or will adopt, as applicable, NTIC does not believe any of these accounting pronouncements has had or will have a material impact on NTIC’s consolidated financial position or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0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9" w:lineRule="exact"/>
        <w:rPr>
          <w:sz w:val="20"/>
          <w:szCs w:val="20"/>
          <w:color w:val="auto"/>
        </w:rPr>
      </w:pPr>
    </w:p>
    <w:p>
      <w:pPr>
        <w:ind w:left="960" w:right="80" w:hanging="502"/>
        <w:spacing w:after="0" w:line="325"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establishment of NTIC China, the termination of the joint venture agreements with Tianjin Zerust, the pending litigation against Mr. Tao Meng and Cortec Corporation and the anticipated liquidation of Tianjin Zerust and the effect on NTIC’s business and future operating results;</w:t>
      </w:r>
    </w:p>
    <w:p>
      <w:pPr>
        <w:spacing w:after="0" w:line="160" w:lineRule="exact"/>
        <w:rPr>
          <w:rFonts w:ascii="Arial" w:cs="Arial" w:eastAsia="Arial" w:hAnsi="Arial"/>
          <w:sz w:val="16"/>
          <w:szCs w:val="16"/>
          <w:color w:val="auto"/>
        </w:rPr>
      </w:pPr>
    </w:p>
    <w:p>
      <w:pPr>
        <w:ind w:left="960" w:right="620" w:hanging="502"/>
        <w:spacing w:after="0" w:line="262"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207" w:lineRule="exact"/>
        <w:rPr>
          <w:rFonts w:ascii="Arial" w:cs="Arial" w:eastAsia="Arial" w:hAnsi="Arial"/>
          <w:sz w:val="18"/>
          <w:szCs w:val="18"/>
          <w:color w:val="auto"/>
        </w:rPr>
      </w:pPr>
    </w:p>
    <w:p>
      <w:pPr>
        <w:ind w:left="960" w:hanging="50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41" w:lineRule="exact"/>
        <w:rPr>
          <w:rFonts w:ascii="Arial" w:cs="Arial" w:eastAsia="Arial" w:hAnsi="Arial"/>
          <w:sz w:val="18"/>
          <w:szCs w:val="18"/>
          <w:color w:val="auto"/>
        </w:rPr>
      </w:pPr>
    </w:p>
    <w:p>
      <w:pPr>
        <w:ind w:left="960" w:hanging="50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9" w:name="page30"/>
    <w:bookmarkEnd w:id="29"/>
    <w:p>
      <w:pPr>
        <w:ind w:left="502" w:right="420" w:hanging="502"/>
        <w:spacing w:after="0" w:line="262"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207" w:lineRule="exact"/>
        <w:rPr>
          <w:rFonts w:ascii="Arial" w:cs="Arial" w:eastAsia="Arial" w:hAnsi="Arial"/>
          <w:sz w:val="18"/>
          <w:szCs w:val="18"/>
          <w:color w:val="auto"/>
        </w:rPr>
      </w:pPr>
    </w:p>
    <w:p>
      <w:pPr>
        <w:ind w:left="502" w:hanging="502"/>
        <w:spacing w:after="0" w:line="262"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205" w:lineRule="exact"/>
        <w:rPr>
          <w:rFonts w:ascii="Arial" w:cs="Arial" w:eastAsia="Arial" w:hAnsi="Arial"/>
          <w:sz w:val="18"/>
          <w:szCs w:val="18"/>
          <w:color w:val="auto"/>
        </w:rPr>
      </w:pPr>
    </w:p>
    <w:p>
      <w:pPr>
        <w:ind w:left="502" w:right="40" w:hanging="502"/>
        <w:spacing w:after="0" w:line="239" w:lineRule="auto"/>
        <w:tabs>
          <w:tab w:leader="none" w:pos="5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variability in NTIC’s sales of ZERUST® products and services into oil and gas industry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of joint venture in turn, subject NTIC’s earnings to quarterly fluctuations;</w:t>
      </w:r>
    </w:p>
    <w:p>
      <w:pPr>
        <w:spacing w:after="0" w:line="225" w:lineRule="exact"/>
        <w:rPr>
          <w:rFonts w:ascii="Arial" w:cs="Arial" w:eastAsia="Arial" w:hAnsi="Arial"/>
          <w:sz w:val="16"/>
          <w:szCs w:val="16"/>
          <w:color w:val="auto"/>
        </w:rPr>
      </w:pPr>
    </w:p>
    <w:p>
      <w:pPr>
        <w:ind w:left="502" w:hanging="502"/>
        <w:spacing w:after="0"/>
        <w:tabs>
          <w:tab w:leader="none" w:pos="5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64" w:lineRule="exact"/>
        <w:rPr>
          <w:rFonts w:ascii="Arial" w:cs="Arial" w:eastAsia="Arial" w:hAnsi="Arial"/>
          <w:sz w:val="16"/>
          <w:szCs w:val="16"/>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41" w:lineRule="exact"/>
        <w:rPr>
          <w:rFonts w:ascii="Arial" w:cs="Arial" w:eastAsia="Arial" w:hAnsi="Arial"/>
          <w:sz w:val="18"/>
          <w:szCs w:val="18"/>
          <w:color w:val="auto"/>
        </w:rPr>
      </w:pPr>
    </w:p>
    <w:p>
      <w:pPr>
        <w:ind w:left="502" w:hanging="502"/>
        <w:spacing w:after="0" w:line="224"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26"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41"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39" w:lineRule="exact"/>
        <w:rPr>
          <w:rFonts w:ascii="Arial" w:cs="Arial" w:eastAsia="Arial" w:hAnsi="Arial"/>
          <w:sz w:val="18"/>
          <w:szCs w:val="18"/>
          <w:color w:val="auto"/>
        </w:rPr>
      </w:pPr>
    </w:p>
    <w:p>
      <w:pPr>
        <w:ind w:left="502" w:right="600" w:hanging="502"/>
        <w:spacing w:after="0" w:line="216"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24" w:lineRule="exact"/>
        <w:rPr>
          <w:rFonts w:ascii="Arial" w:cs="Arial" w:eastAsia="Arial" w:hAnsi="Arial"/>
          <w:sz w:val="18"/>
          <w:szCs w:val="18"/>
          <w:color w:val="auto"/>
        </w:rPr>
      </w:pPr>
    </w:p>
    <w:p>
      <w:pPr>
        <w:ind w:left="502" w:right="320" w:hanging="502"/>
        <w:spacing w:after="0" w:line="216"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26"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41"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41" w:lineRule="exact"/>
        <w:rPr>
          <w:rFonts w:ascii="Arial" w:cs="Arial" w:eastAsia="Arial" w:hAnsi="Arial"/>
          <w:sz w:val="18"/>
          <w:szCs w:val="18"/>
          <w:color w:val="auto"/>
        </w:rPr>
      </w:pPr>
    </w:p>
    <w:p>
      <w:pPr>
        <w:ind w:left="502" w:right="200" w:hanging="502"/>
        <w:spacing w:after="0" w:line="262"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205" w:lineRule="exact"/>
        <w:rPr>
          <w:rFonts w:ascii="Arial" w:cs="Arial" w:eastAsia="Arial" w:hAnsi="Arial"/>
          <w:sz w:val="18"/>
          <w:szCs w:val="18"/>
          <w:color w:val="auto"/>
        </w:rPr>
      </w:pPr>
    </w:p>
    <w:p>
      <w:pPr>
        <w:ind w:left="502" w:right="280" w:hanging="502"/>
        <w:spacing w:after="0" w:line="216" w:lineRule="auto"/>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of the manufacturing of certain select ZERUST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rust and corrosion inhibiting products in house at NTIC’s corporate headquarters location in Circle Pines, Minnesota;</w:t>
      </w:r>
    </w:p>
    <w:p>
      <w:pPr>
        <w:spacing w:after="0" w:line="226"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41"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41"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41" w:lineRule="exact"/>
        <w:rPr>
          <w:rFonts w:ascii="Arial" w:cs="Arial" w:eastAsia="Arial" w:hAnsi="Arial"/>
          <w:sz w:val="18"/>
          <w:szCs w:val="18"/>
          <w:color w:val="auto"/>
        </w:rPr>
      </w:pPr>
    </w:p>
    <w:p>
      <w:pPr>
        <w:ind w:left="502" w:hanging="502"/>
        <w:spacing w:after="0"/>
        <w:tabs>
          <w:tab w:leader="none" w:pos="5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386" w:lineRule="exact"/>
        <w:rPr>
          <w:sz w:val="20"/>
          <w:szCs w:val="20"/>
          <w:color w:val="auto"/>
        </w:rPr>
      </w:pPr>
    </w:p>
    <w:p>
      <w:pPr>
        <w:jc w:val="center"/>
        <w:ind w:right="438"/>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74930</wp:posOffset>
            </wp:positionV>
            <wp:extent cx="725424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0942"/>
          </w:cols>
          <w:pgMar w:left="698" w:top="509" w:right="259" w:bottom="1440" w:gutter="0" w:footer="0" w:header="0"/>
        </w:sectPr>
      </w:pPr>
    </w:p>
    <w:bookmarkStart w:id="30" w:name="page31"/>
    <w:bookmarkEnd w:id="30"/>
    <w:p>
      <w:pPr>
        <w:ind w:left="960" w:hanging="50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41" w:lineRule="exact"/>
        <w:rPr>
          <w:rFonts w:ascii="Arial" w:cs="Arial" w:eastAsia="Arial" w:hAnsi="Arial"/>
          <w:sz w:val="18"/>
          <w:szCs w:val="18"/>
          <w:color w:val="auto"/>
        </w:rPr>
      </w:pPr>
    </w:p>
    <w:p>
      <w:pPr>
        <w:ind w:left="960" w:hanging="50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41" w:lineRule="exact"/>
        <w:rPr>
          <w:rFonts w:ascii="Arial" w:cs="Arial" w:eastAsia="Arial" w:hAnsi="Arial"/>
          <w:sz w:val="18"/>
          <w:szCs w:val="18"/>
          <w:color w:val="auto"/>
        </w:rPr>
      </w:pPr>
    </w:p>
    <w:p>
      <w:pPr>
        <w:ind w:left="960" w:hanging="50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41" w:lineRule="exact"/>
        <w:rPr>
          <w:rFonts w:ascii="Arial" w:cs="Arial" w:eastAsia="Arial" w:hAnsi="Arial"/>
          <w:sz w:val="18"/>
          <w:szCs w:val="18"/>
          <w:color w:val="auto"/>
        </w:rPr>
      </w:pPr>
    </w:p>
    <w:p>
      <w:pPr>
        <w:ind w:left="960" w:hanging="50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4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2014 under the heading “Part I. Item 1A. Risk Factors” and this report under the heading “Part II. Item 1A. Risk Factors.”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w:t>
      </w:r>
    </w:p>
    <w:p>
      <w:pPr>
        <w:ind w:right="100"/>
        <w:spacing w:after="0" w:line="292" w:lineRule="auto"/>
        <w:rPr>
          <w:sz w:val="20"/>
          <w:szCs w:val="20"/>
          <w:color w:val="auto"/>
        </w:rPr>
      </w:pPr>
      <w:r>
        <w:rPr>
          <w:rFonts w:ascii="Arial" w:cs="Arial" w:eastAsia="Arial" w:hAnsi="Arial"/>
          <w:sz w:val="16"/>
          <w:szCs w:val="16"/>
          <w:color w:val="auto"/>
        </w:rPr>
        <w:t>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5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7"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2014, NTIC had no borrowings under the line of credit.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1" w:name="page32"/>
    <w:bookmarkEnd w:id="31"/>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2015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2" w:name="page33"/>
    <w:bookmarkEnd w:id="32"/>
    <w:p>
      <w:pPr>
        <w:spacing w:after="0"/>
        <w:tabs>
          <w:tab w:leader="none" w:pos="9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4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March 23, 2015, NTIC and NTI Asean LLC, a majority 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 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NTIC and NTI Asean related to NTIC’s joint venture in China, Tianjin Zerust.</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is affected by risks specific to NTIC as well as factors that affect all businesses operating in a global market. For a discussion of the specific risks that could materially adversely affect NTIC’s business, financial condition or operating results, please see NTIC’s annual report on Form 10-K for the fiscal year ended August 31, 2014 under the heading “Part I — Item 1A. Risk Factors.” There has been no material change to the risk factors as disclosed in that report, other than the addition of the following risk factor relating to the anticipated liquidation of Tianjin Zerust and the formation and establishment of NTIC China:</w:t>
      </w:r>
    </w:p>
    <w:p>
      <w:pPr>
        <w:spacing w:after="0" w:line="18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The termination of NTIC’s joint venture agreements with and the anticipated liquidation of Tianjin Zerust and the formation and establishment of NTIC China have had and could continue to have a material adverse effect on NTIC’s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December 31, 2014, NTIC terminated its joint venture agreements with Tianjin Zerust, initiated the process to liquidate the joint venture entity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established a newly formed wholly owned subsidiary to conduct business in China. Tianjin Zerust was individually significant to NTIC’s consolidated assets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income. The termination of NTIC’s joint venture agreements with and the anticipated liquidation of Tianjin Zerust adversely affected NTIC’s operating results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ended May 31, 2015 and likely will continue to adversely affect NTIC’s operating results during the remainder of fiscal 2015.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total equity in income from joint ventures of $4,806,247 during the nine months ended May 31, 2015 and of the total equity in income from joint ventures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$5,920,603 during fiscal 2014, NTIC had equity in income from joint ventures of $132,824 and $626,763 attributable to Tianjin Zerust, respectively. Of the total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fee income for services provided to joint ventures of $4,432,494 during the nine months ended May 31, 2015 and of the total fee income for services provided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joint ventures of $8,142,863 during fiscal 2014, $516,139 and $2,118,018 were attributable to Tianjin Zerust.</w:t>
      </w:r>
    </w:p>
    <w:p>
      <w:pPr>
        <w:spacing w:after="0" w:line="23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Commencing during the third quarter of fiscal 2015, NTIC’s consolidated financial statements include the financial results of NTIC China. NTIC anticipates that due to the consolidation of NTIC China, NTIC’s net sales, costs of goods sold and operating expenses will increase and its equity in income from joint ventures and fee income for services provided to its joint ventures will decrease in future periods compared to the prior fiscal year periods, since NTIC accounted for its investment in its former Chinese joint venture in NTIC’s consolidated financial statements utilizing the equity method of accounting. NTIC anticipates that it may take some time to transition the previous customers of NTIC’s former Chinese joint venture to NTIC China and no assurance can be provided that NTIC China will be able to achieve the net sales and income levels previously achieved by NTIC’s former Chinese joint venture. NTIC has incurred and expects to continue to incur significant operating expenses associated with NTIC China and the anticipated liquidation of Tianjin Zerust and expects that NTIC’s operating results may be volatile over the next few quarters, including in particular the remaining quarter of fiscal 2015. This is true especially since NTIC has recently commenced litigation against Mr. Tao Meng, Tianjin Zerust’s other shareholder, and his spouse in order to force the liquidation of Tianjin Zerust. During the nine months ended May 31, 2015, NTIC incurred approximately $1,138,000 in start-up expenses related either directly or indirectly to the establishment of NTIC China, the termination of the joint venture agreements with Tianjin Zerust, the pending litigation against Mr. Tao Meng and his spouse, and the anticipated liquidation of Tianjin Zerust. This is inclusive of the subsidiary itself which incurred losses of $585,000 during the same period. Net income attributable to NTIC decreased 37.7%, to $1,785,056, or $0.39 per diluted common share, for the nine months ended May 31, 2015 compared to $2,863,847, or $0.63 per diluted common share, for the nine months ended May 31, 2014. These decreases were primarily the result of decreases in income from NTIC’s joint venture operations as a result of the anticipated liquidation of Tianjin Zerust and the formation and establishment of NTIC China and an increase in operating expenses.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3" w:name="page34"/>
    <w:bookmarkEnd w:id="33"/>
    <w:p>
      <w:pPr>
        <w:spacing w:after="0" w:line="287" w:lineRule="auto"/>
        <w:rPr>
          <w:sz w:val="20"/>
          <w:szCs w:val="20"/>
          <w:color w:val="auto"/>
        </w:rPr>
      </w:pPr>
      <w:r>
        <w:rPr>
          <w:rFonts w:ascii="Arial" w:cs="Arial" w:eastAsia="Arial" w:hAnsi="Arial"/>
          <w:sz w:val="16"/>
          <w:szCs w:val="16"/>
          <w:color w:val="auto"/>
        </w:rPr>
        <w:t>NTIC does not anticipate at this time that it will have any loss on the anticipated liquidation of its ownership interest in Tianjin Zerust and does not anticipate at this time incurring any impairment on its investment in Tianjin Zerust, collectability of receivables from sales of product or fees for services from the former joint venture or any material issue in recoverability of inventory. However, no assurance can be given that NTIC will have no loss on the liquidation of its ownership interest in Tianjin Zerust or will incur no impairment on its investment in Tianjin Zerust, collectability of receivables from sales of product or fees for services from the former joint venture or any material issue in recoverability of inventory.</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During the three months ended May 31, 2015, NTIC did not issue any shares of its common stock or other equity securities of NTIC that were not registered under the Securities Act of 1933, as amended.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2015, NTIC did not purchase any shares of its common stock or other equity securities of NTIC.</w:t>
      </w:r>
    </w:p>
    <w:p>
      <w:pPr>
        <w:spacing w:after="0" w:line="24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On January 19, 2015, NTIC announced that the Board of Directors of NTIC has authorized the repurchase of up to $3.0 million of the Company’s outstanding common stock in the open market or in privately negotiated transactions, whatever deemed appropriate by management. The timing and actual number of shares repurchased will depend on a variety of factors including price, legal requirements, contractual obligations and market conditions.</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75"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82" w:lineRule="exact"/>
        <w:rPr>
          <w:sz w:val="20"/>
          <w:szCs w:val="20"/>
          <w:color w:val="auto"/>
        </w:rPr>
      </w:pPr>
    </w:p>
    <w:p>
      <w:pPr>
        <w:ind w:left="1120" w:right="640" w:hanging="799"/>
        <w:spacing w:after="0" w:line="262" w:lineRule="auto"/>
        <w:tabs>
          <w:tab w:leader="none" w:pos="11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13a-14(a)/15d-14(a), as Adopted Pursuant to Section 302 of the Sarbanes-Oxley Act of 2002 (filed herewith)</w:t>
      </w:r>
    </w:p>
    <w:p>
      <w:pPr>
        <w:spacing w:after="0" w:line="49" w:lineRule="exact"/>
        <w:rPr>
          <w:sz w:val="20"/>
          <w:szCs w:val="20"/>
          <w:color w:val="auto"/>
        </w:rPr>
      </w:pPr>
    </w:p>
    <w:p>
      <w:pPr>
        <w:ind w:left="1120" w:right="680" w:hanging="799"/>
        <w:spacing w:after="0" w:line="262" w:lineRule="auto"/>
        <w:tabs>
          <w:tab w:leader="none" w:pos="11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13a-14(a)/15d-14(a), as Adopted Pursuant to Section 302 of the Sarbanes-Oxley Act of 2002 (filed herewith)</w:t>
      </w:r>
    </w:p>
    <w:p>
      <w:pPr>
        <w:spacing w:after="0" w:line="49"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 (furnished herewith)</w:t>
      </w:r>
    </w:p>
    <w:p>
      <w:pPr>
        <w:spacing w:after="0" w:line="71"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2002 (furnished herewith)</w:t>
      </w:r>
    </w:p>
    <w:p>
      <w:pPr>
        <w:spacing w:after="0" w:line="71" w:lineRule="exact"/>
        <w:rPr>
          <w:sz w:val="20"/>
          <w:szCs w:val="20"/>
          <w:color w:val="auto"/>
        </w:rPr>
      </w:pPr>
    </w:p>
    <w:p>
      <w:pPr>
        <w:ind w:left="1120" w:right="80" w:hanging="772"/>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NTIC’s Quarterly Report on Form 10-Q for the fiscal quarter ended May 31, 2015,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Condensed Financial Statements (filed herewith)</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34" w:name="page35"/>
    <w:bookmarkEnd w:id="34"/>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147955</wp:posOffset>
            </wp:positionV>
            <wp:extent cx="1256030" cy="410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6030" cy="41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20"/>
                <w:szCs w:val="20"/>
                <w:color w:val="auto"/>
              </w:rPr>
            </w:pPr>
            <w:r>
              <w:rPr>
                <w:rFonts w:ascii="Arial" w:cs="Arial" w:eastAsia="Arial" w:hAnsi="Arial"/>
                <w:sz w:val="18"/>
                <w:szCs w:val="18"/>
                <w:color w:val="auto"/>
              </w:rPr>
              <w:t>Date: July 10, 2015</w:t>
            </w: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320" w:type="dxa"/>
            <w:vAlign w:val="bottom"/>
          </w:tcPr>
          <w:p>
            <w:pPr>
              <w:spacing w:after="0"/>
              <w:rPr>
                <w:sz w:val="18"/>
                <w:szCs w:val="18"/>
                <w:color w:val="auto"/>
              </w:rPr>
            </w:pPr>
          </w:p>
        </w:tc>
      </w:tr>
      <w:tr>
        <w:trPr>
          <w:trHeight w:val="211"/>
        </w:trPr>
        <w:tc>
          <w:tcPr>
            <w:tcW w:w="57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1"/>
        </w:trPr>
        <w:tc>
          <w:tcPr>
            <w:tcW w:w="57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9"/>
              </w:rPr>
              <w:t>(Principal Financial and Accounting Officer and</w:t>
            </w:r>
          </w:p>
        </w:tc>
      </w:tr>
      <w:tr>
        <w:trPr>
          <w:trHeight w:val="223"/>
        </w:trPr>
        <w:tc>
          <w:tcPr>
            <w:tcW w:w="57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w w:val="90"/>
              </w:rPr>
              <w:t>Duly Authorized to Sign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000"/>
          </w:cols>
          <w:pgMar w:left="240" w:top="266" w:right="6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5720" w:type="dxa"/>
            <w:vAlign w:val="bottom"/>
            <w:tcBorders>
              <w:top w:val="single" w:sz="8" w:color="auto"/>
              <w:right w:val="single" w:sz="8" w:color="auto"/>
            </w:tcBorders>
          </w:tcPr>
          <w:p>
            <w:pPr>
              <w:spacing w:after="0"/>
              <w:rPr>
                <w:sz w:val="22"/>
                <w:szCs w:val="22"/>
                <w:color w:val="auto"/>
              </w:rPr>
            </w:pPr>
          </w:p>
        </w:tc>
        <w:tc>
          <w:tcPr>
            <w:tcW w:w="4540" w:type="dxa"/>
            <w:vAlign w:val="bottom"/>
            <w:tcBorders>
              <w:top w:val="single" w:sz="8" w:color="auto"/>
              <w:right w:val="single" w:sz="8" w:color="auto"/>
            </w:tcBorders>
          </w:tcPr>
          <w:p>
            <w:pPr>
              <w:spacing w:after="0"/>
              <w:rPr>
                <w:sz w:val="22"/>
                <w:szCs w:val="22"/>
                <w:color w:val="auto"/>
              </w:rPr>
            </w:pPr>
          </w:p>
        </w:tc>
      </w:tr>
      <w:tr>
        <w:trPr>
          <w:trHeight w:val="229"/>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5720" w:type="dxa"/>
            <w:vAlign w:val="bottom"/>
            <w:tcBorders>
              <w:right w:val="single" w:sz="8" w:color="auto"/>
            </w:tcBorders>
          </w:tcPr>
          <w:p>
            <w:pPr>
              <w:ind w:left="2400"/>
              <w:spacing w:after="0"/>
              <w:rPr>
                <w:sz w:val="20"/>
                <w:szCs w:val="20"/>
                <w:color w:val="auto"/>
              </w:rPr>
            </w:pPr>
            <w:r>
              <w:rPr>
                <w:rFonts w:ascii="Arial" w:cs="Arial" w:eastAsia="Arial" w:hAnsi="Arial"/>
                <w:sz w:val="18"/>
                <w:szCs w:val="18"/>
                <w:b w:val="1"/>
                <w:bCs w:val="1"/>
                <w:color w:val="auto"/>
              </w:rPr>
              <w:t>Description</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r>
      <w:tr>
        <w:trPr>
          <w:trHeight w:val="63"/>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5720" w:type="dxa"/>
            <w:vAlign w:val="bottom"/>
            <w:tcBorders>
              <w:bottom w:val="single" w:sz="8" w:color="auto"/>
              <w:right w:val="single" w:sz="8" w:color="auto"/>
            </w:tcBorders>
          </w:tcPr>
          <w:p>
            <w:pPr>
              <w:spacing w:after="0"/>
              <w:rPr>
                <w:sz w:val="5"/>
                <w:szCs w:val="5"/>
                <w:color w:val="auto"/>
              </w:rPr>
            </w:pPr>
          </w:p>
        </w:tc>
        <w:tc>
          <w:tcPr>
            <w:tcW w:w="4540" w:type="dxa"/>
            <w:vAlign w:val="bottom"/>
            <w:tcBorders>
              <w:bottom w:val="single" w:sz="8" w:color="auto"/>
              <w:right w:val="single" w:sz="8" w:color="auto"/>
            </w:tcBorders>
          </w:tcPr>
          <w:p>
            <w:pPr>
              <w:spacing w:after="0"/>
              <w:rPr>
                <w:sz w:val="5"/>
                <w:szCs w:val="5"/>
                <w:color w:val="auto"/>
              </w:rPr>
            </w:pPr>
          </w:p>
        </w:tc>
      </w:tr>
      <w:tr>
        <w:trPr>
          <w:trHeight w:val="248"/>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Certification of Chief Executive Officer Pursuant to Exchange Act Rules 13a-</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14(a)/15d-14(a), as Adopted Pursuant to Section 302 of the Sarbanes-Oxley</w:t>
            </w:r>
          </w:p>
        </w:tc>
        <w:tc>
          <w:tcPr>
            <w:tcW w:w="4540" w:type="dxa"/>
            <w:vAlign w:val="bottom"/>
            <w:tcBorders>
              <w:right w:val="single" w:sz="8" w:color="auto"/>
            </w:tcBorders>
          </w:tcPr>
          <w:p>
            <w:pPr>
              <w:spacing w:after="0"/>
              <w:rPr>
                <w:sz w:val="18"/>
                <w:szCs w:val="18"/>
                <w:color w:val="auto"/>
              </w:rPr>
            </w:pP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Act of 2002</w:t>
            </w:r>
          </w:p>
        </w:tc>
        <w:tc>
          <w:tcPr>
            <w:tcW w:w="4540" w:type="dxa"/>
            <w:vAlign w:val="bottom"/>
            <w:tcBorders>
              <w:right w:val="single" w:sz="8" w:color="auto"/>
            </w:tcBorders>
          </w:tcPr>
          <w:p>
            <w:pPr>
              <w:spacing w:after="0"/>
              <w:rPr>
                <w:sz w:val="19"/>
                <w:szCs w:val="19"/>
                <w:color w:val="auto"/>
              </w:rPr>
            </w:pPr>
          </w:p>
        </w:tc>
      </w:tr>
      <w:tr>
        <w:trPr>
          <w:trHeight w:val="53"/>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4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Certification of Chief Financial Officer Pursuant to Exchange Act Rules 13a-</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14(a)/15d-14(a), as Adopted Pursuant to Section 302 of the Sarbanes-Oxley</w:t>
            </w:r>
          </w:p>
        </w:tc>
        <w:tc>
          <w:tcPr>
            <w:tcW w:w="4540" w:type="dxa"/>
            <w:vAlign w:val="bottom"/>
            <w:tcBorders>
              <w:right w:val="single" w:sz="8" w:color="auto"/>
            </w:tcBorders>
          </w:tcPr>
          <w:p>
            <w:pPr>
              <w:spacing w:after="0"/>
              <w:rPr>
                <w:sz w:val="18"/>
                <w:szCs w:val="18"/>
                <w:color w:val="auto"/>
              </w:rPr>
            </w:pP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Act of 2002</w:t>
            </w:r>
          </w:p>
        </w:tc>
        <w:tc>
          <w:tcPr>
            <w:tcW w:w="4540" w:type="dxa"/>
            <w:vAlign w:val="bottom"/>
            <w:tcBorders>
              <w:right w:val="single" w:sz="8" w:color="auto"/>
            </w:tcBorders>
          </w:tcPr>
          <w:p>
            <w:pPr>
              <w:spacing w:after="0"/>
              <w:rPr>
                <w:sz w:val="19"/>
                <w:szCs w:val="19"/>
                <w:color w:val="auto"/>
              </w:rPr>
            </w:pPr>
          </w:p>
        </w:tc>
      </w:tr>
      <w:tr>
        <w:trPr>
          <w:trHeight w:val="53"/>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4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Certification of Chief Executive Officer Pursuant to 18 U.S.C. Section 1350,</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as Adopted Pursuant to Section 906 of the Sarbanes-Oxley Act of 2002</w:t>
            </w:r>
          </w:p>
        </w:tc>
        <w:tc>
          <w:tcPr>
            <w:tcW w:w="4540" w:type="dxa"/>
            <w:vAlign w:val="bottom"/>
            <w:tcBorders>
              <w:right w:val="single" w:sz="8" w:color="auto"/>
            </w:tcBorders>
          </w:tcPr>
          <w:p>
            <w:pPr>
              <w:spacing w:after="0"/>
              <w:rPr>
                <w:sz w:val="19"/>
                <w:szCs w:val="19"/>
                <w:color w:val="auto"/>
              </w:rPr>
            </w:pPr>
          </w:p>
        </w:tc>
      </w:tr>
      <w:tr>
        <w:trPr>
          <w:trHeight w:val="53"/>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4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Certification of Chief Financial Officer Pursuant to 18 U.S.C. Section 1350, as</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4540" w:type="dxa"/>
            <w:vAlign w:val="bottom"/>
            <w:tcBorders>
              <w:right w:val="single" w:sz="8" w:color="auto"/>
            </w:tcBorders>
          </w:tcPr>
          <w:p>
            <w:pPr>
              <w:spacing w:after="0"/>
              <w:rPr>
                <w:sz w:val="19"/>
                <w:szCs w:val="19"/>
                <w:color w:val="auto"/>
              </w:rPr>
            </w:pPr>
          </w:p>
        </w:tc>
      </w:tr>
      <w:tr>
        <w:trPr>
          <w:trHeight w:val="53"/>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r>
        <w:trPr>
          <w:trHeight w:val="244"/>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101</w:t>
            </w: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following materials from Northern Technologies International</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Corporation’s Quarterly Report on Form 10-Q for the fiscal quarter ended May</w:t>
            </w:r>
          </w:p>
        </w:tc>
        <w:tc>
          <w:tcPr>
            <w:tcW w:w="4540" w:type="dxa"/>
            <w:vAlign w:val="bottom"/>
            <w:tcBorders>
              <w:right w:val="single" w:sz="8" w:color="auto"/>
            </w:tcBorders>
          </w:tcPr>
          <w:p>
            <w:pPr>
              <w:spacing w:after="0"/>
              <w:rPr>
                <w:sz w:val="18"/>
                <w:szCs w:val="18"/>
                <w:color w:val="auto"/>
              </w:rPr>
            </w:pP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31, 2015, formatted in XBRL (Extensible Business Reporting Language): (i)</w:t>
            </w:r>
          </w:p>
        </w:tc>
        <w:tc>
          <w:tcPr>
            <w:tcW w:w="4540" w:type="dxa"/>
            <w:vAlign w:val="bottom"/>
            <w:tcBorders>
              <w:right w:val="single" w:sz="8" w:color="auto"/>
            </w:tcBorders>
          </w:tcPr>
          <w:p>
            <w:pPr>
              <w:spacing w:after="0"/>
              <w:rPr>
                <w:sz w:val="18"/>
                <w:szCs w:val="18"/>
                <w:color w:val="auto"/>
              </w:rPr>
            </w:pP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 unaudited Consolidated Balance Sheets, (ii) the unaudited Consolidated</w:t>
            </w:r>
          </w:p>
        </w:tc>
        <w:tc>
          <w:tcPr>
            <w:tcW w:w="4540" w:type="dxa"/>
            <w:vAlign w:val="bottom"/>
            <w:tcBorders>
              <w:right w:val="single" w:sz="8" w:color="auto"/>
            </w:tcBorders>
          </w:tcPr>
          <w:p>
            <w:pPr>
              <w:spacing w:after="0"/>
              <w:rPr>
                <w:sz w:val="18"/>
                <w:szCs w:val="18"/>
                <w:color w:val="auto"/>
              </w:rPr>
            </w:pP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Statements of Operations, (iii) the unaudited Consolidated Statements of</w:t>
            </w:r>
          </w:p>
        </w:tc>
        <w:tc>
          <w:tcPr>
            <w:tcW w:w="4540" w:type="dxa"/>
            <w:vAlign w:val="bottom"/>
            <w:tcBorders>
              <w:right w:val="single" w:sz="8" w:color="auto"/>
            </w:tcBorders>
          </w:tcPr>
          <w:p>
            <w:pPr>
              <w:spacing w:after="0"/>
              <w:rPr>
                <w:sz w:val="18"/>
                <w:szCs w:val="18"/>
                <w:color w:val="auto"/>
              </w:rPr>
            </w:pPr>
          </w:p>
        </w:tc>
      </w:tr>
      <w:tr>
        <w:trPr>
          <w:trHeight w:val="211"/>
        </w:trPr>
        <w:tc>
          <w:tcPr>
            <w:tcW w:w="1180" w:type="dxa"/>
            <w:vAlign w:val="bottom"/>
            <w:tcBorders>
              <w:left w:val="single" w:sz="8" w:color="auto"/>
              <w:right w:val="single" w:sz="8" w:color="auto"/>
            </w:tcBorders>
          </w:tcPr>
          <w:p>
            <w:pPr>
              <w:spacing w:after="0"/>
              <w:rPr>
                <w:sz w:val="18"/>
                <w:szCs w:val="18"/>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Comprehensive Income (Loss), (iv) the unaudited Consolidated Statements of</w:t>
            </w:r>
          </w:p>
        </w:tc>
        <w:tc>
          <w:tcPr>
            <w:tcW w:w="4540" w:type="dxa"/>
            <w:vAlign w:val="bottom"/>
            <w:tcBorders>
              <w:right w:val="single" w:sz="8" w:color="auto"/>
            </w:tcBorders>
          </w:tcPr>
          <w:p>
            <w:pPr>
              <w:spacing w:after="0"/>
              <w:rPr>
                <w:sz w:val="18"/>
                <w:szCs w:val="18"/>
                <w:color w:val="auto"/>
              </w:rPr>
            </w:pPr>
          </w:p>
        </w:tc>
      </w:tr>
      <w:tr>
        <w:trPr>
          <w:trHeight w:val="223"/>
        </w:trPr>
        <w:tc>
          <w:tcPr>
            <w:tcW w:w="1180" w:type="dxa"/>
            <w:vAlign w:val="bottom"/>
            <w:tcBorders>
              <w:left w:val="single" w:sz="8" w:color="auto"/>
              <w:right w:val="single" w:sz="8" w:color="auto"/>
            </w:tcBorders>
          </w:tcPr>
          <w:p>
            <w:pPr>
              <w:spacing w:after="0"/>
              <w:rPr>
                <w:sz w:val="19"/>
                <w:szCs w:val="19"/>
                <w:color w:val="auto"/>
              </w:rPr>
            </w:pPr>
          </w:p>
        </w:tc>
        <w:tc>
          <w:tcPr>
            <w:tcW w:w="5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Cash Flows, and (v) Notes to Condensed Financial Statements</w:t>
            </w:r>
          </w:p>
        </w:tc>
        <w:tc>
          <w:tcPr>
            <w:tcW w:w="4540" w:type="dxa"/>
            <w:vAlign w:val="bottom"/>
            <w:tcBorders>
              <w:right w:val="single" w:sz="8" w:color="auto"/>
            </w:tcBorders>
          </w:tcPr>
          <w:p>
            <w:pPr>
              <w:spacing w:after="0"/>
              <w:rPr>
                <w:sz w:val="19"/>
                <w:szCs w:val="19"/>
                <w:color w:val="auto"/>
              </w:rPr>
            </w:pPr>
          </w:p>
        </w:tc>
      </w:tr>
      <w:tr>
        <w:trPr>
          <w:trHeight w:val="53"/>
        </w:trPr>
        <w:tc>
          <w:tcPr>
            <w:tcW w:w="1180" w:type="dxa"/>
            <w:vAlign w:val="bottom"/>
            <w:tcBorders>
              <w:left w:val="single" w:sz="8" w:color="auto"/>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c>
          <w:tcPr>
            <w:tcW w:w="45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27075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1" w:lineRule="exact"/>
        <w:rPr>
          <w:sz w:val="20"/>
          <w:szCs w:val="20"/>
          <w:color w:val="auto"/>
        </w:rPr>
      </w:pPr>
    </w:p>
    <w:p>
      <w:pPr>
        <w:ind w:left="640" w:hanging="635"/>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139700</wp:posOffset>
            </wp:positionV>
            <wp:extent cx="1808480" cy="334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8480" cy="33464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2015</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1" w:lineRule="exact"/>
        <w:rPr>
          <w:sz w:val="20"/>
          <w:szCs w:val="20"/>
          <w:color w:val="auto"/>
        </w:rPr>
      </w:pPr>
    </w:p>
    <w:p>
      <w:pPr>
        <w:ind w:left="640" w:hanging="635"/>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122555</wp:posOffset>
            </wp:positionV>
            <wp:extent cx="1256030" cy="410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6030" cy="41021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144145</wp:posOffset>
            </wp:positionV>
            <wp:extent cx="1808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ind w:left="10520"/>
        <w:spacing w:after="0"/>
        <w:rPr>
          <w:sz w:val="20"/>
          <w:szCs w:val="20"/>
          <w:color w:val="auto"/>
        </w:rPr>
      </w:pPr>
      <w:r>
        <w:rPr>
          <w:rFonts w:ascii="Arial" w:cs="Arial" w:eastAsia="Arial" w:hAnsi="Arial"/>
          <w:sz w:val="16"/>
          <w:szCs w:val="16"/>
          <w:b w:val="1"/>
          <w:bCs w:val="1"/>
          <w:color w:val="auto"/>
        </w:rPr>
        <w:t>Exhibit 32.1</w:t>
      </w:r>
    </w:p>
    <w:p>
      <w:pPr>
        <w:spacing w:after="0" w:line="26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220" w:hanging="215"/>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-457835</wp:posOffset>
            </wp:positionV>
            <wp:extent cx="2176780" cy="334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7678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p>
      <w:pPr>
        <w:sectPr>
          <w:pgSz w:w="11900" w:h="16838" w:orient="portrait"/>
          <w:cols w:equalWidth="0" w:num="1">
            <w:col w:w="11420"/>
          </w:cols>
          <w:pgMar w:left="240" w:top="121" w:right="239" w:bottom="1440" w:gutter="0" w:footer="0" w:header="0"/>
        </w:sectPr>
      </w:pPr>
    </w:p>
    <w:bookmarkStart w:id="39" w:name="page40"/>
    <w:bookmarkEnd w:id="39"/>
    <w:p>
      <w:pPr>
        <w:ind w:left="10520"/>
        <w:spacing w:after="0"/>
        <w:rPr>
          <w:sz w:val="20"/>
          <w:szCs w:val="20"/>
          <w:color w:val="auto"/>
        </w:rPr>
      </w:pPr>
      <w:r>
        <w:rPr>
          <w:rFonts w:ascii="Arial" w:cs="Arial" w:eastAsia="Arial" w:hAnsi="Arial"/>
          <w:sz w:val="16"/>
          <w:szCs w:val="16"/>
          <w:b w:val="1"/>
          <w:bCs w:val="1"/>
          <w:color w:val="auto"/>
        </w:rPr>
        <w:t>Exhibit 32.2</w:t>
      </w:r>
    </w:p>
    <w:p>
      <w:pPr>
        <w:spacing w:after="0" w:line="238"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May 31, 2015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2176780" cy="418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76780"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10,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7"/>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upperLetter"/>
      <w:start w:val="7"/>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2019-12-29T16:54:56Z</dcterms:created>
  <dcterms:modified xsi:type="dcterms:W3CDTF">2019-12-29T16:54:56Z</dcterms:modified>
</cp:coreProperties>
</file>