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May 31, 2017</w:t>
      </w:r>
    </w:p>
    <w:p>
      <w:pPr>
        <w:spacing w:after="0" w:line="225" w:lineRule="exact"/>
        <w:rPr>
          <w:sz w:val="24"/>
          <w:szCs w:val="24"/>
          <w:color w:val="auto"/>
        </w:rPr>
      </w:pPr>
    </w:p>
    <w:p>
      <w:pPr>
        <w:ind w:left="2960" w:right="2000" w:hanging="2952"/>
        <w:spacing w:after="0" w:line="530" w:lineRule="auto"/>
        <w:tabs>
          <w:tab w:leader="none" w:pos="221"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 to __________________.</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29" w:right="279" w:bottom="1440" w:gutter="0" w:footer="0" w:header="0"/>
        </w:sectPr>
      </w:pPr>
    </w:p>
    <w:p>
      <w:pPr>
        <w:spacing w:after="0" w:line="20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780" w:space="720"/>
            <w:col w:w="3880"/>
          </w:cols>
          <w:pgMar w:left="240" w:top="229" w:right="27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(Do not check if a 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60" w:space="720"/>
            <w:col w:w="3600"/>
          </w:cols>
          <w:pgMar w:left="240" w:top="229" w:right="279" w:bottom="1440" w:gutter="0" w:footer="0" w:header="0"/>
          <w:type w:val="continuous"/>
        </w:sect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13, 2017, there were 4,527,018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p>
      <w:pPr>
        <w:spacing w:after="0"/>
        <w:tabs>
          <w:tab w:leader="none" w:pos="11040" w:val="left"/>
        </w:tabs>
        <w:rPr>
          <w:sz w:val="20"/>
          <w:szCs w:val="20"/>
          <w:color w:val="auto"/>
        </w:rPr>
      </w:pPr>
      <w:r>
        <w:rPr>
          <w:rFonts w:ascii="Arial" w:cs="Arial" w:eastAsia="Arial" w:hAnsi="Arial"/>
          <w:sz w:val="15"/>
          <w:szCs w:val="15"/>
          <w:b w:val="1"/>
          <w:bCs w:val="1"/>
          <w:u w:val="single" w:color="auto"/>
          <w:color w:val="auto"/>
        </w:rPr>
        <w:t>Description</w:t>
      </w:r>
      <w:r>
        <w:rPr>
          <w:sz w:val="20"/>
          <w:szCs w:val="20"/>
          <w:color w:val="auto"/>
        </w:rPr>
        <w:tab/>
      </w:r>
      <w:r>
        <w:rPr>
          <w:rFonts w:ascii="Arial" w:cs="Arial" w:eastAsia="Arial" w:hAnsi="Arial"/>
          <w:sz w:val="15"/>
          <w:szCs w:val="15"/>
          <w:b w:val="1"/>
          <w:bCs w:val="1"/>
          <w:u w:val="single" w:color="auto"/>
          <w:color w:val="auto"/>
        </w:rPr>
        <w:t>Page</w:t>
      </w:r>
    </w:p>
    <w:p>
      <w:pPr>
        <w:spacing w:after="0" w:line="260" w:lineRule="exact"/>
        <w:rPr>
          <w:sz w:val="20"/>
          <w:szCs w:val="20"/>
          <w:color w:val="auto"/>
        </w:rPr>
      </w:pPr>
    </w:p>
    <w:p>
      <w:pPr>
        <w:spacing w:after="0"/>
        <w:tabs>
          <w:tab w:leader="none" w:pos="1720" w:val="left"/>
        </w:tabs>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4">
        <w:r>
          <w:rPr>
            <w:rFonts w:ascii="Arial" w:cs="Arial" w:eastAsia="Arial" w:hAnsi="Arial"/>
            <w:sz w:val="18"/>
            <w:szCs w:val="18"/>
            <w:b w:val="1"/>
            <w:bCs w:val="1"/>
            <w:u w:val="single" w:color="auto"/>
            <w:color w:val="0000EE"/>
          </w:rPr>
          <w:t>FINANCIAL INFORMATION</w:t>
        </w:r>
      </w:hyperlink>
    </w:p>
    <w:p>
      <w:pPr>
        <w:sectPr>
          <w:pgSz w:w="11900" w:h="16838" w:orient="portrait"/>
          <w:cols w:equalWidth="0" w:num="1">
            <w:col w:w="11420"/>
          </w:cols>
          <w:pgMar w:left="240" w:top="688" w:right="239" w:bottom="1440" w:gutter="0" w:footer="0" w:header="0"/>
        </w:sect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20" w:type="dxa"/>
            <w:vAlign w:val="bottom"/>
          </w:tcPr>
          <w:p>
            <w:pPr>
              <w:spacing w:after="0"/>
              <w:rPr>
                <w:sz w:val="17"/>
                <w:szCs w:val="17"/>
                <w:color w:val="auto"/>
              </w:rPr>
            </w:pPr>
          </w:p>
        </w:tc>
        <w:tc>
          <w:tcPr>
            <w:tcW w:w="782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2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May 31, 2017 (unaudited) and August 31, 2016 (audited)</w:t>
              </w:r>
            </w:hyperlink>
          </w:p>
        </w:tc>
      </w:tr>
      <w:tr>
        <w:trPr>
          <w:trHeight w:val="20"/>
        </w:trPr>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Operations (unaudited) for the Three and Nine Months Ended May 31, 2017 and</w:t>
              </w:r>
            </w:hyperlink>
          </w:p>
        </w:tc>
      </w:tr>
      <w:tr>
        <w:trPr>
          <w:trHeight w:val="196"/>
        </w:trPr>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2016</w:t>
              </w:r>
            </w:hyperlink>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Comprehensive Income (unaudited) for the Three and Nine Months Ended May</w:t>
              </w:r>
            </w:hyperlink>
          </w:p>
        </w:tc>
      </w:tr>
      <w:tr>
        <w:trPr>
          <w:trHeight w:val="196"/>
        </w:trPr>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31, 2017 and 2016</w:t>
              </w:r>
            </w:hyperlink>
          </w:p>
        </w:tc>
        <w:tc>
          <w:tcPr>
            <w:tcW w:w="6480" w:type="dxa"/>
            <w:vAlign w:val="bottom"/>
            <w:gridSpan w:val="8"/>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Cash Flows (unaudited) for the Nine Months Ended May 31, 2017 and 2016</w:t>
              </w:r>
            </w:hyperlink>
          </w:p>
        </w:tc>
        <w:tc>
          <w:tcPr>
            <w:tcW w:w="300" w:type="dxa"/>
            <w:vAlign w:val="bottom"/>
          </w:tcPr>
          <w:p>
            <w:pPr>
              <w:spacing w:after="0"/>
              <w:rPr>
                <w:sz w:val="24"/>
                <w:szCs w:val="24"/>
                <w:color w:val="auto"/>
              </w:rPr>
            </w:pPr>
          </w:p>
        </w:tc>
      </w:tr>
      <w:tr>
        <w:trPr>
          <w:trHeight w:val="412"/>
        </w:trPr>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20" w:type="dxa"/>
            <w:vAlign w:val="bottom"/>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r>
      <w:tr>
        <w:trPr>
          <w:trHeight w:val="20"/>
        </w:trPr>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1220" w:type="dxa"/>
            <w:vAlign w:val="bottom"/>
          </w:tcPr>
          <w:p>
            <w:pPr>
              <w:spacing w:after="0"/>
              <w:rPr>
                <w:sz w:val="24"/>
                <w:szCs w:val="24"/>
                <w:color w:val="auto"/>
              </w:rPr>
            </w:pPr>
          </w:p>
        </w:tc>
        <w:tc>
          <w:tcPr>
            <w:tcW w:w="64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360" w:type="dxa"/>
            <w:vAlign w:val="bottom"/>
            <w:gridSpan w:val="3"/>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1220" w:type="dxa"/>
            <w:vAlign w:val="bottom"/>
          </w:tcPr>
          <w:p>
            <w:pPr>
              <w:spacing w:after="0"/>
              <w:rPr>
                <w:sz w:val="24"/>
                <w:szCs w:val="24"/>
                <w:color w:val="auto"/>
              </w:rPr>
            </w:pPr>
          </w:p>
        </w:tc>
        <w:tc>
          <w:tcPr>
            <w:tcW w:w="7820" w:type="dxa"/>
            <w:vAlign w:val="bottom"/>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1220" w:type="dxa"/>
            <w:vAlign w:val="bottom"/>
          </w:tcPr>
          <w:p>
            <w:pPr>
              <w:spacing w:after="0"/>
              <w:rPr>
                <w:sz w:val="24"/>
                <w:szCs w:val="24"/>
                <w:color w:val="auto"/>
              </w:rPr>
            </w:pPr>
          </w:p>
        </w:tc>
        <w:tc>
          <w:tcPr>
            <w:tcW w:w="4300" w:type="dxa"/>
            <w:vAlign w:val="bottom"/>
            <w:tcBorders>
              <w:top w:val="single" w:sz="8" w:color="0000EE"/>
            </w:tcBorders>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3520" w:type="dxa"/>
            <w:vAlign w:val="bottom"/>
            <w:gridSpan w:val="4"/>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p>
      <w:pPr>
        <w:spacing w:after="0" w:line="200" w:lineRule="exact"/>
        <w:rPr>
          <w:sz w:val="20"/>
          <w:szCs w:val="20"/>
          <w:color w:val="auto"/>
        </w:rPr>
      </w:pPr>
    </w:p>
    <w:p>
      <w:pPr>
        <w:spacing w:after="0" w:line="241"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p>
      <w:pPr>
        <w:spacing w:after="0" w:line="333" w:lineRule="exact"/>
        <w:rPr>
          <w:sz w:val="20"/>
          <w:szCs w:val="20"/>
          <w:color w:val="auto"/>
        </w:rPr>
      </w:pPr>
    </w:p>
    <w:p>
      <w:pPr>
        <w:ind w:left="24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6</w:t>
        </w:r>
      </w:hyperlink>
    </w:p>
    <w:p>
      <w:pPr>
        <w:spacing w:after="0" w:line="271" w:lineRule="exact"/>
        <w:rPr>
          <w:sz w:val="20"/>
          <w:szCs w:val="20"/>
          <w:color w:val="auto"/>
        </w:rPr>
      </w:pPr>
    </w:p>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7-18</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32</w:t>
        </w:r>
      </w:hyperlink>
    </w:p>
    <w:p>
      <w:pPr>
        <w:spacing w:after="0" w:line="225" w:lineRule="exact"/>
        <w:rPr>
          <w:sz w:val="20"/>
          <w:szCs w:val="20"/>
          <w:color w:val="auto"/>
        </w:rPr>
      </w:pPr>
    </w:p>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32</w:t>
        </w:r>
      </w:hyperlink>
    </w:p>
    <w:p>
      <w:pPr>
        <w:spacing w:after="0" w:line="200" w:lineRule="exact"/>
        <w:rPr>
          <w:sz w:val="20"/>
          <w:szCs w:val="20"/>
          <w:color w:val="auto"/>
        </w:rPr>
      </w:pPr>
    </w:p>
    <w:p>
      <w:pPr>
        <w:sectPr>
          <w:pgSz w:w="11900" w:h="16838" w:orient="portrait"/>
          <w:cols w:equalWidth="0" w:num="2">
            <w:col w:w="10380" w:space="720"/>
            <w:col w:w="320"/>
          </w:cols>
          <w:pgMar w:left="240" w:top="688" w:right="23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gridSpan w:val="6"/>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9500" w:type="dxa"/>
            <w:vAlign w:val="bottom"/>
            <w:gridSpan w:val="9"/>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OTHER INFORMATION</w:t>
              </w:r>
            </w:hyperlink>
          </w:p>
        </w:tc>
        <w:tc>
          <w:tcPr>
            <w:tcW w:w="180" w:type="dxa"/>
            <w:vAlign w:val="bottom"/>
          </w:tcPr>
          <w:p>
            <w:pPr>
              <w:spacing w:after="0"/>
              <w:rPr>
                <w:sz w:val="18"/>
                <w:szCs w:val="18"/>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1.</w:t>
              </w:r>
            </w:hyperlink>
          </w:p>
        </w:tc>
        <w:tc>
          <w:tcPr>
            <w:tcW w:w="180" w:type="dxa"/>
            <w:vAlign w:val="bottom"/>
            <w:tcBorders>
              <w:top w:val="single" w:sz="8" w:color="0000EE"/>
            </w:tcBorders>
            <w:gridSpan w:val="2"/>
          </w:tcPr>
          <w:p>
            <w:pPr>
              <w:spacing w:after="0"/>
              <w:rPr>
                <w:sz w:val="24"/>
                <w:szCs w:val="24"/>
                <w:color w:val="auto"/>
              </w:rPr>
            </w:pPr>
          </w:p>
        </w:tc>
        <w:tc>
          <w:tcPr>
            <w:tcW w:w="1040" w:type="dxa"/>
            <w:vAlign w:val="bottom"/>
            <w:gridSpan w:val="3"/>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748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412"/>
        </w:trPr>
        <w:tc>
          <w:tcPr>
            <w:tcW w:w="1740" w:type="dxa"/>
            <w:vAlign w:val="bottom"/>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9500" w:type="dxa"/>
            <w:vAlign w:val="bottom"/>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80" w:type="dxa"/>
            <w:vAlign w:val="bottom"/>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1100" w:type="dxa"/>
            <w:vAlign w:val="bottom"/>
            <w:gridSpan w:val="4"/>
          </w:tcPr>
          <w:p>
            <w:pPr>
              <w:spacing w:after="0"/>
              <w:rPr>
                <w:sz w:val="24"/>
                <w:szCs w:val="24"/>
                <w:color w:val="auto"/>
              </w:rPr>
            </w:pPr>
          </w:p>
        </w:tc>
        <w:tc>
          <w:tcPr>
            <w:tcW w:w="9500" w:type="dxa"/>
            <w:vAlign w:val="bottom"/>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180" w:type="dxa"/>
            <w:vAlign w:val="bottom"/>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1220" w:type="dxa"/>
            <w:vAlign w:val="bottom"/>
            <w:gridSpan w:val="5"/>
          </w:tcPr>
          <w:p>
            <w:pPr>
              <w:spacing w:after="0"/>
              <w:rPr>
                <w:sz w:val="24"/>
                <w:szCs w:val="24"/>
                <w:color w:val="auto"/>
              </w:rPr>
            </w:pPr>
          </w:p>
        </w:tc>
        <w:tc>
          <w:tcPr>
            <w:tcW w:w="4340" w:type="dxa"/>
            <w:vAlign w:val="bottom"/>
            <w:tcBorders>
              <w:top w:val="single" w:sz="8" w:color="0000EE"/>
            </w:tcBorders>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5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1220" w:type="dxa"/>
            <w:vAlign w:val="bottom"/>
            <w:gridSpan w:val="5"/>
          </w:tcPr>
          <w:p>
            <w:pPr>
              <w:spacing w:after="0"/>
              <w:rPr>
                <w:sz w:val="24"/>
                <w:szCs w:val="24"/>
                <w:color w:val="auto"/>
              </w:rPr>
            </w:pPr>
          </w:p>
        </w:tc>
        <w:tc>
          <w:tcPr>
            <w:tcW w:w="2320" w:type="dxa"/>
            <w:vAlign w:val="bottom"/>
            <w:tcBorders>
              <w:top w:val="single" w:sz="8" w:color="0000EE"/>
            </w:tcBorders>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718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5.</w:t>
              </w:r>
            </w:hyperlink>
          </w:p>
        </w:tc>
        <w:tc>
          <w:tcPr>
            <w:tcW w:w="1220" w:type="dxa"/>
            <w:vAlign w:val="bottom"/>
            <w:gridSpan w:val="5"/>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77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6.</w:t>
              </w:r>
            </w:hyperlink>
          </w:p>
        </w:tc>
        <w:tc>
          <w:tcPr>
            <w:tcW w:w="1220" w:type="dxa"/>
            <w:vAlign w:val="bottom"/>
            <w:gridSpan w:val="5"/>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Exhibits</w:t>
              </w:r>
            </w:hyperlink>
          </w:p>
        </w:tc>
        <w:tc>
          <w:tcPr>
            <w:tcW w:w="8900" w:type="dxa"/>
            <w:vAlign w:val="bottom"/>
            <w:gridSpan w:val="8"/>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35</w:t>
              </w:r>
            </w:hyperlink>
          </w:p>
        </w:tc>
      </w:tr>
      <w:tr>
        <w:trPr>
          <w:trHeight w:val="412"/>
        </w:trPr>
        <w:tc>
          <w:tcPr>
            <w:tcW w:w="1740" w:type="dxa"/>
            <w:vAlign w:val="bottom"/>
            <w:gridSpan w:val="6"/>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36</w:t>
              </w:r>
            </w:hyperlink>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740" w:type="dxa"/>
            <w:vAlign w:val="bottom"/>
            <w:gridSpan w:val="6"/>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500" w:type="dxa"/>
            <w:vAlign w:val="bottom"/>
            <w:gridSpan w:val="9"/>
          </w:tcPr>
          <w:p>
            <w:pPr>
              <w:ind w:left="3200"/>
              <w:spacing w:after="0"/>
              <w:rPr>
                <w:sz w:val="20"/>
                <w:szCs w:val="20"/>
                <w:color w:val="auto"/>
              </w:rPr>
            </w:pPr>
            <w:r>
              <w:rPr>
                <w:rFonts w:ascii="Arial" w:cs="Arial" w:eastAsia="Arial" w:hAnsi="Arial"/>
                <w:sz w:val="18"/>
                <w:szCs w:val="18"/>
                <w:color w:val="auto"/>
              </w:rPr>
              <w:t>_________________</w:t>
            </w:r>
          </w:p>
        </w:tc>
        <w:tc>
          <w:tcPr>
            <w:tcW w:w="180" w:type="dxa"/>
            <w:vAlign w:val="bottom"/>
            <w:tcBorders>
              <w:top w:val="single" w:sz="8" w:color="0000EE"/>
            </w:tcBorders>
          </w:tcPr>
          <w:p>
            <w:pPr>
              <w:spacing w:after="0"/>
              <w:rPr>
                <w:sz w:val="24"/>
                <w:szCs w:val="24"/>
                <w:color w:val="auto"/>
              </w:rPr>
            </w:pPr>
          </w:p>
        </w:tc>
      </w:tr>
    </w:tbl>
    <w:p>
      <w:pPr>
        <w:spacing w:after="0" w:line="20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2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(4) “Zerust Brazil” refer to NTIC’s majority-owned Brazilian subsidiary, Zerust Prevenção de Corrosão S.A.;</w:t>
      </w:r>
    </w:p>
    <w:p>
      <w:pPr>
        <w:ind w:right="40" w:firstLine="8"/>
        <w:spacing w:after="0" w:line="253"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“Natur-Tec India” refer to NTIC’s majority-owned subsidiary in India, Natur-Tec India Private Limited; and (6) “NTI Asean” refer to NTIC’s majority-owned holding company subsidiary, NTI Asean LLC, which is a holding company that holds investments in eight entities that operate in the Association of Southeast Asian Nations (ASEAN) region, including the following countries: China (although the joint venture agreements for the Chinese joint venture were terminated as of December 31, 2014 and liquidation of this joint venture is anticipated), Indonesia, South Korea, Malaysia, Philippines, Singapore, Taiwan and Thailand.</w:t>
      </w:r>
    </w:p>
    <w:p>
      <w:pPr>
        <w:spacing w:after="0" w:line="1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BALANCE SHEETS AS OF MAY 31, 2017 (UNAUDITED) AND AUGUST 31, 2016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80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May 31, 2017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3,500,164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3,756,680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2,243,864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ind w:left="520"/>
              <w:spacing w:after="0" w:line="201" w:lineRule="exact"/>
              <w:rPr>
                <w:sz w:val="20"/>
                <w:szCs w:val="20"/>
                <w:color w:val="auto"/>
              </w:rPr>
            </w:pPr>
            <w:r>
              <w:rPr>
                <w:rFonts w:ascii="Arial" w:cs="Arial" w:eastAsia="Arial" w:hAnsi="Arial"/>
                <w:sz w:val="18"/>
                <w:szCs w:val="18"/>
                <w:color w:val="auto"/>
                <w:w w:val="93"/>
              </w:rPr>
              <w:t>Trade excluding joint ventures, less allowance for doubtful accounts of $40,000 at May 31, 2017 and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August 31, 2016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6,190,096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4,755,320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joint ventures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1,295,766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1,224,977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1,406,587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375,531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7,879,656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7,711,287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421,708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current assets</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24,644,578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20,942,171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PROPERTY AND EQUIPMENT, NET</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7,451,899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7,275,872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joint ventures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18,903,473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19,840,774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1,614,229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1,639,762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Patents and trademarks, net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1,314,103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1,278,597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71,685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92,874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assets</w:t>
            </w: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21,903,490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22,852,007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53,999,967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51,070,050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3,558,280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2,753,903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Payroll and related benefits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984,789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938,363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247,597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106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4,790,666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3,994,102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COMMITMENTS AND CONTINGENCIES (Note 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ind w:left="340"/>
              <w:spacing w:after="0" w:line="201" w:lineRule="exact"/>
              <w:rPr>
                <w:sz w:val="20"/>
                <w:szCs w:val="20"/>
                <w:color w:val="auto"/>
              </w:rPr>
            </w:pPr>
            <w:r>
              <w:rPr>
                <w:rFonts w:ascii="Arial" w:cs="Arial" w:eastAsia="Arial" w:hAnsi="Arial"/>
                <w:sz w:val="18"/>
                <w:szCs w:val="18"/>
                <w:color w:val="auto"/>
                <w:w w:val="98"/>
              </w:rPr>
              <w:t>Common stock, $0.02 par value per share; authorized 10,000,000 shares; issued and outstanding</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4,527,018 and 4,533,416, respectively</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90,540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13,983,754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13,798,567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35,692,376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33,655,357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(3,251,765)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46,514,905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44,534,975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2,694,396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2,540,973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equity</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49,209,301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47,075,948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 and equity</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53,999,967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51,070,050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AND NINE MONTHS ENDED MAY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p>
      <w:pPr>
        <w:spacing w:after="0" w:line="203"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17145</wp:posOffset>
            </wp:positionV>
            <wp:extent cx="1835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6" w:lineRule="exact"/>
        <w:rPr>
          <w:sz w:val="20"/>
          <w:szCs w:val="20"/>
          <w:color w:val="auto"/>
        </w:rPr>
      </w:pPr>
    </w:p>
    <w:p>
      <w:pPr>
        <w:ind w:left="5800"/>
        <w:spacing w:after="0"/>
        <w:tabs>
          <w:tab w:leader="none" w:pos="7280" w:val="left"/>
        </w:tabs>
        <w:rPr>
          <w:sz w:val="20"/>
          <w:szCs w:val="20"/>
          <w:color w:val="auto"/>
        </w:rPr>
      </w:pPr>
      <w:r>
        <w:rPr>
          <w:rFonts w:ascii="Arial" w:cs="Arial" w:eastAsia="Arial" w:hAnsi="Arial"/>
          <w:sz w:val="18"/>
          <w:szCs w:val="18"/>
          <w:b w:val="1"/>
          <w:bCs w:val="1"/>
          <w:color w:val="auto"/>
        </w:rPr>
        <w:t>May 31, 2017</w:t>
      </w:r>
      <w:r>
        <w:rPr>
          <w:sz w:val="20"/>
          <w:szCs w:val="20"/>
          <w:color w:val="auto"/>
        </w:rPr>
        <w:tab/>
      </w:r>
      <w:r>
        <w:rPr>
          <w:rFonts w:ascii="Arial" w:cs="Arial" w:eastAsia="Arial" w:hAnsi="Arial"/>
          <w:sz w:val="16"/>
          <w:szCs w:val="16"/>
          <w:b w:val="1"/>
          <w:bCs w:val="1"/>
          <w:color w:val="auto"/>
        </w:rPr>
        <w:t>May 31, 2016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17145</wp:posOffset>
            </wp:positionV>
            <wp:extent cx="17837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May 31, 2017</w:t>
      </w:r>
      <w:r>
        <w:rPr>
          <w:sz w:val="20"/>
          <w:szCs w:val="20"/>
          <w:color w:val="auto"/>
        </w:rPr>
        <w:tab/>
      </w:r>
      <w:r>
        <w:rPr>
          <w:rFonts w:ascii="Arial" w:cs="Arial" w:eastAsia="Arial" w:hAnsi="Arial"/>
          <w:sz w:val="16"/>
          <w:szCs w:val="16"/>
          <w:b w:val="1"/>
          <w:bCs w:val="1"/>
          <w:color w:val="auto"/>
        </w:rPr>
        <w:t>May 31, 2016</w:t>
      </w:r>
    </w:p>
    <w:p>
      <w:pPr>
        <w:spacing w:after="0" w:line="27" w:lineRule="exact"/>
        <w:rPr>
          <w:sz w:val="20"/>
          <w:szCs w:val="20"/>
          <w:color w:val="auto"/>
        </w:rPr>
      </w:pPr>
    </w:p>
    <w:p>
      <w:pPr>
        <w:sectPr>
          <w:pgSz w:w="11900" w:h="16838" w:orient="portrait"/>
          <w:cols w:equalWidth="0" w:num="2">
            <w:col w:w="8320" w:space="460"/>
            <w:col w:w="2640"/>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9,360,883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7,925,357</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26,552,434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21,454,381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862,136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761,218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2,115,511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1,961,565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10,223,019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8,686,575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28,667,945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23,415,946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6,774,001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5,777,249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19,256,953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15,920,896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3,449,018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2,909,326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9,410,992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7,495,050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income of joint ventures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1,686,016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1,664,464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4,343,159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3,600,884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1,442,048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1,351,913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3,941,667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3,808,384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joint venture operations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3,128,064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3,016,377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8,284,826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7,409,268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Selling expenses</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2,430,824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1,507,200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6,716,390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4,507,716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1,682,669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1,957,868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5,996,977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5,939,032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733,651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1,231,950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2,118,210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3,349,572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4,847,144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4,697,018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14,831,577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13,796,320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1,729,938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1,228,685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2,864,241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1,107,998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1,733,525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1,249,382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2,867,814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1,142,691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237,801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225,395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480,423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262,359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1,495,724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1,023,987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2,387,391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880,332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143,308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106,614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350,370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305,099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1,352,416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917,373</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2,037,021</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 PER COMMON SHARE: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0.30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ASSUMED</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4,526,771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4,538,970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4,528,523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4,538,005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ind w:left="340"/>
              <w:spacing w:after="0" w:line="190"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4,591,527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4,563,801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4,571,395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4,587,064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5" w:name="page6"/>
    <w:bookmarkEnd w:id="5"/>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COMPREHENSIVE INCOME (UNAUDITED) FOR THE THREE AND NINE MONTHS ENDED MAY 31, 2017 AND 2016</w:t>
      </w:r>
    </w:p>
    <w:tbl>
      <w:tblPr>
        <w:tblLayout w:type="fixed"/>
        <w:tblInd w:w="0" w:type="dxa"/>
        <w:tblCellMar>
          <w:top w:w="0" w:type="dxa"/>
          <w:left w:w="0" w:type="dxa"/>
          <w:bottom w:w="0" w:type="dxa"/>
          <w:right w:w="0" w:type="dxa"/>
        </w:tblCellMar>
      </w:tblPr>
      <w:tr>
        <w:trPr>
          <w:trHeight w:val="204"/>
        </w:trPr>
        <w:tc>
          <w:tcPr>
            <w:tcW w:w="56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760" w:type="dxa"/>
            <w:vAlign w:val="bottom"/>
            <w:tcBorders>
              <w:top w:val="single" w:sz="8" w:color="auto"/>
              <w:bottom w:val="single" w:sz="8" w:color="auto"/>
            </w:tcBorders>
            <w:gridSpan w:val="4"/>
          </w:tcPr>
          <w:p>
            <w:pPr>
              <w:jc w:val="right"/>
              <w:ind w:right="530"/>
              <w:spacing w:after="0" w:line="204" w:lineRule="exact"/>
              <w:rPr>
                <w:sz w:val="20"/>
                <w:szCs w:val="20"/>
                <w:color w:val="auto"/>
              </w:rPr>
            </w:pPr>
            <w:r>
              <w:rPr>
                <w:rFonts w:ascii="Arial" w:cs="Arial" w:eastAsia="Arial" w:hAnsi="Arial"/>
                <w:sz w:val="18"/>
                <w:szCs w:val="18"/>
                <w:b w:val="1"/>
                <w:bCs w:val="1"/>
                <w:color w:val="auto"/>
              </w:rPr>
              <w:t>Three Months Ended</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80" w:type="dxa"/>
            <w:vAlign w:val="bottom"/>
            <w:tcBorders>
              <w:top w:val="single" w:sz="8" w:color="auto"/>
              <w:bottom w:val="single" w:sz="8" w:color="auto"/>
            </w:tcBorders>
            <w:gridSpan w:val="5"/>
          </w:tcPr>
          <w:p>
            <w:pPr>
              <w:jc w:val="right"/>
              <w:ind w:right="550"/>
              <w:spacing w:after="0" w:line="204" w:lineRule="exact"/>
              <w:rPr>
                <w:sz w:val="20"/>
                <w:szCs w:val="20"/>
                <w:color w:val="auto"/>
              </w:rPr>
            </w:pPr>
            <w:r>
              <w:rPr>
                <w:rFonts w:ascii="Arial" w:cs="Arial" w:eastAsia="Arial" w:hAnsi="Arial"/>
                <w:sz w:val="18"/>
                <w:szCs w:val="18"/>
                <w:b w:val="1"/>
                <w:bCs w:val="1"/>
                <w:color w:val="auto"/>
              </w:rPr>
              <w:t>Nine Months Ended</w:t>
            </w:r>
          </w:p>
        </w:tc>
      </w:tr>
      <w:tr>
        <w:trPr>
          <w:trHeight w:val="263"/>
        </w:trPr>
        <w:tc>
          <w:tcPr>
            <w:tcW w:w="56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May 31, 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May 31, 2016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May 31, 2017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2016</w:t>
            </w:r>
          </w:p>
        </w:tc>
      </w:tr>
      <w:tr>
        <w:trPr>
          <w:trHeight w:val="197"/>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1,495,724</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1,023,987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2,387,391</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880,332</w:t>
            </w: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OTHER COMPREHENSIVE INCOME (LOSS) – FOREIGN</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CURRENCY TRANSLATION ADJUSTMENT</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780,726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432,360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(239,095)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(52,370)</w:t>
            </w:r>
          </w:p>
        </w:tc>
      </w:tr>
      <w:tr>
        <w:trPr>
          <w:trHeight w:val="230"/>
        </w:trPr>
        <w:tc>
          <w:tcPr>
            <w:tcW w:w="56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2,276,450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1,456,347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2,148,296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827,962</w:t>
            </w:r>
          </w:p>
        </w:tc>
      </w:tr>
      <w:tr>
        <w:trPr>
          <w:trHeight w:val="202"/>
        </w:trPr>
        <w:tc>
          <w:tcPr>
            <w:tcW w:w="5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COMPREHENSIVE INCOME ATTRIBUTABLE TO NON-</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44"/>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CONTROLLING INTERESTS</w:t>
            </w: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160,223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124,840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353,423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310,992</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COMPREHENSIVE INCOME ATTRIBUTABLE TO NTIC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2,116,227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1,331,507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1,794,873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516,970</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FOR THE NINE MONTHS ENDED MAY 31, 2017 AND 2016</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7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3000" w:type="dxa"/>
            <w:vAlign w:val="bottom"/>
            <w:tcBorders>
              <w:top w:val="single" w:sz="8" w:color="auto"/>
              <w:bottom w:val="single" w:sz="8" w:color="auto"/>
            </w:tcBorders>
            <w:gridSpan w:val="4"/>
          </w:tcPr>
          <w:p>
            <w:pPr>
              <w:jc w:val="right"/>
              <w:ind w:right="790"/>
              <w:spacing w:after="0" w:line="204"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390"/>
              <w:spacing w:after="0" w:line="191" w:lineRule="exact"/>
              <w:rPr>
                <w:sz w:val="20"/>
                <w:szCs w:val="20"/>
                <w:color w:val="auto"/>
              </w:rPr>
            </w:pPr>
            <w:r>
              <w:rPr>
                <w:rFonts w:ascii="Arial" w:cs="Arial" w:eastAsia="Arial" w:hAnsi="Arial"/>
                <w:sz w:val="18"/>
                <w:szCs w:val="18"/>
                <w:b w:val="1"/>
                <w:bCs w:val="1"/>
                <w:color w:val="auto"/>
              </w:rPr>
              <w:t>May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2,387,391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293,748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325,576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580,962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89,274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from joint ventures</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(4,343,159)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5,179,786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5,449,543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Receivables:</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60"/>
              <w:spacing w:after="0"/>
              <w:rPr>
                <w:sz w:val="20"/>
                <w:szCs w:val="20"/>
                <w:color w:val="auto"/>
              </w:rPr>
            </w:pPr>
            <w:r>
              <w:rPr>
                <w:rFonts w:ascii="Arial" w:cs="Arial" w:eastAsia="Arial" w:hAnsi="Arial"/>
                <w:sz w:val="18"/>
                <w:szCs w:val="18"/>
                <w:color w:val="auto"/>
              </w:rPr>
              <w:t>Trade, excluding joint ventures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(1,442,714)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(570,647)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 joint ventures</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60"/>
              <w:spacing w:after="0"/>
              <w:rPr>
                <w:sz w:val="20"/>
                <w:szCs w:val="20"/>
                <w:color w:val="auto"/>
              </w:rPr>
            </w:pPr>
            <w:r>
              <w:rPr>
                <w:rFonts w:ascii="Arial" w:cs="Arial" w:eastAsia="Arial" w:hAnsi="Arial"/>
                <w:sz w:val="18"/>
                <w:szCs w:val="18"/>
                <w:color w:val="auto"/>
              </w:rPr>
              <w:t>Fees for services provided to joint ventures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181,610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(155,011)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816,845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 payable</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2,826,166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3,053,297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Purchase of available for sale securities</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(1,512,816)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Additions to patents</w:t>
            </w:r>
          </w:p>
        </w:tc>
        <w:tc>
          <w:tcPr>
            <w:tcW w:w="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(2,398,443)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46,475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68,633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(308,689)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104,890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2,002,557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3,395,274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2,623,981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3,500,164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4,626,538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4020"/>
              <w:spacing w:after="0"/>
              <w:rPr>
                <w:sz w:val="20"/>
                <w:szCs w:val="20"/>
                <w:color w:val="auto"/>
              </w:rPr>
            </w:pPr>
            <w:r>
              <w:rPr>
                <w:rFonts w:ascii="Arial" w:cs="Arial" w:eastAsia="Arial" w:hAnsi="Arial"/>
                <w:sz w:val="18"/>
                <w:szCs w:val="18"/>
                <w:color w:val="auto"/>
                <w:w w:val="98"/>
              </w:rPr>
              <w:t>See notes to consolidated financial statements.</w:t>
            </w: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ind w:right="412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2017 and August 31, 2016 and the results of their operations for the three and nine months ended May 31, 2017 and 2016 and their cash flows for the nine months ended May 31, 2017 and 2016, in conformity with accounting principles generally accepted in the United States of America (U.S. GAAP).</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2016. These consolidated financial statements also should be read in conjunction with the “Management’s Discussion and Analysis of Financial Condition and Results of Operations” section appearing in this report.</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results for the three and nine months ended May 31, 2017 are not necessarily indicative of the results that may be expected for the full fiscal year ending August 31, 2017.</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Certain amounts reported in the consolidated financial statements for the previous reporting period have been reclassified to conform to the current period presentation. Expenses previously recorded as “Expenses incurred in support of joint ventures” have been reclassified as “General and administrative expenses” based on the reduction in direct costs associated with supporting the joint ventures.</w:t>
      </w:r>
    </w:p>
    <w:p>
      <w:pPr>
        <w:spacing w:after="0" w:line="17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issued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(Accounting Standards Update (ASU) No. 2014-09), which provides a framework for the recognition of revenue, with the objective that recognized revenues properly reflect amounts an entity is entitled to receive in exchange for goods and services. This guidance, which includes additional disclosure requirements regarding revenue, cash flows and obligations related to contracts with customers, was originally to be effective for the Company beginning in fiscal year 2018. In July 2015, the FASB confirmed a one-year deferral of the effective date of the new revenue standard which also allows early adoption as of the original effective date. The updated guidance will be effective for the Company’s first quarter of 2019. The Company is currently evaluating the impact of adopting ASU 2014-09 on its consolidated financial statements, but currently believes that the timeline established for implementation is attainable.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issued ASU No. 2015-11, “</w:t>
      </w:r>
      <w:r>
        <w:rPr>
          <w:rFonts w:ascii="Arial" w:cs="Arial" w:eastAsia="Arial" w:hAnsi="Arial"/>
          <w:sz w:val="18"/>
          <w:szCs w:val="18"/>
          <w:i w:val="1"/>
          <w:iCs w:val="1"/>
          <w:color w:val="auto"/>
        </w:rPr>
        <w:t>Inventory</w:t>
      </w:r>
      <w:r>
        <w:rPr>
          <w:rFonts w:ascii="Arial" w:cs="Arial" w:eastAsia="Arial" w:hAnsi="Arial"/>
          <w:sz w:val="18"/>
          <w:szCs w:val="18"/>
          <w:color w:val="auto"/>
        </w:rPr>
        <w:t>,” which modifies the subsequent measurement of inventories recorded under a first-in-first-out or average cost method. Under the new standard, such inventories are required to be measured at the lower of cost and net realizable value. The new standard is effective for the Company’s fiscal year 2018, with prospective application. The Company does not expect the adoption of the provisions of ASU 2015-11 to have a material impact on its consolidated financial statements.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November 2015, FASB issued ASU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which requires that deferred tax assets and liabilities be classified as noncurrent in a classified balance sheet. The amendment takes effect for public entities for fiscal years beginning after December 15, 2017, with early adoption available. The Company adopted ASU 2015-17 as of August 31, 2016; and there was no material impact on its consolidated financial statements.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8" w:name="page9"/>
    <w:bookmarkEnd w:id="8"/>
    <w:p>
      <w:pPr>
        <w:ind w:right="220"/>
        <w:spacing w:after="0" w:line="255" w:lineRule="auto"/>
        <w:rPr>
          <w:sz w:val="20"/>
          <w:szCs w:val="20"/>
          <w:color w:val="auto"/>
        </w:rPr>
      </w:pPr>
      <w:r>
        <w:rPr>
          <w:rFonts w:ascii="Arial" w:cs="Arial" w:eastAsia="Arial" w:hAnsi="Arial"/>
          <w:sz w:val="18"/>
          <w:szCs w:val="18"/>
          <w:color w:val="auto"/>
        </w:rPr>
        <w:t>During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ASU No. 2016-02 was issued to increase transparency and comparability among organizations by recognizing all lease transactions (with terms in excess of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Company is currently assessing the effect that ASU No. 2016-02 will have on its consolidated financial statements.</w:t>
      </w:r>
    </w:p>
    <w:p>
      <w:pPr>
        <w:spacing w:after="0" w:line="19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March 2016, the FASB issued ASU No. 2016-07, “</w:t>
      </w:r>
      <w:r>
        <w:rPr>
          <w:rFonts w:ascii="Arial" w:cs="Arial" w:eastAsia="Arial" w:hAnsi="Arial"/>
          <w:sz w:val="16"/>
          <w:szCs w:val="16"/>
          <w:i w:val="1"/>
          <w:iCs w:val="1"/>
          <w:color w:val="auto"/>
        </w:rPr>
        <w:t>Investments – Equity Method and Joint Ventures (Topic 323): Simplifying the Transition to the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of Accounting</w:t>
      </w:r>
      <w:r>
        <w:rPr>
          <w:rFonts w:ascii="Arial" w:cs="Arial" w:eastAsia="Arial" w:hAnsi="Arial"/>
          <w:sz w:val="16"/>
          <w:szCs w:val="16"/>
          <w:color w:val="auto"/>
        </w:rPr>
        <w:t>.” Among other things, the amendments in ASU 2016-07 eliminate the requirement that when an investment qualifies for use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amendments require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amendments are effective for all entities for fiscal years, and interim periods within those fiscal years, beginning after December 15, 2016. The amendments should be applied prospectively upon their effective date to increases in the level of ownership interest or degree of influence that result in the adoption of the equity method. Early adoption is permitted. The Company is currently assessing the impact that ASU 2016-07 will have on its consolidated financial statements.</w:t>
      </w:r>
    </w:p>
    <w:p>
      <w:pPr>
        <w:spacing w:after="0" w:line="16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Stock Compensation</w:t>
      </w:r>
      <w:r>
        <w:rPr>
          <w:rFonts w:ascii="Arial" w:cs="Arial" w:eastAsia="Arial" w:hAnsi="Arial"/>
          <w:sz w:val="18"/>
          <w:szCs w:val="18"/>
          <w:color w:val="auto"/>
        </w:rPr>
        <w:t>, which is intended to simplify several aspects of the accounting for share-based payment award transactions. The guidance will be effective for the fiscal year beginning after December 15, 2016, including interim periods within that year. The Company is currently assessing the impact that ASU 2016-09 will have on its consolidated financial statements.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ASU 2016-15 eliminates the diversity in practice related to the classification of certain cash receipts and payments for debt prepayments or extinguishment costs, the maturing of a zero coupon bond, the settlement of contingent liabilities arising from a business combination, proceeds from insurance settlements, distributions from certain equity method investees and beneficial interests obtained in a financial asset securitization. ASU 2016-15 designates the appropriate cash flow classification, including requirements to allocate certain components of these cash receipts and payments among operating, investing and financing activities. The guidance is effective for fiscal years beginning December 15, 2017. Early adoption is permitted. The Company is currently evaluating the effects of adopting ASU 2016-15 on its consolidated financial statements, but the adoption is not expected to have a significant impact as of the filing of this report.</w:t>
      </w:r>
    </w:p>
    <w:p>
      <w:pPr>
        <w:spacing w:after="0" w:line="19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5160" w:type="dxa"/>
            <w:vAlign w:val="bottom"/>
          </w:tcPr>
          <w:p>
            <w:pPr>
              <w:ind w:left="160"/>
              <w:spacing w:after="0"/>
              <w:rPr>
                <w:sz w:val="20"/>
                <w:szCs w:val="20"/>
                <w:color w:val="auto"/>
              </w:rPr>
            </w:pPr>
            <w:r>
              <w:rPr>
                <w:rFonts w:ascii="Arial" w:cs="Arial" w:eastAsia="Arial" w:hAnsi="Arial"/>
                <w:sz w:val="18"/>
                <w:szCs w:val="18"/>
                <w:b w:val="1"/>
                <w:bCs w:val="1"/>
                <w:color w:val="auto"/>
              </w:rPr>
              <w:t>INVENTORIES</w:t>
            </w: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6"/>
        </w:trPr>
        <w:tc>
          <w:tcPr>
            <w:tcW w:w="300" w:type="dxa"/>
            <w:vAlign w:val="bottom"/>
            <w:tcBorders>
              <w:bottom w:val="single" w:sz="8" w:color="CCEEFF"/>
            </w:tcBorders>
          </w:tcPr>
          <w:p>
            <w:pPr>
              <w:spacing w:after="0"/>
              <w:rPr>
                <w:sz w:val="24"/>
                <w:szCs w:val="24"/>
                <w:color w:val="auto"/>
              </w:rPr>
            </w:pPr>
          </w:p>
        </w:tc>
        <w:tc>
          <w:tcPr>
            <w:tcW w:w="5160" w:type="dxa"/>
            <w:vAlign w:val="bottom"/>
            <w:tcBorders>
              <w:bottom w:val="single" w:sz="8" w:color="CCEEFF"/>
            </w:tcBorders>
          </w:tcPr>
          <w:p>
            <w:pPr>
              <w:spacing w:after="0"/>
              <w:rPr>
                <w:sz w:val="24"/>
                <w:szCs w:val="24"/>
                <w:color w:val="auto"/>
              </w:rPr>
            </w:pPr>
          </w:p>
        </w:tc>
        <w:tc>
          <w:tcPr>
            <w:tcW w:w="26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May 31, 2017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2016</w:t>
            </w: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1,454,328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1,452,396</w:t>
            </w:r>
          </w:p>
        </w:tc>
      </w:tr>
      <w:tr>
        <w:trPr>
          <w:trHeight w:val="230"/>
        </w:trPr>
        <w:tc>
          <w:tcPr>
            <w:tcW w:w="5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Finished goods</w:t>
            </w:r>
          </w:p>
        </w:tc>
        <w:tc>
          <w:tcPr>
            <w:tcW w:w="26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6,425,328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6,258,891</w:t>
            </w:r>
          </w:p>
        </w:tc>
      </w:tr>
      <w:tr>
        <w:trPr>
          <w:trHeight w:val="223"/>
        </w:trPr>
        <w:tc>
          <w:tcPr>
            <w:tcW w:w="30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7,879,656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7,711,287</w:t>
            </w:r>
          </w:p>
        </w:tc>
      </w:tr>
      <w:tr>
        <w:trPr>
          <w:trHeight w:val="20"/>
        </w:trPr>
        <w:tc>
          <w:tcPr>
            <w:tcW w:w="3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4.</w:t>
            </w:r>
          </w:p>
        </w:tc>
        <w:tc>
          <w:tcPr>
            <w:tcW w:w="7900" w:type="dxa"/>
            <w:vAlign w:val="bottom"/>
            <w:gridSpan w:val="2"/>
          </w:tcPr>
          <w:p>
            <w:pPr>
              <w:jc w:val="right"/>
              <w:ind w:right="4750"/>
              <w:spacing w:after="0"/>
              <w:rPr>
                <w:sz w:val="20"/>
                <w:szCs w:val="20"/>
                <w:color w:val="auto"/>
              </w:rPr>
            </w:pPr>
            <w:r>
              <w:rPr>
                <w:rFonts w:ascii="Arial" w:cs="Arial" w:eastAsia="Arial" w:hAnsi="Arial"/>
                <w:sz w:val="18"/>
                <w:szCs w:val="18"/>
                <w:b w:val="1"/>
                <w:bCs w:val="1"/>
                <w:color w:val="auto"/>
              </w:rPr>
              <w:t>PROPERTY AND EQUIPMENT, NET</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832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6"/>
        </w:trPr>
        <w:tc>
          <w:tcPr>
            <w:tcW w:w="4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31, 2017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August 31, 2016</w:t>
            </w:r>
          </w:p>
        </w:tc>
      </w:tr>
      <w:tr>
        <w:trPr>
          <w:trHeight w:val="210"/>
        </w:trPr>
        <w:tc>
          <w:tcPr>
            <w:tcW w:w="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Land</w:t>
            </w:r>
          </w:p>
        </w:tc>
        <w:tc>
          <w:tcPr>
            <w:tcW w:w="7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310,365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832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6,623,104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6,528,252</w:t>
            </w:r>
          </w:p>
        </w:tc>
      </w:tr>
      <w:tr>
        <w:trPr>
          <w:trHeight w:val="230"/>
        </w:trPr>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4,170,638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3,590,063</w:t>
            </w:r>
          </w:p>
        </w:tc>
      </w:tr>
      <w:tr>
        <w:trPr>
          <w:trHeight w:val="210"/>
        </w:trPr>
        <w:tc>
          <w:tcPr>
            <w:tcW w:w="4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11,104,107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10,428,680</w:t>
            </w:r>
          </w:p>
        </w:tc>
      </w:tr>
      <w:tr>
        <w:trPr>
          <w:trHeight w:val="230"/>
        </w:trPr>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(3,652,208)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(3,152,808)</w:t>
            </w:r>
          </w:p>
        </w:tc>
      </w:tr>
      <w:tr>
        <w:trPr>
          <w:trHeight w:val="223"/>
        </w:trPr>
        <w:tc>
          <w:tcPr>
            <w:tcW w:w="4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7,451,899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7,275,872</w:t>
            </w:r>
          </w:p>
        </w:tc>
      </w:tr>
      <w:tr>
        <w:trPr>
          <w:trHeight w:val="20"/>
        </w:trPr>
        <w:tc>
          <w:tcPr>
            <w:tcW w:w="4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5.   PATENTS AND TRADEMARKS, NET</w:t>
            </w: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6"/>
        </w:trPr>
        <w:tc>
          <w:tcPr>
            <w:tcW w:w="60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May 31, 2017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2016</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2,700,215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2,575,435</w:t>
            </w:r>
          </w:p>
        </w:tc>
      </w:tr>
      <w:tr>
        <w:trPr>
          <w:trHeight w:val="230"/>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(1,386,112)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(1,296,838)</w:t>
            </w:r>
          </w:p>
        </w:tc>
      </w:tr>
      <w:tr>
        <w:trPr>
          <w:trHeight w:val="223"/>
        </w:trPr>
        <w:tc>
          <w:tcPr>
            <w:tcW w:w="604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1,314,103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1,278,597</w:t>
            </w:r>
          </w:p>
        </w:tc>
      </w:tr>
      <w:tr>
        <w:trPr>
          <w:trHeight w:val="20"/>
        </w:trPr>
        <w:tc>
          <w:tcPr>
            <w:tcW w:w="6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$120,000 in each of the next five fiscal years.</w:t>
      </w:r>
    </w:p>
    <w:p>
      <w:pPr>
        <w:spacing w:after="0" w:line="1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accounting principles generally accepted in the United States of America in all material respects. All material profits recorded on sales from the Company to its joint ventures and from joint ventures to other joint ventures have been eliminated for financial reporting purposes.</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Financial information from the audited and unaudited financial statements of the Company’s joint ventures in Germany, Excor Korrosionsschutz – Technologien und Produkte GmbH (EXCOR), Harita-NTI LTD (India), Zerust OY (Finland) and all the Company’s other joint ventures, are summarized as follows: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8"/>
                <w:szCs w:val="18"/>
                <w:b w:val="1"/>
                <w:bCs w:val="1"/>
                <w:color w:val="auto"/>
                <w:w w:val="91"/>
              </w:rPr>
              <w:t>As of May 31, 2017</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EXCOR</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India</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Finland</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  48,064,624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19,820,904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  4,322,253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1,929,781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$ 21,991,686</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Total assets</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52,062,465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21,882,519</w:t>
            </w: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4,658,050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2,216,723</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23,305,173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13,773,839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3,028,386</w:t>
            </w: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1,412,054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547,007</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8,786,392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247,572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14,201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233,371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38,041,054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18,854,133</w:t>
            </w: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3,231,795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1,669,716</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14,285,410</w:t>
            </w: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w w:val="97"/>
              </w:rPr>
              <w:t>Northern Technologies International Corporation’s share of joint</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ventures’ equity</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18,903,473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9,427,068</w:t>
            </w: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1,615,898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834,856</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7,025,651</w:t>
            </w: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Northern Technologies International Corporation’s share of joint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 undistributed earnings</w:t>
            </w: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16,829,258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9,396,163</w:t>
            </w: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751,076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814,856</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5,867,163</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right"/>
              <w:ind w:right="450"/>
              <w:spacing w:after="0"/>
              <w:rPr>
                <w:sz w:val="20"/>
                <w:szCs w:val="20"/>
                <w:color w:val="auto"/>
              </w:rPr>
            </w:pPr>
            <w:r>
              <w:rPr>
                <w:rFonts w:ascii="Arial" w:cs="Arial" w:eastAsia="Arial" w:hAnsi="Arial"/>
                <w:sz w:val="18"/>
                <w:szCs w:val="18"/>
                <w:b w:val="1"/>
                <w:bCs w:val="1"/>
                <w:color w:val="auto"/>
              </w:rPr>
              <w:t>Nine Months Ended May 31, 2017</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India</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Finland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All Other</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73,098,215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28,169,978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5,299,600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2,619,843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37,008,794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32,376,247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15,032,724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2,463,138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1,569,152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13,311,233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8,562,834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6,184,181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611,143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413,044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1,354,466</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equity 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income of joint ventures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4,343,159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3,089,935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384,712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206,874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661,638</w:t>
            </w: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Northern Technologies International Corporation's dividends received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joint ventures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5,179,786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4,240,400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446,939</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200,768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291,679</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8"/>
                <w:szCs w:val="18"/>
                <w:b w:val="1"/>
                <w:bCs w:val="1"/>
                <w:color w:val="auto"/>
              </w:rPr>
              <w:t>As of August 31, 2016</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India</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Finland</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  48,922,924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  22,928,810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  4,027,016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1,928,861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$ 20,038,237</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Total assets</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52,407,026</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24,733,340</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4,352,573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2,211,392</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21,109,721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12,433,700</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3,485,213</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1,097,231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546,506</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7,304,730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100,783</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6,382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94,401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39,872,543</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21,248,109</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3,248,960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1,664,886</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13,710,588</w:t>
            </w:r>
          </w:p>
        </w:tc>
      </w:tr>
      <w:tr>
        <w:trPr>
          <w:trHeight w:val="202"/>
        </w:trPr>
        <w:tc>
          <w:tcPr>
            <w:tcW w:w="4960" w:type="dxa"/>
            <w:vAlign w:val="bottom"/>
          </w:tcPr>
          <w:p>
            <w:pPr>
              <w:spacing w:after="0" w:line="201" w:lineRule="exact"/>
              <w:rPr>
                <w:sz w:val="20"/>
                <w:szCs w:val="20"/>
                <w:color w:val="auto"/>
              </w:rPr>
            </w:pPr>
            <w:r>
              <w:rPr>
                <w:rFonts w:ascii="Arial" w:cs="Arial" w:eastAsia="Arial" w:hAnsi="Arial"/>
                <w:sz w:val="18"/>
                <w:szCs w:val="18"/>
                <w:color w:val="auto"/>
                <w:w w:val="97"/>
              </w:rPr>
              <w:t>Northern Technologies International Corporation’s share of joint</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ventures’ equity</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19,840,774</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10,624,056</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1,624,480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832,442</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6,759,796</w:t>
            </w: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Northern Technologies International Corporation’s share of joint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 undistributed earnings</w:t>
            </w: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17,779,912</w:t>
            </w: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10,593,151</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759,658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812,442</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5,614,661</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right"/>
              <w:ind w:right="450"/>
              <w:spacing w:after="0"/>
              <w:rPr>
                <w:sz w:val="20"/>
                <w:szCs w:val="20"/>
                <w:color w:val="auto"/>
              </w:rPr>
            </w:pPr>
            <w:r>
              <w:rPr>
                <w:rFonts w:ascii="Arial" w:cs="Arial" w:eastAsia="Arial" w:hAnsi="Arial"/>
                <w:sz w:val="18"/>
                <w:szCs w:val="18"/>
                <w:b w:val="1"/>
                <w:bCs w:val="1"/>
                <w:color w:val="auto"/>
              </w:rPr>
              <w:t>Nine Months Ended May 31, 2016</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India</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Finland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All Other</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66,223,514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25,314,260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5,027,226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2,435,861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33,446,167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29,745,795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13,512,404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2,427,574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1,438,756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12,367,061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7,188,274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5,409,407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697,977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342,544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738,346</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equity 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income of joint ventures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3,600,884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2,714,905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327,846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171,662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386,471</w:t>
            </w: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Northern Technologies International Corporation's dividends received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joint ventures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5,449,543</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4,364,700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326,023</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206,516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552,304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nine months ended May 31, 2017 and 2016.</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1" w:name="page12"/>
    <w:bookmarkEnd w:id="11"/>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CHINA OPERATIONS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Effective December 31, 2014, the Company terminated its joint venture agreements with its previous joint venture in China, Tianjin Zerust, began the process of liquidating the joint venture entity, and commenced operations in China through a wholly-owned subsidiary, NTIC (Shanghai) Co. Ltd. on January 1, 2015. Effective December 31, 2014, the Company’s investment in Tianjin Zerust was reported at carrying value based on the Company’s decreased level of influence over the entity, and the Company has reclassified previously unrecognized gains on foreign currency translation from accumulated other comprehensive income. Since it began the process of liquidating the joint venture entity on December 31, 2014, the Company has not received any proceeds from the assets of Tianjin Zerust. In addition, the Company has not received financial information or cooperation from its joint venture partner in determining the investment value. During the fourth quarter of fiscal 2016, the Company obtained additional information regarding the financial position of the investment through the legal proceedings that have been ongoing (See Note 13). These circumstances resulted in the Company concluding an indication of impairment existed and that the fair value of the investment was $0 as of August 31, 2016 based on accounting principles generally accepted in the United States of America. See Note 13 regarding ongoing litigation involving Tianjin Zerust.</w:t>
      </w:r>
    </w:p>
    <w:p>
      <w:pPr>
        <w:spacing w:after="0" w:line="17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a revolving line of credit with PNC Bank, National Association (PNC Bank) of $3,000,000. No amounts were outstanding under the line of credit as of both May 31, 2017 and August 31, 2016.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The revolving line of credit is secured by cash, receivables and inventory.</w:t>
      </w:r>
    </w:p>
    <w:p>
      <w:pPr>
        <w:spacing w:after="0" w:line="18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revolving credit facility allows the Company to request that PNC Bank issue letters of credit up to $1,200,000. The Company did not have any letters of credit reserved against the available letters of credit balance as of May 31, 2017 and August 31, 2016 with PNC Bank. The availability of advances under the line of credit will be reduced by the face amount of any letter of credit issued and outstanding (whether or not drawn) under the revolving credit facility.</w:t>
      </w:r>
    </w:p>
    <w:p>
      <w:pPr>
        <w:spacing w:after="0" w:line="14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On January 11, 2017, the Company and PNC Bank extended the maturity date of the line of credit to January 7, 2018. All other terms of the line of credit and the loan agreement and other documents evidencing the line of credit remain the same.</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May 31, 2017 and August 31, 2016, the Company had $75,201 and $71,599, respectively, of letters of credit with JP Morgan Chase Bank that are performance based and set to expire between 2020 and 2022.</w:t>
      </w:r>
    </w:p>
    <w:p>
      <w:pPr>
        <w:spacing w:after="0" w:line="16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May 31, 2017, the Company repurchased and retired 14,525 shares of its common stock at a price of $13.51 per share.</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May 31, 2017, stock options to purchase an aggregate of 4,000 shares of common stock at an exercise price of $10.25 per share were exercised.</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jc w:val="both"/>
        <w:ind w:right="160"/>
        <w:spacing w:after="0" w:line="259" w:lineRule="auto"/>
        <w:rPr>
          <w:sz w:val="20"/>
          <w:szCs w:val="20"/>
          <w:color w:val="auto"/>
        </w:rPr>
      </w:pPr>
      <w:r>
        <w:rPr>
          <w:rFonts w:ascii="Arial" w:cs="Arial" w:eastAsia="Arial" w:hAnsi="Arial"/>
          <w:sz w:val="18"/>
          <w:szCs w:val="18"/>
          <w:color w:val="auto"/>
        </w:rPr>
        <w:t>During the nine months ended May 31, 2017, the Company granted stock options under the Northern Technologies International Corporation Amended and Restated 2007 Stock Incentive Plan (the 2007 Plan) to purchase an aggregate of 56,677 shares of its common stock to various employees and directors. The weighted average per share exercise price of the stock options was $13.40, which was equal to the fair market value of the Company’s common stock on the date of grant.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May 31, 2016, the Company repurchased and retired 7,511 shares of its common stock at a price of $12.98 per share.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May 31, 2016, no stock options to purchase shares of common stock were exercised.</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nine months ended May 31, 2016, the Company granted stock options under the 2007 Plan to purchase an aggregate of 53,447 shares of its common stock to various employees and directors. The weighted average per share exercise price of the stock options was $14.85, which is equal to the fair market value of the Company’s common stock on the date of grant.</w:t>
      </w:r>
    </w:p>
    <w:p>
      <w:pPr>
        <w:spacing w:after="0" w:line="177"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net income per share computation for the three and nine months ended May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Numerators: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May 31, 2017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May 31, 2016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2016</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1,352,416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917,373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2,037,021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575,233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Denominators: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 shares outstanding</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4,526,771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4,538,970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4,528,523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4,538,005</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64,756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24,831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42,872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49,059</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 weighted shares outstanding</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4,591,527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4,563,801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4,571,395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4,587,064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Basic income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r>
    </w:tbl>
    <w:p>
      <w:pPr>
        <w:spacing w:after="0" w:line="20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 There were 271,791 options outstanding as of May 31, 2017, that were dilutive.</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Excluded from the computation of diluted income per share for the three and nine months ended May 31, 2017 were options outstanding to purchase 48,067 shares of common stock. Excluded from the computation of diluted earnings per share for the three and nine months ended May 31, 2016 were options outstanding to purchase 170,887 shares of common stock.</w:t>
      </w:r>
    </w:p>
    <w:p>
      <w:pPr>
        <w:spacing w:after="0" w:line="177"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 these plans.</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ind w:right="8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May 31, 2017, only stock options and stock bonuses had been granted under the 2007 Plan.</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Company granted options to purchase an aggregate of 56,677 and 53,447 shares of its common stock during the nine months ended May 31, 2017 and 2016, respectively. The fair value of option grants is determined at date of grant, using the Black-Scholes option pricing model with the assumptions listed below. The Company recognized compensation expense of $293,748 and $325,576 during the nine months ended May 31, 2017 and 2016, respectively, related to the options that vested during such time period. As of May 31, 2017, the total compensation cost for non-vested options not yet recognized in the Company’s consolidated statements of operations was $337,316, net of estimated forfeitures. Stock-based compensation expense of $97,916 is expected through the remainder of fiscal year 2017, and $159,600 and $79,800 is expected to be recognized during fiscal 2018 and fiscal 2019, respectively, based on outstanding options as of May 31, 2017. Future option grants will impact the compensation expense recognized. Stock-based compensation expense is included in general and administrative expense on the consolidated statements of operations.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804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Arial" w:cs="Arial" w:eastAsia="Arial" w:hAnsi="Arial"/>
                <w:sz w:val="18"/>
                <w:szCs w:val="18"/>
                <w:b w:val="1"/>
                <w:bCs w:val="1"/>
                <w:color w:val="auto"/>
              </w:rPr>
              <w:t>May 31, 2017</w:t>
            </w:r>
          </w:p>
        </w:tc>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rPr>
              <w:t>May 31, 2016</w:t>
            </w:r>
          </w:p>
        </w:tc>
      </w:tr>
      <w:tr>
        <w:trPr>
          <w:trHeight w:val="210"/>
        </w:trPr>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6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1.63%</w:t>
            </w:r>
          </w:p>
        </w:tc>
      </w:tr>
    </w:tbl>
    <w:p>
      <w:pPr>
        <w:spacing w:after="0" w:line="18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weighted average per share fair value of options granted during nine months ended May 31, 2017 and 2016 was $7.69 and $8.48, respectively. The weighted average remaining contractual life of the options outstanding as of May 31, 2017 and 2016 was 6.73 years and 6.71 years, respectively.</w:t>
      </w:r>
    </w:p>
    <w:p>
      <w:pPr>
        <w:spacing w:after="0" w:line="120"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 brand.</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sets forth the Company’s net sales for the three and nine months ended May 31, 2017 and 2016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5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May 31, 2017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May 31, 2016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2016</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8,368,487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7,185,955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23,681,192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19,548,974</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Natur-Tec® net sales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1,854,532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1,500,620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4,986,753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3,866,972</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10,223,019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8,686,575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28,667,945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23,415,946</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and nine months ended May 31, 2017 and 2016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Segment</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May 31,</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0" w:type="dxa"/>
            <w:vAlign w:val="bottom"/>
          </w:tcPr>
          <w:p>
            <w:pPr>
              <w:spacing w:after="0"/>
              <w:rPr>
                <w:sz w:val="1"/>
                <w:szCs w:val="1"/>
                <w:color w:val="auto"/>
              </w:rPr>
            </w:pPr>
          </w:p>
        </w:tc>
      </w:tr>
      <w:tr>
        <w:trPr>
          <w:trHeight w:val="234"/>
        </w:trPr>
        <w:tc>
          <w:tcPr>
            <w:tcW w:w="2760" w:type="dxa"/>
            <w:vAlign w:val="bottom"/>
            <w:vMerge w:val="restart"/>
          </w:tcPr>
          <w:p>
            <w:pPr>
              <w:spacing w:after="0"/>
              <w:rPr>
                <w:sz w:val="20"/>
                <w:szCs w:val="20"/>
                <w:color w:val="auto"/>
              </w:rPr>
            </w:pPr>
            <w:r>
              <w:rPr>
                <w:rFonts w:ascii="Arial" w:cs="Arial" w:eastAsia="Arial" w:hAnsi="Arial"/>
                <w:sz w:val="18"/>
                <w:szCs w:val="18"/>
                <w:color w:val="auto"/>
              </w:rPr>
              <w:t>Direct cost of goods sold</w:t>
            </w:r>
          </w:p>
        </w:tc>
        <w:tc>
          <w:tcPr>
            <w:tcW w:w="12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10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Sales*</w:t>
            </w: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11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0" w:type="dxa"/>
            <w:vAlign w:val="bottom"/>
          </w:tcPr>
          <w:p>
            <w:pPr>
              <w:spacing w:after="0"/>
              <w:rPr>
                <w:sz w:val="1"/>
                <w:szCs w:val="1"/>
                <w:color w:val="auto"/>
              </w:rPr>
            </w:pPr>
          </w:p>
        </w:tc>
      </w:tr>
      <w:tr>
        <w:trPr>
          <w:trHeight w:val="210"/>
        </w:trPr>
        <w:tc>
          <w:tcPr>
            <w:tcW w:w="2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ZERUST®</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$ 4,834,355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6"/>
              </w:rPr>
              <w:t>$ 4,028,114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$13,788,416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$10,968,742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760" w:type="dxa"/>
            <w:vAlign w:val="bottom"/>
          </w:tcPr>
          <w:p>
            <w:pPr>
              <w:ind w:left="180"/>
              <w:spacing w:after="0"/>
              <w:rPr>
                <w:sz w:val="20"/>
                <w:szCs w:val="20"/>
                <w:color w:val="auto"/>
              </w:rPr>
            </w:pPr>
            <w:r>
              <w:rPr>
                <w:rFonts w:ascii="Arial" w:cs="Arial" w:eastAsia="Arial" w:hAnsi="Arial"/>
                <w:sz w:val="18"/>
                <w:szCs w:val="18"/>
                <w:color w:val="auto"/>
              </w:rPr>
              <w:t>Natur-Tec®</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1,327,323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1,119,730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3,608,722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72.4%</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2,938,927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2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612,323</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629,405</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1,859,815</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2,013,227</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8"/>
                <w:szCs w:val="18"/>
                <w:color w:val="auto"/>
              </w:rPr>
              <w:t>Total net cost of goods sold</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$ 6,774,001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$ 5,777,249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19,256,953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15,920,896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8"/>
                <w:szCs w:val="18"/>
                <w:color w:val="auto"/>
                <w:w w:val="97"/>
              </w:rPr>
              <w:t>____________________________</w:t>
            </w: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080" w:hanging="1072"/>
        <w:spacing w:after="0" w:line="261"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29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sales by geographic location for the three and nine months ended May 31, 2017 and 2016 were as follows:</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Inside the U.S.A. to unaffiliated customers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Outside the U.S.A. to:</w:t>
      </w:r>
    </w:p>
    <w:p>
      <w:pPr>
        <w:spacing w:after="0" w:line="9" w:lineRule="exact"/>
        <w:rPr>
          <w:sz w:val="20"/>
          <w:szCs w:val="20"/>
          <w:color w:val="auto"/>
        </w:rPr>
      </w:pPr>
    </w:p>
    <w:p>
      <w:pPr>
        <w:ind w:left="360" w:hanging="179"/>
        <w:spacing w:after="0" w:line="250" w:lineRule="auto"/>
        <w:rPr>
          <w:sz w:val="20"/>
          <w:szCs w:val="20"/>
          <w:color w:val="auto"/>
        </w:rPr>
      </w:pPr>
      <w:r>
        <w:rPr>
          <w:rFonts w:ascii="Arial" w:cs="Arial" w:eastAsia="Arial" w:hAnsi="Arial"/>
          <w:sz w:val="18"/>
          <w:szCs w:val="18"/>
          <w:color w:val="auto"/>
        </w:rPr>
        <w:t>Joint ventures in which the Company is a shareholder directly and indirectly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Unaffiliated customers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May 31, 2017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May 31, 2016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2016</w:t>
            </w:r>
          </w:p>
        </w:tc>
      </w:tr>
      <w:tr>
        <w:trPr>
          <w:trHeight w:val="224"/>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5,967,459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5,559,885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16,363,291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14,762,170</w:t>
            </w:r>
          </w:p>
        </w:tc>
      </w:tr>
      <w:tr>
        <w:trPr>
          <w:trHeight w:val="647"/>
        </w:trPr>
        <w:tc>
          <w:tcPr>
            <w:tcW w:w="12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862,136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446,322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2,115,511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1,967,370</w:t>
            </w:r>
          </w:p>
        </w:tc>
      </w:tr>
      <w:tr>
        <w:trPr>
          <w:trHeight w:val="230"/>
        </w:trPr>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3,393,424</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2,680,368</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10,189,143</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6,686,406</w:t>
            </w:r>
          </w:p>
        </w:tc>
      </w:tr>
      <w:tr>
        <w:trPr>
          <w:trHeight w:val="25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10,223,019</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8,686,575</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28,667,945</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23,415,946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-908685</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-625475</wp:posOffset>
            </wp:positionV>
            <wp:extent cx="724662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-196850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680"/>
            <w:col w:w="5800"/>
          </w:cols>
          <w:pgMar w:left="240" w:top="692" w:right="239" w:bottom="1440" w:gutter="0" w:footer="0" w:header="0"/>
          <w:type w:val="continuous"/>
        </w:sectPr>
      </w:pPr>
    </w:p>
    <w:p>
      <w:pPr>
        <w:spacing w:after="0" w:line="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Net sales by geographic location are based on the location of the customer. Fees for services provided to joint ventures by geographic location as a percentage of total fees for services provided to joint ventures during the three and nine months ended May 31, 2017 and 2016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center"/>
              <w:ind w:left="10"/>
              <w:spacing w:after="0"/>
              <w:rPr>
                <w:sz w:val="20"/>
                <w:szCs w:val="20"/>
                <w:color w:val="auto"/>
              </w:rPr>
            </w:pPr>
            <w:r>
              <w:rPr>
                <w:rFonts w:ascii="Arial" w:cs="Arial" w:eastAsia="Arial" w:hAnsi="Arial"/>
                <w:sz w:val="18"/>
                <w:szCs w:val="18"/>
                <w:b w:val="1"/>
                <w:bCs w:val="1"/>
                <w:color w:val="auto"/>
                <w:w w:val="90"/>
              </w:rPr>
              <w:t>Three Months Ended</w:t>
            </w:r>
          </w:p>
        </w:tc>
        <w:tc>
          <w:tcPr>
            <w:tcW w:w="1560" w:type="dxa"/>
            <w:vAlign w:val="bottom"/>
            <w:tcBorders>
              <w:bottom w:val="single" w:sz="8" w:color="auto"/>
            </w:tcBorders>
          </w:tcPr>
          <w:p>
            <w:pPr>
              <w:spacing w:after="0"/>
              <w:rPr>
                <w:sz w:val="20"/>
                <w:szCs w:val="20"/>
                <w:color w:val="auto"/>
              </w:rPr>
            </w:pPr>
          </w:p>
        </w:tc>
      </w:tr>
      <w:tr>
        <w:trPr>
          <w:trHeight w:val="191"/>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for 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 of Total Fees for</w:t>
            </w:r>
          </w:p>
        </w:tc>
      </w:t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May 31,</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May 31,</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Services Provided</w:t>
            </w:r>
          </w:p>
        </w:tc>
      </w:tr>
      <w:tr>
        <w:trPr>
          <w:trHeight w:val="234"/>
        </w:trPr>
        <w:tc>
          <w:tcPr>
            <w:tcW w:w="5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Joint Ventures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 Joint Ventures</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212,257</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242,158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Poland</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180,969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167,237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153,903</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148,091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Sweden</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150,139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66,239</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112,455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87,588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Thailand</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104,771</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132,548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92,954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74,085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India</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90,469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70,610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87,768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135,068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Finland</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78,012</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55,876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74,135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54,537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104,216</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117,876</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50"/>
        </w:trPr>
        <w:tc>
          <w:tcPr>
            <w:tcW w:w="5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1,442,048</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1,351,913</w:t>
            </w: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42"/>
        </w:trPr>
        <w:tc>
          <w:tcPr>
            <w:tcW w:w="5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left="10"/>
              <w:spacing w:after="0"/>
              <w:rPr>
                <w:sz w:val="20"/>
                <w:szCs w:val="20"/>
                <w:color w:val="auto"/>
              </w:rPr>
            </w:pPr>
            <w:r>
              <w:rPr>
                <w:rFonts w:ascii="Arial" w:cs="Arial" w:eastAsia="Arial" w:hAnsi="Arial"/>
                <w:sz w:val="18"/>
                <w:szCs w:val="18"/>
                <w:b w:val="1"/>
                <w:bCs w:val="1"/>
                <w:color w:val="auto"/>
                <w:w w:val="91"/>
              </w:rPr>
              <w:t>Nine Months Ended</w:t>
            </w:r>
          </w:p>
        </w:tc>
        <w:tc>
          <w:tcPr>
            <w:tcW w:w="1560" w:type="dxa"/>
            <w:vAlign w:val="bottom"/>
            <w:tcBorders>
              <w:bottom w:val="single" w:sz="8" w:color="auto"/>
            </w:tcBorders>
          </w:tcPr>
          <w:p>
            <w:pPr>
              <w:spacing w:after="0"/>
              <w:rPr>
                <w:sz w:val="24"/>
                <w:szCs w:val="24"/>
                <w:color w:val="auto"/>
              </w:rPr>
            </w:pPr>
          </w:p>
        </w:tc>
      </w:tr>
      <w:tr>
        <w:trPr>
          <w:trHeight w:val="191"/>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for 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 of Total Fees for</w:t>
            </w:r>
          </w:p>
        </w:tc>
      </w:t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May 31,</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May 31,</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Services Provided</w:t>
            </w:r>
          </w:p>
        </w:tc>
      </w:tr>
      <w:tr>
        <w:trPr>
          <w:trHeight w:val="234"/>
        </w:trPr>
        <w:tc>
          <w:tcPr>
            <w:tcW w:w="5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Joint Ventures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 Joint Ventures</w:t>
            </w: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614,766</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664,812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Poland</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483,626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452,260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445,662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416,241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Thailand</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339,852</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395,611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314,664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189,556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293,240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250,373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284,435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247,730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India</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229,200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223,137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227,140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292,216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Finland</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221,294</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177,704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218,249</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176,470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269,539</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322,274</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5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3,941,667</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3,808,384</w:t>
            </w: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6" w:name="page17"/>
    <w:bookmarkEnd w:id="16"/>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At May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At August 31,</w:t>
            </w:r>
          </w:p>
        </w:tc>
      </w:tr>
      <w:tr>
        <w:trPr>
          <w:trHeight w:val="234"/>
        </w:trPr>
        <w:tc>
          <w:tcPr>
            <w:tcW w:w="8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Brazil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56,246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66,938</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India</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13,634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13,645</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13,687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China</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231,114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253,931</w:t>
            </w:r>
          </w:p>
        </w:tc>
      </w:tr>
      <w:tr>
        <w:trPr>
          <w:trHeight w:val="23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7,137,218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6,941,358</w:t>
            </w: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Total long-lived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7,451,899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7,275,872</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8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31, 2017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May 31, 2016</w:t>
            </w:r>
          </w:p>
        </w:tc>
      </w:tr>
      <w:tr>
        <w:trPr>
          <w:trHeight w:val="210"/>
        </w:trPr>
        <w:tc>
          <w:tcPr>
            <w:tcW w:w="8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Brazil</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1,683,255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1,509,659</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India</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1,057,132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911,227</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378,635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China</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4,991,807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2,473,733</w:t>
            </w:r>
          </w:p>
        </w:tc>
      </w:tr>
      <w:tr>
        <w:trPr>
          <w:trHeight w:val="23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20,557,116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18,521,327</w:t>
            </w: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28,667,945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23,415,946</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Total long-lived assets located in Brazil, India, Germany and China primarily consist of property and equipment. These assets are periodically reviewed to assure the net realizable value from the estimated future production based on forecasted sales exceeds the carrying value of the assets. Total assets located in the United States include the Company’s investments in joint ventures.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joint venture operations including equity in income, fees for services and related dividends are related to ZERUST® products and services.</w:t>
      </w:r>
    </w:p>
    <w:p>
      <w:pPr>
        <w:spacing w:after="0" w:line="221"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August 26, 2016, the Compensation Committee of the Board of Directors of the Company approved the material terms of an annual bonus plan for the Company’s executive officers as well as certain officers and employees for the fiscal year ending August 31, 2017. For fiscal 2017 as in past years, the total amount available under the bonus plan for all plan participants, including executive officers, is dependent upon the Company’s earnings before interest, taxes and other income, as adjusted to consider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Adjusted EBITOI for fiscal 2017 compared to a pre-established target Adjusted EBITOI for fiscal 2017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the Company’s common stock, the exact amount and percentages will be determined by the Company’s Board of Directors, upon recommendation of the Compensation Committee, after the completion of the Company’s consolidated financial statements for fiscal 2017. There was $600,000 accrued for management bonuses for the nine months ended May 31, 2017 compared to an accrual of $215,000 for management bonuses for the nine months ended May 31, 2016.</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ind w:right="120"/>
        <w:spacing w:after="0" w:line="264" w:lineRule="auto"/>
        <w:rPr>
          <w:sz w:val="20"/>
          <w:szCs w:val="20"/>
          <w:color w:val="auto"/>
        </w:rPr>
      </w:pPr>
      <w:r>
        <w:rPr>
          <w:rFonts w:ascii="Arial" w:cs="Arial" w:eastAsia="Arial" w:hAnsi="Arial"/>
          <w:sz w:val="18"/>
          <w:szCs w:val="18"/>
          <w:color w:val="auto"/>
        </w:rPr>
        <w:t>Two joint ventures (consisting of the Company’s joint ventures in Korea and India) accounted for 21.4% of the Company’s trade joint venture receivables at May 31, 2017, and three joint ventures (consisting of the Company’s joint ventures in Korea, India and Thailand) accounted for 55.8% of the Company’s trade joint venture receivables as of August 31, 2016.</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March 23, 2015, the Company and NTI Asean LLC (NTI Asean) filed a lawsuit in Tianjin No 1 Intermediate People’s Court against two individuals, Tao Meng and Xu Hui, related to breaches of duties and contractual commitments owed to NTI Asean under certain agreements related to the Company’s former joint venture in China, Tianjin Zerust Anti-Corrosion Technologies Ltd. (Tianjin Zerust). The lawsuit alleges, among other things, that Mr. Tao Meng and Xu Hui have engaged in self-dealing, usurped business opportunities, and received economic benefits that were required to go to Tianjin Zerust. As of May 31, 2017, the Company is not able to reasonably estimate the amount of any recovery to NTI Asean, if any.</w:t>
      </w:r>
    </w:p>
    <w:p>
      <w:pPr>
        <w:spacing w:after="0" w:line="1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On April 21, 2015, the Company and NTI Asean initiated a lawsuit in the District Court for the Second Judicial District, County of Ramsey, State of Minnesota against Cortec Corporation alleging, among other things, that Cortec Corporation (Cortec) aided and abetted breaches of duties and contractual commitments owed to the Company and NTI Asean related to the Company’s joint venture in China, Tianjin Zerust. After fully litigating the case through discovery and dispositive motion practice, on February 16, 2017, the Minnesota court denied both sides’ motions for summary judgment and, </w:t>
      </w:r>
      <w:r>
        <w:rPr>
          <w:rFonts w:ascii="Arial" w:cs="Arial" w:eastAsia="Arial" w:hAnsi="Arial"/>
          <w:sz w:val="17"/>
          <w:szCs w:val="17"/>
          <w:i w:val="1"/>
          <w:iCs w:val="1"/>
          <w:color w:val="auto"/>
        </w:rPr>
        <w:t>sua sponte</w:t>
      </w:r>
      <w:r>
        <w:rPr>
          <w:rFonts w:ascii="Arial" w:cs="Arial" w:eastAsia="Arial" w:hAnsi="Arial"/>
          <w:sz w:val="17"/>
          <w:szCs w:val="17"/>
          <w:color w:val="auto"/>
        </w:rPr>
        <w:t>, dismissed without prejudice the Company’s and NTI Asean’s claims based on a non-exclusive forum-selection clause contained in a 2005 settlement agreement between the Company and Cortec Corporation. While the Company had strong arguments to appeal the Minnesota court’s decision, an appeal would have meant a significant delay to the resolution of the dispute. On April 21, 2017, the Company re-filed the lawsuit in the United States District Court for the Northern District of Ohio. On May 15, 2017, Cortec filed an answer and counterclaim. The counterclaim was promptly dismissed by the Court. Cortec has agreed that all the discovery and information learned in the Minnesota case may be used in the Ohio case. The parties attended a Case Management Conference (CMC) on June 21, 2017. The Court set a deadline of September 4, 2017 to complete discovery and set the case for a jury trial on a two-week standby period beginning on September 18, 2017.</w:t>
      </w:r>
    </w:p>
    <w:p>
      <w:pPr>
        <w:spacing w:after="0" w:line="1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May 31, 2017, the amount of liability, if any, with respect to these matters, individually or in the aggregate, will not materially affect the Company’s consolidated results of operations, financial position or cash flows.</w:t>
      </w:r>
    </w:p>
    <w:p>
      <w:pPr>
        <w:spacing w:after="0" w:line="163"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1"/>
              </w:rPr>
              <w:t>Fair Value Measurements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Fair Value as of</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May 31, 2017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3,756,680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3,756,680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1"/>
              </w:rPr>
              <w:t>Fair Value Measurements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Fair Value as of</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August 31, 2016</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2,243,864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2,243,864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three and nine months ended May 31, 2017 and 2016.</w:t>
      </w:r>
    </w:p>
    <w:p>
      <w:pPr>
        <w:spacing w:after="0" w:line="221"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Supplemental disclosures of cash flow information consist of:</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6"/>
        </w:trPr>
        <w:tc>
          <w:tcPr>
            <w:tcW w:w="8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8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May 31, 2017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2016</w:t>
            </w: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15,465</w:t>
            </w: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31"/>
        </w:trPr>
        <w:tc>
          <w:tcPr>
            <w:tcW w:w="8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8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May 31, 2017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May 31, 2016</w:t>
            </w: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30,987</w:t>
            </w: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2. Management’s Discussion and Analysis of Financial Condition and Results of Operations—Forward-Looking Statements</w:t>
      </w:r>
      <w:r>
        <w:rPr>
          <w:rFonts w:ascii="Arial" w:cs="Arial" w:eastAsia="Arial" w:hAnsi="Arial"/>
          <w:sz w:val="17"/>
          <w:szCs w:val="17"/>
          <w:color w:val="auto"/>
        </w:rPr>
        <w:t>” in this report and under “</w:t>
      </w:r>
      <w:r>
        <w:rPr>
          <w:rFonts w:ascii="Arial" w:cs="Arial" w:eastAsia="Arial" w:hAnsi="Arial"/>
          <w:sz w:val="17"/>
          <w:szCs w:val="17"/>
          <w:i w:val="1"/>
          <w:iCs w:val="1"/>
          <w:color w:val="auto"/>
        </w:rPr>
        <w:t>Part 1. Item 1A. Risk Factors</w:t>
      </w:r>
      <w:r>
        <w:rPr>
          <w:rFonts w:ascii="Arial" w:cs="Arial" w:eastAsia="Arial" w:hAnsi="Arial"/>
          <w:sz w:val="17"/>
          <w:szCs w:val="17"/>
          <w:color w:val="auto"/>
        </w:rPr>
        <w:t>” in our annual report on Form 10-K for the fiscal year ended August 31, 2016. The 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7"/>
          <w:szCs w:val="17"/>
          <w:i w:val="1"/>
          <w:iCs w:val="1"/>
          <w:color w:val="auto"/>
        </w:rPr>
        <w:t>Part I. Item 1. Financial Statements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82" w:lineRule="exact"/>
        <w:rPr>
          <w:sz w:val="20"/>
          <w:szCs w:val="20"/>
          <w:color w:val="auto"/>
        </w:rPr>
      </w:pPr>
    </w:p>
    <w:p>
      <w:pPr>
        <w:ind w:right="6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and coatings, rust removers and cleaners, diffusers and engineered solutions designed specifically for the oil and gas industry. NTIC also offers worldwide on-site technical consulting for rust and corrosion</w:t>
      </w:r>
    </w:p>
    <w:p>
      <w:pPr>
        <w:ind w:right="40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technical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its majority-owned subsidiary in Brazil, Zerust Prevenção de Corrosão S.A. (Zerust Brazil), and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204" w:lineRule="exact"/>
        <w:rPr>
          <w:sz w:val="20"/>
          <w:szCs w:val="20"/>
          <w:color w:val="auto"/>
        </w:rPr>
      </w:pPr>
    </w:p>
    <w:p>
      <w:pPr>
        <w:ind w:right="4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Consequently, for the past several years, NTIC has focused significant sales and marketing efforts on the oil and gas industry, as the infrastructure that supports that industry is typically</w:t>
      </w:r>
    </w:p>
    <w:p>
      <w:pPr>
        <w:ind w:right="20"/>
        <w:spacing w:after="0" w:line="217" w:lineRule="auto"/>
        <w:rPr>
          <w:sz w:val="20"/>
          <w:szCs w:val="20"/>
          <w:color w:val="auto"/>
        </w:rPr>
      </w:pPr>
      <w:r>
        <w:rPr>
          <w:rFonts w:ascii="Arial" w:cs="Arial" w:eastAsia="Arial" w:hAnsi="Arial"/>
          <w:sz w:val="18"/>
          <w:szCs w:val="18"/>
          <w:color w:val="auto"/>
        </w:rPr>
        <w:t>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a long sales cycle, often including a one- to multi-year trial period with each customer and a slow integration process thereafter.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0" w:name="page21"/>
    <w:bookmarkEnd w:id="20"/>
    <w:p>
      <w:pPr>
        <w:ind w:right="80"/>
        <w:spacing w:after="0" w:line="237"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w:t>
      </w:r>
    </w:p>
    <w:p>
      <w:pPr>
        <w:spacing w:after="0" w:line="2" w:lineRule="exact"/>
        <w:rPr>
          <w:sz w:val="20"/>
          <w:szCs w:val="20"/>
          <w:color w:val="auto"/>
        </w:rPr>
      </w:pPr>
    </w:p>
    <w:p>
      <w:pPr>
        <w:ind w:right="160"/>
        <w:spacing w:after="0" w:line="224" w:lineRule="auto"/>
        <w:rPr>
          <w:sz w:val="20"/>
          <w:szCs w:val="20"/>
          <w:color w:val="auto"/>
        </w:rPr>
      </w:pPr>
      <w:r>
        <w:rPr>
          <w:rFonts w:ascii="Arial" w:cs="Arial" w:eastAsia="Arial" w:hAnsi="Arial"/>
          <w:sz w:val="16"/>
          <w:szCs w:val="16"/>
          <w:color w:val="auto"/>
        </w:rPr>
        <w:t>and leaf bags, pet waste collection bags, cutlery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w:t>
      </w:r>
    </w:p>
    <w:p>
      <w:pPr>
        <w:spacing w:after="0" w:line="1" w:lineRule="exact"/>
        <w:rPr>
          <w:sz w:val="20"/>
          <w:szCs w:val="20"/>
          <w:color w:val="auto"/>
        </w:rPr>
      </w:pPr>
    </w:p>
    <w:p>
      <w:pPr>
        <w:ind w:right="100"/>
        <w:spacing w:after="0" w:line="204" w:lineRule="auto"/>
        <w:rPr>
          <w:sz w:val="20"/>
          <w:szCs w:val="20"/>
          <w:color w:val="auto"/>
        </w:rPr>
      </w:pPr>
      <w:r>
        <w:rPr>
          <w:rFonts w:ascii="Arial" w:cs="Arial" w:eastAsia="Arial" w:hAnsi="Arial"/>
          <w:sz w:val="18"/>
          <w:szCs w:val="18"/>
          <w:color w:val="auto"/>
        </w:rPr>
        <w:t>products. 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both directly and through its majority-owned subsidiary in India, Natur-Tec India Private Limited (Natur-Tec India), and through certain joint ventures.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Chinese Joint Venture</w:t>
      </w:r>
    </w:p>
    <w:p>
      <w:pPr>
        <w:spacing w:after="0" w:line="233"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On January 2, 2015, NTIC announced that, effective as of December 31, 2014, it is selling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 China through a wholly-owned subsidiary, NTIC (Shanghai) Co., Ltd., and has terminated its joint venture agreements with Tianjin-Zerust Anticorrosion Co., Ltd. (Tianjin Zerust). NTIC and NTI Asean have filed a lawsuit in China against Mr. Tao Meng, the former joint venture entity’s other shareholder, and his spouse, seeking, among other things, an orderly liquidation of Tianjin Zerust.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NTIC indirectly has a 30% ownership interest in Tianjin Zerust through its 60% owned holding company subsidiary, NTI Asean.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NTIC expects that its operating results may continue to be volatile as a result of the stage of development of its Chinese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NTIC has ownership interests in six subsidiaries in North America, Europe and Asia. The following table sets forth a list of NTIC’s operating subsidiaries as of May 31, 2017, the country in which the subsidiary is organized and NTIC’s ownership percentage in each subsidiary: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ind w:right="610"/>
              <w:spacing w:after="0"/>
              <w:rPr>
                <w:sz w:val="20"/>
                <w:szCs w:val="20"/>
                <w:color w:val="auto"/>
              </w:rPr>
            </w:pPr>
            <w:r>
              <w:rPr>
                <w:rFonts w:ascii="Arial" w:cs="Arial" w:eastAsia="Arial" w:hAnsi="Arial"/>
                <w:sz w:val="18"/>
                <w:szCs w:val="18"/>
                <w:b w:val="1"/>
                <w:bCs w:val="1"/>
                <w:color w:val="auto"/>
              </w:rPr>
              <w:t>NTIC</w:t>
            </w:r>
          </w:p>
        </w:tc>
      </w:tr>
      <w:tr>
        <w:trPr>
          <w:trHeight w:val="234"/>
        </w:trPr>
        <w:tc>
          <w:tcPr>
            <w:tcW w:w="7900" w:type="dxa"/>
            <w:vAlign w:val="bottom"/>
            <w:gridSpan w:val="2"/>
          </w:tcPr>
          <w:p>
            <w:pPr>
              <w:ind w:left="3240"/>
              <w:spacing w:after="0"/>
              <w:rPr>
                <w:sz w:val="20"/>
                <w:szCs w:val="20"/>
                <w:color w:val="auto"/>
              </w:rPr>
            </w:pPr>
            <w:r>
              <w:rPr>
                <w:rFonts w:ascii="Arial" w:cs="Arial" w:eastAsia="Arial" w:hAnsi="Arial"/>
                <w:sz w:val="18"/>
                <w:szCs w:val="18"/>
                <w:b w:val="1"/>
                <w:bCs w:val="1"/>
                <w:color w:val="auto"/>
              </w:rPr>
              <w:t>Subsidiary Name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Country</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w w:val="92"/>
              </w:rPr>
              <w:t>Percent (%) Ownership</w:t>
            </w:r>
          </w:p>
        </w:tc>
      </w:tr>
      <w:tr>
        <w:trPr>
          <w:trHeight w:val="210"/>
        </w:trPr>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United States</w:t>
            </w:r>
          </w:p>
        </w:tc>
        <w:tc>
          <w:tcPr>
            <w:tcW w:w="1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Brazil</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Mexico</w:t>
            </w:r>
          </w:p>
        </w:tc>
        <w:tc>
          <w:tcPr>
            <w:tcW w:w="18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India</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NTIC Europe GmbH</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Germany</w:t>
            </w:r>
          </w:p>
        </w:tc>
        <w:tc>
          <w:tcPr>
            <w:tcW w:w="18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subsidiaries are fully consolidated in NTIC’s consolidated financial statements.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 participates in 20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NTIC considers EXCOR, India and Finland to be individually significant to NTIC’s consolidated assets and income, and therefore, provides certain additional information regarding EXCOR, India and Finland in the notes to NTIC’s consolidated financial statements and in this section of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NTIC’s consolidated net sales increased 17.7% and 22.4% during the three and nine months ended May 31, 2017, respectively, compared to the three and nine months ended May 31, 2016. These increases were primarily a result of an increase in sales of ZERUST® rust and corrosion inhibiting packaging products, sales to joint ventures and sales of Natur-Tec® products.</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the three and nine months ended May 31, 2017, 81.9% and 82.6% of NTIC’s consolidated net sales, respectively, were derived from sales of ZERUST® products and services, which increased 16.5% and 21.1% to $8,368,487 and $23,681,192 during the three and nine months ended May 31, 2017, respectively, compared to $7,185,955 and $19,548,974 during the three and nine months ended May 31, 2016, respectively. These increases were due to higher sales from existing customers for new and existing products as a result of increased demand. NTIC has expanded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nine months ended May 31, 2017 included $1,287,789 of sales made to customers in the oil and gas industry compared to $1,229,426 for the nine months ended May 31, 2016. Overall demand for ZERUST® products and services depends heavily on the overall health of the markets in which NTIC sells its products, including the automotive, oil and gas, agriculture, and mining markets in particular. In addition, we believe demand for ZERUST® products and services in the oil and gas industry may be dependent upon oil prices, with low oil prices causing existing or potential customers to delay purchases and installations.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and nine months ended May 31, 2017, 18.1% and 17.4%, of NTIC’s consolidated net sales were derived from sales of Natur-Tec® products compared to 17.3% and 16.5% during the three and nine months ended May 31, 2016, respectively. Net sales of Natur-Tec® products increased 23.6% and 29.0% during the three and nine months ended May 31, 2017 compared to the three and nine months ended May 31, 2016, respectively. These increases were primarily due to an increase in finished product sales in North America and finished product sales at NTIC’s majority owned subsidiary in India, Natur-Tec India Private Limited (Natur-Tec India).</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Cost of goods sold as a percentage of net sales decreased to 66.3% during the three months ended May 31, 2017 compared to 66.5% during the three months ended May 31, 2016 and decreased to 67.2% during the nine months ended May 31, 2017 compared to 68.0% during the prior fiscal year period. These decreases were primarily as a result of increased net sales and cost reductions realized on the raw materials associated with NTIC’s ZERUST® industrial products.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ind w:right="60"/>
        <w:spacing w:after="0" w:line="297" w:lineRule="auto"/>
        <w:rPr>
          <w:sz w:val="20"/>
          <w:szCs w:val="20"/>
          <w:color w:val="auto"/>
        </w:rPr>
      </w:pPr>
      <w:r>
        <w:rPr>
          <w:rFonts w:ascii="Arial" w:cs="Arial" w:eastAsia="Arial" w:hAnsi="Arial"/>
          <w:sz w:val="16"/>
          <w:szCs w:val="16"/>
          <w:color w:val="auto"/>
        </w:rPr>
        <w:t>NTIC’s equity in income of joint ventures increased 1.3% and 20.6% to $1,686,016 and $4,343,159, respectively, during the three and nine months ended May 31, 2017 compared to $1,664,464 and $3,600,884 during the three and nine months ended May 31, 2016, respectively. These increases were primarily due to increases in profitability at the joint ventures. Total net sales of NTIC’s joint ventures increased 7.1% and 10.4% to $25,935,169 and $73,098,215 during the three and nine months ended May 31, 2017, respectively, compared to $24,223,090 and $66,223,514 for the three and nine months ended May 31, 2016, respectively. These increases were due primarily to higher sales from existing customers for new and existing products as a result of increased demand.</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NTIC’s total operating expenses increased 7.5%, or $1,035,257, to $14,831,577 during the nine months ended May 31, 2017 compared to the nine months ended May 31, 2016. This increase was primarily due: (i) an increase in operating expenses at Zerust Brazil and NTIC China of $170,000 and $140,000, respectively, consisting primarily of selling and personnel expense associated with increased sales efforts in Brazil and China, respectively; (ii) an increase in legal expenses in North America related to the litigation against Cortec Corporation of $254,000; and (iii) an increase in NTIC’s management bonus accrual of $385,000.</w:t>
      </w:r>
    </w:p>
    <w:p>
      <w:pPr>
        <w:spacing w:after="0" w:line="188" w:lineRule="exact"/>
        <w:rPr>
          <w:sz w:val="20"/>
          <w:szCs w:val="20"/>
          <w:color w:val="auto"/>
        </w:rPr>
      </w:pPr>
    </w:p>
    <w:p>
      <w:pPr>
        <w:ind w:right="440"/>
        <w:spacing w:after="0" w:line="288" w:lineRule="auto"/>
        <w:rPr>
          <w:sz w:val="20"/>
          <w:szCs w:val="20"/>
          <w:color w:val="auto"/>
        </w:rPr>
      </w:pPr>
      <w:r>
        <w:rPr>
          <w:rFonts w:ascii="Arial" w:cs="Arial" w:eastAsia="Arial" w:hAnsi="Arial"/>
          <w:sz w:val="16"/>
          <w:szCs w:val="16"/>
          <w:color w:val="auto"/>
        </w:rPr>
        <w:t>NTIC spent $2,118,210 and $3,349,572 of expense during the nine months ended May 31, 2017 and May 31, 2016, respectively, in connection with its research and development activities. NTIC anticipates that it will spend between $2,700,000 and $2,900,000 in fiscal 2017 on research and development activities. This anticipated significant decrease from fiscal 2016 is due to the transition of efforts from research and development to selling, general and</w:t>
      </w:r>
    </w:p>
    <w:p>
      <w:pPr>
        <w:ind w:right="340"/>
        <w:spacing w:after="0" w:line="205" w:lineRule="auto"/>
        <w:rPr>
          <w:sz w:val="20"/>
          <w:szCs w:val="20"/>
          <w:color w:val="auto"/>
        </w:rPr>
      </w:pPr>
      <w:r>
        <w:rPr>
          <w:rFonts w:ascii="Arial" w:cs="Arial" w:eastAsia="Arial" w:hAnsi="Arial"/>
          <w:sz w:val="18"/>
          <w:szCs w:val="18"/>
          <w:color w:val="auto"/>
        </w:rPr>
        <w:t>administrative areas, specifically as they relate to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oil and gas business since most of the expenses related to these business units are no longer in the research and development phase of product development.</w:t>
      </w:r>
    </w:p>
    <w:p>
      <w:pPr>
        <w:spacing w:after="0" w:line="20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Net income attributable to NTIC was $1,352,416, or $0.30 per diluted common share, for the three months ended May 31, 2017 compared to $917,373, or $0.20 per diluted common share, for the three months ended May 31, 2016. Net income attributable to NTIC increased 254.1%, to $2,037,021, or $0.45 per diluted common share, for the nine months ended May 31, 2017 compared to $575,233 or $0.13 per diluted common share, for the nine months ended May 31, 2016. These increases were primarily the result of the increase in gross profit, partially offset by the increase in operating expenses.</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NTIC anticipates that its quarterly net income or loss will continue to remain subject to significant volatility primarily due to the financial performance of its subsidiaries and joint ventures and sales of its ZERUST® products and services into the oil and gas industry and Natur-Tec® bioplastics products, which sales fluctuate more on a quarterly basis than the traditional ZERUST® business. NTIC also anticipates that its operating results during the next few quarters will be particularly volatile as a result of the changes in its Chinese operations.</w:t>
      </w:r>
    </w:p>
    <w:p>
      <w:pPr>
        <w:spacing w:after="0" w:line="1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NTIC’s working capital was $19,853,912 at May 31, 2017, including $3,500,164 in cash and cash equivalents and $3,756,680 in available for sale securities, compared to $16,948,069 at August 31, 2016, including $3,395,274 in cash and cash equivalents and $2,243,864 in available for sale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NTIC’s results of operations for the three and nine months ended May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1"/>
        </w:trPr>
        <w:tc>
          <w:tcPr>
            <w:tcW w:w="3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ind w:left="220"/>
              <w:spacing w:after="0" w:line="191" w:lineRule="exact"/>
              <w:rPr>
                <w:sz w:val="20"/>
                <w:szCs w:val="20"/>
                <w:color w:val="auto"/>
              </w:rPr>
            </w:pPr>
            <w:r>
              <w:rPr>
                <w:rFonts w:ascii="Arial" w:cs="Arial" w:eastAsia="Arial" w:hAnsi="Arial"/>
                <w:sz w:val="18"/>
                <w:szCs w:val="18"/>
                <w:b w:val="1"/>
                <w:bCs w:val="1"/>
                <w:color w:val="auto"/>
              </w:rPr>
              <w:t>May 31,</w:t>
            </w:r>
          </w:p>
        </w:tc>
        <w:tc>
          <w:tcPr>
            <w:tcW w:w="11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May 31,</w:t>
            </w:r>
          </w:p>
        </w:tc>
        <w:tc>
          <w:tcPr>
            <w:tcW w:w="11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22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520" w:type="dxa"/>
            <w:vAlign w:val="bottom"/>
          </w:tcPr>
          <w:p>
            <w:pPr>
              <w:spacing w:after="0"/>
              <w:rPr>
                <w:sz w:val="20"/>
                <w:szCs w:val="20"/>
                <w:color w:val="auto"/>
              </w:rPr>
            </w:pPr>
          </w:p>
        </w:tc>
        <w:tc>
          <w:tcPr>
            <w:tcW w:w="15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9,360,883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7,925,357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1,435,526</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862,136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761,218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100,918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6,774,001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5,777,249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996,752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1,686,016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1,664,464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21,552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1,442,048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1,351,913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90,135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Selling expenses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2,430,824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1,507,200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923,624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1,682,669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1,957,868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(275,199)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733,651</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1,231,950</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(498,299)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(40.4%)</w:t>
            </w:r>
          </w:p>
        </w:tc>
      </w:tr>
    </w:tbl>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1"/>
        </w:trPr>
        <w:tc>
          <w:tcPr>
            <w:tcW w:w="3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ind w:left="220"/>
              <w:spacing w:after="0" w:line="191" w:lineRule="exact"/>
              <w:rPr>
                <w:sz w:val="20"/>
                <w:szCs w:val="20"/>
                <w:color w:val="auto"/>
              </w:rPr>
            </w:pPr>
            <w:r>
              <w:rPr>
                <w:rFonts w:ascii="Arial" w:cs="Arial" w:eastAsia="Arial" w:hAnsi="Arial"/>
                <w:sz w:val="18"/>
                <w:szCs w:val="18"/>
                <w:b w:val="1"/>
                <w:bCs w:val="1"/>
                <w:color w:val="auto"/>
              </w:rPr>
              <w:t>May 31,</w:t>
            </w:r>
          </w:p>
        </w:tc>
        <w:tc>
          <w:tcPr>
            <w:tcW w:w="11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20" w:type="dxa"/>
            <w:vAlign w:val="bottom"/>
            <w:gridSpan w:val="2"/>
          </w:tcPr>
          <w:p>
            <w:pPr>
              <w:ind w:left="220"/>
              <w:spacing w:after="0" w:line="191" w:lineRule="exact"/>
              <w:rPr>
                <w:sz w:val="20"/>
                <w:szCs w:val="20"/>
                <w:color w:val="auto"/>
              </w:rPr>
            </w:pPr>
            <w:r>
              <w:rPr>
                <w:rFonts w:ascii="Arial" w:cs="Arial" w:eastAsia="Arial" w:hAnsi="Arial"/>
                <w:sz w:val="18"/>
                <w:szCs w:val="18"/>
                <w:b w:val="1"/>
                <w:bCs w:val="1"/>
                <w:color w:val="auto"/>
              </w:rPr>
              <w:t>May 31,</w:t>
            </w:r>
          </w:p>
        </w:tc>
        <w:tc>
          <w:tcPr>
            <w:tcW w:w="11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22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520" w:type="dxa"/>
            <w:vAlign w:val="bottom"/>
          </w:tcPr>
          <w:p>
            <w:pPr>
              <w:spacing w:after="0"/>
              <w:rPr>
                <w:sz w:val="20"/>
                <w:szCs w:val="20"/>
                <w:color w:val="auto"/>
              </w:rPr>
            </w:pPr>
          </w:p>
        </w:tc>
        <w:tc>
          <w:tcPr>
            <w:tcW w:w="15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Net Sales</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$ 26,552,434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$ 21,454,381</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5,098,053</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2,115,511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1,961,565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153,946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19,256,953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15,920,896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3,336,057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4,343,159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3,600,884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742,275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3,941,667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3,808,384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133,283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Selling expenses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6,716,390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4,507,716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2,208,674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5,996,977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5,939,032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57,945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2,118,210</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3,349,572</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(1,231,362)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w:t>
            </w:r>
          </w:p>
        </w:tc>
      </w:tr>
    </w:tbl>
    <w:p>
      <w:pPr>
        <w:spacing w:after="0" w:line="18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17.7% and 22.4% to $10,223,019 and $28,667,945, respectively, during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May 31, 2017 compared to the three and nine months ended May 31, 2016. NTIC’s consolidated net sales excluding NTIC’s joint ventures increased 18.1% and 23.8% to $9,360,883 and $26,552,434, respectively, during the three and nine months ended May 31, 2017 compared to the same respective prior fiscal year periods. These increases were primarily a result of increased demand from the addition of new customers in North America, at NTIC China and an increase in sales of our Natur-Tec® products. Net sales to joint ventures increased 13.3% and 7.8% to $862,136 and $2,115,511 during the three and nine months ended May 31, 2017, respectively, compared to the same respective prior fiscal year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for the three and nine months ended May 31, 2017 and 2016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5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May 31, 2017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May 31, 2016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May 31, 2016</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8,368,487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7,185,955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23,681,192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19,548,974</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Natur-Tec® sales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1,854,532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1,500,620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4,986,753</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3,866,972</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10,223,019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8,686,575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28,667,945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23,415,946</w:t>
            </w:r>
          </w:p>
        </w:tc>
      </w:tr>
    </w:tbl>
    <w:p>
      <w:pPr>
        <w:spacing w:after="0" w:line="202"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During the three and nine months ended May 31, 2017, 81.9% and 82.6% of NTIC’s consolidated net sales, respectively,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increased 16.5% and 21.1% to $8,368,487 and $23,681,192 during the three and nine months ended May 31, 2017, respectively, compared to $7,185,955 and $19,548,974 during the three and nine months ended May 31, 2016, respectively. These increases were due to</w:t>
      </w:r>
    </w:p>
    <w:p>
      <w:pPr>
        <w:spacing w:after="0" w:line="3" w:lineRule="exact"/>
        <w:rPr>
          <w:sz w:val="20"/>
          <w:szCs w:val="20"/>
          <w:color w:val="auto"/>
        </w:rPr>
      </w:pPr>
    </w:p>
    <w:p>
      <w:pPr>
        <w:ind w:right="280"/>
        <w:spacing w:after="0" w:line="234" w:lineRule="auto"/>
        <w:rPr>
          <w:sz w:val="20"/>
          <w:szCs w:val="20"/>
          <w:color w:val="auto"/>
        </w:rPr>
      </w:pPr>
      <w:r>
        <w:rPr>
          <w:rFonts w:ascii="Arial" w:cs="Arial" w:eastAsia="Arial" w:hAnsi="Arial"/>
          <w:sz w:val="16"/>
          <w:szCs w:val="16"/>
          <w:color w:val="auto"/>
        </w:rPr>
        <w:t>increased demand from existing customers and the addition of new customers.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 opportunities, including the oil and gas sector. Overall</w:t>
      </w:r>
    </w:p>
    <w:p>
      <w:pPr>
        <w:spacing w:after="0" w:line="2" w:lineRule="exact"/>
        <w:rPr>
          <w:sz w:val="20"/>
          <w:szCs w:val="20"/>
          <w:color w:val="auto"/>
        </w:rPr>
      </w:pPr>
    </w:p>
    <w:p>
      <w:pPr>
        <w:ind w:right="100"/>
        <w:spacing w:after="0" w:line="231" w:lineRule="auto"/>
        <w:rPr>
          <w:sz w:val="20"/>
          <w:szCs w:val="20"/>
          <w:color w:val="auto"/>
        </w:rPr>
      </w:pPr>
      <w:r>
        <w:rPr>
          <w:rFonts w:ascii="Arial" w:cs="Arial" w:eastAsia="Arial" w:hAnsi="Arial"/>
          <w:sz w:val="17"/>
          <w:szCs w:val="17"/>
          <w:color w:val="auto"/>
        </w:rPr>
        <w:t>demand for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depends heavily on the overall health of the market segments to which NTIC sells its products, including the automotive, oil and gas, agriculture, and mining markets in particular. In addition, we believe demand for ZERUST® products and services in the oil and gas industry may be dependent upon oil prices, with low oil prices causing existing or potential customers to delay purchases and installations.</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the three and nine months ended May 31, 2017 and 2016: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1460" w:type="dxa"/>
            <w:vAlign w:val="bottom"/>
            <w:tcBorders>
              <w:bottom w:val="single" w:sz="8" w:color="auto"/>
            </w:tcBorders>
          </w:tcPr>
          <w:p>
            <w:pPr>
              <w:spacing w:after="0"/>
              <w:rPr>
                <w:sz w:val="20"/>
                <w:szCs w:val="20"/>
                <w:color w:val="auto"/>
              </w:rPr>
            </w:pPr>
          </w:p>
        </w:tc>
      </w:tr>
      <w:tr>
        <w:trPr>
          <w:trHeight w:val="191"/>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1460" w:type="dxa"/>
            <w:vAlign w:val="bottom"/>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46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7,170,802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5,912,881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1,257,921</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862,136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761,218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100,918</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335,549</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511,856</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(176,307)</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Total ZERUST® net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8,368,487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7,185,955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1,182,532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c>
          <w:tcPr>
            <w:tcW w:w="1400" w:type="dxa"/>
            <w:vAlign w:val="bottom"/>
            <w:tcBorders>
              <w:bottom w:val="single" w:sz="8" w:color="auto"/>
            </w:tcBorders>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May 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40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industrial net sales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20,277,892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16,357,983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3,919,909</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2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2,115,511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1,961,565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153,946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1,287,789</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1,229,426</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58,363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4"/>
        </w:trPr>
        <w:tc>
          <w:tcPr>
            <w:tcW w:w="5620" w:type="dxa"/>
            <w:vAlign w:val="bottom"/>
          </w:tcPr>
          <w:p>
            <w:pPr>
              <w:spacing w:after="0"/>
              <w:rPr>
                <w:sz w:val="20"/>
                <w:szCs w:val="20"/>
                <w:color w:val="auto"/>
              </w:rPr>
            </w:pPr>
            <w:r>
              <w:rPr>
                <w:rFonts w:ascii="Arial" w:cs="Arial" w:eastAsia="Arial" w:hAnsi="Arial"/>
                <w:sz w:val="18"/>
                <w:szCs w:val="18"/>
                <w:color w:val="auto"/>
              </w:rPr>
              <w:t>Total ZERUST® net sales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23,681,192</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19,548,974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4,132,218</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w:t>
            </w:r>
          </w:p>
        </w:tc>
      </w:tr>
    </w:tbl>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NTIC’s net sales to the oil and gas industry sector decreased during the three months ended May 31, 2017 compared to the prior fiscal year period primarily as a result of volatility in that sector and the timing of projects. NTIC’s net sales to the oil and gas industry sector increased during the nine months ended May 31, 2017 compared to the prior fiscal year period primarily as a result of increased sales to India as a result of increased demand. NTIC anticipates that its sales of ZERUST® products and services into the oil and gas industry will continue to remain subject to significant volatility from quarter to quarter as sales are recognized, specifically due to the volatility of oil prices.</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three and nine months ended May 31, 2017, 18.1% and 17.4% of NTIC’s consolidated net sales, respectively, were derived from sales of Natur-Tec® products, which increased 23.6% and 29.0% to $1,854,532 and $4,986,753 during the three and nine months ended May 31, 2017, respectively, compared to the three and nine months ended May 31, 2016. Such increases were due to the addition of new customers in North America and India as well as increased sales by existing distributors. Demand for Natur-Tec® products around the world depends primarily on market acceptance and the reach of NTIC’s distribution network. Because of the typical size of individual orders and overall size of NTIC’s net sales derived from sales of Natur-Tec® products, the timing of one or more orders can materially affect NTIC’s quarterly sales of Natur-Tec® products and the comparisons to prior fiscal year quarters.</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increased 17.3% and 21.0% for the three and nine months ended May 31, 2017, respectively,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nine months ended May 31, 2016. These increases were primarily as a result of the corresponding increased sales levels. Cost of goods sold as a percentage of net sales decreased to 66.3% during the three months ended May 31, 2017 compared to 66.5% during the three months ended May 31, 2016 and decreased to 67.2% during the nine months ended May 31, 2017 compared to 68.0% during the nine months ended May 31, 2016. These decreases were primarily as a result of increased net sales and cost reductions realized on the raw materials associated with NTIC’s ZERUST® industrial products.</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Equity in Income of Joint Ventures. </w:t>
      </w:r>
      <w:r>
        <w:rPr>
          <w:rFonts w:ascii="Arial" w:cs="Arial" w:eastAsia="Arial" w:hAnsi="Arial"/>
          <w:sz w:val="17"/>
          <w:szCs w:val="17"/>
          <w:color w:val="auto"/>
        </w:rPr>
        <w:t>NTIC’s equity in income of joint ventures increased 1.3% and 20.6% to $1,686,016 and $4,343,159 during the three and</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May 31, 2017, respectively, compared to equity in income of joint ventures of $1,664,464 and $3,600,884 during the three and nine months ended May 31, 2016, respectively. These increases were primarily a result of improved sales and profitability at the joint ventures. Of the total equity in income of joint ventures, NTIC had equity in income of joint ventures of $3,089,935 attributable to EXCOR during the nine months ended May 31, 2017 compared to $2,714,905 attributable to EXCOR during the nine months ended May 31, 2016. NTIC had equity in income of joint ventures of $384,712 attributable to India during the nine months ended May 31, 2017 compared to $347,846 attributable to India during the nine months ended May 31, 2016. NTIC had equity in income of joint ventures of $206,874 attributable to Finland during the nine months ended May 31, 2017 compared to $171,662 attributable to Finland during the nine months ended May 31, 2016. NTIC had equity in income of all other joint ventures of $661,638 during the nine months ended May 31, 2017 compared to $366,471 during the nine months ended May 31, 2016.</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25" w:name="page26"/>
    <w:bookmarkEnd w:id="25"/>
    <w:p>
      <w:pPr>
        <w:jc w:val="both"/>
        <w:ind w:right="260"/>
        <w:spacing w:after="0" w:line="297" w:lineRule="auto"/>
        <w:rPr>
          <w:sz w:val="20"/>
          <w:szCs w:val="20"/>
          <w:color w:val="auto"/>
        </w:rPr>
      </w:pPr>
      <w:r>
        <w:rPr>
          <w:rFonts w:ascii="Arial" w:cs="Arial" w:eastAsia="Arial" w:hAnsi="Arial"/>
          <w:sz w:val="16"/>
          <w:szCs w:val="16"/>
          <w:i w:val="1"/>
          <w:iCs w:val="1"/>
          <w:color w:val="auto"/>
        </w:rPr>
        <w:t xml:space="preserve">Fees for Services Provided to Joint Ventures. </w:t>
      </w:r>
      <w:r>
        <w:rPr>
          <w:rFonts w:ascii="Arial" w:cs="Arial" w:eastAsia="Arial" w:hAnsi="Arial"/>
          <w:sz w:val="16"/>
          <w:szCs w:val="16"/>
          <w:color w:val="auto"/>
        </w:rPr>
        <w:t>NTIC recognized fee income for services provided to joint ventures of $1,442,048 and $3,941,667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nine months ended May 31, 2017, respectively, compared to $1,351,913 and $3,808,384 during the three and nine months ended May 31, 2016, respectively, representing an increase of 6.7% and 3.5%, respectively. Fee income for services provided to joint ventures is traditionally a function of sales made by NTIC’s joint ventures. Total net sales of NTIC’s joint ventures increased to $25,935,169 and $73,098,215 during the three and nine months ended May 31, 2017, respectively, compared to $24,223,090 and $66,223,514 for the three and nine months ended May 31, 2016, respectively.</w:t>
      </w:r>
    </w:p>
    <w:p>
      <w:pPr>
        <w:spacing w:after="0" w:line="15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Net sales of NTIC’s joint ventures are not included in NTIC’s net sales in NTIC’s consolidated financial statements or in any description of NTIC’s net sales. Of the total fee income for services provided to joint ventures, fees of $614,766 were attributable to EXCOR during the nine months ended May 31, 2017 compared to $664,812 attributable to EXCOR during the nine months ended May 31, 2016. Fees of $229,200 were attributable to India during the nine months ended May 31, 2017 compared to $223,137 attributable to India during the nine months ended May 31, 2016. Fees of $221,294 were attributable to Finland during the nine months ended May 31, 2017 compared to $177,704 attributable to Finland during the nine months ended May 31, 2016.</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61.3% and 49.0% for the three and nine months ended May 31, 2017, respectively,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periods in fiscal 2016. These increases were due primarily to increases in operating expenses at Zerust Brazil and NTIC China, consisting primarily of selling and personnel expense associated with increased sales efforts, and the transition of expenses that were previously focused on research and</w:t>
      </w:r>
    </w:p>
    <w:p>
      <w:pPr>
        <w:ind w:right="100"/>
        <w:spacing w:after="0" w:line="229" w:lineRule="auto"/>
        <w:rPr>
          <w:sz w:val="20"/>
          <w:szCs w:val="20"/>
          <w:color w:val="auto"/>
        </w:rPr>
      </w:pPr>
      <w:r>
        <w:rPr>
          <w:rFonts w:ascii="Arial" w:cs="Arial" w:eastAsia="Arial" w:hAnsi="Arial"/>
          <w:sz w:val="18"/>
          <w:szCs w:val="18"/>
          <w:color w:val="auto"/>
        </w:rPr>
        <w:t>development efforts, but now relate to selling, specifically as they relate to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oil and gas business, since most of the expenses related to these business units are no longer in the research and development phase of product development. Selling expenses as a percentage of net sales increased to 23.8% and 23.4% for the three and nine months ended May 31, 2017, respectively, from 17.4% and 19.3% and during the three and nine months ended May 31, 2016, respectively. The increases in selling expenses as a percentage of net sales were due primarily to the transition of expenses as noted above.</w:t>
      </w:r>
    </w:p>
    <w:p>
      <w:pPr>
        <w:spacing w:after="0" w:line="20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NTIC’s general and administrative expenses decreased 14.1% and increased 1.0% for the three and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May 31, 2017, respectively, compared to the same respective periods in fiscal 2016. The decrease for the three-month comparison was partially offset by and the increase for the nine-month comparison was primarily due to: (i) the transition of expenses that were previously focused on research and development efforts, but now relate to general and administrative focus, specifically as they relate to Natur-Tec® products and the ZERUST® oil and gas business, since most of the expenses related to these business units are no longer in the research and development phase of product development; and (ii) an increase in legal expenses in North America related to the litigation against Cortec Corporation, which increased $254,000 for the nine-month comparison. As a percentage of net sales, general and administrative expenses decreased to 16.5% and 20.9% for the three and nine months ended May 31, 2017, respectively, from 22.5% and 25.4% for the three and nine months ended May 31, 2016, respectively. The decreases in general and administrative expenses as a percentage of net sales for the three- and nine-month comparisons were due primarily to the increase in net sales and for the three-month comparison, the decrease in general and administrative expenses as previously described.</w:t>
      </w:r>
    </w:p>
    <w:p>
      <w:pPr>
        <w:spacing w:after="0" w:line="17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decreased 40.4% for the three months ended May 31, 2017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fiscal 2016 and decreased 36.8% for the nine months ended May 31, 2017 compared to the same period in fiscal 2016. These decreases were due primarily to the transition of resources that were previously devoted towards research and development to selling and general and administrative efforts, as previously described.</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ind w:right="14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$10,996 and $19,075 during the three and nine months ended May 31, 2017,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$29,868 and $58,425 during the three and nine months ended May 31, 2016, respectively.</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$7,409 during the three months ended May 31, 2017 compared to $15,465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May 31, 2016 and decreased to $15,502 during the nine months ended May 31, 2017 compared to $30,987 during the nine months ended May 31, 2016.</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NTIC incurred income before income tax expense of $1,733,525 and $2,867,814 during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May 31, 2017, respectively, compared to $1,249,382 and $1,142,691 during the three and nine months ended May 31, 2016, respectively.</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was $237,801 and $480,423 during the three and nine months ended May 31, 2017,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$225,395 and $262,359 during the three and nine months ended May 31, 2016, respectively. Income tax expense was calculated based on management’s estimate of NTIC’s annual effective income tax rate.</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based on estimates that NTIC’s future domestic cash generation will be sufficient to meet future domestic cash needs. Thus, U.S. income and foreign withholding taxes have not been recognized on the cumulative undistributed earnings of $16,829,258 and $17,779,912 at May 31, 2017 and August 31, 2016,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Comprehensive Income (Loss) - Foreign Currency Translations Adjustment. </w:t>
      </w:r>
      <w:r>
        <w:rPr>
          <w:rFonts w:ascii="Arial" w:cs="Arial" w:eastAsia="Arial" w:hAnsi="Arial"/>
          <w:sz w:val="18"/>
          <w:szCs w:val="18"/>
          <w:color w:val="auto"/>
        </w:rPr>
        <w:t>The significant changes in the foreign currency translations adjustment was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strengthening of the U.S. dollar compared to the Euro and other foreign currencies during the three and nine months ended May 31, 2017 compared to the same respective periods in fiscal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May 31, 2017, NTIC’s working capital was $19,858,912, including $3,500,164 in cash and cash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$3,756,680 in available for sale securities, compared to $16,948,069 at August 31, 2016, including $3,395,274 in cash and cash equivalents and $2,243,864 in available for sale securities.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May 31, 2017, NTIC had a revolving line of credit with PNC Bank, National Association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May 31, 2017, NTIC was in compliance with all debt covenants.</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January 11, 2017, NTIC and PNC Bank extended the maturity date of the line of credit retroactively from January 7, 2017 to January 7, 2018.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ind w:right="2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and any stock repurchases for at least the next 12 months. During the remainder of fiscal 2017, NTIC expects to continue to invest in NTIC China, research and development and in marketing efforts and resources into the application of its corrosion prevention technology into the oil and gas industry and its Natur-Tec® bioplastics business.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18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i w:val="1"/>
          <w:iCs w:val="1"/>
          <w:color w:val="auto"/>
        </w:rPr>
        <w:t>Uses of Cash and Cash Flows</w:t>
      </w:r>
      <w:r>
        <w:rPr>
          <w:rFonts w:ascii="Arial" w:cs="Arial" w:eastAsia="Arial" w:hAnsi="Arial"/>
          <w:sz w:val="17"/>
          <w:szCs w:val="17"/>
          <w:color w:val="auto"/>
        </w:rPr>
        <w:t>. Net cash provided by operating activities during the nine months ended May 31, 2017 was $2,826,166, which resulted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from dividends received from joint ventures, net income, an increase in accounts payable and depreciation and amortization, partially offset by NTIC’s equity in income from joint ventures and an increase in trade receivables. Net cash provided by operating activities during the nine months ended May 31, 2016 was $3,053,297, which resulted principally from dividends received from NTIC’s joint ventures, net income, the expensing of fair value of stock options vested, depreciation and amortization expense, and an increase in accounts payable, partially offset by equity income from NTIC’s joint ventures, and a decrease in trade receivables and accrued liabilities.</w:t>
      </w:r>
    </w:p>
    <w:p>
      <w:pPr>
        <w:spacing w:after="0" w:line="17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ind w:right="140"/>
        <w:spacing w:after="0" w:line="254" w:lineRule="auto"/>
        <w:rPr>
          <w:sz w:val="20"/>
          <w:szCs w:val="20"/>
          <w:color w:val="auto"/>
        </w:rPr>
      </w:pPr>
      <w:r>
        <w:rPr>
          <w:rFonts w:ascii="Arial" w:cs="Arial" w:eastAsia="Arial" w:hAnsi="Arial"/>
          <w:sz w:val="18"/>
          <w:szCs w:val="18"/>
          <w:color w:val="auto"/>
        </w:rPr>
        <w:t>NTIC experienced an increase in trade receivables and inventory as of May 31, 2017 compared to August 31, 2016. Trade receivables excluding joint ventures as of May 31, 2017 increased $1,434,776 compared to August 31, 2016, primarily related to the timing of collections and the increase in sales. Outstanding trade receivables excluding joint ventures balances as of May 31, 2017 increased 11 days to an average of 61 days from balances outstanding from these customers as of August 31, 2016. Outstanding trade receivables from joint ventures as of May 31, 2017 increased $503,863 compared to August 31, 2016 primarily due to the timing of payments. Outstanding balances from trade receivables from joint ventures increased as of May 31, 2017 by an average of 42 days from an average of 96 days from balances outstanding from these customers compared to August 31, 2016. The significant average days outstanding of trade receivables from joint ventures as of May 31, 2017 were primarily due to the receivables balances at NTIC’s joint venture in South Korea.</w:t>
      </w:r>
    </w:p>
    <w:p>
      <w:pPr>
        <w:spacing w:after="0" w:line="19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Outstanding receivables for services provided to joint ventures as of May 31, 2017 decreased $181,610 compared to August 31, 2016, which resulted in a decrease of 19 days of fees receivable outstanding as of May 31, 2017 to an average of 78 days compared to August 31, 2016.</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investing activities for the nine months ended May 31, 2017 was $2,398,443, which was primarily the result of cash used in the purchase of available for sale securities, additions to property and equipment, and additions to patents. Net cash used in investing activities for the nine months ended May 31, 2016 was $794,668, which was primarily the result of additions to property and equipment, cash used in the purchase of available for sale securities, and additions to patents.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financing activities for the nine months ended May 31, 2017 was $308,689, which resulted from a dividend paid to a non-controlling interest and the repurchase of common stock, partially offset by proceeds from NTIC’s employee stock purchase plan and stock option exercises. Net cash used in financing activities for the nine months ended May 31, 2016 was $228,817, which resulted from a dividend paid to a non-controlling interest and the repurchase of common stock, partially offset by proceeds from NTIC’s employee stock purchase plan.</w:t>
      </w:r>
    </w:p>
    <w:p>
      <w:pPr>
        <w:spacing w:after="0" w:line="18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i w:val="1"/>
          <w:iCs w:val="1"/>
          <w:color w:val="auto"/>
        </w:rPr>
        <w:t>Share Repurchase Plan</w:t>
      </w:r>
      <w:r>
        <w:rPr>
          <w:rFonts w:ascii="Arial" w:cs="Arial" w:eastAsia="Arial" w:hAnsi="Arial"/>
          <w:sz w:val="18"/>
          <w:szCs w:val="18"/>
          <w:color w:val="auto"/>
        </w:rPr>
        <w:t>. On January 15, 2015, NTIC’s Board of Directors authorized the repurchase of up to $3,000,000 in shares of NTIC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market purchases or unsolicited or solicited privately negotiated transactions. This program has no expiration date but may be terminated by NTIC’s Board of Directors at any time. As of May 31, 2017, up to $2,640,603 in shares of NTIC common stock remained available for repurchase under NTIC’s stock repurchase program.</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$760,847 on capital expenditures during the nine months ended May 31, 2017 and expects to spend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of approximately $800,000 to $900,000 on capital expenditures during fiscal 2017, which it expects will relate primarily to the purchase of new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There has been no material change to NTIC’s contractual obligations as provided in “</w:t>
      </w:r>
      <w:r>
        <w:rPr>
          <w:rFonts w:ascii="Arial" w:cs="Arial" w:eastAsia="Arial" w:hAnsi="Arial"/>
          <w:sz w:val="16"/>
          <w:szCs w:val="16"/>
          <w:i w:val="1"/>
          <w:iCs w:val="1"/>
          <w:color w:val="auto"/>
        </w:rPr>
        <w:t>Part II. Item 7,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Operations—Contractual Obligations</w:t>
      </w:r>
      <w:r>
        <w:rPr>
          <w:rFonts w:ascii="Arial" w:cs="Arial" w:eastAsia="Arial" w:hAnsi="Arial"/>
          <w:sz w:val="16"/>
          <w:szCs w:val="16"/>
          <w:color w:val="auto"/>
        </w:rPr>
        <w:t>,” included in NTIC’s annual report on Form 10-K for the fiscal year ended August 31,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now some seasonality in its business. NTIC believes that its net sales in second fiscal quarter were adversely affected by the long Chinese New Year, the North American holiday season and overall less corrosion taking place at lower winter temperatures worldwide.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2017, NTIC had no borrowings under the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w:t>
      </w:r>
      <w:r>
        <w:rPr>
          <w:rFonts w:ascii="Arial" w:cs="Arial" w:eastAsia="Arial" w:hAnsi="Arial"/>
          <w:sz w:val="18"/>
          <w:szCs w:val="18"/>
          <w:i w:val="1"/>
          <w:iCs w:val="1"/>
          <w:color w:val="auto"/>
        </w:rPr>
        <w:t>Part II. 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Operations—Critical Accounting Policies</w:t>
      </w:r>
      <w:r>
        <w:rPr>
          <w:rFonts w:ascii="Arial" w:cs="Arial" w:eastAsia="Arial" w:hAnsi="Arial"/>
          <w:sz w:val="18"/>
          <w:szCs w:val="18"/>
          <w:color w:val="auto"/>
        </w:rPr>
        <w:t>,” included in NTIC’s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August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30" w:name="page31"/>
    <w:bookmarkEnd w:id="30"/>
    <w:p>
      <w:pPr>
        <w:ind w:right="16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operations in China, the termination of the joint venture agreements with Tianjin Zerust, and the anticipated liquidation of Tianjin Zerust and the effect of these events on NTIC’s business and future operating results;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NTIC’s ongoing litigation against Mr. Tao Meng, its former joint venture partner, and NTIC’s ongoing litigation against Cortec Corporation, and the effect of these legal matters and the expense associated therewith on NTIC’s business and future operating results;</w:t>
      </w:r>
    </w:p>
    <w:p>
      <w:pPr>
        <w:spacing w:after="0" w:line="146" w:lineRule="exact"/>
        <w:rPr>
          <w:rFonts w:ascii="Arial" w:cs="Arial" w:eastAsia="Arial" w:hAnsi="Arial"/>
          <w:sz w:val="17"/>
          <w:szCs w:val="17"/>
          <w:color w:val="auto"/>
        </w:rPr>
      </w:pPr>
    </w:p>
    <w:p>
      <w:pPr>
        <w:ind w:left="980" w:right="5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4" w:lineRule="exact"/>
        <w:rPr>
          <w:rFonts w:ascii="Arial" w:cs="Arial" w:eastAsia="Arial" w:hAnsi="Arial"/>
          <w:sz w:val="18"/>
          <w:szCs w:val="18"/>
          <w:color w:val="auto"/>
        </w:rPr>
      </w:pPr>
    </w:p>
    <w:p>
      <w:pPr>
        <w:ind w:left="980" w:right="520" w:hanging="324"/>
        <w:spacing w:after="0" w:line="202" w:lineRule="auto"/>
        <w:tabs>
          <w:tab w:leader="none" w:pos="98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color w:val="auto"/>
        </w:rPr>
        <w:t>The variability in NTIC’s sales of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NTIC’s equity income of joint ventures, which variability in sales and equity in income of joint venture in turn, subject NTIC’s earnings to quarterly fluctuations;</w:t>
      </w:r>
    </w:p>
    <w:p>
      <w:pPr>
        <w:spacing w:after="0" w:line="204" w:lineRule="exact"/>
        <w:rPr>
          <w:rFonts w:ascii="Arial" w:cs="Arial" w:eastAsia="Arial" w:hAnsi="Arial"/>
          <w:sz w:val="36"/>
          <w:szCs w:val="36"/>
          <w:color w:val="auto"/>
          <w:vertAlign w:val="superscript"/>
        </w:rPr>
      </w:pPr>
    </w:p>
    <w:p>
      <w:pPr>
        <w:ind w:left="980" w:right="3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the referendum vote of the United Kingdom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980" w:right="80" w:hanging="324"/>
        <w:spacing w:after="0" w:line="22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1" w:name="page32"/>
    <w:bookmarkEnd w:id="31"/>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8" w:lineRule="exact"/>
        <w:rPr>
          <w:rFonts w:ascii="Arial" w:cs="Arial" w:eastAsia="Arial" w:hAnsi="Arial"/>
          <w:sz w:val="18"/>
          <w:szCs w:val="18"/>
          <w:color w:val="auto"/>
        </w:rPr>
      </w:pPr>
    </w:p>
    <w:p>
      <w:pPr>
        <w:ind w:left="980" w:right="300" w:hanging="324"/>
        <w:spacing w:after="0" w:line="186" w:lineRule="auto"/>
        <w:tabs>
          <w:tab w:leader="none" w:pos="980"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7" w:lineRule="exact"/>
        <w:rPr>
          <w:rFonts w:ascii="Arial" w:cs="Arial" w:eastAsia="Arial" w:hAnsi="Arial"/>
          <w:sz w:val="36"/>
          <w:szCs w:val="36"/>
          <w:color w:val="auto"/>
          <w:vertAlign w:val="superscript"/>
        </w:rPr>
      </w:pPr>
    </w:p>
    <w:p>
      <w:pPr>
        <w:ind w:left="980" w:hanging="324"/>
        <w:spacing w:after="0" w:line="186" w:lineRule="auto"/>
        <w:tabs>
          <w:tab w:leader="none" w:pos="980"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3" w:lineRule="exact"/>
        <w:rPr>
          <w:rFonts w:ascii="Arial" w:cs="Arial" w:eastAsia="Arial" w:hAnsi="Arial"/>
          <w:sz w:val="36"/>
          <w:szCs w:val="36"/>
          <w:color w:val="auto"/>
          <w:vertAlign w:val="superscript"/>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w:t>
      </w:r>
    </w:p>
    <w:p>
      <w:pPr>
        <w:spacing w:after="0" w:line="78" w:lineRule="exact"/>
        <w:rPr>
          <w:rFonts w:ascii="Arial" w:cs="Arial" w:eastAsia="Arial" w:hAnsi="Arial"/>
          <w:sz w:val="36"/>
          <w:szCs w:val="36"/>
          <w:color w:val="auto"/>
          <w:vertAlign w:val="superscript"/>
        </w:rPr>
      </w:pPr>
    </w:p>
    <w:p>
      <w:pPr>
        <w:ind w:left="980" w:right="3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2016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2" w:name="page33"/>
    <w:bookmarkEnd w:id="32"/>
    <w:p>
      <w:pPr>
        <w:ind w:right="40"/>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2017, NTIC had no borrowings under the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Chief Executive Officer and Chief Financial Officer, as appropriate, to allow timely decisions regarding required disclosure.</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May 31, 2017 that has materially affected, or is reasonably likely to materially affect NTIC’s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23, 2015, NTIC and NTI Asean LLC, a majority-owned subsidiary of NTIC,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The lawsuit alleges, among other things, that Mr. Tao Meng and Xu Hui have engaged in self-dealing, usurped business opportunities, and received economic benefits that were required to go to Tianjin Zerust. At this point it is too early in the lawsuit to reasonably estimate the amount of any recovery to NTI Asean.</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On April 21, 2015, NTIC and NTI Asean initiated a lawsuit in the District Court for the Second Judicial District, County of Ramsey, State of Minnesota against Cortec Corporation alleging, among other things, that Cortec Corporation (Cortec) aided and abetted breaches of duties and contractual commitments owed to NTIC and NTI Asean related to NTIC’s joint venture in China, Tianjin Zerust. After fully litigating the case through discovery and dispositive motion practice, on February 16, 2017, the Minnesota court denied both sides’ motions for summary judgment and, </w:t>
      </w:r>
      <w:r>
        <w:rPr>
          <w:rFonts w:ascii="Arial" w:cs="Arial" w:eastAsia="Arial" w:hAnsi="Arial"/>
          <w:sz w:val="16"/>
          <w:szCs w:val="16"/>
          <w:i w:val="1"/>
          <w:iCs w:val="1"/>
          <w:color w:val="auto"/>
        </w:rPr>
        <w:t>sua sponte</w:t>
      </w:r>
      <w:r>
        <w:rPr>
          <w:rFonts w:ascii="Arial" w:cs="Arial" w:eastAsia="Arial" w:hAnsi="Arial"/>
          <w:sz w:val="16"/>
          <w:szCs w:val="16"/>
          <w:color w:val="auto"/>
        </w:rPr>
        <w:t>, dismissed without prejudice NTIC’s and NTI Asean’s claims based on a non-exclusive forum-selection clause contained in a 2005 settlement agreement between NTIC and Cortec Corporation. While NTIC had strong arguments to appeal the Minnesota court’s decision, an appeal would have meant a significant delay to the resolution of the dispute. On April 21, 2017, NTIC re-filed the lawsuit in the United States District Court for the Northern District of Ohio. On May 15, 2017, Cortec filed an answer and counterclaim. The counterclaim was promptly dismissed by the Court. Cortec has agreed that all the discovery and information learned in the Minnesota case may be used in the Ohio case. The parties attended a Case Management Conference (CMC) on June 21, 2017. The Court set a deadline of September 4, 2017 to complete discovery and set the case for a jury trial on a two-week standby period beginning on September 18, 2017.</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months ended May 31, 2017,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stock repurchase activity during the three months ended May 31, 2017.</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460" w:type="dxa"/>
            <w:vAlign w:val="bottom"/>
            <w:tcBorders>
              <w:top w:val="single" w:sz="8" w:color="auto"/>
              <w:left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Total</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Purchased As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Number of</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that May Yet Be</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6"/>
              </w:rPr>
              <w:t>Shares</w:t>
            </w:r>
          </w:p>
        </w:tc>
        <w:tc>
          <w:tcPr>
            <w:tcW w:w="21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Average Price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346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(or Units)</w:t>
            </w:r>
          </w:p>
        </w:tc>
        <w:tc>
          <w:tcPr>
            <w:tcW w:w="21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Paid Per Share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3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4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Purchased</w:t>
            </w:r>
          </w:p>
        </w:tc>
        <w:tc>
          <w:tcPr>
            <w:tcW w:w="21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(or Unit)</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10"/>
        </w:trPr>
        <w:tc>
          <w:tcPr>
            <w:tcW w:w="3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March 1, 2017 through March 31, 2017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10"/>
        </w:trPr>
        <w:tc>
          <w:tcPr>
            <w:tcW w:w="3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April 1, 2017 through April 30, 2017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800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$15.60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800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r>
        <w:trPr>
          <w:trHeight w:val="195"/>
        </w:trPr>
        <w:tc>
          <w:tcPr>
            <w:tcW w:w="34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May 1, 2017 through</w:t>
            </w:r>
          </w:p>
        </w:tc>
        <w:tc>
          <w:tcPr>
            <w:tcW w:w="14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2,250</w:t>
            </w:r>
          </w:p>
        </w:tc>
        <w:tc>
          <w:tcPr>
            <w:tcW w:w="2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$15.90</w:t>
            </w:r>
          </w:p>
        </w:tc>
        <w:tc>
          <w:tcPr>
            <w:tcW w:w="2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2,250</w:t>
            </w:r>
          </w:p>
        </w:tc>
        <w:tc>
          <w:tcPr>
            <w:tcW w:w="2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(1)(2)</w:t>
            </w:r>
          </w:p>
        </w:tc>
      </w:tr>
      <w:tr>
        <w:trPr>
          <w:trHeight w:val="230"/>
        </w:trPr>
        <w:tc>
          <w:tcPr>
            <w:tcW w:w="3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May 31, 2017</w:t>
            </w:r>
          </w:p>
        </w:tc>
        <w:tc>
          <w:tcPr>
            <w:tcW w:w="148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r>
      <w:tr>
        <w:trPr>
          <w:trHeight w:val="210"/>
        </w:trPr>
        <w:tc>
          <w:tcPr>
            <w:tcW w:w="3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3,050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$15.74</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3,050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r>
    </w:tbl>
    <w:p>
      <w:pPr>
        <w:spacing w:after="0" w:line="202" w:lineRule="exact"/>
        <w:rPr>
          <w:sz w:val="20"/>
          <w:szCs w:val="20"/>
          <w:color w:val="auto"/>
        </w:rPr>
      </w:pPr>
    </w:p>
    <w:p>
      <w:pPr>
        <w:ind w:left="660" w:right="44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1" w:lineRule="exact"/>
        <w:rPr>
          <w:rFonts w:ascii="Arial" w:cs="Arial" w:eastAsia="Arial" w:hAnsi="Arial"/>
          <w:sz w:val="18"/>
          <w:szCs w:val="18"/>
          <w:color w:val="auto"/>
        </w:rPr>
      </w:pPr>
    </w:p>
    <w:p>
      <w:pPr>
        <w:ind w:left="660" w:right="80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May 31, 2017, up to $2,640,603 in shares of NTIC common stock remained available for repurchase under NTIC’s stock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2"/>
                <w:szCs w:val="22"/>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160" w:type="dxa"/>
            <w:vAlign w:val="bottom"/>
          </w:tcPr>
          <w:p>
            <w:pPr>
              <w:jc w:val="center"/>
              <w:spacing w:after="0" w:line="189" w:lineRule="exact"/>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16"/>
                <w:szCs w:val="16"/>
                <w:color w:val="auto"/>
              </w:rPr>
            </w:pPr>
          </w:p>
        </w:tc>
        <w:tc>
          <w:tcPr>
            <w:tcW w:w="10040" w:type="dxa"/>
            <w:vAlign w:val="bottom"/>
          </w:tcPr>
          <w:p>
            <w:pPr>
              <w:spacing w:after="0" w:line="189" w:lineRule="exact"/>
              <w:rPr>
                <w:sz w:val="20"/>
                <w:szCs w:val="20"/>
                <w:color w:val="auto"/>
              </w:rPr>
            </w:pPr>
            <w:r>
              <w:rPr>
                <w:rFonts w:ascii="Arial" w:cs="Arial" w:eastAsia="Arial" w:hAnsi="Arial"/>
                <w:sz w:val="18"/>
                <w:szCs w:val="18"/>
                <w:color w:val="auto"/>
                <w:w w:val="92"/>
              </w:rPr>
              <w:t>Certification of Chief Executive Officer Pursuant to Exchange Act Rules 13a-14(a)/15d-14(a), as Adopted Pursuant to Section 302 of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Exchange Act Rules 13a-14(a)/15d-14(a), as Adopted Pursuant to Section 302 of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 (furnished herewith)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 (furnished herewith)</w:t>
            </w:r>
          </w:p>
        </w:tc>
      </w:tr>
    </w:tbl>
    <w:p>
      <w:pPr>
        <w:ind w:left="1380" w:right="180" w:hanging="933"/>
        <w:spacing w:after="0" w:line="254"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materials from NTIC’s Quarterly Report on Form 10-Q for the fiscal quarter ended May 31, 2017, formatted in XBRL (Extensible Business Reporting Language): (i) the unaudited Consolidated Balance Sheets, (ii) the unaudited Consolidated Statements of Operations, (iii) the unaudited Consolidated Statements of Comprehensive Income, (iv) the unaudited Consolidated Statements of Cash Flows, and (v) Notes to Consolidated Financial Statements (filed herewith)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1209040" cy="6000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904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July 14, 2017</w:t>
            </w: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 and</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Duly Authorized to Sign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400" w:type="dxa"/>
            <w:vAlign w:val="bottom"/>
            <w:tcBorders>
              <w:top w:val="single" w:sz="8" w:color="auto"/>
              <w:left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Exhibit No.</w:t>
            </w:r>
          </w:p>
        </w:tc>
        <w:tc>
          <w:tcPr>
            <w:tcW w:w="6280" w:type="dxa"/>
            <w:vAlign w:val="bottom"/>
            <w:tcBorders>
              <w:top w:val="single" w:sz="8" w:color="auto"/>
              <w:right w:val="single" w:sz="8" w:color="auto"/>
            </w:tcBorders>
            <w:vMerge w:val="restart"/>
          </w:tcPr>
          <w:p>
            <w:pPr>
              <w:ind w:left="2680"/>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Method of Filing</w:t>
            </w:r>
          </w:p>
        </w:tc>
        <w:tc>
          <w:tcPr>
            <w:tcW w:w="0" w:type="dxa"/>
            <w:vAlign w:val="bottom"/>
          </w:tcPr>
          <w:p>
            <w:pPr>
              <w:spacing w:after="0"/>
              <w:rPr>
                <w:sz w:val="1"/>
                <w:szCs w:val="1"/>
                <w:color w:val="auto"/>
              </w:rPr>
            </w:pPr>
          </w:p>
        </w:tc>
      </w:tr>
      <w:tr>
        <w:trPr>
          <w:trHeight w:val="198"/>
        </w:trPr>
        <w:tc>
          <w:tcPr>
            <w:tcW w:w="1400" w:type="dxa"/>
            <w:vAlign w:val="bottom"/>
            <w:tcBorders>
              <w:left w:val="single" w:sz="8" w:color="auto"/>
              <w:bottom w:val="single" w:sz="8" w:color="auto"/>
              <w:right w:val="single" w:sz="8" w:color="auto"/>
            </w:tcBorders>
          </w:tcPr>
          <w:p>
            <w:pPr>
              <w:spacing w:after="0"/>
              <w:rPr>
                <w:sz w:val="17"/>
                <w:szCs w:val="17"/>
                <w:color w:val="auto"/>
              </w:rPr>
            </w:pPr>
          </w:p>
        </w:tc>
        <w:tc>
          <w:tcPr>
            <w:tcW w:w="6280" w:type="dxa"/>
            <w:vAlign w:val="bottom"/>
            <w:tcBorders>
              <w:bottom w:val="single" w:sz="8" w:color="auto"/>
              <w:right w:val="single" w:sz="8" w:color="auto"/>
            </w:tcBorders>
            <w:vMerge w:val="continue"/>
          </w:tcPr>
          <w:p>
            <w:pPr>
              <w:spacing w:after="0"/>
              <w:rPr>
                <w:sz w:val="17"/>
                <w:szCs w:val="17"/>
                <w:color w:val="auto"/>
              </w:rPr>
            </w:pPr>
          </w:p>
        </w:tc>
        <w:tc>
          <w:tcPr>
            <w:tcW w:w="37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31.1</w:t>
            </w:r>
          </w:p>
        </w:tc>
        <w:tc>
          <w:tcPr>
            <w:tcW w:w="6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Certification of Chief Executive Officer Pursuant to Exchange Act Rules 13a-</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14(a)/15d-14(a), as Adopted Pursuant to Section 302 of the Sarbanes-Oxley Act of</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2002</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31.2</w:t>
            </w:r>
          </w:p>
        </w:tc>
        <w:tc>
          <w:tcPr>
            <w:tcW w:w="6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Certification of Chief Financial Officer Pursuant to Exchange Act Rules 13a-</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14(a)/15d-14(a), as Adopted Pursuant to Section 302 of the Sarbanes-Oxley Act of</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2002</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32.1</w:t>
            </w:r>
          </w:p>
        </w:tc>
        <w:tc>
          <w:tcPr>
            <w:tcW w:w="6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Certification of Chief Executive Officer Pursuant to 18 U.S.C. Section 1350, as</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Adopted Pursuant to Section 906 of the Sarbanes-Oxley Act of 2002</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32.2</w:t>
            </w:r>
          </w:p>
        </w:tc>
        <w:tc>
          <w:tcPr>
            <w:tcW w:w="6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Certification of Chief Financial Officer Pursuant to 18 U.S.C. Section 1350, as</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Adopted Pursuant to Section 906 of the Sarbanes-Oxley Act of 2002</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101</w:t>
            </w:r>
          </w:p>
        </w:tc>
        <w:tc>
          <w:tcPr>
            <w:tcW w:w="6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9"/>
              </w:rPr>
              <w:t>The following materials from Northern Technologies International Corporation’s</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Quarterly Report on Form 10-Q for the fiscal quarter ended May 31, 2017, formatted</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in XBRL (Extensible Business Reporting Language): (i) the unaudited Consolidated</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Balance Sheets, (ii) the unaudited Consolidated Statements of Operations, (iii) the</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unaudited Consolidated Statements of Comprehensive Income, (iv) the unaudited</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Consolidated Statements of Cash Flows, and (v) Notes to Consolidated Financial</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Statements</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right="180" w:hanging="6"/>
        <w:spacing w:after="0" w:line="264" w:lineRule="auto"/>
        <w:tabs>
          <w:tab w:leader="none" w:pos="10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0" w:hanging="6"/>
        <w:spacing w:after="0" w:line="264" w:lineRule="auto"/>
        <w:tabs>
          <w:tab w:leader="none" w:pos="102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700" w:hanging="6"/>
        <w:spacing w:after="0" w:line="342" w:lineRule="auto"/>
        <w:tabs>
          <w:tab w:leader="none" w:pos="101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180" w:hanging="6"/>
        <w:spacing w:after="0" w:line="264" w:lineRule="auto"/>
        <w:tabs>
          <w:tab w:leader="none" w:pos="102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00" w:hanging="6"/>
        <w:spacing w:after="0" w:line="277" w:lineRule="auto"/>
        <w:tabs>
          <w:tab w:leader="none" w:pos="10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60"/>
        <w:spacing w:after="0" w:line="277" w:lineRule="auto"/>
        <w:tabs>
          <w:tab w:leader="none" w:pos="10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ind w:left="6080" w:right="3060" w:hanging="6072"/>
        <w:spacing w:after="0"/>
        <w:rPr>
          <w:sz w:val="20"/>
          <w:szCs w:val="20"/>
          <w:color w:val="auto"/>
        </w:rPr>
      </w:pPr>
      <w:r>
        <w:rPr>
          <w:rFonts w:ascii="Arial" w:cs="Arial" w:eastAsia="Arial" w:hAnsi="Arial"/>
          <w:sz w:val="18"/>
          <w:szCs w:val="18"/>
          <w:color w:val="auto"/>
        </w:rPr>
        <w:t xml:space="preserve">Date: July 14, 2017 </w:t>
      </w:r>
      <w:r>
        <w:rPr>
          <w:sz w:val="1"/>
          <w:szCs w:val="1"/>
          <w:color w:val="auto"/>
        </w:rPr>
        <w:drawing>
          <wp:inline distT="0" distB="0" distL="0" distR="0">
            <wp:extent cx="1655445" cy="41148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55445" cy="411480"/>
                    </a:xfrm>
                    <a:prstGeom prst="rect">
                      <a:avLst/>
                    </a:prstGeom>
                    <a:noFill/>
                    <a:ln>
                      <a:noFill/>
                    </a:ln>
                  </pic:spPr>
                </pic:pic>
              </a:graphicData>
            </a:graphic>
          </wp:inline>
        </w:drawing>
      </w:r>
      <w:r>
        <w:rPr>
          <w:rFonts w:ascii="Arial" w:cs="Arial" w:eastAsia="Arial" w:hAnsi="Arial"/>
          <w:sz w:val="18"/>
          <w:szCs w:val="18"/>
          <w:color w:val="auto"/>
        </w:rPr>
        <w:t xml:space="preserve"> 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-145415</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right="100" w:hanging="5"/>
        <w:spacing w:after="0" w:line="264" w:lineRule="auto"/>
        <w:tabs>
          <w:tab w:leader="none" w:pos="10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320" w:hanging="5"/>
        <w:spacing w:after="0" w:line="264" w:lineRule="auto"/>
        <w:tabs>
          <w:tab w:leader="none" w:pos="11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620" w:hanging="5"/>
        <w:spacing w:after="0" w:line="342" w:lineRule="auto"/>
        <w:tabs>
          <w:tab w:leader="none" w:pos="1095"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80" w:right="100" w:hanging="5"/>
        <w:spacing w:after="0" w:line="264" w:lineRule="auto"/>
        <w:tabs>
          <w:tab w:leader="none" w:pos="11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20" w:hanging="5"/>
        <w:spacing w:after="0" w:line="277" w:lineRule="auto"/>
        <w:tabs>
          <w:tab w:leader="none" w:pos="108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540" w:hanging="5"/>
        <w:spacing w:after="0" w:line="277" w:lineRule="auto"/>
        <w:tabs>
          <w:tab w:leader="none" w:pos="10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134620</wp:posOffset>
            </wp:positionV>
            <wp:extent cx="1209040" cy="6000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904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Date: July 14, 2017</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CERTIFICATION PURSUANT TO 18 U.S.C. SECTION 1350, AS ADOPTED PURSUANT TO SECTION 906 OF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SARBANES-OXLEY ACT OF 2002</w:t>
      </w:r>
    </w:p>
    <w:p>
      <w:pPr>
        <w:spacing w:after="0" w:line="1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2017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576"/>
        <w:spacing w:after="0"/>
        <w:tabs>
          <w:tab w:leader="none" w:pos="1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576"/>
        <w:spacing w:after="0" w:line="277" w:lineRule="auto"/>
        <w:tabs>
          <w:tab w:leader="none" w:pos="1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2761615" cy="4546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61615" cy="4546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1" w:name="page42"/>
    <w:bookmarkEnd w:id="41"/>
    <w:p>
      <w:pPr>
        <w:ind w:left="10480"/>
        <w:spacing w:after="0"/>
        <w:rPr>
          <w:sz w:val="20"/>
          <w:szCs w:val="20"/>
          <w:color w:val="auto"/>
        </w:rPr>
      </w:pPr>
      <w:r>
        <w:rPr>
          <w:rFonts w:ascii="Arial" w:cs="Arial" w:eastAsia="Arial" w:hAnsi="Arial"/>
          <w:sz w:val="16"/>
          <w:szCs w:val="16"/>
          <w:b w:val="1"/>
          <w:bCs w:val="1"/>
          <w:color w:val="auto"/>
        </w:rPr>
        <w:t>Exhibit 32.2</w:t>
      </w:r>
    </w:p>
    <w:p>
      <w:pPr>
        <w:spacing w:after="0" w:line="239"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2017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576"/>
        <w:spacing w:after="0"/>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576"/>
        <w:spacing w:after="0" w:line="277" w:lineRule="auto"/>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209040" cy="6000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904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616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5"/>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7"/>
    </w:lvl>
  </w:abstractNum>
  <w:abstractNum w:abstractNumId="7">
    <w:nsid w:val="4E6AFB66"/>
    <w:multiLevelType w:val="hybridMultilevel"/>
    <w:lvl w:ilvl="0">
      <w:lvlJc w:val="left"/>
      <w:lvlText w:val="%1."/>
      <w:numFmt w:val="decimal"/>
      <w:start w:val="8"/>
    </w:lvl>
  </w:abstractNum>
  <w:abstractNum w:abstractNumId="8">
    <w:nsid w:val="25E45D32"/>
    <w:multiLevelType w:val="hybridMultilevel"/>
    <w:lvl w:ilvl="0">
      <w:lvlJc w:val="left"/>
      <w:lvlText w:val="%1."/>
      <w:numFmt w:val="decimal"/>
      <w:start w:val="9"/>
    </w:lvl>
  </w:abstractNum>
  <w:abstractNum w:abstractNumId="9">
    <w:nsid w:val="519B500D"/>
    <w:multiLevelType w:val="hybridMultilevel"/>
    <w:lvl w:ilvl="0">
      <w:lvlJc w:val="left"/>
      <w:lvlText w:val="%1."/>
      <w:numFmt w:val="decimal"/>
      <w:start w:val="10"/>
    </w:lvl>
  </w:abstractNum>
  <w:abstractNum w:abstractNumId="10">
    <w:nsid w:val="431BD7B7"/>
    <w:multiLevelType w:val="hybridMultilevel"/>
    <w:lvl w:ilvl="0">
      <w:lvlJc w:val="left"/>
      <w:lvlText w:val="%1."/>
      <w:numFmt w:val="decimal"/>
      <w:start w:val="11"/>
    </w:lvl>
  </w:abstractNum>
  <w:abstractNum w:abstractNumId="11">
    <w:nsid w:val="3F2DBA31"/>
    <w:multiLevelType w:val="hybridMultilevel"/>
    <w:lvl w:ilvl="0">
      <w:lvlJc w:val="left"/>
      <w:lvlText w:val="%1."/>
      <w:numFmt w:val="decimal"/>
      <w:start w:val="12"/>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3"/>
    </w:lvl>
  </w:abstractNum>
  <w:abstractNum w:abstractNumId="14">
    <w:nsid w:val="62BBD95A"/>
    <w:multiLevelType w:val="hybridMultilevel"/>
    <w:lvl w:ilvl="0">
      <w:lvlJc w:val="left"/>
      <w:lvlText w:val="%1."/>
      <w:numFmt w:val="decimal"/>
      <w:start w:val="14"/>
    </w:lvl>
  </w:abstractNum>
  <w:abstractNum w:abstractNumId="15">
    <w:nsid w:val="436C6125"/>
    <w:multiLevelType w:val="hybridMultilevel"/>
    <w:lvl w:ilvl="0">
      <w:lvlJc w:val="left"/>
      <w:lvlText w:val="%1."/>
      <w:numFmt w:val="decimal"/>
      <w:start w:val="15"/>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0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upperLetter"/>
      <w:start w:val="1"/>
    </w:lvl>
    <w:lvl w:ilvl="1">
      <w:lvlJc w:val="left"/>
      <w:lvlText w:val="(%2)"/>
      <w:numFmt w:val="decimal"/>
      <w:start w:val="1"/>
    </w:lvl>
  </w:abstractNum>
  <w:abstractNum w:abstractNumId="23">
    <w:nsid w:val="8EDBDAB"/>
    <w:multiLevelType w:val="hybridMultilevel"/>
    <w:lvl w:ilvl="0">
      <w:lvlJc w:val="left"/>
      <w:lvlText w:val="%1."/>
      <w:numFmt w:val="upperLetter"/>
      <w:start w:val="7"/>
    </w:lvl>
    <w:lvl w:ilvl="1">
      <w:lvlJc w:val="left"/>
      <w:lvlText w:val="%2"/>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2019-12-29T06:33:51Z</dcterms:created>
  <dcterms:modified xsi:type="dcterms:W3CDTF">2019-12-29T06:33:51Z</dcterms:modified>
</cp:coreProperties>
</file>