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80" w:hanging="972"/>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ectPr>
          <w:pgSz w:w="11900" w:h="16838" w:orient="portrait"/>
          <w:cols w:equalWidth="0" w:num="1">
            <w:col w:w="11380"/>
          </w:cols>
          <w:pgMar w:left="240" w:top="220"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For the quarterly period ended November 30, 2012</w:t>
      </w: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5" w:lineRule="exact"/>
        <w:rPr>
          <w:sz w:val="24"/>
          <w:szCs w:val="24"/>
          <w:color w:val="auto"/>
        </w:rPr>
      </w:pPr>
    </w:p>
    <w:p>
      <w:pPr>
        <w:sectPr>
          <w:pgSz w:w="11900" w:h="16838" w:orient="portrait"/>
          <w:cols w:equalWidth="0" w:num="2">
            <w:col w:w="260" w:space="720"/>
            <w:col w:w="10400"/>
          </w:cols>
          <w:pgMar w:left="240" w:top="220" w:right="279" w:bottom="1440" w:gutter="0" w:footer="0" w:header="0"/>
          <w:type w:val="continuous"/>
        </w:sectPr>
      </w:pPr>
    </w:p>
    <w:p>
      <w:pPr>
        <w:spacing w:after="0" w:line="52"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20" w:right="279" w:bottom="1440" w:gutter="0" w:footer="0" w:header="0"/>
          <w:type w:val="continuous"/>
        </w:sectPr>
      </w:pPr>
    </w:p>
    <w:p>
      <w:pPr>
        <w:spacing w:after="0" w:line="23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20"/>
          </w:cols>
          <w:pgMar w:left="240" w:top="220" w:right="279" w:bottom="1440" w:gutter="0" w:footer="0" w:header="0"/>
          <w:type w:val="continuous"/>
        </w:sectPr>
      </w:pP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8"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 ]</w:t>
      </w:r>
    </w:p>
    <w:p>
      <w:pPr>
        <w:spacing w:after="0" w:line="208"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0" w:right="279" w:bottom="1440" w:gutter="0" w:footer="0" w:header="0"/>
          <w:type w:val="continuous"/>
        </w:sectPr>
      </w:pP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(Do not check if a smaller reporting company) [</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8" w:lineRule="exact"/>
        <w:rPr>
          <w:sz w:val="24"/>
          <w:szCs w:val="24"/>
          <w:color w:val="auto"/>
        </w:rPr>
      </w:pPr>
    </w:p>
    <w:p>
      <w:pPr>
        <w:sectPr>
          <w:pgSz w:w="11900" w:h="16838" w:orient="portrait"/>
          <w:cols w:equalWidth="0" w:num="3">
            <w:col w:w="5020" w:space="100"/>
            <w:col w:w="1020" w:space="720"/>
            <w:col w:w="4520"/>
          </w:cols>
          <w:pgMar w:left="240" w:top="220" w:right="279" w:bottom="1440" w:gutter="0" w:footer="0" w:header="0"/>
          <w:type w:val="continuous"/>
        </w:sectPr>
      </w:pPr>
    </w:p>
    <w:p>
      <w:pPr>
        <w:spacing w:after="0" w:line="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7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January 11, 2013, there were 4,418,821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20"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5"/>
          </w:tcPr>
          <w:p>
            <w:pPr>
              <w:spacing w:after="0"/>
              <w:rPr>
                <w:sz w:val="20"/>
                <w:szCs w:val="20"/>
                <w:color w:val="auto"/>
              </w:rPr>
            </w:pPr>
            <w:r>
              <w:rPr>
                <w:rFonts w:ascii="Arial" w:cs="Arial" w:eastAsia="Arial" w:hAnsi="Arial"/>
                <w:sz w:val="18"/>
                <w:szCs w:val="18"/>
                <w:b w:val="1"/>
                <w:bCs w:val="1"/>
                <w:color w:val="auto"/>
                <w:w w:val="88"/>
              </w:rPr>
              <w:t>Description</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Page</w:t>
            </w:r>
          </w:p>
        </w:tc>
      </w:tr>
      <w:tr>
        <w:trPr>
          <w:trHeight w:val="412"/>
        </w:trPr>
        <w:tc>
          <w:tcPr>
            <w:tcW w:w="640" w:type="dxa"/>
            <w:vAlign w:val="bottom"/>
            <w:tcBorders>
              <w:top w:val="single" w:sz="8" w:color="auto"/>
            </w:tcBorders>
            <w:gridSpan w:val="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260" w:type="dxa"/>
            <w:vAlign w:val="bottom"/>
            <w:tcBorders>
              <w:top w:val="single" w:sz="8" w:color="auto"/>
            </w:tcBorders>
            <w:gridSpan w:val="2"/>
          </w:tcPr>
          <w:p>
            <w:pPr>
              <w:spacing w:after="0"/>
              <w:rPr>
                <w:sz w:val="24"/>
                <w:szCs w:val="24"/>
                <w:color w:val="auto"/>
              </w:rPr>
            </w:pPr>
          </w:p>
        </w:tc>
        <w:tc>
          <w:tcPr>
            <w:tcW w:w="260" w:type="dxa"/>
            <w:vAlign w:val="bottom"/>
          </w:tcPr>
          <w:p>
            <w:pPr>
              <w:spacing w:after="0"/>
              <w:rPr>
                <w:sz w:val="24"/>
                <w:szCs w:val="24"/>
                <w:color w:val="auto"/>
              </w:rPr>
            </w:pPr>
          </w:p>
        </w:tc>
        <w:tc>
          <w:tcPr>
            <w:tcW w:w="936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tcBorders>
              <w:top w:val="single" w:sz="8" w:color="0000EE"/>
            </w:tcBorders>
            <w:gridSpan w:val="2"/>
          </w:tcPr>
          <w:p>
            <w:pPr>
              <w:spacing w:after="0"/>
              <w:rPr>
                <w:sz w:val="17"/>
                <w:szCs w:val="17"/>
                <w:color w:val="auto"/>
              </w:rPr>
            </w:pPr>
          </w:p>
        </w:tc>
        <w:tc>
          <w:tcPr>
            <w:tcW w:w="520" w:type="dxa"/>
            <w:vAlign w:val="bottom"/>
            <w:gridSpan w:val="3"/>
          </w:tcPr>
          <w:p>
            <w:pPr>
              <w:spacing w:after="0"/>
              <w:rPr>
                <w:sz w:val="17"/>
                <w:szCs w:val="17"/>
                <w:color w:val="auto"/>
              </w:rPr>
            </w:pPr>
          </w:p>
        </w:tc>
        <w:tc>
          <w:tcPr>
            <w:tcW w:w="23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98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80" w:type="dxa"/>
            <w:vAlign w:val="bottom"/>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November 30, 2012 (unaudited) and August 31, 2012</w:t>
              </w:r>
            </w:hyperlink>
          </w:p>
        </w:tc>
        <w:tc>
          <w:tcPr>
            <w:tcW w:w="2980" w:type="dxa"/>
            <w:vAlign w:val="bottom"/>
            <w:gridSpan w:val="5"/>
          </w:tcPr>
          <w:p>
            <w:pPr>
              <w:spacing w:after="0"/>
              <w:rPr>
                <w:sz w:val="17"/>
                <w:szCs w:val="17"/>
                <w:color w:val="auto"/>
              </w:rPr>
            </w:pPr>
          </w:p>
        </w:tc>
        <w:tc>
          <w:tcPr>
            <w:tcW w:w="900" w:type="dxa"/>
            <w:vAlign w:val="bottom"/>
            <w:gridSpan w:val="6"/>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60" w:type="dxa"/>
            <w:vAlign w:val="bottom"/>
            <w:gridSpan w:val="1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(unaudited) for the Three Months Ended November 30, 2012 and 2011</w:t>
              </w:r>
            </w:hyperlink>
          </w:p>
        </w:tc>
        <w:tc>
          <w:tcPr>
            <w:tcW w:w="1400" w:type="dxa"/>
            <w:vAlign w:val="bottom"/>
            <w:gridSpan w:val="3"/>
          </w:tcPr>
          <w:p>
            <w:pPr>
              <w:spacing w:after="0"/>
              <w:rPr>
                <w:sz w:val="17"/>
                <w:szCs w:val="17"/>
                <w:color w:val="auto"/>
              </w:rPr>
            </w:pPr>
          </w:p>
        </w:tc>
        <w:tc>
          <w:tcPr>
            <w:tcW w:w="900" w:type="dxa"/>
            <w:vAlign w:val="bottom"/>
            <w:gridSpan w:val="6"/>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80" w:type="dxa"/>
            <w:vAlign w:val="bottom"/>
            <w:gridSpan w:val="1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Income (unaudited) for the Three Months Ended November 30, 2012 and 2011</w:t>
              </w:r>
            </w:hyperlink>
          </w:p>
        </w:tc>
        <w:tc>
          <w:tcPr>
            <w:tcW w:w="480" w:type="dxa"/>
            <w:vAlign w:val="bottom"/>
          </w:tcPr>
          <w:p>
            <w:pPr>
              <w:spacing w:after="0"/>
              <w:rPr>
                <w:sz w:val="17"/>
                <w:szCs w:val="17"/>
                <w:color w:val="auto"/>
              </w:rPr>
            </w:pPr>
          </w:p>
        </w:tc>
        <w:tc>
          <w:tcPr>
            <w:tcW w:w="900" w:type="dxa"/>
            <w:vAlign w:val="bottom"/>
            <w:gridSpan w:val="6"/>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80" w:type="dxa"/>
            <w:vAlign w:val="bottom"/>
            <w:gridSpan w:val="19"/>
          </w:tcPr>
          <w:p>
            <w:pP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Cash Flows (unaudited) for the Three Months Ended November 30, 2012 and 2011</w:t>
              </w:r>
            </w:hyperlink>
          </w:p>
        </w:tc>
        <w:tc>
          <w:tcPr>
            <w:tcW w:w="480" w:type="dxa"/>
            <w:vAlign w:val="bottom"/>
          </w:tcPr>
          <w:p>
            <w:pPr>
              <w:spacing w:after="0"/>
              <w:rPr>
                <w:sz w:val="17"/>
                <w:szCs w:val="17"/>
                <w:color w:val="auto"/>
              </w:rPr>
            </w:pPr>
          </w:p>
        </w:tc>
        <w:tc>
          <w:tcPr>
            <w:tcW w:w="900" w:type="dxa"/>
            <w:vAlign w:val="bottom"/>
            <w:gridSpan w:val="6"/>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0" w:type="dxa"/>
            <w:vAlign w:val="bottom"/>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360" w:type="dxa"/>
            <w:vAlign w:val="bottom"/>
            <w:gridSpan w:val="2"/>
          </w:tcPr>
          <w:p>
            <w:pPr>
              <w:spacing w:after="0"/>
              <w:rPr>
                <w:sz w:val="17"/>
                <w:szCs w:val="17"/>
                <w:color w:val="auto"/>
              </w:rPr>
            </w:pPr>
          </w:p>
        </w:tc>
        <w:tc>
          <w:tcPr>
            <w:tcW w:w="900" w:type="dxa"/>
            <w:vAlign w:val="bottom"/>
            <w:gridSpan w:val="6"/>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7-17</w:t>
              </w:r>
            </w:hyperlink>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Item 2.</w:t>
              </w:r>
            </w:hyperlink>
          </w:p>
        </w:tc>
        <w:tc>
          <w:tcPr>
            <w:tcW w:w="620" w:type="dxa"/>
            <w:vAlign w:val="bottom"/>
            <w:gridSpan w:val="4"/>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6"/>
              </w:rPr>
            </w:pPr>
            <w:hyperlink w:anchor="page19">
              <w:r>
                <w:rPr>
                  <w:rFonts w:ascii="Arial" w:cs="Arial" w:eastAsia="Arial" w:hAnsi="Arial"/>
                  <w:sz w:val="18"/>
                  <w:szCs w:val="18"/>
                  <w:color w:val="0000EE"/>
                  <w:w w:val="86"/>
                </w:rPr>
                <w:t>18-32</w:t>
              </w:r>
            </w:hyperlink>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3.</w:t>
              </w:r>
            </w:hyperlink>
          </w:p>
        </w:tc>
        <w:tc>
          <w:tcPr>
            <w:tcW w:w="620" w:type="dxa"/>
            <w:vAlign w:val="bottom"/>
            <w:gridSpan w:val="4"/>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900" w:type="dxa"/>
            <w:vAlign w:val="bottom"/>
            <w:gridSpan w:val="6"/>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17"/>
                <w:szCs w:val="17"/>
                <w:color w:val="auto"/>
              </w:rPr>
            </w:pPr>
          </w:p>
        </w:tc>
        <w:tc>
          <w:tcPr>
            <w:tcW w:w="620" w:type="dxa"/>
            <w:vAlign w:val="bottom"/>
            <w:gridSpan w:val="4"/>
          </w:tcPr>
          <w:p>
            <w:pPr>
              <w:spacing w:after="0"/>
              <w:rPr>
                <w:sz w:val="17"/>
                <w:szCs w:val="17"/>
                <w:color w:val="auto"/>
              </w:rPr>
            </w:pPr>
          </w:p>
        </w:tc>
        <w:tc>
          <w:tcPr>
            <w:tcW w:w="43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5060" w:type="dxa"/>
            <w:vAlign w:val="bottom"/>
            <w:gridSpan w:val="7"/>
          </w:tcPr>
          <w:p>
            <w:pPr>
              <w:spacing w:after="0"/>
              <w:rPr>
                <w:sz w:val="17"/>
                <w:szCs w:val="17"/>
                <w:color w:val="auto"/>
              </w:rPr>
            </w:pPr>
          </w:p>
        </w:tc>
        <w:tc>
          <w:tcPr>
            <w:tcW w:w="72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gridSpan w:val="6"/>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9360" w:type="dxa"/>
            <w:vAlign w:val="bottom"/>
            <w:gridSpan w:val="20"/>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7340" w:type="dxa"/>
            <w:vAlign w:val="bottom"/>
            <w:gridSpan w:val="11"/>
          </w:tcPr>
          <w:p>
            <w:pPr>
              <w:spacing w:after="0"/>
              <w:rPr>
                <w:sz w:val="17"/>
                <w:szCs w:val="17"/>
                <w:color w:val="auto"/>
              </w:rPr>
            </w:pPr>
          </w:p>
        </w:tc>
        <w:tc>
          <w:tcPr>
            <w:tcW w:w="72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196"/>
        </w:trPr>
        <w:tc>
          <w:tcPr>
            <w:tcW w:w="1160" w:type="dxa"/>
            <w:vAlign w:val="bottom"/>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936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900" w:type="dxa"/>
            <w:vAlign w:val="bottom"/>
            <w:gridSpan w:val="6"/>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520" w:type="dxa"/>
            <w:vAlign w:val="bottom"/>
            <w:gridSpan w:val="3"/>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900" w:type="dxa"/>
            <w:vAlign w:val="bottom"/>
            <w:gridSpan w:val="6"/>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3.</w:t>
              </w:r>
            </w:hyperlink>
          </w:p>
        </w:tc>
        <w:tc>
          <w:tcPr>
            <w:tcW w:w="620" w:type="dxa"/>
            <w:vAlign w:val="bottom"/>
            <w:gridSpan w:val="4"/>
          </w:tcPr>
          <w:p>
            <w:pPr>
              <w:spacing w:after="0"/>
              <w:rPr>
                <w:sz w:val="17"/>
                <w:szCs w:val="17"/>
                <w:color w:val="auto"/>
              </w:rPr>
            </w:pPr>
          </w:p>
        </w:tc>
        <w:tc>
          <w:tcPr>
            <w:tcW w:w="4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5020" w:type="dxa"/>
            <w:vAlign w:val="bottom"/>
            <w:gridSpan w:val="6"/>
          </w:tcPr>
          <w:p>
            <w:pPr>
              <w:spacing w:after="0"/>
              <w:rPr>
                <w:sz w:val="17"/>
                <w:szCs w:val="17"/>
                <w:color w:val="auto"/>
              </w:rPr>
            </w:pPr>
          </w:p>
        </w:tc>
        <w:tc>
          <w:tcPr>
            <w:tcW w:w="72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4.</w:t>
              </w:r>
            </w:hyperlink>
          </w:p>
        </w:tc>
        <w:tc>
          <w:tcPr>
            <w:tcW w:w="620" w:type="dxa"/>
            <w:vAlign w:val="bottom"/>
            <w:gridSpan w:val="4"/>
          </w:tcPr>
          <w:p>
            <w:pPr>
              <w:spacing w:after="0"/>
              <w:rPr>
                <w:sz w:val="17"/>
                <w:szCs w:val="17"/>
                <w:color w:val="auto"/>
              </w:rPr>
            </w:pPr>
          </w:p>
        </w:tc>
        <w:tc>
          <w:tcPr>
            <w:tcW w:w="2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7040" w:type="dxa"/>
            <w:vAlign w:val="bottom"/>
            <w:gridSpan w:val="10"/>
          </w:tcPr>
          <w:p>
            <w:pPr>
              <w:spacing w:after="0"/>
              <w:rPr>
                <w:sz w:val="17"/>
                <w:szCs w:val="17"/>
                <w:color w:val="auto"/>
              </w:rPr>
            </w:pPr>
          </w:p>
        </w:tc>
        <w:tc>
          <w:tcPr>
            <w:tcW w:w="72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5.</w:t>
              </w:r>
            </w:hyperlink>
          </w:p>
        </w:tc>
        <w:tc>
          <w:tcPr>
            <w:tcW w:w="620" w:type="dxa"/>
            <w:vAlign w:val="bottom"/>
            <w:gridSpan w:val="4"/>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7600" w:type="dxa"/>
            <w:vAlign w:val="bottom"/>
            <w:gridSpan w:val="12"/>
          </w:tcPr>
          <w:p>
            <w:pPr>
              <w:spacing w:after="0"/>
              <w:rPr>
                <w:sz w:val="17"/>
                <w:szCs w:val="17"/>
                <w:color w:val="auto"/>
              </w:rPr>
            </w:pPr>
          </w:p>
        </w:tc>
        <w:tc>
          <w:tcPr>
            <w:tcW w:w="720" w:type="dxa"/>
            <w:vAlign w:val="bottom"/>
            <w:gridSpan w:val="4"/>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6.</w:t>
              </w:r>
            </w:hyperlink>
          </w:p>
        </w:tc>
        <w:tc>
          <w:tcPr>
            <w:tcW w:w="620" w:type="dxa"/>
            <w:vAlign w:val="bottom"/>
            <w:gridSpan w:val="4"/>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8760" w:type="dxa"/>
            <w:vAlign w:val="bottom"/>
            <w:gridSpan w:val="17"/>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6"/>
              </w:rPr>
            </w:pPr>
            <w:hyperlink w:anchor="page35">
              <w:r>
                <w:rPr>
                  <w:rFonts w:ascii="Arial" w:cs="Arial" w:eastAsia="Arial" w:hAnsi="Arial"/>
                  <w:sz w:val="18"/>
                  <w:szCs w:val="18"/>
                  <w:color w:val="0000EE"/>
                  <w:w w:val="86"/>
                </w:rPr>
                <w:t>34-35</w:t>
              </w:r>
            </w:hyperlink>
          </w:p>
        </w:tc>
      </w:tr>
      <w:tr>
        <w:trPr>
          <w:trHeight w:val="196"/>
        </w:trPr>
        <w:tc>
          <w:tcPr>
            <w:tcW w:w="16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7"/>
              </w:rPr>
            </w:pPr>
            <w:hyperlink w:anchor="page37">
              <w:r>
                <w:rPr>
                  <w:rFonts w:ascii="Arial" w:cs="Arial" w:eastAsia="Arial" w:hAnsi="Arial"/>
                  <w:sz w:val="18"/>
                  <w:szCs w:val="18"/>
                  <w:b w:val="1"/>
                  <w:bCs w:val="1"/>
                  <w:color w:val="0000EE"/>
                  <w:w w:val="97"/>
                </w:rPr>
                <w:t>SIGNATURE PAGE</w:t>
              </w:r>
            </w:hyperlink>
          </w:p>
        </w:tc>
        <w:tc>
          <w:tcPr>
            <w:tcW w:w="8920" w:type="dxa"/>
            <w:vAlign w:val="bottom"/>
            <w:gridSpan w:val="18"/>
          </w:tcPr>
          <w:p>
            <w:pPr>
              <w:spacing w:after="0"/>
              <w:rPr>
                <w:sz w:val="17"/>
                <w:szCs w:val="17"/>
                <w:color w:val="auto"/>
              </w:rPr>
            </w:pPr>
          </w:p>
        </w:tc>
        <w:tc>
          <w:tcPr>
            <w:tcW w:w="72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36</w:t>
              </w:r>
            </w:hyperlink>
          </w:p>
        </w:tc>
      </w:tr>
      <w:tr>
        <w:trPr>
          <w:trHeight w:val="196"/>
        </w:trPr>
        <w:tc>
          <w:tcPr>
            <w:tcW w:w="10520" w:type="dxa"/>
            <w:vAlign w:val="bottom"/>
            <w:gridSpan w:val="26"/>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EXHIBIT INDEX</w:t>
              </w:r>
            </w:hyperlink>
          </w:p>
        </w:tc>
        <w:tc>
          <w:tcPr>
            <w:tcW w:w="900" w:type="dxa"/>
            <w:vAlign w:val="bottom"/>
            <w:gridSpan w:val="6"/>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5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_________________</w:t>
      </w:r>
    </w:p>
    <w:p>
      <w:pPr>
        <w:spacing w:after="0" w:line="252"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color w:val="auto"/>
        </w:rPr>
        <w:t>_________________</w:t>
      </w:r>
    </w:p>
    <w:p>
      <w:pPr>
        <w:spacing w:after="0" w:line="252"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 owned subsidiaries, NTI Facilities, Inc. and Northern Technologies Holding Company, LLC, and its majority owned subsidiaries, Zerust Prevenção de Corrosão S.A. and NTI Asean LLC, all of which are consolidated on NTIC’s consolidated financial statements.</w:t>
      </w:r>
    </w:p>
    <w:p>
      <w:pPr>
        <w:spacing w:after="0" w:line="17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NTIC’s consolidated financial statements do not include the accounts of any of its joint ventures. Except as otherwise indicated, references in this report to NTIC’s joint ventures do not include NTIC’s majority owned Brazilian subsidiary, Zerust Prevenção de Corrosão S.A., or NTIC’s majority owned subsidiary, NTI Asean LLC, which is a holding company that holds investments in eight entities that operate in the Association of Southeast Asian Nations (ASEAN) region, including the following countries: China, Indonesia, Korea, Malaysia, Philippines, Singapore, Taiwan and Thailand.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“Zerust Brazil” refer to NTIC’s majority owned Brazilian subsidiary, Zerust Prevenção de Corrosão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 Asean” refer to NTIC’s majority owned holding company subsidiary, NTI Asean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“HNTI” refer to NTIC’s joint venture in India, Harita NTI Limited.</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used in this report, references to “EXCOR” refer to NTIC’s primary joint venture in Germany, Excor Korrosionsschutz – Technologien und Produkte GmbH.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80" w:type="dxa"/>
            <w:vAlign w:val="bottom"/>
          </w:tcPr>
          <w:p>
            <w:pPr>
              <w:ind w:left="40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NOVEMBER 30, 2012 (UNAUDITED)</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2012 (AUDITED)</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80" w:type="dxa"/>
            <w:vAlign w:val="bottom"/>
            <w:shd w:val="clear" w:color="auto" w:fill="000000"/>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ASSETS</w:t>
            </w:r>
          </w:p>
        </w:tc>
        <w:tc>
          <w:tcPr>
            <w:tcW w:w="7480" w:type="dxa"/>
            <w:vAlign w:val="bottom"/>
          </w:tcPr>
          <w:p>
            <w:pPr>
              <w:spacing w:after="0"/>
              <w:rPr>
                <w:sz w:val="19"/>
                <w:szCs w:val="19"/>
                <w:color w:val="auto"/>
              </w:rPr>
            </w:pPr>
          </w:p>
        </w:tc>
        <w:tc>
          <w:tcPr>
            <w:tcW w:w="1800" w:type="dxa"/>
            <w:vAlign w:val="bottom"/>
            <w:gridSpan w:val="3"/>
          </w:tcPr>
          <w:p>
            <w:pPr>
              <w:ind w:left="220"/>
              <w:spacing w:after="0"/>
              <w:rPr>
                <w:sz w:val="20"/>
                <w:szCs w:val="20"/>
                <w:color w:val="auto"/>
              </w:rPr>
            </w:pPr>
            <w:r>
              <w:rPr>
                <w:rFonts w:ascii="Arial" w:cs="Arial" w:eastAsia="Arial" w:hAnsi="Arial"/>
                <w:sz w:val="18"/>
                <w:szCs w:val="18"/>
                <w:b w:val="1"/>
                <w:bCs w:val="1"/>
                <w:color w:val="auto"/>
                <w:w w:val="95"/>
              </w:rPr>
              <w:t>November 30, 2012</w:t>
            </w:r>
          </w:p>
        </w:tc>
        <w:tc>
          <w:tcPr>
            <w:tcW w:w="8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August 31, 2012</w:t>
            </w:r>
          </w:p>
        </w:tc>
        <w:tc>
          <w:tcPr>
            <w:tcW w:w="0" w:type="dxa"/>
            <w:vAlign w:val="bottom"/>
          </w:tcPr>
          <w:p>
            <w:pPr>
              <w:spacing w:after="0"/>
              <w:rPr>
                <w:sz w:val="1"/>
                <w:szCs w:val="1"/>
                <w:color w:val="auto"/>
              </w:rPr>
            </w:pPr>
          </w:p>
        </w:tc>
      </w:tr>
      <w:tr>
        <w:trPr>
          <w:trHeight w:val="195"/>
        </w:trPr>
        <w:tc>
          <w:tcPr>
            <w:tcW w:w="740" w:type="dxa"/>
            <w:vAlign w:val="bottom"/>
            <w:gridSpan w:val="2"/>
            <w:vMerge w:val="continue"/>
          </w:tcPr>
          <w:p>
            <w:pPr>
              <w:spacing w:after="0"/>
              <w:rPr>
                <w:sz w:val="16"/>
                <w:szCs w:val="16"/>
                <w:color w:val="auto"/>
              </w:rPr>
            </w:pPr>
          </w:p>
        </w:tc>
        <w:tc>
          <w:tcPr>
            <w:tcW w:w="7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gridSpan w:val="2"/>
          </w:tcPr>
          <w:p>
            <w:pPr>
              <w:ind w:left="3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6,819,036</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4,137,547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64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4"/>
              </w:rPr>
              <w:t>Trade excluding joint ventures, less allowance for doubtful accounts of $20,000 at November 30,</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2012 and August 31, 2012</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2,684,239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80" w:type="dxa"/>
            <w:vAlign w:val="bottom"/>
          </w:tcPr>
          <w:p>
            <w:pPr>
              <w:ind w:left="240"/>
              <w:spacing w:after="0"/>
              <w:rPr>
                <w:sz w:val="20"/>
                <w:szCs w:val="20"/>
                <w:color w:val="auto"/>
              </w:rPr>
            </w:pPr>
            <w:r>
              <w:rPr>
                <w:rFonts w:ascii="Arial" w:cs="Arial" w:eastAsia="Arial" w:hAnsi="Arial"/>
                <w:sz w:val="18"/>
                <w:szCs w:val="18"/>
                <w:color w:val="auto"/>
              </w:rPr>
              <w:t>Trade joint ventures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942,500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Fees for services provided to joint ventures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2,328,455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1,316,933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80" w:type="dxa"/>
            <w:vAlign w:val="bottom"/>
          </w:tcPr>
          <w:p>
            <w:pPr>
              <w:ind w:left="24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253,759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4,989,833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64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698,808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548,331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596,085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596,085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8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19,312,715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14,059,726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4,238,359</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4,288,618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3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Investments in joint ventures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21,435,223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21,461,492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6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1,030,610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1,030,610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Patents and trademarks, net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1,012,401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961,181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76,000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74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23,554,234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23,529,283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47,105,308</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41,877,627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0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640"/>
              <w:spacing w:after="0"/>
              <w:rPr>
                <w:sz w:val="20"/>
                <w:szCs w:val="20"/>
                <w:color w:val="auto"/>
              </w:rPr>
            </w:pPr>
            <w:r>
              <w:rPr>
                <w:rFonts w:ascii="Arial" w:cs="Arial" w:eastAsia="Arial" w:hAnsi="Arial"/>
                <w:sz w:val="18"/>
                <w:szCs w:val="18"/>
                <w:color w:val="auto"/>
              </w:rPr>
              <w:t>Current portion of note payable</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76,119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1,810,330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1,818,309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6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Payroll and related benefits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1,699,938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1,565,866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80" w:type="dxa"/>
            <w:vAlign w:val="bottom"/>
          </w:tcPr>
          <w:p>
            <w:pPr>
              <w:ind w:left="240"/>
              <w:spacing w:after="0"/>
              <w:rPr>
                <w:sz w:val="20"/>
                <w:szCs w:val="20"/>
                <w:color w:val="auto"/>
              </w:rPr>
            </w:pPr>
            <w:r>
              <w:rPr>
                <w:rFonts w:ascii="Arial" w:cs="Arial" w:eastAsia="Arial" w:hAnsi="Arial"/>
                <w:sz w:val="18"/>
                <w:szCs w:val="18"/>
                <w:color w:val="auto"/>
              </w:rPr>
              <w:t>Deferred joint venture royalties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288,000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7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131,457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8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4,005,844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3,999,645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320"/>
              <w:spacing w:after="0"/>
              <w:rPr>
                <w:sz w:val="20"/>
                <w:szCs w:val="20"/>
                <w:color w:val="auto"/>
              </w:rPr>
            </w:pPr>
            <w:r>
              <w:rPr>
                <w:rFonts w:ascii="Arial" w:cs="Arial" w:eastAsia="Arial" w:hAnsi="Arial"/>
                <w:sz w:val="18"/>
                <w:szCs w:val="18"/>
                <w:color w:val="auto"/>
              </w:rPr>
              <w:t>NOTE PAYABLE, NET OF CURRENT PORTION (Note 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914,384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320"/>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32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gridSpan w:val="2"/>
          </w:tcPr>
          <w:p>
            <w:pPr>
              <w:ind w:left="640"/>
              <w:spacing w:after="0" w:line="201" w:lineRule="exact"/>
              <w:rPr>
                <w:sz w:val="20"/>
                <w:szCs w:val="20"/>
                <w:color w:val="auto"/>
              </w:rPr>
            </w:pPr>
            <w:r>
              <w:rPr>
                <w:rFonts w:ascii="Arial" w:cs="Arial" w:eastAsia="Arial" w:hAnsi="Arial"/>
                <w:sz w:val="18"/>
                <w:szCs w:val="18"/>
                <w:color w:val="auto"/>
                <w:w w:val="96"/>
              </w:rPr>
              <w:t>Common stock, $0.02 par value per share; authorized 10,000,000 shares; issued and outstanding</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80" w:type="dxa"/>
            <w:vAlign w:val="bottom"/>
          </w:tcPr>
          <w:p>
            <w:pPr>
              <w:ind w:left="80"/>
              <w:spacing w:after="0"/>
              <w:rPr>
                <w:sz w:val="20"/>
                <w:szCs w:val="20"/>
                <w:color w:val="auto"/>
              </w:rPr>
            </w:pPr>
            <w:r>
              <w:rPr>
                <w:rFonts w:ascii="Arial" w:cs="Arial" w:eastAsia="Arial" w:hAnsi="Arial"/>
                <w:sz w:val="18"/>
                <w:szCs w:val="18"/>
                <w:color w:val="auto"/>
              </w:rPr>
              <w:t>4,418,821 and 4,403,656, respectively</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88,351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11,305,834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11,130,966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6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25,649,655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25,260,034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664,247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80" w:type="dxa"/>
            <w:vAlign w:val="bottom"/>
          </w:tcPr>
          <w:p>
            <w:pPr>
              <w:ind w:left="2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37,708,087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36,756,656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4,476,993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80" w:type="dxa"/>
            <w:vAlign w:val="bottom"/>
          </w:tcPr>
          <w:p>
            <w:pPr>
              <w:ind w:left="240"/>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42,185,080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36,944,569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7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47,105,308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41,877,627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 w:name="page5"/>
    <w:bookmarkEnd w:id="4"/>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MONTHS ENDED NOVEMBER 30, 2012 AND 2011</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14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000" w:type="dxa"/>
            <w:vAlign w:val="bottom"/>
            <w:tcBorders>
              <w:top w:val="single" w:sz="8" w:color="auto"/>
              <w:bottom w:val="single" w:sz="8" w:color="auto"/>
            </w:tcBorders>
            <w:gridSpan w:val="3"/>
          </w:tcPr>
          <w:p>
            <w:pPr>
              <w:ind w:left="340"/>
              <w:spacing w:after="0" w:line="204" w:lineRule="exact"/>
              <w:rPr>
                <w:sz w:val="20"/>
                <w:szCs w:val="20"/>
                <w:color w:val="auto"/>
              </w:rPr>
            </w:pPr>
            <w:r>
              <w:rPr>
                <w:rFonts w:ascii="Arial" w:cs="Arial" w:eastAsia="Arial" w:hAnsi="Arial"/>
                <w:sz w:val="18"/>
                <w:szCs w:val="18"/>
                <w:b w:val="1"/>
                <w:bCs w:val="1"/>
                <w:color w:val="auto"/>
                <w:w w:val="92"/>
              </w:rPr>
              <w:t>Three Months Ended</w:t>
            </w: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November 30, 2012</w:t>
            </w:r>
          </w:p>
        </w:tc>
        <w:tc>
          <w:tcPr>
            <w:tcW w:w="120" w:type="dxa"/>
            <w:vAlign w:val="bottom"/>
          </w:tcPr>
          <w:p>
            <w:pPr>
              <w:spacing w:after="0"/>
              <w:rPr>
                <w:sz w:val="18"/>
                <w:szCs w:val="18"/>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November 30, 2011</w:t>
            </w:r>
          </w:p>
        </w:tc>
        <w:tc>
          <w:tcPr>
            <w:tcW w:w="0" w:type="dxa"/>
            <w:vAlign w:val="bottom"/>
          </w:tcPr>
          <w:p>
            <w:pPr>
              <w:spacing w:after="0"/>
              <w:rPr>
                <w:sz w:val="1"/>
                <w:szCs w:val="1"/>
                <w:color w:val="auto"/>
              </w:rPr>
            </w:pPr>
          </w:p>
        </w:tc>
      </w:tr>
      <w:tr>
        <w:trPr>
          <w:trHeight w:val="210"/>
        </w:trPr>
        <w:tc>
          <w:tcPr>
            <w:tcW w:w="81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sales, excluding joint ventures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4,770,387</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4,277,643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Net sales, to joint ventures</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521,360</w:t>
            </w: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554,471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net sales</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5,291,747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4,832,114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Cost of goods sold</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3,690,972</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3,209,476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ind w:left="640"/>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1,600,775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1,622,638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income of joint ventures</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1,154,296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1,357,680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Fees for services provided to joint ventures</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1,846,277</w:t>
            </w: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1,445,252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joint venture operations</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3,000,573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2,802,932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Selling expenses</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1,171,095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1,108,486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1,248,696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1,270,013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Expenses incurred in support of joint ventures</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369,687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200,264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938,206</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3,727,684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3,393,068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873,664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1,032,502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25,346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 INCOME</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892,536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1,041,421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134,000</w:t>
            </w: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758,536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935,421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INCOME (LOSS) ATTRIBUTABLE TO NON CONTROLLING INTEREST</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368,914</w:t>
            </w: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389,622</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958,757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INCOME ATTRIBUTABLE TO NTIC PER COMMON SHARE:</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ind w:left="96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4,406,205</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4,355,666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ind w:left="96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4,440,436</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4,433,724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COMPRENSIVE INCOME (UNAUDITED) FOR THE THREE MONTHS ENDED NOVEMBER 30, 2012 AND 2011</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14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840" w:type="dxa"/>
            <w:vAlign w:val="bottom"/>
            <w:tcBorders>
              <w:top w:val="single" w:sz="8" w:color="auto"/>
              <w:bottom w:val="single" w:sz="8" w:color="auto"/>
            </w:tcBorders>
            <w:gridSpan w:val="4"/>
          </w:tcPr>
          <w:p>
            <w:pPr>
              <w:jc w:val="right"/>
              <w:ind w:right="770"/>
              <w:spacing w:after="0" w:line="204"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November 30, 2012</w:t>
            </w:r>
          </w:p>
        </w:tc>
        <w:tc>
          <w:tcPr>
            <w:tcW w:w="120" w:type="dxa"/>
            <w:vAlign w:val="bottom"/>
          </w:tcPr>
          <w:p>
            <w:pPr>
              <w:spacing w:after="0"/>
              <w:rPr>
                <w:sz w:val="19"/>
                <w:szCs w:val="19"/>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November 30, 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758,536</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935,421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tcPr>
          <w:p>
            <w:pPr>
              <w:spacing w:after="0" w:line="201" w:lineRule="exact"/>
              <w:rPr>
                <w:sz w:val="20"/>
                <w:szCs w:val="20"/>
                <w:color w:val="auto"/>
              </w:rPr>
            </w:pPr>
            <w:r>
              <w:rPr>
                <w:rFonts w:ascii="Arial" w:cs="Arial" w:eastAsia="Arial" w:hAnsi="Arial"/>
                <w:sz w:val="18"/>
                <w:szCs w:val="18"/>
                <w:color w:val="auto"/>
              </w:rPr>
              <w:t>OTHER COMPREHENSIVE INCOME (LOSS) – FOREIGN CURRENCY</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160" w:type="dxa"/>
            <w:vAlign w:val="bottom"/>
            <w:gridSpan w:val="2"/>
          </w:tcPr>
          <w:p>
            <w:pPr>
              <w:spacing w:after="0"/>
              <w:rPr>
                <w:sz w:val="20"/>
                <w:szCs w:val="20"/>
                <w:color w:val="auto"/>
              </w:rPr>
            </w:pPr>
            <w:r>
              <w:rPr>
                <w:rFonts w:ascii="Arial" w:cs="Arial" w:eastAsia="Arial" w:hAnsi="Arial"/>
                <w:sz w:val="18"/>
                <w:szCs w:val="18"/>
                <w:color w:val="auto"/>
              </w:rPr>
              <w:t>TRANSLATION ADJUSTMENT</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421,185</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(1,188,071)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1,179,721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(252,650)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403,435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COMPREHENSIVE INCOME (LOSS) ATTRIBUTABLE TO STOCKHOLDERS</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776,286</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(219,508)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 w:name="page7"/>
    <w:bookmarkEnd w:id="6"/>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THREE MONTHS ENDED NOVEMBER 30, 2012 AND 2011</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540" w:type="dxa"/>
            <w:vAlign w:val="bottom"/>
            <w:tcBorders>
              <w:top w:val="single" w:sz="8" w:color="auto"/>
              <w:bottom w:val="single" w:sz="8" w:color="auto"/>
            </w:tcBorders>
            <w:gridSpan w:val="4"/>
          </w:tcPr>
          <w:p>
            <w:pPr>
              <w:jc w:val="right"/>
              <w:ind w:right="510"/>
              <w:spacing w:after="0" w:line="204"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0" w:type="dxa"/>
            <w:vAlign w:val="bottom"/>
          </w:tcPr>
          <w:p>
            <w:pPr>
              <w:spacing w:after="0"/>
              <w:rPr>
                <w:sz w:val="1"/>
                <w:szCs w:val="1"/>
                <w:color w:val="auto"/>
              </w:rPr>
            </w:pPr>
          </w:p>
        </w:tc>
      </w:tr>
      <w:tr>
        <w:trPr>
          <w:trHeight w:val="234"/>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758,536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Expensing of fair value of stock options vested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105,688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Amortization expense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Equity in income from joint ventures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(1,154,297)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current assets and liabilities: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96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Trade, excluding joint ventures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280"/>
              <w:spacing w:after="0"/>
              <w:rPr>
                <w:sz w:val="20"/>
                <w:szCs w:val="20"/>
                <w:color w:val="auto"/>
              </w:rPr>
            </w:pPr>
            <w:r>
              <w:rPr>
                <w:rFonts w:ascii="Arial" w:cs="Arial" w:eastAsia="Arial" w:hAnsi="Arial"/>
                <w:sz w:val="18"/>
                <w:szCs w:val="18"/>
                <w:color w:val="auto"/>
              </w:rPr>
              <w:t>Trade, joint ventures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(207,957)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144,157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Fees for services receivables, joint ventures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330,564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28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96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(151,029)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960"/>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(1,474,140)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(1,785,543)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received from joint ventures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2,676,337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Additions to property and equipment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(67,165)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Asean consolidation on cash (Note 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1,612,768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Additions to patents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(68,665)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4,153,275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1,935,717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Repayment of note payable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 received by non controlling interest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28,938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22,414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102,815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39,881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2,681,489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4,137,547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3,266,362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6,819,036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3,407,371</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700" w:type="dxa"/>
            <w:vAlign w:val="bottom"/>
            <w:gridSpan w:val="2"/>
          </w:tcPr>
          <w:p>
            <w:pPr>
              <w:jc w:val="right"/>
              <w:ind w:right="285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6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ind w:right="410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8"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2012 and August 31, 2012 and the results of their operations for the three months ended November 30, 2012 and 2011 and their cash flows for the three months ended November 30, 2012 and 2011, in conformity with accounting principles generally accepted in the United States of America (U.S. GAAP).</w:t>
      </w:r>
    </w:p>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Certain amounts reported in the consolidated financial statements for the previous reporting periods have been reclassified to conform to the current period presentation. These reclassifications did not have a material impact on the Company’s previously reported consolidated balance sheets or statements of cash flows.</w:t>
      </w:r>
    </w:p>
    <w:p>
      <w:pPr>
        <w:spacing w:after="0" w:line="208" w:lineRule="exact"/>
        <w:rPr>
          <w:sz w:val="20"/>
          <w:szCs w:val="20"/>
          <w:color w:val="auto"/>
        </w:rPr>
      </w:pPr>
    </w:p>
    <w:p>
      <w:pPr>
        <w:jc w:val="both"/>
        <w:ind w:right="820"/>
        <w:spacing w:after="0" w:line="312"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2012. These consolidated financial statements also should be read in conjunction with the “Management’s Discussion and Analysis of Financial Condition and Results of Operations” section appearing in this report.</w:t>
      </w:r>
    </w:p>
    <w:p>
      <w:pPr>
        <w:spacing w:after="0" w:line="17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results for the three months ended November 30, 2012 are not necessarily indicative of the results that may be expected for the full fiscal year ending August 31, 2013.</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93"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NTI ASEAN</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NTI Asean LLC (NTI Asean) is an entity that holds investments in eight entities operating in the Association of Southeast Asian Nations (ASEAN) region, including the following countries: China, Indonesia, Korea, Malaysia, Philippines, Singapore, Taiwan and Thailand.</w:t>
      </w:r>
    </w:p>
    <w:p>
      <w:pPr>
        <w:spacing w:after="0" w:line="1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Prior to September 1, 2012, the Company owned 50% of NTI Asean, which it considered to be less than a majority, of the equity and voting rights and accounted for its investment using the equity method. On September 1, 2012, the Company obtained an additional 10% ownership interest in NTI Asean in exchange for a license agreement, and thereafter holds 60% of the equity and voting rights of NTI Asean.</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accounted for the transaction resulting in the additional ownership as a business combination. Beginning in the first quarter of fiscal 2013, the Company consolidated the results of NTI Asean. Immediately prior to the transaction, the Company re-measured the fair value of NTI Asean and determined that there was no difference between the fair value and the book value of the entity. As a result, there was no accounting impact related to the business combination in the statement of operations.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8" w:name="page9"/>
    <w:bookmarkEnd w:id="8"/>
    <w:p>
      <w:pPr>
        <w:ind w:right="40"/>
        <w:spacing w:after="0" w:line="277" w:lineRule="auto"/>
        <w:rPr>
          <w:sz w:val="20"/>
          <w:szCs w:val="20"/>
          <w:color w:val="auto"/>
        </w:rPr>
      </w:pPr>
      <w:r>
        <w:rPr>
          <w:rFonts w:ascii="Arial" w:cs="Arial" w:eastAsia="Arial" w:hAnsi="Arial"/>
          <w:sz w:val="18"/>
          <w:szCs w:val="18"/>
          <w:color w:val="auto"/>
        </w:rPr>
        <w:t>The Company determined the fair value of NTI Asean using the capitalized income method, including a capitalization rate of 25%. The allocation of the total transaction amount was as follow: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The allocation of the total transaction amount was as follow:</w:t>
            </w: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 (liabilities assumed):</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1,613,000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Accounts receivables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1,342,000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JV</w:t>
            </w:r>
          </w:p>
        </w:tc>
        <w:tc>
          <w:tcPr>
            <w:tcW w:w="3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4,967,000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Value of assets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7,922,000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Purchase price:</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non-controlling interest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3,961,000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Value of previously held interest</w:t>
            </w:r>
          </w:p>
        </w:tc>
        <w:tc>
          <w:tcPr>
            <w:tcW w:w="3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3,961,000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Told consideration</w:t>
            </w:r>
          </w:p>
        </w:tc>
        <w:tc>
          <w:tcPr>
            <w:tcW w:w="3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7,922,000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is a summary of certain line items of the Company’s consolidated statement of operations for the three months ended November 30, 2011 as reported and on a pro forma basis, assuming the consolidation of NTI Asean on the Company’s consolidated financial statements as of the beginning of such period: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rPr>
              <w:t>NTI</w:t>
            </w:r>
          </w:p>
        </w:tc>
        <w:tc>
          <w:tcPr>
            <w:tcW w:w="120" w:type="dxa"/>
            <w:vAlign w:val="bottom"/>
          </w:tcPr>
          <w:p>
            <w:pPr>
              <w:spacing w:after="0"/>
              <w:rPr>
                <w:sz w:val="18"/>
                <w:szCs w:val="18"/>
                <w:color w:val="auto"/>
              </w:rPr>
            </w:pP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rPr>
              <w:t>Eliminated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As Reported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center"/>
              <w:ind w:right="170"/>
              <w:spacing w:after="0"/>
              <w:rPr>
                <w:sz w:val="20"/>
                <w:szCs w:val="20"/>
                <w:color w:val="auto"/>
              </w:rPr>
            </w:pPr>
            <w:r>
              <w:rPr>
                <w:rFonts w:ascii="Arial" w:cs="Arial" w:eastAsia="Arial" w:hAnsi="Arial"/>
                <w:sz w:val="18"/>
                <w:szCs w:val="18"/>
                <w:b w:val="1"/>
                <w:bCs w:val="1"/>
                <w:color w:val="auto"/>
                <w:w w:val="88"/>
              </w:rPr>
              <w:t>Asean</w:t>
            </w:r>
          </w:p>
        </w:tc>
        <w:tc>
          <w:tcPr>
            <w:tcW w:w="120" w:type="dxa"/>
            <w:vAlign w:val="bottom"/>
          </w:tcPr>
          <w:p>
            <w:pPr>
              <w:spacing w:after="0"/>
              <w:rPr>
                <w:sz w:val="20"/>
                <w:szCs w:val="20"/>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6"/>
              </w:rPr>
              <w:t>Consolidation</w:t>
            </w: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5"/>
              </w:rPr>
              <w:t>Pro Forma</w:t>
            </w:r>
          </w:p>
        </w:tc>
      </w:tr>
      <w:tr>
        <w:trPr>
          <w:trHeight w:val="210"/>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4,832,114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4,832,114</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3,209,476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3,209,476</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1,622,638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1,622,638</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Joint venture operations</w:t>
            </w: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2,802,932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830,898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(369,461)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3,264,369</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3,393,068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3,395,733</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1,032,502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828,233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(369,461)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1,491,274</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1,041,421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828,233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(369,461)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1,500,193</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89,311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195,311</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935,421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738,922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(369,461)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1,304,882</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(295,569)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(318,905)</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958,757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443,535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(369,461)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1,032,831</w:t>
            </w: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Net income per common diluted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0.10</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445"/>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6400" w:type="dxa"/>
            <w:vAlign w:val="bottom"/>
          </w:tcPr>
          <w:p>
            <w:pPr>
              <w:ind w:left="240"/>
              <w:spacing w:after="0"/>
              <w:rPr>
                <w:sz w:val="20"/>
                <w:szCs w:val="20"/>
                <w:color w:val="auto"/>
              </w:rPr>
            </w:pPr>
            <w:r>
              <w:rPr>
                <w:rFonts w:ascii="Arial" w:cs="Arial" w:eastAsia="Arial" w:hAnsi="Arial"/>
                <w:sz w:val="18"/>
                <w:szCs w:val="18"/>
                <w:b w:val="1"/>
                <w:bCs w:val="1"/>
                <w:color w:val="auto"/>
              </w:rPr>
              <w:t>INVENTORIES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9"/>
        </w:trPr>
        <w:tc>
          <w:tcPr>
            <w:tcW w:w="680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73"/>
        </w:trPr>
        <w:tc>
          <w:tcPr>
            <w:tcW w:w="4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89"/>
              </w:rPr>
              <w:t>November 30, 2012</w:t>
            </w:r>
          </w:p>
        </w:tc>
        <w:tc>
          <w:tcPr>
            <w:tcW w:w="144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6"/>
              </w:rPr>
              <w:t>August 31, 2012</w:t>
            </w:r>
          </w:p>
        </w:tc>
      </w:tr>
      <w:tr>
        <w:trPr>
          <w:trHeight w:val="20"/>
        </w:trPr>
        <w:tc>
          <w:tcPr>
            <w:tcW w:w="4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10"/>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1,141,205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1,462,615</w:t>
            </w: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3,848,628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2,688,582</w:t>
            </w:r>
          </w:p>
        </w:tc>
      </w:tr>
      <w:tr>
        <w:trPr>
          <w:trHeight w:val="243"/>
        </w:trPr>
        <w:tc>
          <w:tcPr>
            <w:tcW w:w="400" w:type="dxa"/>
            <w:vAlign w:val="bottom"/>
            <w:shd w:val="clear" w:color="auto" w:fill="CCEEFF"/>
          </w:tcPr>
          <w:p>
            <w:pPr>
              <w:spacing w:after="0"/>
              <w:rPr>
                <w:sz w:val="21"/>
                <w:szCs w:val="21"/>
                <w:color w:val="auto"/>
              </w:rPr>
            </w:pPr>
          </w:p>
        </w:tc>
        <w:tc>
          <w:tcPr>
            <w:tcW w:w="6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4,989,833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4,151,197</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6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 2012</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2012</w:t>
            </w:r>
          </w:p>
        </w:tc>
      </w:tr>
      <w:tr>
        <w:trPr>
          <w:trHeight w:val="20"/>
        </w:trPr>
        <w:tc>
          <w:tcPr>
            <w:tcW w:w="8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3,540,275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3,406,674</w:t>
            </w:r>
          </w:p>
        </w:tc>
      </w:tr>
      <w:tr>
        <w:trPr>
          <w:trHeight w:val="230"/>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2,826,615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2,908,021</w:t>
            </w:r>
          </w:p>
        </w:tc>
      </w:tr>
      <w:tr>
        <w:trPr>
          <w:trHeight w:val="210"/>
        </w:trPr>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6,677,255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6,625,060</w:t>
            </w:r>
          </w:p>
        </w:tc>
      </w:tr>
      <w:tr>
        <w:trPr>
          <w:trHeight w:val="230"/>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(2,438,896)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(2,336,442)</w:t>
            </w:r>
          </w:p>
        </w:tc>
      </w:tr>
      <w:tr>
        <w:trPr>
          <w:trHeight w:val="223"/>
        </w:trPr>
        <w:tc>
          <w:tcPr>
            <w:tcW w:w="840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4,238,359</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4,288,618</w:t>
            </w:r>
          </w:p>
        </w:tc>
      </w:tr>
      <w:tr>
        <w:trPr>
          <w:trHeight w:val="20"/>
        </w:trPr>
        <w:tc>
          <w:tcPr>
            <w:tcW w:w="8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5.</w:t>
            </w:r>
          </w:p>
        </w:tc>
        <w:tc>
          <w:tcPr>
            <w:tcW w:w="5780" w:type="dxa"/>
            <w:vAlign w:val="bottom"/>
          </w:tcPr>
          <w:p>
            <w:pPr>
              <w:ind w:left="240"/>
              <w:spacing w:after="0"/>
              <w:rPr>
                <w:sz w:val="20"/>
                <w:szCs w:val="20"/>
                <w:color w:val="auto"/>
              </w:rPr>
            </w:pPr>
            <w:r>
              <w:rPr>
                <w:rFonts w:ascii="Arial" w:cs="Arial" w:eastAsia="Arial" w:hAnsi="Arial"/>
                <w:sz w:val="18"/>
                <w:szCs w:val="18"/>
                <w:b w:val="1"/>
                <w:bCs w:val="1"/>
                <w:color w:val="auto"/>
              </w:rPr>
              <w:t>PATENTS AND TRADEMARKS, NET</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618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73"/>
        </w:trPr>
        <w:tc>
          <w:tcPr>
            <w:tcW w:w="4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 2012</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2012</w:t>
            </w:r>
          </w:p>
        </w:tc>
      </w:tr>
      <w:tr>
        <w:trPr>
          <w:trHeight w:val="20"/>
        </w:trPr>
        <w:tc>
          <w:tcPr>
            <w:tcW w:w="4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2,012,729</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1,945,785</w:t>
            </w: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(1,000,328)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(984,604)</w:t>
            </w:r>
          </w:p>
        </w:tc>
      </w:tr>
      <w:tr>
        <w:trPr>
          <w:trHeight w:val="243"/>
        </w:trPr>
        <w:tc>
          <w:tcPr>
            <w:tcW w:w="400" w:type="dxa"/>
            <w:vAlign w:val="bottom"/>
            <w:shd w:val="clear" w:color="auto" w:fill="CCEEFF"/>
          </w:tcPr>
          <w:p>
            <w:pPr>
              <w:spacing w:after="0"/>
              <w:rPr>
                <w:sz w:val="21"/>
                <w:szCs w:val="21"/>
                <w:color w:val="auto"/>
              </w:rPr>
            </w:pPr>
          </w:p>
        </w:tc>
        <w:tc>
          <w:tcPr>
            <w:tcW w:w="578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1,012,401</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961,181</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57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$80,000 in each of the next five fiscal years.</w:t>
      </w:r>
    </w:p>
    <w:p>
      <w:pPr>
        <w:spacing w:after="0" w:line="204"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5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approximate U.S. GAAP in all material respects. All material profits recorded on sales from the Company to its joint ventures of goods that remain in inventory, have been eliminated for financial reporting purposes.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joint venture in China and all of the Company’s other joint ventures, are summarized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4"/>
              </w:rPr>
              <w:t>At November 30, 2012</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6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$ 61,936,535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21,440,244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11,933,790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28,562,501</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68,157,107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23,756,509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11,968,500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32,432,098</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20,079,934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4,737,085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4,822,792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10,520,057</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4,815,797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856,547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3,959,250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43,261,376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19,019,424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6,289,161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17,952,791</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21,435,223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9,509,714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3,148,679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8,776,830</w:t>
            </w: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share of joint ventures’ undistributed</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$ 19,341,157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9,478,809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3,095,230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6,767,118</w:t>
            </w:r>
          </w:p>
        </w:tc>
      </w:tr>
      <w:tr>
        <w:trPr>
          <w:trHeight w:val="608"/>
        </w:trPr>
        <w:tc>
          <w:tcPr>
            <w:tcW w:w="6680" w:type="dxa"/>
            <w:vAlign w:val="bottom"/>
          </w:tcPr>
          <w:p>
            <w:pPr>
              <w:ind w:left="566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5"/>
        </w:trPr>
        <w:tc>
          <w:tcPr>
            <w:tcW w:w="6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61"/>
        </w:trPr>
        <w:tc>
          <w:tcPr>
            <w:tcW w:w="66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526"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At August 31, 2012</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191"/>
        </w:trPr>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NTI</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6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ASEAN</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$ 61,973,725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$ 24,357,139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15,358,967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22,257,619</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68,585,974</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26,620,589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15,522,456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26,442,929</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18,686,181</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4,749,574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5,763,857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8,172,750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4,700,458</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1,055965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3,644,493</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45,199,335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21,871,015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8,702,634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14,625,686</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21,461,492</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10,935,509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3,685,404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6,840,579</w:t>
            </w: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share of joint ventures’ undistributed</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$ 19,403,150</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$ 10,904,604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3,314,445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5,184,101</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10"/>
          </w:tcPr>
          <w:p>
            <w:pPr>
              <w:jc w:val="right"/>
              <w:ind w:right="610"/>
              <w:spacing w:after="0"/>
              <w:rPr>
                <w:sz w:val="20"/>
                <w:szCs w:val="20"/>
                <w:color w:val="auto"/>
              </w:rPr>
            </w:pPr>
            <w:r>
              <w:rPr>
                <w:rFonts w:ascii="Arial" w:cs="Arial" w:eastAsia="Arial" w:hAnsi="Arial"/>
                <w:sz w:val="18"/>
                <w:szCs w:val="18"/>
                <w:b w:val="1"/>
                <w:bCs w:val="1"/>
                <w:color w:val="auto"/>
              </w:rPr>
              <w:t>Three Months Ended November 30, 2012</w:t>
            </w:r>
          </w:p>
        </w:tc>
      </w:tr>
      <w:tr>
        <w:trPr>
          <w:trHeight w:val="223"/>
        </w:trPr>
        <w:tc>
          <w:tcPr>
            <w:tcW w:w="6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EXCOR</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27,524,934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8,609,463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3,568,798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15,346,673</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13,127,067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4,434,290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1,730,402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6,962,375</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2,440,560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1,570,374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294,003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576,183</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w w:val="93"/>
              </w:rPr>
              <w:t>Northern Technologies International Corporation’s share of equity in income of joint ventures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1,154,296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785,187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147,001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222,108</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10"/>
          </w:tcPr>
          <w:p>
            <w:pPr>
              <w:jc w:val="right"/>
              <w:ind w:right="610"/>
              <w:spacing w:after="0"/>
              <w:rPr>
                <w:sz w:val="20"/>
                <w:szCs w:val="20"/>
                <w:color w:val="auto"/>
              </w:rPr>
            </w:pPr>
            <w:r>
              <w:rPr>
                <w:rFonts w:ascii="Arial" w:cs="Arial" w:eastAsia="Arial" w:hAnsi="Arial"/>
                <w:sz w:val="18"/>
                <w:szCs w:val="18"/>
                <w:b w:val="1"/>
                <w:bCs w:val="1"/>
                <w:color w:val="auto"/>
              </w:rPr>
              <w:t>Three Months Ended November 30, 2011</w:t>
            </w:r>
          </w:p>
        </w:tc>
      </w:tr>
      <w:tr>
        <w:trPr>
          <w:trHeight w:val="191"/>
        </w:trPr>
        <w:tc>
          <w:tcPr>
            <w:tcW w:w="6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NTI</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6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EXCOR</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ASEAN</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28,795,232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8,542,250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5,022,328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15,230,654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13,339,072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4,325,802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2,286,705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6,726,565</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2,538,769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1,457,055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738,922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689,348</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w w:val="93"/>
              </w:rPr>
              <w:t>Northern Technologies International Corporation’s share of equity in income of joint ventures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1,357,680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728,528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369,461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259,691</w:t>
            </w:r>
          </w:p>
        </w:tc>
      </w:tr>
    </w:tbl>
    <w:p>
      <w:pPr>
        <w:spacing w:after="0" w:line="214"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Company records expenses that are directly attributable to the joint ventures on the consolidated statements of operations on the line “Expenses incurred in support of joint ventures”. The expenses include items such as employee compensation and benefit expenses, travel expense and consulting expense.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other joint venture investments during the three months ended November 30, 2012 and 2011.</w:t>
      </w:r>
    </w:p>
    <w:p>
      <w:pPr>
        <w:spacing w:after="0" w:line="248" w:lineRule="exact"/>
        <w:rPr>
          <w:sz w:val="20"/>
          <w:szCs w:val="20"/>
          <w:color w:val="auto"/>
        </w:rPr>
      </w:pPr>
    </w:p>
    <w:p>
      <w:pPr>
        <w:ind w:left="680" w:hanging="627"/>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5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of November 30, 2012, Northern Technologies Holding Company, LLC (NTI LLC) had a term loan with a principal amount of $990,503 outstanding that NTI LLC obtained from PNC Bank, National Association (PNC Bank) in connection with the purchase of NTIC’s corporate headquarters in September</w:t>
      </w:r>
    </w:p>
    <w:p>
      <w:pPr>
        <w:ind w:right="20"/>
        <w:spacing w:after="0" w:line="255" w:lineRule="auto"/>
        <w:rPr>
          <w:sz w:val="20"/>
          <w:szCs w:val="20"/>
          <w:color w:val="auto"/>
        </w:rPr>
      </w:pPr>
      <w:r>
        <w:rPr>
          <w:rFonts w:ascii="Arial" w:cs="Arial" w:eastAsia="Arial" w:hAnsi="Arial"/>
          <w:sz w:val="18"/>
          <w:szCs w:val="18"/>
          <w:color w:val="auto"/>
        </w:rPr>
        <w:t>2006. The term loan matures on January 10, 2016, bears interest at an annual rate based on the daily LIBOR rate plus 2.15% and is payable in consecutive monthly installments equal to approximately $6,343 (inclusive of principal but exclusive of interest). The term loan is secured by a first lien on the real estate and building owned by NTI LLC and all of the assets of the Company and is guaranteed by the Company.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1" w:name="page12"/>
    <w:bookmarkEnd w:id="11"/>
    <w:p>
      <w:pPr>
        <w:ind w:right="100"/>
        <w:spacing w:after="0" w:line="284" w:lineRule="auto"/>
        <w:rPr>
          <w:sz w:val="20"/>
          <w:szCs w:val="20"/>
          <w:color w:val="auto"/>
        </w:rPr>
      </w:pPr>
      <w:r>
        <w:rPr>
          <w:rFonts w:ascii="Arial" w:cs="Arial" w:eastAsia="Arial" w:hAnsi="Arial"/>
          <w:sz w:val="16"/>
          <w:szCs w:val="16"/>
          <w:color w:val="auto"/>
        </w:rPr>
        <w:t>The Company has a revolving line of credit with PNC Bank of $3,000,000. No amounts were outstanding under the line of credit as of November 30, 2012 and August 31, 2012.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November 30, 2012, the interest rate was 3.03% and the weighted average rate was</w:t>
      </w:r>
    </w:p>
    <w:p>
      <w:pPr>
        <w:spacing w:after="0" w:line="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3.11% for the three months ended November 30, 2012. As of November 30, 2011, the interest rate was 3.09% and the weighted average rate was 3.02% for the three months ended November 30, 2011. The revolving line of credit is secured by cash, receivables and inventory.</w:t>
      </w:r>
    </w:p>
    <w:p>
      <w:pPr>
        <w:spacing w:after="0" w:line="21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term loan and the line of credit are governed under separate loan agreements (collectively, the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the Company is subject to a minimum fixed charge coverage ratio of 1.10:1.00. As of November 30, 2012 the Company was in compliance with all debt covenants.</w:t>
      </w:r>
    </w:p>
    <w:p>
      <w:pPr>
        <w:spacing w:after="0" w:line="20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December 11, 2012, PNC Bank extended the maturity date of the line of credit from January 9, 2013 to January 8, 2014, and waived a technical covenant default by the Company to deliver quarterly compliance certificates. All other terms of the line of credit and the loan agreement and other documents evidencing the line of credit remain the same.</w:t>
      </w:r>
    </w:p>
    <w:p>
      <w:pPr>
        <w:spacing w:after="0" w:line="204"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November 30, 2012, the Company did not purchase or retire any shares of its common stock. The following stock options to purchase shares of common stock were exercised during the three months ended November 30, 2012:</w:t>
      </w:r>
    </w:p>
    <w:p>
      <w:pPr>
        <w:spacing w:after="0" w:line="180" w:lineRule="exact"/>
        <w:rPr>
          <w:sz w:val="20"/>
          <w:szCs w:val="20"/>
          <w:color w:val="auto"/>
        </w:rPr>
      </w:pPr>
    </w:p>
    <w:tbl>
      <w:tblPr>
        <w:tblLayout w:type="fixed"/>
        <w:tblInd w:w="2760" w:type="dxa"/>
        <w:tblCellMar>
          <w:top w:w="0" w:type="dxa"/>
          <w:left w:w="0" w:type="dxa"/>
          <w:bottom w:w="0" w:type="dxa"/>
          <w:right w:w="0" w:type="dxa"/>
        </w:tblCellMar>
      </w:tblPr>
      <w:tr>
        <w:trPr>
          <w:trHeight w:val="207"/>
        </w:trPr>
        <w:tc>
          <w:tcPr>
            <w:tcW w:w="244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88"/>
              </w:rPr>
              <w:t>Exercise Price</w:t>
            </w:r>
          </w:p>
        </w:tc>
      </w:tr>
      <w:tr>
        <w:trPr>
          <w:trHeight w:val="249"/>
        </w:trPr>
        <w:tc>
          <w:tcPr>
            <w:tcW w:w="1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25,140</w:t>
            </w:r>
          </w:p>
        </w:tc>
        <w:tc>
          <w:tcPr>
            <w:tcW w:w="1100" w:type="dxa"/>
            <w:vAlign w:val="bottom"/>
          </w:tcPr>
          <w:p>
            <w:pPr>
              <w:spacing w:after="0"/>
              <w:rPr>
                <w:sz w:val="21"/>
                <w:szCs w:val="21"/>
                <w:color w:val="auto"/>
              </w:rPr>
            </w:pP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w:t>
            </w:r>
          </w:p>
        </w:tc>
      </w:tr>
      <w:tr>
        <w:trPr>
          <w:trHeight w:val="230"/>
        </w:trPr>
        <w:tc>
          <w:tcPr>
            <w:tcW w:w="1340" w:type="dxa"/>
            <w:vAlign w:val="bottom"/>
          </w:tcPr>
          <w:p>
            <w:pPr>
              <w:jc w:val="right"/>
              <w:ind w:right="470"/>
              <w:spacing w:after="0"/>
              <w:rPr>
                <w:sz w:val="20"/>
                <w:szCs w:val="20"/>
                <w:color w:val="auto"/>
              </w:rPr>
            </w:pPr>
            <w:r>
              <w:rPr>
                <w:rFonts w:ascii="Arial" w:cs="Arial" w:eastAsia="Arial" w:hAnsi="Arial"/>
                <w:sz w:val="18"/>
                <w:szCs w:val="18"/>
                <w:color w:val="auto"/>
              </w:rPr>
              <w:t>1,734</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7.65</w:t>
            </w:r>
          </w:p>
        </w:tc>
      </w:tr>
    </w:tbl>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granted stock options under the Northern Technologies International Corporation Amended and Restated 2007 Stock Incentive Plan (the 2007 Plan) to purchase an aggregate of 118,294 shares of its common stock to various employees and directors during the three months ended November 30, 2012. The weighted average per share exercise price of the stock options is $10.25, which is equal to the fair market value of the Company’s common stock on the date of grant.</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November 30, 2011, the Company did not purchase or retire any shares of its common stock, and no stock options to purchase shares of common stock were exercised.</w:t>
      </w:r>
    </w:p>
    <w:p>
      <w:pPr>
        <w:spacing w:after="0" w:line="19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granted stock options under the Northern Technologies International Corporation Amended and Restated 2007 Stock Incentive Plan (the 2007 Plan) to purchase an aggregate of 26,000 shares of its common stock to various employees and directors during the three months ended November 30,</w:t>
      </w:r>
    </w:p>
    <w:p>
      <w:pPr>
        <w:ind w:right="120"/>
        <w:spacing w:after="0" w:line="261" w:lineRule="auto"/>
        <w:rPr>
          <w:sz w:val="20"/>
          <w:szCs w:val="20"/>
          <w:color w:val="auto"/>
        </w:rPr>
      </w:pPr>
      <w:r>
        <w:rPr>
          <w:rFonts w:ascii="Arial" w:cs="Arial" w:eastAsia="Arial" w:hAnsi="Arial"/>
          <w:sz w:val="18"/>
          <w:szCs w:val="18"/>
          <w:color w:val="auto"/>
        </w:rPr>
        <w:t>2011. The weighted average per share exercise price of the stock options is $16.45, which is equal to the fair market value of the Company’s common stock on the date of grant.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2" w:name="page13"/>
    <w:bookmarkEnd w:id="12"/>
    <w:p>
      <w:pPr>
        <w:spacing w:after="0" w:line="257" w:lineRule="auto"/>
        <w:rPr>
          <w:sz w:val="20"/>
          <w:szCs w:val="20"/>
          <w:color w:val="auto"/>
        </w:rPr>
      </w:pPr>
      <w:r>
        <w:rPr>
          <w:rFonts w:ascii="Arial" w:cs="Arial" w:eastAsia="Arial" w:hAnsi="Arial"/>
          <w:sz w:val="18"/>
          <w:szCs w:val="18"/>
          <w:color w:val="auto"/>
        </w:rPr>
        <w:t>During the three months ended November 30, 2011, the Company granted stock bonuses under the 2007 Plan for an aggregate of 42,707 shares of its common stock to various employees at a grant price of $14.42 per share. The aggregate fair value of the shares of the Company’s common stock as of the date of grant of the stock bonuses was $615,830, based on the closing sale price of a share of the Company’s common stock on the date of grant. The fair value of common stock granted during the three months ended November 30, 2011 was based on fiscal 2011 performance and was included in accrued liabilities at August 31, 2011.</w:t>
      </w:r>
    </w:p>
    <w:p>
      <w:pPr>
        <w:spacing w:after="0" w:line="211"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Options to purchase shares of common stock of 48,000 were excluded from the computation of common share equivalents for the three months ended November 30, 2012, as the exercise prices of such options were greater than market price of a share of common stock. Options to purchase shares of common stock of 26,000 were excluded from the computation of common share equivalents for the three months ended November 30, 2011, as the exercise prices of such options were greater than market price of a share of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earnings per share computation for the three months ended November 30, 2012 and 2011: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rPr>
              <w:t>Numerator:</w:t>
            </w:r>
          </w:p>
        </w:tc>
        <w:tc>
          <w:tcPr>
            <w:tcW w:w="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2"/>
              </w:rPr>
              <w:t>Three Months Ended</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40" w:type="dxa"/>
            <w:vAlign w:val="bottom"/>
            <w:gridSpan w:val="2"/>
            <w:vMerge w:val="continue"/>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November 30, 2012</w:t>
            </w:r>
          </w:p>
        </w:tc>
        <w:tc>
          <w:tcPr>
            <w:tcW w:w="100" w:type="dxa"/>
            <w:vAlign w:val="bottom"/>
          </w:tcPr>
          <w:p>
            <w:pPr>
              <w:spacing w:after="0"/>
              <w:rPr>
                <w:sz w:val="19"/>
                <w:szCs w:val="19"/>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November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389,622</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958,757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4,406,205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4,355,666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34,231</w:t>
            </w: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78,058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4,440,436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4,433,724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has two stock-based compensation plans under which stock options and other stock-based awards have been granted, including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administers these plans.</w:t>
      </w:r>
    </w:p>
    <w:p>
      <w:pPr>
        <w:spacing w:after="0" w:line="17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granted options to purchase an aggregate of 96,294 and 26,000 shares of its common stock during the three months ended November 30, 2012 and 2011, respectively. The fair value of option grants is determined at date of grant, using the Black-Scholes option pricing model with the assumptions listed below. Based on these valuations, the Company recognized compensation expense of $43,393 and $72,523 during the three months ended November 30, 2012 and 2011, respectively, related to the options that vested during such time period. The stock-based expense recorded reduced after-tax net income per share by $0.01 for each of the three months ended November 30, 2012 and 2011, respectively. As of November 30, 2012, the total compensation cost for non-vested options not yet recognized in the Company’s consolidated statements of operations was $578,138 net of estimated forfeitures. Additional stock-based compensation expense of $282,652 is expected through the remainder of fiscal year 2013, and expense of $181,774 and $96,841 is expected to be recognized during fiscal 2014 and fiscal 2015, respectively. Future option grants will impact the compensation expense recognized.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November 30,</w:t>
            </w:r>
          </w:p>
        </w:tc>
      </w:tr>
      <w:tr>
        <w:trPr>
          <w:trHeight w:val="223"/>
        </w:trPr>
        <w:tc>
          <w:tcPr>
            <w:tcW w:w="7440" w:type="dxa"/>
            <w:vAlign w:val="bottom"/>
          </w:tcPr>
          <w:p>
            <w:pPr>
              <w:spacing w:after="0"/>
              <w:rPr>
                <w:sz w:val="19"/>
                <w:szCs w:val="19"/>
                <w:color w:val="auto"/>
              </w:rPr>
            </w:pPr>
          </w:p>
        </w:tc>
        <w:tc>
          <w:tcPr>
            <w:tcW w:w="13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2012</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2011</w:t>
            </w: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0.00%</w:t>
            </w:r>
          </w:p>
        </w:tc>
        <w:tc>
          <w:tcPr>
            <w:tcW w:w="264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0.00%</w:t>
            </w: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tcPr>
          <w:p>
            <w:pPr>
              <w:ind w:left="740"/>
              <w:spacing w:after="0"/>
              <w:rPr>
                <w:sz w:val="20"/>
                <w:szCs w:val="20"/>
                <w:color w:val="auto"/>
              </w:rPr>
            </w:pPr>
            <w:r>
              <w:rPr>
                <w:rFonts w:ascii="Arial" w:cs="Arial" w:eastAsia="Arial" w:hAnsi="Arial"/>
                <w:sz w:val="18"/>
                <w:szCs w:val="18"/>
                <w:color w:val="auto"/>
              </w:rPr>
              <w:t>48.0%</w:t>
            </w:r>
          </w:p>
        </w:tc>
        <w:tc>
          <w:tcPr>
            <w:tcW w:w="2640" w:type="dxa"/>
            <w:vAlign w:val="bottom"/>
            <w:gridSpan w:val="3"/>
          </w:tcPr>
          <w:p>
            <w:pPr>
              <w:ind w:left="1440"/>
              <w:spacing w:after="0"/>
              <w:rPr>
                <w:sz w:val="20"/>
                <w:szCs w:val="20"/>
                <w:color w:val="auto"/>
              </w:rPr>
            </w:pPr>
            <w:r>
              <w:rPr>
                <w:rFonts w:ascii="Arial" w:cs="Arial" w:eastAsia="Arial" w:hAnsi="Arial"/>
                <w:sz w:val="18"/>
                <w:szCs w:val="18"/>
                <w:color w:val="auto"/>
              </w:rPr>
              <w:t>48.8%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5-10 years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5 years</w:t>
            </w: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340" w:type="dxa"/>
            <w:vAlign w:val="bottom"/>
          </w:tcPr>
          <w:p>
            <w:pPr>
              <w:ind w:left="740"/>
              <w:spacing w:after="0"/>
              <w:rPr>
                <w:sz w:val="20"/>
                <w:szCs w:val="20"/>
                <w:color w:val="auto"/>
              </w:rPr>
            </w:pPr>
            <w:r>
              <w:rPr>
                <w:rFonts w:ascii="Arial" w:cs="Arial" w:eastAsia="Arial" w:hAnsi="Arial"/>
                <w:sz w:val="18"/>
                <w:szCs w:val="18"/>
                <w:color w:val="auto"/>
              </w:rPr>
              <w:t>0.71%</w:t>
            </w:r>
          </w:p>
        </w:tc>
        <w:tc>
          <w:tcPr>
            <w:tcW w:w="2640" w:type="dxa"/>
            <w:vAlign w:val="bottom"/>
            <w:gridSpan w:val="3"/>
          </w:tcPr>
          <w:p>
            <w:pPr>
              <w:ind w:left="1440"/>
              <w:spacing w:after="0"/>
              <w:rPr>
                <w:sz w:val="20"/>
                <w:szCs w:val="20"/>
                <w:color w:val="auto"/>
              </w:rPr>
            </w:pPr>
            <w:r>
              <w:rPr>
                <w:rFonts w:ascii="Arial" w:cs="Arial" w:eastAsia="Arial" w:hAnsi="Arial"/>
                <w:sz w:val="18"/>
                <w:szCs w:val="18"/>
                <w:color w:val="auto"/>
              </w:rPr>
              <w:t>1.31%</w:t>
            </w:r>
          </w:p>
        </w:tc>
      </w:tr>
    </w:tbl>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weighted average per share fair value of options granted during the three months ended November 30, 2012 and 2011 was $5.53 and $7.14, respectively. The weighted average remaining contractual life of the options outstanding as of November 30, 2012 and 2011 was 4.82 years and 2.81 years, respectively.</w:t>
      </w:r>
    </w:p>
    <w:p>
      <w:pPr>
        <w:spacing w:after="0" w:line="204"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Net sales by geographic location as a percentage of total consolidated net sales for the three months ended November 30, 2012 and 2011 were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336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8060" w:type="dxa"/>
            <w:vAlign w:val="bottom"/>
          </w:tcPr>
          <w:p>
            <w:pPr>
              <w:spacing w:after="0"/>
              <w:rPr>
                <w:sz w:val="19"/>
                <w:szCs w:val="19"/>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November 30, 2012</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November 30, 2011</w:t>
            </w: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Outside the U.S.A. to:</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15.3</w:t>
            </w: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15.7</w:t>
            </w:r>
          </w:p>
        </w:tc>
      </w:tr>
      <w:tr>
        <w:trPr>
          <w:trHeight w:val="230"/>
        </w:trPr>
        <w:tc>
          <w:tcPr>
            <w:tcW w:w="8060" w:type="dxa"/>
            <w:vAlign w:val="bottom"/>
          </w:tcPr>
          <w:p>
            <w:pPr>
              <w:ind w:left="340"/>
              <w:spacing w:after="0"/>
              <w:rPr>
                <w:sz w:val="20"/>
                <w:szCs w:val="20"/>
                <w:color w:val="auto"/>
              </w:rPr>
            </w:pPr>
            <w:r>
              <w:rPr>
                <w:rFonts w:ascii="Arial" w:cs="Arial" w:eastAsia="Arial" w:hAnsi="Arial"/>
                <w:sz w:val="18"/>
                <w:szCs w:val="18"/>
                <w:color w:val="auto"/>
              </w:rPr>
              <w:t>Unaffiliated customers</w:t>
            </w: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13.5</w:t>
            </w:r>
          </w:p>
        </w:tc>
        <w:tc>
          <w:tcPr>
            <w:tcW w:w="17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16.2</w:t>
            </w:r>
          </w:p>
        </w:tc>
      </w:tr>
      <w:tr>
        <w:trPr>
          <w:trHeight w:val="210"/>
        </w:trPr>
        <w:tc>
          <w:tcPr>
            <w:tcW w:w="80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5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months ended November 30, 2012 and 2011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6"/>
          </w:tcPr>
          <w:p>
            <w:pPr>
              <w:jc w:val="right"/>
              <w:ind w:right="1290"/>
              <w:spacing w:after="0"/>
              <w:rPr>
                <w:sz w:val="20"/>
                <w:szCs w:val="20"/>
                <w:color w:val="auto"/>
              </w:rPr>
            </w:pPr>
            <w:r>
              <w:rPr>
                <w:rFonts w:ascii="Arial" w:cs="Arial" w:eastAsia="Arial" w:hAnsi="Arial"/>
                <w:sz w:val="18"/>
                <w:szCs w:val="18"/>
                <w:b w:val="1"/>
                <w:bCs w:val="1"/>
                <w:color w:val="auto"/>
                <w:w w:val="93"/>
              </w:rPr>
              <w:t>Three Months Ended November 30,</w:t>
            </w:r>
          </w:p>
        </w:tc>
      </w:tr>
      <w:tr>
        <w:trPr>
          <w:trHeight w:val="191"/>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for Services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 of Total Fees for</w:t>
            </w: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Provided to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Services Provided</w:t>
            </w:r>
          </w:p>
        </w:tc>
      </w:tr>
      <w:tr>
        <w:trPr>
          <w:trHeight w:val="234"/>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Joint Ventures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to Joint Ventures</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493,312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Germany</w:t>
            </w: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242,700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249,447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201,981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288,539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Thailand*</w:t>
            </w: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153,687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138,742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76,465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France</w:t>
            </w: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128,502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141,639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111,472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97,828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Finland</w:t>
            </w: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87,851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132,496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86,992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156,657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United Kingdom</w:t>
            </w: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67,058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79,499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136,155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133,980</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86,527</w:t>
            </w: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1,846,277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1,445,252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*Joint Ventures owned by NTI Asean.</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**Joint Venture owned by NTI Asean as of November 30, 2012, but not as of November 30, 2011. NTI Asean results are not included on the consolidated financial statements for the three months ended November 30, 2011. (See Note 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sets forth the Company’s net sales for the three months ended November 30, 2012 and 2011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2"/>
              </w:rPr>
              <w:t>Three Months Ended</w:t>
            </w:r>
          </w:p>
        </w:tc>
        <w:tc>
          <w:tcPr>
            <w:tcW w:w="840" w:type="dxa"/>
            <w:vAlign w:val="bottom"/>
            <w:tcBorders>
              <w:bottom w:val="single" w:sz="8" w:color="auto"/>
            </w:tcBorders>
          </w:tcPr>
          <w:p>
            <w:pPr>
              <w:spacing w:after="0"/>
              <w:rPr>
                <w:sz w:val="20"/>
                <w:szCs w:val="20"/>
                <w:color w:val="auto"/>
              </w:rPr>
            </w:pPr>
          </w:p>
        </w:tc>
      </w:tr>
      <w:tr>
        <w:trPr>
          <w:trHeight w:val="223"/>
        </w:trPr>
        <w:tc>
          <w:tcPr>
            <w:tcW w:w="816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November 30, 2012</w:t>
            </w:r>
          </w:p>
        </w:tc>
        <w:tc>
          <w:tcPr>
            <w:tcW w:w="120" w:type="dxa"/>
            <w:vAlign w:val="bottom"/>
          </w:tcPr>
          <w:p>
            <w:pPr>
              <w:spacing w:after="0"/>
              <w:rPr>
                <w:sz w:val="19"/>
                <w:szCs w:val="19"/>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November 30, 2011</w:t>
            </w: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4,795,283</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4,452,646</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Natur-Tec® sales</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496,464</w:t>
            </w: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379,468</w:t>
            </w:r>
          </w:p>
        </w:tc>
      </w:tr>
      <w:tr>
        <w:trPr>
          <w:trHeight w:val="243"/>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5,291,747</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4,832,114</w:t>
            </w:r>
          </w:p>
        </w:tc>
      </w:tr>
      <w:tr>
        <w:trPr>
          <w:trHeight w:val="20"/>
        </w:trPr>
        <w:tc>
          <w:tcPr>
            <w:tcW w:w="8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months ended November 30, 2012 and 2011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9"/>
              </w:rPr>
              <w:t>November 30,</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 of Product</w:t>
            </w:r>
          </w:p>
        </w:tc>
        <w:tc>
          <w:tcPr>
            <w:tcW w:w="1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98"/>
              </w:rPr>
              <w:t>November 30,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 of Product</w:t>
            </w:r>
          </w:p>
        </w:tc>
        <w:tc>
          <w:tcPr>
            <w:tcW w:w="0" w:type="dxa"/>
            <w:vAlign w:val="bottom"/>
          </w:tcPr>
          <w:p>
            <w:pPr>
              <w:spacing w:after="0"/>
              <w:rPr>
                <w:sz w:val="1"/>
                <w:szCs w:val="1"/>
                <w:color w:val="auto"/>
              </w:rPr>
            </w:pPr>
          </w:p>
        </w:tc>
      </w:tr>
      <w:tr>
        <w:trPr>
          <w:trHeight w:val="234"/>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Direct cost of goods sold</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Sales*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Sales*</w:t>
            </w:r>
          </w:p>
        </w:tc>
        <w:tc>
          <w:tcPr>
            <w:tcW w:w="0" w:type="dxa"/>
            <w:vAlign w:val="bottom"/>
          </w:tcPr>
          <w:p>
            <w:pPr>
              <w:spacing w:after="0"/>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ZERUST®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2,644,295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2,457,799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Natur-Tec®</w:t>
            </w: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439,673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296,561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607,004</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455,116</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Total net cost of goods sold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3,690,972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3,209,476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80" w:firstLine="8"/>
        <w:spacing w:after="0" w:line="277" w:lineRule="auto"/>
        <w:tabs>
          <w:tab w:leader="none" w:pos="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w w:val="93"/>
              </w:rPr>
              <w:t>The geographical distribution of key financial statement data is as follows:</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73"/>
        </w:trPr>
        <w:tc>
          <w:tcPr>
            <w:tcW w:w="5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90"/>
              </w:rPr>
              <w:t>At November 30, 2012</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23"/>
        </w:trPr>
        <w:tc>
          <w:tcPr>
            <w:tcW w:w="5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Brazil</w:t>
            </w:r>
          </w:p>
        </w:tc>
        <w:tc>
          <w:tcPr>
            <w:tcW w:w="16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North America</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1,525,725</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45,619,817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47,105,308</w:t>
            </w:r>
          </w:p>
        </w:tc>
      </w:tr>
      <w:tr>
        <w:trPr>
          <w:trHeight w:val="473"/>
        </w:trPr>
        <w:tc>
          <w:tcPr>
            <w:tcW w:w="5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0"/>
              </w:rPr>
              <w:t>At August 31, 2012</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23"/>
        </w:trPr>
        <w:tc>
          <w:tcPr>
            <w:tcW w:w="5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Brazil</w:t>
            </w:r>
          </w:p>
        </w:tc>
        <w:tc>
          <w:tcPr>
            <w:tcW w:w="16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North America</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1,744,693</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40,132,934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41,877,627</w:t>
            </w:r>
          </w:p>
        </w:tc>
      </w:tr>
      <w:tr>
        <w:trPr>
          <w:trHeight w:val="473"/>
        </w:trPr>
        <w:tc>
          <w:tcPr>
            <w:tcW w:w="5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5"/>
          </w:tcPr>
          <w:p>
            <w:pPr>
              <w:jc w:val="center"/>
              <w:ind w:right="270"/>
              <w:spacing w:after="0"/>
              <w:rPr>
                <w:sz w:val="20"/>
                <w:szCs w:val="20"/>
                <w:color w:val="auto"/>
              </w:rPr>
            </w:pPr>
            <w:r>
              <w:rPr>
                <w:rFonts w:ascii="Arial" w:cs="Arial" w:eastAsia="Arial" w:hAnsi="Arial"/>
                <w:sz w:val="18"/>
                <w:szCs w:val="18"/>
                <w:b w:val="1"/>
                <w:bCs w:val="1"/>
                <w:color w:val="auto"/>
                <w:w w:val="91"/>
              </w:rPr>
              <w:t>Three Months Ended November 30, 2012</w:t>
            </w:r>
          </w:p>
        </w:tc>
      </w:tr>
      <w:tr>
        <w:trPr>
          <w:trHeight w:val="223"/>
        </w:trPr>
        <w:tc>
          <w:tcPr>
            <w:tcW w:w="5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Brazil</w:t>
            </w:r>
          </w:p>
        </w:tc>
        <w:tc>
          <w:tcPr>
            <w:tcW w:w="16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North America</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551,814</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4,739,933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5,291,747</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Operating income</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(23,148)</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896,812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873,664</w:t>
            </w:r>
          </w:p>
        </w:tc>
      </w:tr>
      <w:tr>
        <w:trPr>
          <w:trHeight w:val="593"/>
        </w:trPr>
        <w:tc>
          <w:tcPr>
            <w:tcW w:w="5500" w:type="dxa"/>
            <w:vAlign w:val="bottom"/>
          </w:tcPr>
          <w:p>
            <w:pPr>
              <w:spacing w:after="0"/>
              <w:rPr>
                <w:sz w:val="24"/>
                <w:szCs w:val="24"/>
                <w:color w:val="auto"/>
              </w:rPr>
            </w:pPr>
          </w:p>
        </w:tc>
        <w:tc>
          <w:tcPr>
            <w:tcW w:w="1600" w:type="dxa"/>
            <w:vAlign w:val="bottom"/>
          </w:tcPr>
          <w:p>
            <w:pPr>
              <w:jc w:val="right"/>
              <w:ind w:right="121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5"/>
        </w:trPr>
        <w:tc>
          <w:tcPr>
            <w:tcW w:w="55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61"/>
        </w:trPr>
        <w:tc>
          <w:tcPr>
            <w:tcW w:w="550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w w:val="98"/>
              </w:rPr>
              <w:t>Three Months Ended November 30, 2011</w:t>
            </w:r>
          </w:p>
        </w:tc>
      </w:tr>
      <w:tr>
        <w:trPr>
          <w:trHeight w:val="223"/>
        </w:trPr>
        <w:tc>
          <w:tcPr>
            <w:tcW w:w="42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Brazil</w:t>
            </w: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North America</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604,920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4,227,194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4,832,114</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Operating income</w:t>
            </w:r>
          </w:p>
        </w:tc>
        <w:tc>
          <w:tcPr>
            <w:tcW w:w="3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(155,174)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1,187,676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1,032,502</w:t>
            </w:r>
          </w:p>
        </w:tc>
      </w:tr>
    </w:tbl>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assets located in Brazil primarily consist of cash and cash equivalents, customer receivables and inventory. These assets are periodically reviewed to assure the net realizable value from the estimated future production based on forecasted sales exceeds the carrying value of the assets.</w:t>
      </w:r>
    </w:p>
    <w:p>
      <w:pPr>
        <w:spacing w:after="0" w:line="170"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expenses all costs related to product research and development as incurred. The Company incurred $938,206 and $814,305 of expense during the three months ended November 30, 2012 and 2011, respectively, in connection with its research and development activities. The costs related to product research and development contracts of $68,682 and $197,000 for the three months ended November 30, 2012 and 2011, respectively. The net fees are accounted for in the “Research and Development Expenses” section of the consolidated statements of operations.</w:t>
      </w:r>
    </w:p>
    <w:p>
      <w:pPr>
        <w:spacing w:after="0" w:line="19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has certain research and development contracts. The Company accrues proceeds received under such contracts and offsets research and development expenses incurred in equal installments over the timelines associated with completion of the contracts’ specific objectives and milestones. At November 30, 2012 and August 31, 2012, the Company had $4,210 and $96,861, respectively, of deferred amounts in other accrued liabilities as the Company had not yet performed under the obligations of the contract at that time.</w:t>
      </w:r>
    </w:p>
    <w:p>
      <w:pPr>
        <w:spacing w:after="0" w:line="210"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August 31, 2012, the Board of Directors of the Company, upon recommendation of the Compensation Committee of the Board of Directors, approved the material terms of an annual bonus plan for the Company’s executive officers and certain officers and employees for the fiscal year ending August 31,</w:t>
      </w:r>
    </w:p>
    <w:p>
      <w:pPr>
        <w:ind w:right="40"/>
        <w:spacing w:after="0" w:line="268" w:lineRule="auto"/>
        <w:rPr>
          <w:sz w:val="20"/>
          <w:szCs w:val="20"/>
          <w:color w:val="auto"/>
        </w:rPr>
      </w:pPr>
      <w:r>
        <w:rPr>
          <w:rFonts w:ascii="Arial" w:cs="Arial" w:eastAsia="Arial" w:hAnsi="Arial"/>
          <w:sz w:val="17"/>
          <w:szCs w:val="17"/>
          <w:color w:val="auto"/>
        </w:rPr>
        <w:t>2013. For fiscal 2013 as in past years, the total amount available under the bonus plan will be up to 25% of the Company’s earnings before interest, taxes and other income, as adjusted to take into account amounts to be paid under the bonus plan and certain other adjustments (Adjusted EBITOI), assuming the achievement of at least a minimum Adjusted EBITOI, which is generally 70% of a budgeted target Adjusted EBITOI for fiscal 2013. For each plan participant, 50% of the amount of the participant’s individual bonus payout will be determined based upon the participant’s individual allocation percentage of the total amount available under the bonus plan and 50% of the participant’s payout will be determined based upon the participant’s achievement of certain pre-established but more qualitative individual performance objectives. The payment of bonuses under the plan are discretionary and may be paid to executive officer participants in both cash and shares of NTIC common stock, the exact amount and percentages of which will be determined by the Company’s Board of Directors, upon recommendation of the Compensation Committee, after the completion of the Company’s consolidated financial statements for fiscal 2013. There was $116,909 for management bonuses accrued for three months ended November 30, 2012 compared to a management bonus accrual of $320,814 for the three months ended November 30, 2011.</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7" w:name="page18"/>
    <w:bookmarkEnd w:id="17"/>
    <w:p>
      <w:pPr>
        <w:ind w:right="120"/>
        <w:spacing w:after="0" w:line="277" w:lineRule="auto"/>
        <w:rPr>
          <w:sz w:val="20"/>
          <w:szCs w:val="20"/>
          <w:color w:val="auto"/>
        </w:rPr>
      </w:pPr>
      <w:r>
        <w:rPr>
          <w:rFonts w:ascii="Arial" w:cs="Arial" w:eastAsia="Arial" w:hAnsi="Arial"/>
          <w:sz w:val="18"/>
          <w:szCs w:val="18"/>
          <w:color w:val="auto"/>
        </w:rPr>
        <w:t>A subsidiary of the Company, NTI Facilities, Inc., leases property located at 23205 Mercantile Road, Beachwood, Ohio. Remaining rentals payable under such leases are as follows: fiscal 2013 - $187,500; fiscal 2014 - $59,500 and thereafter - $0.</w:t>
      </w:r>
    </w:p>
    <w:p>
      <w:pPr>
        <w:spacing w:after="0" w:line="19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Three joint ventures accounted for 65.0% and 55.3% of the Company’s trade joint venture receivables at November 30, 2012 and August 31, 2012, respectively.</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From time to time, the Company is subject to various claims and legal actions in the ordinary course of its business. The Company is not currently involved in any legal proceeding in which the Company believes, based on information currently available, that there is a reasonable possibility of a material loss.</w:t>
      </w: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sectPr>
      </w:pPr>
    </w:p>
    <w:bookmarkStart w:id="18" w:name="page19"/>
    <w:bookmarkEnd w:id="18"/>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NTIC develops and markets proprietary environmentally beneficial products and services in over 55 countries either directly or via a network of joint ventures, independent distributors and agents. NTIC’s primary business is corrosion prevention marketed mainly under the ZERUST® brand. NTIC has been selling its proprietary ZERUST® rust and corrosion inhibiting products and services to the automotive, electronics, electrical, mechanical, military and retail consumer markets for over 35 years, and more recently, has targeted and expanded into the oil and gas industry. NTIC also sells a portfolio of bio-based and biodegradable (compostable) polymer resin compounds and finished products marketed under the Natur-Tec® brand. These products are intended to reduce NTIC’s customers’ carbon footprint and provide environmentally sound disposal options.</w:t>
      </w:r>
    </w:p>
    <w:p>
      <w:pPr>
        <w:spacing w:after="0" w:line="2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NTIC’s ZERUST® rust and corrosion inhibiting products include plastic and paper packaging, liquids and coatings, rust removers and cleaners, diffusers and variations of these products designed specifically for the oil and gas industry. NTIC’s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majority owned Brazilian subsidiary, Zerust Prevenção de Corrosão S.A. (Zerust Brazil), its majority owned joint venture holding company for NTIC’s joint venture investments in the Association of Southeast Asian Nations (ASEAN) region, and joint venture arrangements in North America and Europe.</w:t>
      </w:r>
    </w:p>
    <w:p>
      <w:pPr>
        <w:spacing w:after="0" w:line="21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One of NTIC’s strategic initiatives is to expand into and penetrate other markets for its ZERUST® corrosion prevention solutions. For the past several years, NTIC has focused its sales and marketing efforts on the oil and gas industry since the infrastructure that supports that industry is typically constructed using metals that are highly susceptible to corrosion and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Petroleo Brasileiro S.A. (Petrobras), an oil company located in Brazil, has conducted extensive multi-year product field trials of NTIC’s ZERUST® rust and corrosion inhibiting products against competitive alternatives. During fiscal 2010, Zerust Brazil received a Phase 1 contract for an initial implementation of $1.4 million in ZERUST® products which was delivered in fiscal 2010 and fiscal 2011. During fiscal 2011, Zerust Brazil signed a Phase 2 contract with Petrobras to supply $2.4 million in ZERUST® products. During fiscal 2012, Petrobras expanded this Phase 2 contract to supply an additional $657,000 in ZERUST® products, bringing the total Phase 2 contract value to $3.1 million in ZERUST® products, which were delivered in fiscal 2012. During first quarter of fiscal 2013, Zerust Brazil signed a Phase 3 contract with Petrobras to supply $3.7 million in ZERUST® products.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9" w:name="page20"/>
    <w:bookmarkEnd w:id="19"/>
    <w:p>
      <w:pPr>
        <w:ind w:right="200"/>
        <w:spacing w:after="0" w:line="259" w:lineRule="auto"/>
        <w:rPr>
          <w:sz w:val="20"/>
          <w:szCs w:val="20"/>
          <w:color w:val="auto"/>
        </w:rPr>
      </w:pPr>
      <w:r>
        <w:rPr>
          <w:rFonts w:ascii="Arial" w:cs="Arial" w:eastAsia="Arial" w:hAnsi="Arial"/>
          <w:sz w:val="18"/>
          <w:szCs w:val="18"/>
          <w:color w:val="auto"/>
        </w:rPr>
        <w:t>NTIC is also pursuing opportunities to market its ZERUST® rust and corrosion prevention solutions to other targeted potential customers in the oil and gas industry across several countries through NTIC’s joint venture partners and other strategic partners. NTIC believes the sale of its ZERUST® corrosion prevention solutions to customers in the oil and gas industry will involve a long sales cycle, likely including a one- to two-year trial period with each customer and a slow integration process thereafter.</w:t>
      </w:r>
    </w:p>
    <w:p>
      <w:pPr>
        <w:spacing w:after="0" w:line="21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Natur-Tec® bio-based and biodegradable plastics are manufactured using NTIC’s patented and/or proprietary technologies and are intended to replace conventional petroleum-based plastics. The Natur-Tec® bioplastics portfolio includes biopolymer resin compounds which are available in several grades tailored for a variety of applications, such as blown-film extrusion, extrusion coating, injection molding and rigid, engineered plastics, and finished products, including shopping and grocery bags, lawn and leaf bags, can liners, pet waste collection bags, cutlery, packaging foam and coated paper products, which are engineered to be fully biodegradable in a composting environment. In North America, NTIC markets its Natur-Tec® resin compounds and finished products primarily through a network of national and regional distributors and independent agents. NTIC continues to see significant opportunities for finished bioplastic products and, therefore, continues to strengthen and expand its North American distribution network for finished Natur-Tec® bioplastic products. Internationally, NTIC sells its Natur-Tec® resin compounds and finished products both directly and through some of its joint venture arrangements, including in particular its joint venture in India, Harita NTI Limited (HNTI).</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During fiscal 2012, HNTI and a major global apparel brand entered into an agreement for the supply by HNTI of compostable packaging for branded garments. In addition, HNTI is pursuing applications for bioplastics in food and personal care product packaging through alliances with several local partners in India. During fiscal 2011, NTIC entered into an agreement with Italy-based Naturfuels s.r.l. to distribute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bioplastic materials and products in the Italian market. Under the terms of the distribution agreement, NTIC supplies Naturfuels with NTIC’s patented high-strength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compostable film grade resin compounds to be used for the production of bio-plastic shopping and garbage bags on conventional plastic film production equipment. In 2011, the Italian government passed legislation banning the use of non-biodegradable plastic shopping bags. However, enforcement of this law has recently been delayed to allow Italian bag manufacturers to exhaust their current supply of conventional polyolefinic resins before completely changing to certified compostable resins. As a result, resin sales to Naturfuels are not expected to have a material effect on NTIC’s operating results until mid-fiscal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5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NTIC participates in 23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sell NTIC’s Natur-Tec® resin compounds. NTIC historically has funded its investments in joint ventures with cash generated from operations.</w:t>
      </w:r>
    </w:p>
    <w:p>
      <w:pPr>
        <w:spacing w:after="0" w:line="21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NTIC’s receipt of funds from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NTIC’s primary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owns only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0" w:name="page21"/>
    <w:bookmarkEnd w:id="20"/>
    <w:p>
      <w:pPr>
        <w:ind w:right="40"/>
        <w:spacing w:after="0" w:line="259" w:lineRule="auto"/>
        <w:rPr>
          <w:sz w:val="20"/>
          <w:szCs w:val="20"/>
          <w:color w:val="auto"/>
        </w:rPr>
      </w:pPr>
      <w:r>
        <w:rPr>
          <w:rFonts w:ascii="Arial" w:cs="Arial" w:eastAsia="Arial" w:hAnsi="Arial"/>
          <w:sz w:val="18"/>
          <w:szCs w:val="18"/>
          <w:color w:val="auto"/>
        </w:rPr>
        <w:t>NTIC does not consolidate the results of its 23 joint ventures in its consolidated financial statements. NTIC’s investments in its joint ventures are accounted for using the equity method. Although Zerust Brazil originated as a joint venture of NTIC, it is no longer considered a joint venture, but rather it is a majority owned subsidiary of NTIC; and thus, unlike NTIC’s joint ventures, its results are consolidated in NTIC’s consolidated financial statements. NTIC holds 85% of the equity and 85% of the voting rights of Zerust Brazil.</w:t>
      </w:r>
    </w:p>
    <w:p>
      <w:pPr>
        <w:spacing w:after="0" w:line="21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In addition, beginning in the first quarter of fiscal 2013, NTIC has consolidated the results of NTI Asean, which effective as of September 1, 2012 is a majority owned subsidiary of NTIC. On September 1, 2012, NTIC and the other 50% owner in NTI Asean contributed their respective shares of capital stock of Korea Zerust Co., Ltd. (Korea Zerust), constituting an aggregate of 50% of the equity and voting rights of Korea Zerust, to NTI Asean, and NTIC contributed exclusive license rights and other intellectual property to NTI Asean in exchange for an additional 10% ownership interest in NTI Asean. As a result of such transaction, NTIC holds 60% of the equity and 60% of the voting rights of NTI Asean. NTI Asean holds investments in eight entities that operate in the following eight territories located in the Association of Southeast Asian Nations (ASEAN) region: China, Indonesia, Korea, Malaysia, Philippines, Singapore, Taiwan and Thailand. With respect to NTIC’s joint ventures, NTIC considers only EXCOR and China to be individually significant to NTIC’s consolidated assets and income; and therefore, provides certain additional information regarding EXCOR and China in the notes to NTIC’s consolidated financial statements and in this section of this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NTIC’s consolidated net sales increased 9.5% during the three months ended November 30, 2012 compared to the three months ended November 30, 2011. This increase was primarily a result of increased sales of Natur-Tec® products and ZERUST® rust and corrosion inhibiting packaging products and services. During the three months ended November 30, 2012, 90.6% of NTIC’s consolidated net sales were derived from sales of ZERUST® products and services, which increased 7.7% to $4,795,283 during the three months ended November 30, 2012, compared to the same respective prior fiscal year period due to increased demand from existing customers and the addition of new customers.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three months ended November 30, 2012 included $551,814 of sales made by Zerust Brazil, and of those sales, $40,385 in sales were made to the oil and gas industry sector in Brazil. Overall demand for ZERUST® products and services depends heavily on the overall health of the markets in which NTIC sells its products, including in particular the automotive market.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ind w:right="200"/>
        <w:spacing w:after="0" w:line="255" w:lineRule="auto"/>
        <w:rPr>
          <w:sz w:val="20"/>
          <w:szCs w:val="20"/>
          <w:color w:val="auto"/>
        </w:rPr>
      </w:pPr>
      <w:r>
        <w:rPr>
          <w:rFonts w:ascii="Arial" w:cs="Arial" w:eastAsia="Arial" w:hAnsi="Arial"/>
          <w:sz w:val="18"/>
          <w:szCs w:val="18"/>
          <w:color w:val="auto"/>
        </w:rPr>
        <w:t>During the three months ended November 30, 2012, 9.4% of NTIC’s consolidated net sales were derived from sales of Natur-Tec® products compared to 7.9% during the three months ended November 30, 2011. Net sales of Natur-Tec® products increased 30.8% during the three months ended November 30, 2012 compared to the three months ended November 30, 2011. This increase was due to increased sales to Natur-Tec® distributors in the United States as NTIC has continued to strengthen and expand its U.S. industrial distribution. Additionally, NTIC has continued to target key national and regional retailers utilizing independent sales agents. Demand for the Natur-Tec® products depends primarily on market acceptance and the extent of NTIC’s distribution network.</w:t>
      </w:r>
    </w:p>
    <w:p>
      <w:pPr>
        <w:spacing w:after="0" w:line="22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Cost of goods sold as a percentage of net sales increased to 69.8% during the three months ended November 30, 2012 compared to 66.4% during the three months ended November 30, 2011 primarily as a result of increased production expense associated with the production and shipping of both ZERUST® and Natur Tec® products. The increases are considered temporary as new suppliers are being implemented for new products and applications.</w:t>
      </w:r>
    </w:p>
    <w:p>
      <w:pPr>
        <w:spacing w:after="0" w:line="17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NTIC’s equity in income of joint ventures decreased 15.0% to $1,154,296 during the three months ended November 30, 2012 compared $1,357,680 during the three months ended November 30, 2011 primarily as a result of the consolidation of NTI Asean which was included in the current fiscal quarter, but not in the prior comparative quarter.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NTIC recognized a 27.7% increase in fees for services provided to joint ventures during the three months ended November 30, 2012 compared to the three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November 30, 2011. This increase was primarily a result of the consolidation of fees for services earned by NTI Asean which are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current fiscal quarter, but not in the prior comparative quarter. This is partially offset by a 4.4% decrease in total net sales of NTIC’s joint ventures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$27,524,934 during the three months ended November 30, 2012 compared to $28,795,232 for the three months ended November 30, 2011. Total net sales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NTIC’s joint ventures were adversely affected in part by the European economic slowdown, which NTIC believes adversely affected the net sales of NTIC’s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European joint ventures as well as certain of NTIC’s other non-European joint ventures, and the weakening of the EURO and other currencies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U.S. dollar.</w:t>
      </w:r>
    </w:p>
    <w:p>
      <w:pPr>
        <w:spacing w:after="0" w:line="23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NTIC’s total operating expenses increased to $3,727,684 during the three months ended November 30, 2012 compared to $3,393,068 for the three months ended November 30, 2011. This increase was primarily the result of an increase in selling expenses, general and administrative expenses and expenses incurred in support of joint ventures, research and development expenses, and overall reflected NTIC’s efforts to support its new business efforts.</w:t>
      </w:r>
    </w:p>
    <w:p>
      <w:pPr>
        <w:spacing w:after="0" w:line="1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NTIC expenses all costs related to product research and development as incurred. NTIC incurred $938,206 and $814,305 of expense during the three months ended November 30, 2012 and 2011, respectively, in connection with its research and development activities. These represent net amounts after being reduced by reimbursements related to certain research and development contracts. Such reimbursement totaled $68,682 during the three months ended November 30, 2012 and 2011. NTIC anticipates that it will spend between $3,800,000 and $4,000,000 in total during fiscal 2013 on research and development activities related to its new technologies. This estimate is a net range after being reduced by anticipated reimbursements related to certain research and development contracts.</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income attributable to NTIC decreased 59.4% to $389,622, or $0.09 per diluted common share, for the three months ended November 30, 2012 compared to $958,757, or $0.22 per diluted common share, for the three months ended November 30, 2011. This decrease was primarily the result of decreases in gross profits of NTIC’s North American businesses as well as decreases in sales and earnings of NTIC’s subsidiary in Brazil. NTIC anticipates that its quarterly net income will remain subject to significant volatility primarily due to the financial performance of its joint ventures and sales of its ZERUST® products and services into the oil and gas industry and Natur-Tec® bioplastics products, which sales fluctuate more on a quarterly basis than the traditional ZERUST® business.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2" w:name="page23"/>
    <w:bookmarkEnd w:id="22"/>
    <w:p>
      <w:pPr>
        <w:ind w:right="180"/>
        <w:spacing w:after="0" w:line="277" w:lineRule="auto"/>
        <w:rPr>
          <w:sz w:val="20"/>
          <w:szCs w:val="20"/>
          <w:color w:val="auto"/>
        </w:rPr>
      </w:pPr>
      <w:r>
        <w:rPr>
          <w:rFonts w:ascii="Arial" w:cs="Arial" w:eastAsia="Arial" w:hAnsi="Arial"/>
          <w:sz w:val="18"/>
          <w:szCs w:val="18"/>
          <w:color w:val="auto"/>
        </w:rPr>
        <w:t>NTIC’s working capital was $15,306,871 at November 30, 2012, including $6,819,036 in cash and cash equivalents compared to $10,060,081 at August 31, 2012, including $4,137,547 in cash and cash equivalents.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NTIC’s results of operations for the three months ended November 30, 2012 and 2011.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91"/>
        </w:trPr>
        <w:tc>
          <w:tcPr>
            <w:tcW w:w="4280" w:type="dxa"/>
            <w:vAlign w:val="bottom"/>
          </w:tcPr>
          <w:p>
            <w:pPr>
              <w:spacing w:after="0"/>
              <w:rPr>
                <w:sz w:val="16"/>
                <w:szCs w:val="16"/>
                <w:color w:val="auto"/>
              </w:rPr>
            </w:pPr>
          </w:p>
        </w:tc>
        <w:tc>
          <w:tcPr>
            <w:tcW w:w="120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100" w:type="dxa"/>
            <w:vAlign w:val="bottom"/>
          </w:tcPr>
          <w:p>
            <w:pPr>
              <w:spacing w:after="0"/>
              <w:rPr>
                <w:sz w:val="16"/>
                <w:szCs w:val="16"/>
                <w:color w:val="auto"/>
              </w:rPr>
            </w:pPr>
          </w:p>
        </w:tc>
        <w:tc>
          <w:tcPr>
            <w:tcW w:w="10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20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100" w:type="dxa"/>
            <w:vAlign w:val="bottom"/>
          </w:tcPr>
          <w:p>
            <w:pPr>
              <w:spacing w:after="0"/>
              <w:rPr>
                <w:sz w:val="16"/>
                <w:szCs w:val="16"/>
                <w:color w:val="auto"/>
              </w:rPr>
            </w:pPr>
          </w:p>
        </w:tc>
        <w:tc>
          <w:tcPr>
            <w:tcW w:w="10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9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428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Net Sales</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Net Sales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4,770,387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4,277,643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492,744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521,360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554,471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3,690,972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3,209,476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481,496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1,154,296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1,357,680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(203,384)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1,846,277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1,445,252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401,025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Selling expenses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1,171,095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1,108,486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62,609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1,248,696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1,270,013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369,687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200,264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169,423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84.6%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938,206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814,305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123,901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9.5% to $5,291,747 during the three months ended November 30, 2012 compared to the three months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ended November 30, 2011. NTIC’s consolidated net sales to unaffiliated customers excluding NTIC’s joint ventures increased 11.5% to $4,770,387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November 30, 2012 compared to the same respective prior fiscal year period. This increase was primarily a result of increased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Natur-Tec® products and ZERUST® rust and corrosion inhibiting packaging products and services. Net sales to joint ventures decreased 6.0%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$521,360 during the three months ended November 30, 2012 compared to the same respective prior fiscal year period. This decrease correlated with the 4.4%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 in total net sales of NTIC’s joint ventures for the three months ended November 30, 2012.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category for the three months ended November 30, 2012 and 2011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2"/>
              </w:rPr>
              <w:t>Three Months Ended</w:t>
            </w:r>
          </w:p>
        </w:tc>
        <w:tc>
          <w:tcPr>
            <w:tcW w:w="840" w:type="dxa"/>
            <w:vAlign w:val="bottom"/>
            <w:tcBorders>
              <w:bottom w:val="single" w:sz="8" w:color="auto"/>
            </w:tcBorders>
          </w:tcPr>
          <w:p>
            <w:pPr>
              <w:spacing w:after="0"/>
              <w:rPr>
                <w:sz w:val="20"/>
                <w:szCs w:val="20"/>
                <w:color w:val="auto"/>
              </w:rPr>
            </w:pPr>
          </w:p>
        </w:tc>
      </w:tr>
      <w:tr>
        <w:trPr>
          <w:trHeight w:val="223"/>
        </w:trPr>
        <w:tc>
          <w:tcPr>
            <w:tcW w:w="816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November 30, 2012</w:t>
            </w:r>
          </w:p>
        </w:tc>
        <w:tc>
          <w:tcPr>
            <w:tcW w:w="120" w:type="dxa"/>
            <w:vAlign w:val="bottom"/>
          </w:tcPr>
          <w:p>
            <w:pPr>
              <w:spacing w:after="0"/>
              <w:rPr>
                <w:sz w:val="19"/>
                <w:szCs w:val="19"/>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November 30, 2011</w:t>
            </w: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4,795,283</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4,452,646</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Natur-Tec® sales</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496,464</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379,468</w:t>
            </w: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5,291,747</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4,832,114</w:t>
            </w:r>
          </w:p>
        </w:tc>
      </w:tr>
    </w:tbl>
    <w:p>
      <w:pPr>
        <w:spacing w:after="0" w:line="22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During the three months ended November 30, 2012, 90.6% of NTIC’s consolidated net sales were derived from sales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which increased 7.7% to $4,795,283 during the three months ended November 30, 2012 compared to $4,452,646 during the same prior year period, due primarily from increased demand from existing customers and the addition of new customers. NTIC has focused its sales efforts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by strategically targeting customers with specific corrosion issues in new market areas, including the oil and gas industry and other industrial sectors that offer sizable growth opportunities.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ind w:right="440"/>
        <w:spacing w:after="0" w:line="277" w:lineRule="auto"/>
        <w:rPr>
          <w:sz w:val="20"/>
          <w:szCs w:val="20"/>
          <w:color w:val="auto"/>
        </w:rPr>
      </w:pPr>
      <w:r>
        <w:rPr>
          <w:rFonts w:ascii="Arial" w:cs="Arial" w:eastAsia="Arial" w:hAnsi="Arial"/>
          <w:sz w:val="18"/>
          <w:szCs w:val="18"/>
          <w:color w:val="auto"/>
        </w:rPr>
        <w:t>NTIC’s consolidated net sales during the three months ended November 30, 2012 included $551,814 of sales made by Zerust Brazil, and of those sales, $40,385 in sales were made to the oil and gas industry sector in Brazil.</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During the three months ended November 30, 2012, 9.4% of NTIC’s consolidated net sales, respectively, were derived from sales of Natur-Tec® products, which increased 30.8% to $496,464 during the three months ended November 30, 2012 compared to the three months ended November 30, 2011. This increase was due to increased sales to Natur-Tec® distributors on the West Coast of the United States as NTIC has continued to strengthen and expand its U.S. industrial distribution. Additionally, NTIC has continued to target key national and regional retailers utilizing independent sales agents. Demand for the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depends primarily on market acceptance and the extent of NTIC’s distribution network.</w:t>
      </w:r>
    </w:p>
    <w:p>
      <w:pPr>
        <w:spacing w:after="0" w:line="103"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increased 15.0% for the three months ended November 30, 2012 compared to the three months ended November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2011 primarily as a result of increased net sales as described above as well as the increase in production and shipping costs associated with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Cost of goods sold as a percentage of net sales increased to 69.7% for the three months ended November 30, 2012 compared to 66.4% for the three months ended November 30, 2011 primarily as a result of the increase in production and shipping costs associated with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w:t>
      </w:r>
    </w:p>
    <w:p>
      <w:pPr>
        <w:spacing w:after="0" w:line="10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Equity in Income of Joint Ventures. </w:t>
      </w:r>
      <w:r>
        <w:rPr>
          <w:rFonts w:ascii="Arial" w:cs="Arial" w:eastAsia="Arial" w:hAnsi="Arial"/>
          <w:sz w:val="17"/>
          <w:szCs w:val="17"/>
          <w:color w:val="auto"/>
        </w:rPr>
        <w:t>NTIC’s equity in income of joint ventures decreased 15.0% to $1,154,296 during the three months ended November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2012 compared $1,357,680 during the three months ended November 30, 2011 primarily as a result of the consolidation of NTI Asean in the current fiscal year quarter, but not in the prior fiscal year comparative quarter. Of the total equity in income of joint ventures, NTIC had equity in income of joint ventures of $785,187 attributable to EXCOR during the three months ended November 30, 2012 compared to $728,528 attributable to EXCOR and $147,001 attributable to China during the three months ended November 30, 2011. NTIC had equity in income of joint ventures of $147,001 attributable to its joint venture in China during the three months ended November 30, 2012. NTIC had equity in income of all other joint ventures of $222,108 during the three months ended November 30, 2012 compared to $259,691 during the three months ended November 30, 2011.</w:t>
      </w:r>
    </w:p>
    <w:p>
      <w:pPr>
        <w:spacing w:after="0" w:line="20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Fees for Services Provided to Joint Ventures</w:t>
      </w:r>
      <w:r>
        <w:rPr>
          <w:rFonts w:ascii="Arial" w:cs="Arial" w:eastAsia="Arial" w:hAnsi="Arial"/>
          <w:sz w:val="16"/>
          <w:szCs w:val="16"/>
          <w:color w:val="auto"/>
        </w:rPr>
        <w:t>. NTIC recognized fee income for services provided to joint ventures of $1,846,277 during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November 30, 2012 compared to $1,445,252 during the three months ended November 30, 2011 representing an increase of $401,025. This increase was primarily a result consolidation of the fees for services earned by NTI Asean which are included in the current fiscal quarter, but not in the prior comparative quarter. This is partially offset by a 4.4% decrease in total net sales of NTIC’s joint ventures to $27,524,934 during the three months ended November 30, 2012 compared to $28,795,232 for the three months ended November 30, 2011. Total net sales of NTIC’s joint ventures were adversely affected in part by the European economic slowdown, which NTIC believes also adversely affected net sales of certain of NTIC’s other non-European joint ventures, as well as the weakening of the EURO and other currencies compared to the U.S. dollar. Sales of NTIC’s joint ventures are not included in NTIC’s product sales and are not combined with NTIC’s sales in NTIC’s consolidated financial statements or in any description of NTIC’s sales.</w:t>
      </w:r>
    </w:p>
    <w:p>
      <w:pPr>
        <w:spacing w:after="0" w:line="193"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Of the total fee income for services provided to its joint ventures, fees of $493,312 and $242,700 were attributable to NTIC’s joint venture in China and EXCOR, respectively, during the three months ended November 30, 2012 compared to $249,447 attributable to EXCOR during the three months ended November 30, 2011. This decrease was the result of foreign currency exchange rate fluctuations.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4" w:name="page25"/>
    <w:bookmarkEnd w:id="24"/>
    <w:p>
      <w:pPr>
        <w:spacing w:after="0" w:line="257"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5.6% for the three months ended November 30, 2012 compared to the same respective period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2012 due to increases in compensation and employee benefits, lab testing related expenses, commission expenses, travel and related expenses, and consulting expenses and selling expenses incurred at Zerust Brazil. Selling expenses as a percentage of net sales decreased slightly to 22.1% for the three months ended November 30, 2012, from 22.9% during the three months ended November 30, 2011, due primarily to the increase in net sales, partially offset by the increase in selling expenses as previously described.</w:t>
      </w:r>
    </w:p>
    <w:p>
      <w:pPr>
        <w:spacing w:after="0" w:line="215"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decreased 1.7% for the three months ended November 30, 2012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respective periods in fiscal 2011 due to a decrease in consulting expenses. As a percentage of net sales, general and administrative expenses decreased to 23.6% for the three months ended November 30, 2012 from 26.3% for the three months ended November 30, 2011.</w:t>
      </w:r>
    </w:p>
    <w:p>
      <w:pPr>
        <w:spacing w:after="0" w:line="17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Expenses Incurred in Support of Joint Ventures. </w:t>
      </w:r>
      <w:r>
        <w:rPr>
          <w:rFonts w:ascii="Arial" w:cs="Arial" w:eastAsia="Arial" w:hAnsi="Arial"/>
          <w:sz w:val="18"/>
          <w:szCs w:val="18"/>
          <w:color w:val="auto"/>
        </w:rPr>
        <w:t>Expenses incurred in support of NTIC’s joint ventures were $369,687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2012 compared to $200,264 during the three months ended November 30, 2011, representing an increase of 84.6%. This increase was due primarily to increased compensation and benefits expenses associated with increased headcount.</w:t>
      </w:r>
    </w:p>
    <w:p>
      <w:pPr>
        <w:spacing w:after="0" w:line="208"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NTIC’s research and development expenses increased 15.2% for the three months ended November 30, 2012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respective periods in fiscal 2011. The increase was primarily due to compensation and benefit expenses associated with increased headcount and an increase in consulting expenses, partially offset by reimbursements related to certain research and development contracts.</w:t>
      </w:r>
    </w:p>
    <w:p>
      <w:pPr>
        <w:spacing w:after="0" w:line="17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NTIC’s interest income increased to $25,346 during the three months ended November 30, 2012 compared to $8,060 during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November 30, 2011 primarily due to increased cash balances earning interest during the most recent periods.</w:t>
      </w:r>
    </w:p>
    <w:p>
      <w:pPr>
        <w:spacing w:after="0" w:line="1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$6,474 during the three months ended November 30, 2012 compared to $5,966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2011.</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Income before income tax expense decreased to $892,536 for the three months ended November 30, 2012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$1,041,421 for the three months ended November 30, 2011.</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was $134,000 during the three months ended November 30, 2012 compared $106,000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November 30, 2011. Income tax expense was calculated based on management’s estimate of NTIC’s annual effective income tax rate. NTIC’s annual effective income tax rate during the three months ended November 30, 2012 and 2011 was lower than the statutory rate primarily due to NTIC’s equity in income of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5" w:name="page26"/>
    <w:bookmarkEnd w:id="25"/>
    <w:p>
      <w:pPr>
        <w:ind w:right="360"/>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future domestic cash generation will be sufficient to meet future domestic cash needs. As a result, U.S. income and foreign withholding taxes have not been recognized on the cumulative undistributed earnings of $19.3 million and $19.4 million at November 30, 2012 and August 31, 2012, respectively. To the extent undistributed earnings of NTIC’s joint ventures are distributed in the future, they are not expected to result in any material additional income tax liability after the application of foreign tax credits.</w:t>
      </w:r>
    </w:p>
    <w:p>
      <w:pPr>
        <w:spacing w:after="0" w:line="21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volatility of the foreign currency translations adjustment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of the U.S. Dollar compared to the Euro and other foreign currencies during the three months ended November 30, 2012 compared to the same respective period in fiscal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i w:val="1"/>
          <w:iCs w:val="1"/>
          <w:color w:val="auto"/>
        </w:rPr>
        <w:t>Sources of Cash and Working Capital</w:t>
      </w:r>
      <w:r>
        <w:rPr>
          <w:rFonts w:ascii="Arial" w:cs="Arial" w:eastAsia="Arial" w:hAnsi="Arial"/>
          <w:sz w:val="17"/>
          <w:szCs w:val="17"/>
          <w:color w:val="auto"/>
        </w:rPr>
        <w:t>. As of November 30, 2012, NTIC’s working capital was $15,306,871, including $6,819,036 in cash and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compared to working capital of $10,060,081, including $4,137,547 in cash and cash equivalents, at August 31, 2012.</w:t>
      </w:r>
    </w:p>
    <w:p>
      <w:pPr>
        <w:spacing w:after="0" w:line="174"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As of November 30, 2012, NTIC had a term loan with a principal amount of $990,503 outstanding that Northern Technologies Holding Company, LLC (NTI LLC) obtained from PNC Bank, National Association (PNC Bank) in connection with the purchase of NTIC’s corporate headquarters in September</w:t>
      </w:r>
    </w:p>
    <w:p>
      <w:pPr>
        <w:spacing w:after="0" w:line="255" w:lineRule="auto"/>
        <w:rPr>
          <w:sz w:val="20"/>
          <w:szCs w:val="20"/>
          <w:color w:val="auto"/>
        </w:rPr>
      </w:pPr>
      <w:r>
        <w:rPr>
          <w:rFonts w:ascii="Arial" w:cs="Arial" w:eastAsia="Arial" w:hAnsi="Arial"/>
          <w:sz w:val="18"/>
          <w:szCs w:val="18"/>
          <w:color w:val="auto"/>
        </w:rPr>
        <w:t>2006. The term loan matures on January 10, 2016, bears interest at an annual rate based on the daily LIBOR rate plus 2.15% and is payable in consecutive monthly installments equal to approximately $6,343 (inclusive of principal but exclusive of interest). The term loan is secured by a first lien on the real estate and building owned by NTI LLC and all of the assets of NTIC and is guaranteed by NTIC.</w:t>
      </w:r>
    </w:p>
    <w:p>
      <w:pPr>
        <w:spacing w:after="0" w:line="2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November 30, 2012, NTIC also had a revolving line of credit with PNC Bank of $3,000,000 with no amounts outstanding as of such date.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November 30, 2012, the interest rate on the line of credit was 3.20%.</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6" w:name="page27"/>
    <w:bookmarkEnd w:id="26"/>
    <w:p>
      <w:pPr>
        <w:ind w:right="20"/>
        <w:spacing w:after="0" w:line="279" w:lineRule="auto"/>
        <w:rPr>
          <w:sz w:val="20"/>
          <w:szCs w:val="20"/>
          <w:color w:val="auto"/>
        </w:rPr>
      </w:pPr>
      <w:r>
        <w:rPr>
          <w:rFonts w:ascii="Arial" w:cs="Arial" w:eastAsia="Arial" w:hAnsi="Arial"/>
          <w:sz w:val="17"/>
          <w:szCs w:val="17"/>
          <w:color w:val="auto"/>
        </w:rPr>
        <w:t>The term loan and the line of credit are governed under two separate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NTIC is subject to a minimum fixed charge coverage ratio of 1.10:1.00.</w:t>
      </w:r>
    </w:p>
    <w:p>
      <w:pPr>
        <w:spacing w:after="0" w:line="17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On December 11, 2012, PNC Bank extended the maturity date of the line of credit from January 9, 2013 to January 8, 2014 and waived a technical covenant default by NTIC to deliver quarterly compliance certificates. All other terms of the line of credit and the loan agreement and other documents evidencing the line of credit remain the same. NTIC expects to remain in compliance with all loan agreement covenants during the remainder of fiscal 2013.</w:t>
      </w:r>
    </w:p>
    <w:p>
      <w:pPr>
        <w:spacing w:after="0" w:line="14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the remainder of fiscal 2013, NTIC expects to continue to invest in research and development and in marketing efforts and resources into the application of its corrosion prevention technology into the oil and gas industry and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2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21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Net cash used in operating activities during the three months ended November 30, 2012 was $1,474,140, which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from NTIC’s equity in income from joint ventures and increases in receivables, inventories and prepaid expenses and a decrease in accounts payables, accrued liabilities and income taxes payable, partially offset by NTIC’s net income, depreciation and amortization. Net cash used in operating activities during the three months ended November 30, 2011 was $1,785,543 which resulted principally from NTIC’s equity in income from joint ventures and increases in receivables, inventories and prepaid expenses, and decreases in payables and accrued liabilities partially offset by NTIC’s net income, depreciation, amortization and income taxes payable.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ind w:right="2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1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NTIC experienced an increase in receivables and inventory as of November 30, 2012 compared to August 31, 2012 due to the increase in net sales and a desire to stock more products to shorten lead times and anticipate customer demand. Trade receivables excluding joint ventures as of November 30, 2012 increased $167,278 compared to August 31, 2012, primarily related to the increase in NTIC’s net sales.</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Outstanding trade receivables excluding joint ventures balances as of November 30, 2012 increased 1 day to an average of 51 days from balances outstanding from these customers as of August 31, 2012.</w:t>
      </w:r>
    </w:p>
    <w:p>
      <w:pPr>
        <w:spacing w:after="0" w:line="19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Outstanding trade receivables from joint ventures as of November 30, 2012 increased $207,957 compared to August 31, 2012 primarily due to the timing of payments, which resulted in an increase of outstanding balances from trade receivables from joint ventures as of November 30, 2012 of 164 days from an average of 130 days from balances outstanding from these customers compared to August 31, 2012. The significant average days outstanding of trade receivables from joint ventures as of November 30, 2012 were primarily due to the receivable balance at NTIC’s joint venture in India and to a lesser extent NTIC’s joint venture in China.</w:t>
      </w:r>
    </w:p>
    <w:p>
      <w:pPr>
        <w:spacing w:after="0" w:line="21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Outstanding receivables for services provided to joint ventures as of November 30, 2012 increased $1,011,522 compared to August 31, 2012, primarily resulting from the consolidation of NTI Asean which resulted in an increase of 9 days of fees receivable outstanding as of November 30, 2012 to an average of 115 days compared to August 31, 2012.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investing activities for the three months ended November 30, 2012 was $4,153,275, which was comprised of dividends received from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joint ventures partially offset by additions to property and equipment and additions to patents and effect of the NTI Asean consolidation on cash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$1,612,768. Net cash provided by investing activities for the three months ended November 30, 2011 was $1,935,717, which was comprised of dividends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received from joint ventures partially offset by additions to property and equipment, additions to patents and investments in joint ventures.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8" w:name="page29"/>
    <w:bookmarkEnd w:id="28"/>
    <w:p>
      <w:pPr>
        <w:ind w:right="80"/>
        <w:spacing w:after="0" w:line="257" w:lineRule="auto"/>
        <w:rPr>
          <w:sz w:val="20"/>
          <w:szCs w:val="20"/>
          <w:color w:val="auto"/>
        </w:rPr>
      </w:pPr>
      <w:r>
        <w:rPr>
          <w:rFonts w:ascii="Arial" w:cs="Arial" w:eastAsia="Arial" w:hAnsi="Arial"/>
          <w:sz w:val="18"/>
          <w:szCs w:val="18"/>
          <w:color w:val="auto"/>
        </w:rPr>
        <w:t>Net cash provided by financing activities for the three months ended November 30, 2012 was $39,881, which resulted from proceeds from NTIC’s employee stock purchase plan and, to a lesser extent, option exercises and, partially offset by principal payments on the bank loan for NTIC’s corporate headquarters buildings. Net cash provided by financing activities for the three months ended November 30, 2011 was $3,385, which resulted from proceeds from option exercises and, to a lesser extent, NTIC’s employee stock purchase plan, partially offset by principal payments on the bank loan for NTIC’s corporate headquarters buildings.</w:t>
      </w:r>
    </w:p>
    <w:p>
      <w:pPr>
        <w:spacing w:after="0" w:line="2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had no material lease or other material capital commitments as of November 30, 2012, except a lease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entered into by NTI Facilities, Inc., a subsidiary of NTIC, for 16,994 square feet of office, manufacturing, laboratory and warehouse space in Beachwood, Ohio, requiring monthly payments of $17,500, which are adjusted annually according to the annual consumer price index, through November 2014.</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NTIC spent $67,165 on capital expenditures during the three months ended November 30, 2012 and expects to spend an aggregate of approximately</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$1,000,000 on capital expenditures during fiscal 2013. Such anticipated capital expenditures for fiscal 2013 relate primarily to the expansion of its laboratory facilities in Circle Pines, Minnesota and the purchase of new equipment.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9" w:name="page30"/>
    <w:bookmarkEnd w:id="29"/>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9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2012, NTIC had no borrowings under the line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2012, except for the following: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subsidiaries, NTI Facilities, Inc., Northern Technologies Holding Company, LLC and NTIC’s majority owned subsidiary in Brazil, Zerust Prevenção de Corrosão S.A., and NTIC’s majority owned holding company, NTI Asean LLC. NTIC’s consolidated financial statements do not include the accounts of any of its joint ventures. NTIC’s consolidated financial statements do not include Polymer Energy LLC, in which NTIC holds a 62.5% ownership interest. Polymer Energy LLC had immaterial activity in fiscal 2012 and fiscal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May 2011, the Financial Accounting Standards Board (FASB) issued Accounting Standards Update (ASU) No. 2011-04, “</w:t>
      </w:r>
      <w:r>
        <w:rPr>
          <w:rFonts w:ascii="Arial" w:cs="Arial" w:eastAsia="Arial" w:hAnsi="Arial"/>
          <w:sz w:val="17"/>
          <w:szCs w:val="17"/>
          <w:i w:val="1"/>
          <w:iCs w:val="1"/>
          <w:color w:val="auto"/>
        </w:rPr>
        <w:t>Amendments to Achieve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Common Fair Value Measurement and Disclosure Requirements in U.S. GAAP and International Financial Reporting Standards </w:t>
      </w:r>
      <w:r>
        <w:rPr>
          <w:rFonts w:ascii="Arial" w:cs="Arial" w:eastAsia="Arial" w:hAnsi="Arial"/>
          <w:sz w:val="17"/>
          <w:szCs w:val="17"/>
          <w:color w:val="auto"/>
        </w:rPr>
        <w:t>(IFRS).” This</w:t>
      </w:r>
      <w:r>
        <w:rPr>
          <w:rFonts w:ascii="Arial" w:cs="Arial" w:eastAsia="Arial" w:hAnsi="Arial"/>
          <w:sz w:val="17"/>
          <w:szCs w:val="17"/>
          <w:i w:val="1"/>
          <w:iCs w:val="1"/>
          <w:color w:val="auto"/>
        </w:rPr>
        <w:t xml:space="preserve"> </w:t>
      </w:r>
      <w:r>
        <w:rPr>
          <w:rFonts w:ascii="Arial" w:cs="Arial" w:eastAsia="Arial" w:hAnsi="Arial"/>
          <w:sz w:val="17"/>
          <w:szCs w:val="17"/>
          <w:color w:val="auto"/>
        </w:rPr>
        <w:t>pronouncement was issued to provide a consistent definition of fair value and ensure that the fair value measurement and disclosure requirements are similar between U.S. GAAP and IFRS. ASU 2011-04 changes certain fair value measurement principles and enhances the disclosure requirements particularly for Level 3 fair value measurements. This pronouncement is effective for reporting periods beginning on or after December 15, 2011, with early adoption prohibited. The new guidance will require prospective application. NTIC adopted this guidance beginning in the first quarter of fiscal 2013. Adoption of this guidance did not have a material impact on NTIC’s consolidated results of operations or financial position.</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June 2011, the FASB issued ASU 2011-05, </w:t>
      </w:r>
      <w:r>
        <w:rPr>
          <w:rFonts w:ascii="Arial" w:cs="Arial" w:eastAsia="Arial" w:hAnsi="Arial"/>
          <w:sz w:val="18"/>
          <w:szCs w:val="18"/>
          <w:i w:val="1"/>
          <w:iCs w:val="1"/>
          <w:color w:val="auto"/>
        </w:rPr>
        <w:t>Comprehensive Income (Topic 220), Presentation of Comprehensive Income.</w:t>
      </w:r>
      <w:r>
        <w:rPr>
          <w:rFonts w:ascii="Arial" w:cs="Arial" w:eastAsia="Arial" w:hAnsi="Arial"/>
          <w:sz w:val="18"/>
          <w:szCs w:val="18"/>
          <w:color w:val="auto"/>
        </w:rPr>
        <w:t xml:space="preserve"> The guidance requires an entity to present components of net income and other comprehensive income in one continuous statement, referred to as the statement of comprehensive income, or in two separate, but consecutive statements. Companies will no longer be permitted to present components of other comprehensive income solely in the statements of stockholders’ equity. NTIC adopted ASU 2011-05 beginning in the first quarter of fiscal 2013 and has made the appropriate disclosures in the consolidated financial statements.</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NTIC has adopted or will adopt, as applicable, NTIC does not believe any of these accounting pronouncements has had or will have a material impact on NTIC’s consolidated financial position or operating results.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214" w:lineRule="exact"/>
        <w:rPr>
          <w:sz w:val="20"/>
          <w:szCs w:val="20"/>
          <w:color w:val="auto"/>
        </w:rPr>
      </w:pPr>
    </w:p>
    <w:p>
      <w:pPr>
        <w:ind w:left="980" w:hanging="13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the European sovereign debt crisis and turmoil and disruption in the global credit and financial markets on NTIC’s business;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52" w:lineRule="exact"/>
        <w:rPr>
          <w:rFonts w:ascii="Arial" w:cs="Arial" w:eastAsia="Arial" w:hAnsi="Arial"/>
          <w:sz w:val="18"/>
          <w:szCs w:val="18"/>
          <w:color w:val="auto"/>
        </w:rPr>
      </w:pPr>
    </w:p>
    <w:p>
      <w:pPr>
        <w:ind w:left="980" w:right="20" w:hanging="13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variability in NTIC’s equity income of joint ventures, which in turn, subjects NTIC’s earnings to quarterly fluctuations;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1" w:name="page32"/>
    <w:bookmarkEnd w:id="31"/>
    <w:p>
      <w:pPr>
        <w:jc w:val="both"/>
        <w:ind w:left="980" w:hanging="134"/>
        <w:spacing w:after="0" w:line="22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30" w:lineRule="exact"/>
        <w:rPr>
          <w:rFonts w:ascii="Arial" w:cs="Arial" w:eastAsia="Arial" w:hAnsi="Arial"/>
          <w:sz w:val="18"/>
          <w:szCs w:val="18"/>
          <w:color w:val="auto"/>
        </w:rPr>
      </w:pPr>
    </w:p>
    <w:p>
      <w:pPr>
        <w:ind w:left="980" w:hanging="13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52" w:lineRule="exact"/>
        <w:rPr>
          <w:rFonts w:ascii="Arial" w:cs="Arial" w:eastAsia="Arial" w:hAnsi="Arial"/>
          <w:sz w:val="18"/>
          <w:szCs w:val="18"/>
          <w:color w:val="auto"/>
        </w:rPr>
      </w:pPr>
    </w:p>
    <w:p>
      <w:pPr>
        <w:ind w:left="980" w:hanging="134"/>
        <w:spacing w:after="0" w:line="21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30" w:lineRule="exact"/>
        <w:rPr>
          <w:rFonts w:ascii="Arial" w:cs="Arial" w:eastAsia="Arial" w:hAnsi="Arial"/>
          <w:sz w:val="18"/>
          <w:szCs w:val="18"/>
          <w:color w:val="auto"/>
        </w:rPr>
      </w:pPr>
    </w:p>
    <w:p>
      <w:pPr>
        <w:ind w:left="980" w:hanging="134"/>
        <w:spacing w:after="0" w:line="21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30" w:lineRule="exact"/>
        <w:rPr>
          <w:rFonts w:ascii="Arial" w:cs="Arial" w:eastAsia="Arial" w:hAnsi="Arial"/>
          <w:sz w:val="18"/>
          <w:szCs w:val="18"/>
          <w:color w:val="auto"/>
        </w:rPr>
      </w:pPr>
    </w:p>
    <w:p>
      <w:pPr>
        <w:ind w:left="980" w:hanging="13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upon suppliers, including in particular its single supply source for its base bioplastics resins;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97" w:lineRule="exact"/>
        <w:rPr>
          <w:rFonts w:ascii="Arial" w:cs="Arial" w:eastAsia="Arial" w:hAnsi="Arial"/>
          <w:sz w:val="18"/>
          <w:szCs w:val="18"/>
          <w:color w:val="auto"/>
        </w:rPr>
      </w:pPr>
    </w:p>
    <w:p>
      <w:pPr>
        <w:ind w:left="980" w:hanging="134"/>
        <w:spacing w:after="0" w:line="21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transition of the manufacturing of certain select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in house at NTIC’s corporate headquarters location in Circle Pines, Minnesota;</w:t>
      </w:r>
    </w:p>
    <w:p>
      <w:pPr>
        <w:spacing w:after="0" w:line="230" w:lineRule="exact"/>
        <w:rPr>
          <w:rFonts w:ascii="Arial" w:cs="Arial" w:eastAsia="Arial" w:hAnsi="Arial"/>
          <w:sz w:val="18"/>
          <w:szCs w:val="18"/>
          <w:color w:val="auto"/>
        </w:rPr>
      </w:pPr>
    </w:p>
    <w:p>
      <w:pPr>
        <w:ind w:left="980" w:hanging="13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5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2012 under the heading “Part I. Item 1A. Risk Factors.”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2" w:name="page33"/>
    <w:bookmarkEnd w:id="32"/>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2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was no change in NTIC’s internal control over financial reporting that occurred during the quarter ended November 30, 2012 that has materially affected, or is reasonably likely to materially affect NTIC’s internal control over financial reporting, other than the consolidation of NTI Asean.</w:t>
      </w: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40"/>
          </w:cols>
          <w:pgMar w:left="240" w:top="270" w:right="819" w:bottom="1440" w:gutter="0" w:footer="0" w:header="0"/>
        </w:sectPr>
      </w:pPr>
    </w:p>
    <w:bookmarkStart w:id="34" w:name="page35"/>
    <w:bookmarkEnd w:id="34"/>
    <w:p>
      <w:pPr>
        <w:spacing w:after="0"/>
        <w:tabs>
          <w:tab w:leader="none" w:pos="11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three months ended November 30, 2012, NTIC did not issue any shares of its common stock or other equity securities of NTIC that were not registered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November 30, 2012, NTIC did not purchase any shares of its common stock or other equity securities of NTIC.</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7"/>
                <w:szCs w:val="17"/>
                <w:color w:val="auto"/>
              </w:rPr>
            </w:pPr>
          </w:p>
        </w:tc>
        <w:tc>
          <w:tcPr>
            <w:tcW w:w="10040" w:type="dxa"/>
            <w:vAlign w:val="bottom"/>
          </w:tcPr>
          <w:p>
            <w:pPr>
              <w:spacing w:after="0" w:line="201" w:lineRule="exact"/>
              <w:rPr>
                <w:sz w:val="20"/>
                <w:szCs w:val="20"/>
                <w:color w:val="auto"/>
              </w:rPr>
            </w:pPr>
            <w:r>
              <w:rPr>
                <w:rFonts w:ascii="Arial" w:cs="Arial" w:eastAsia="Arial" w:hAnsi="Arial"/>
                <w:sz w:val="18"/>
                <w:szCs w:val="18"/>
                <w:color w:val="auto"/>
                <w:w w:val="91"/>
              </w:rPr>
              <w:t>Waiver and Second Amendment to Loan Documents dated December 11, 2012 between Northern Technologies International Corporation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and PNC Bank, National Association (filed herewith)</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Exchange Act Rules 13a-14(a)/15d-14(a), as Adopted Pursuant to Section 302 of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Exchange Act Rules 13a-14(a)/15d-14(a), as Adopted Pursuant to Section 302 of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 (furnished herewith)</w:t>
            </w:r>
          </w:p>
        </w:tc>
      </w:tr>
      <w:tr>
        <w:trPr>
          <w:trHeight w:val="851"/>
        </w:trPr>
        <w:tc>
          <w:tcPr>
            <w:tcW w:w="1160" w:type="dxa"/>
            <w:vAlign w:val="bottom"/>
          </w:tcPr>
          <w:p>
            <w:pPr>
              <w:spacing w:after="0"/>
              <w:rPr>
                <w:sz w:val="24"/>
                <w:szCs w:val="24"/>
                <w:color w:val="auto"/>
              </w:rPr>
            </w:pPr>
          </w:p>
        </w:tc>
        <w:tc>
          <w:tcPr>
            <w:tcW w:w="10260" w:type="dxa"/>
            <w:vAlign w:val="bottom"/>
            <w:gridSpan w:val="2"/>
          </w:tcPr>
          <w:p>
            <w:pPr>
              <w:jc w:val="right"/>
              <w:ind w:right="5530"/>
              <w:spacing w:after="0"/>
              <w:rPr>
                <w:sz w:val="20"/>
                <w:szCs w:val="20"/>
                <w:color w:val="auto"/>
              </w:rPr>
            </w:pPr>
            <w:r>
              <w:rPr>
                <w:rFonts w:ascii="Arial" w:cs="Arial" w:eastAsia="Arial" w:hAnsi="Arial"/>
                <w:sz w:val="18"/>
                <w:szCs w:val="18"/>
                <w:color w:val="auto"/>
              </w:rPr>
              <w:t>34</w:t>
            </w:r>
          </w:p>
        </w:tc>
      </w:tr>
      <w:tr>
        <w:trPr>
          <w:trHeight w:val="105"/>
        </w:trPr>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4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16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32.2</w:t>
            </w:r>
          </w:p>
        </w:tc>
        <w:tc>
          <w:tcPr>
            <w:tcW w:w="220" w:type="dxa"/>
            <w:vAlign w:val="bottom"/>
          </w:tcPr>
          <w:p>
            <w:pPr>
              <w:spacing w:after="0"/>
              <w:rPr>
                <w:sz w:val="17"/>
                <w:szCs w:val="17"/>
                <w:color w:val="auto"/>
              </w:rPr>
            </w:pPr>
          </w:p>
        </w:tc>
        <w:tc>
          <w:tcPr>
            <w:tcW w:w="10040" w:type="dxa"/>
            <w:vAlign w:val="bottom"/>
          </w:tcPr>
          <w:p>
            <w:pPr>
              <w:spacing w:after="0" w:line="201" w:lineRule="exact"/>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 (furnished herewith)</w:t>
            </w:r>
          </w:p>
        </w:tc>
      </w:tr>
    </w:tbl>
    <w:p>
      <w:pPr>
        <w:ind w:left="1380" w:right="40" w:hanging="933"/>
        <w:spacing w:after="0" w:line="295" w:lineRule="auto"/>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materials from Northern Technologies International Corporation’s Quarterly Report on Form 10-Q for the fiscal quarter ended November 30, 2012, formatted in XBRL (Extensible Business Reporting Language): (i) the unaudited Consolidated Balance Sheets, (ii) the unaudited Consolidated Statements of Operations, (iii) the unaudited Consolidated Statements of Comprehensive Income, (iv) the unaudited Consolidated Statements of Cash Flows, and (v) Notes to Condensed Financial Statements (furnished herewith)*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25" w:lineRule="exact"/>
        <w:rPr>
          <w:sz w:val="20"/>
          <w:szCs w:val="20"/>
          <w:color w:val="auto"/>
        </w:rPr>
      </w:pPr>
    </w:p>
    <w:p>
      <w:pPr>
        <w:ind w:left="660" w:right="60" w:hanging="652"/>
        <w:spacing w:after="0" w:line="30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172085</wp:posOffset>
            </wp:positionV>
            <wp:extent cx="2169795" cy="643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979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2013</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80"/>
          </w:cols>
          <w:pgMar w:left="240" w:top="270" w:right="3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6860" w:type="dxa"/>
            <w:vAlign w:val="bottom"/>
            <w:tcBorders>
              <w:top w:val="single" w:sz="8" w:color="auto"/>
              <w:right w:val="single" w:sz="8" w:color="auto"/>
            </w:tcBorders>
          </w:tcPr>
          <w:p>
            <w:pPr>
              <w:spacing w:after="0"/>
              <w:rPr>
                <w:sz w:val="21"/>
                <w:szCs w:val="21"/>
                <w:color w:val="auto"/>
              </w:rPr>
            </w:pPr>
          </w:p>
        </w:tc>
        <w:tc>
          <w:tcPr>
            <w:tcW w:w="3400" w:type="dxa"/>
            <w:vAlign w:val="bottom"/>
            <w:tcBorders>
              <w:top w:val="single" w:sz="8" w:color="auto"/>
              <w:right w:val="single" w:sz="8" w:color="auto"/>
            </w:tcBorders>
          </w:tcPr>
          <w:p>
            <w:pPr>
              <w:spacing w:after="0"/>
              <w:rPr>
                <w:sz w:val="21"/>
                <w:szCs w:val="21"/>
                <w:color w:val="auto"/>
              </w:rPr>
            </w:pPr>
          </w:p>
        </w:tc>
      </w:tr>
      <w:tr>
        <w:trPr>
          <w:trHeight w:val="245"/>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6860" w:type="dxa"/>
            <w:vAlign w:val="bottom"/>
            <w:tcBorders>
              <w:bottom w:val="single" w:sz="8" w:color="auto"/>
              <w:right w:val="single" w:sz="8" w:color="auto"/>
            </w:tcBorders>
          </w:tcPr>
          <w:p>
            <w:pPr>
              <w:ind w:left="2960"/>
              <w:spacing w:after="0"/>
              <w:rPr>
                <w:sz w:val="20"/>
                <w:szCs w:val="20"/>
                <w:color w:val="auto"/>
              </w:rPr>
            </w:pPr>
            <w:r>
              <w:rPr>
                <w:rFonts w:ascii="Arial" w:cs="Arial" w:eastAsia="Arial" w:hAnsi="Arial"/>
                <w:sz w:val="18"/>
                <w:szCs w:val="18"/>
                <w:b w:val="1"/>
                <w:bCs w:val="1"/>
                <w:color w:val="auto"/>
              </w:rPr>
              <w:t>Description</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Method of Filing</w:t>
            </w:r>
          </w:p>
        </w:tc>
      </w:tr>
      <w:tr>
        <w:trPr>
          <w:trHeight w:val="22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Waiver and Second Amendment to Loan Documents dated December 11, 2012 between</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Filed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Northern Technologies International Corporation and PNC Bank, National Association</w:t>
            </w:r>
          </w:p>
        </w:tc>
        <w:tc>
          <w:tcPr>
            <w:tcW w:w="3400" w:type="dxa"/>
            <w:vAlign w:val="bottom"/>
            <w:tcBorders>
              <w:right w:val="single" w:sz="8" w:color="auto"/>
            </w:tcBorders>
          </w:tcPr>
          <w:p>
            <w:pPr>
              <w:spacing w:after="0"/>
              <w:rPr>
                <w:sz w:val="20"/>
                <w:szCs w:val="20"/>
                <w:color w:val="auto"/>
              </w:rPr>
            </w:pPr>
          </w:p>
        </w:tc>
      </w:tr>
      <w:tr>
        <w:trPr>
          <w:trHeight w:val="27"/>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2"/>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31.1</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Certification of Chief Executive Officer Pursuant to Exchange Act Rules 13a-14(a)/15d-</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Filed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14(a), as Adopted Pursuant to Section 302 of the Sarbanes-Oxley Act of 2002</w:t>
            </w:r>
          </w:p>
        </w:tc>
        <w:tc>
          <w:tcPr>
            <w:tcW w:w="3400" w:type="dxa"/>
            <w:vAlign w:val="bottom"/>
            <w:tcBorders>
              <w:right w:val="single" w:sz="8" w:color="auto"/>
            </w:tcBorders>
          </w:tcPr>
          <w:p>
            <w:pPr>
              <w:spacing w:after="0"/>
              <w:rPr>
                <w:sz w:val="20"/>
                <w:szCs w:val="20"/>
                <w:color w:val="auto"/>
              </w:rPr>
            </w:pPr>
          </w:p>
        </w:tc>
      </w:tr>
      <w:tr>
        <w:trPr>
          <w:trHeight w:val="27"/>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2"/>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31.2</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Certification of Chief Financial Officer Pursuant to Exchange Act Rules 13a-14(a)/15d-14(a),</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Filed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3400" w:type="dxa"/>
            <w:vAlign w:val="bottom"/>
            <w:tcBorders>
              <w:right w:val="single" w:sz="8" w:color="auto"/>
            </w:tcBorders>
          </w:tcPr>
          <w:p>
            <w:pPr>
              <w:spacing w:after="0"/>
              <w:rPr>
                <w:sz w:val="20"/>
                <w:szCs w:val="20"/>
                <w:color w:val="auto"/>
              </w:rPr>
            </w:pPr>
          </w:p>
        </w:tc>
      </w:tr>
      <w:tr>
        <w:trPr>
          <w:trHeight w:val="27"/>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2"/>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32.1</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Certification of Chief Executive Officer Pursuant to 18 U.S.C. Section 1350, as Adopted</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Furnished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Pursuant to Section 906 of the Sarbanes-Oxley Act of 2002</w:t>
            </w:r>
          </w:p>
        </w:tc>
        <w:tc>
          <w:tcPr>
            <w:tcW w:w="3400" w:type="dxa"/>
            <w:vAlign w:val="bottom"/>
            <w:tcBorders>
              <w:right w:val="single" w:sz="8" w:color="auto"/>
            </w:tcBorders>
          </w:tcPr>
          <w:p>
            <w:pPr>
              <w:spacing w:after="0"/>
              <w:rPr>
                <w:sz w:val="20"/>
                <w:szCs w:val="20"/>
                <w:color w:val="auto"/>
              </w:rPr>
            </w:pPr>
          </w:p>
        </w:tc>
      </w:tr>
      <w:tr>
        <w:trPr>
          <w:trHeight w:val="27"/>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2"/>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32.2</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Certification of Chief Financial Officer Pursuant to 18 U.S.C. Section 1350, as Adopted</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Furnished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Pursuant to Section 906 of the Sarbanes-Oxley Act of 2002</w:t>
            </w:r>
          </w:p>
        </w:tc>
        <w:tc>
          <w:tcPr>
            <w:tcW w:w="3400" w:type="dxa"/>
            <w:vAlign w:val="bottom"/>
            <w:tcBorders>
              <w:right w:val="single" w:sz="8" w:color="auto"/>
            </w:tcBorders>
          </w:tcPr>
          <w:p>
            <w:pPr>
              <w:spacing w:after="0"/>
              <w:rPr>
                <w:sz w:val="20"/>
                <w:szCs w:val="20"/>
                <w:color w:val="auto"/>
              </w:rPr>
            </w:pPr>
          </w:p>
        </w:tc>
      </w:tr>
      <w:tr>
        <w:trPr>
          <w:trHeight w:val="27"/>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2"/>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101</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The following materials from Northern Technologies International Corporation’s Quarterly</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Furnished herewith</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Report on Form 10-Q for the fiscal quarter ended November 30, 2012, formatted in XBRL</w:t>
            </w:r>
          </w:p>
        </w:tc>
        <w:tc>
          <w:tcPr>
            <w:tcW w:w="340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(Extensible Business Reporting Language): (i) the unaudited Consolidated Balance Sheets,</w:t>
            </w:r>
          </w:p>
        </w:tc>
        <w:tc>
          <w:tcPr>
            <w:tcW w:w="340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(ii) the unaudited Consolidated Statements of Operations, (iii) the unaudited Consolidated</w:t>
            </w:r>
          </w:p>
        </w:tc>
        <w:tc>
          <w:tcPr>
            <w:tcW w:w="340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Statements of Comprehensive Income, (iv) the unaudited Consolidated Statements of Cash</w:t>
            </w:r>
          </w:p>
        </w:tc>
        <w:tc>
          <w:tcPr>
            <w:tcW w:w="3400" w:type="dxa"/>
            <w:vAlign w:val="bottom"/>
            <w:tcBorders>
              <w:right w:val="single" w:sz="8" w:color="auto"/>
            </w:tcBorders>
          </w:tcPr>
          <w:p>
            <w:pPr>
              <w:spacing w:after="0"/>
              <w:rPr>
                <w:sz w:val="18"/>
                <w:szCs w:val="18"/>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Flows, and (v) Notes to Condensed Financial Statements*</w:t>
            </w:r>
          </w:p>
        </w:tc>
        <w:tc>
          <w:tcPr>
            <w:tcW w:w="3400" w:type="dxa"/>
            <w:vAlign w:val="bottom"/>
            <w:tcBorders>
              <w:right w:val="single" w:sz="8" w:color="auto"/>
            </w:tcBorders>
          </w:tcPr>
          <w:p>
            <w:pPr>
              <w:spacing w:after="0"/>
              <w:rPr>
                <w:sz w:val="20"/>
                <w:szCs w:val="20"/>
                <w:color w:val="auto"/>
              </w:rPr>
            </w:pPr>
          </w:p>
        </w:tc>
      </w:tr>
      <w:tr>
        <w:trPr>
          <w:trHeight w:val="27"/>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ind w:left="660" w:right="60" w:hanging="652"/>
        <w:spacing w:after="0" w:line="30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72"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PNC</w:t>
      </w:r>
    </w:p>
    <w:p>
      <w:pPr>
        <w:spacing w:after="0" w:line="23"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1900 East 9th Street</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Cleveland, OR 44114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4201 Woodland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Circle Pines, MN 55014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Matthew C. Wolsfeld</w:t>
      </w:r>
    </w:p>
    <w:p>
      <w:pPr>
        <w:spacing w:after="0" w:line="238" w:lineRule="exact"/>
        <w:rPr>
          <w:sz w:val="20"/>
          <w:szCs w:val="20"/>
          <w:color w:val="auto"/>
        </w:rPr>
      </w:pPr>
    </w:p>
    <w:p>
      <w:pPr>
        <w:ind w:right="1400"/>
        <w:spacing w:after="0" w:line="277" w:lineRule="auto"/>
        <w:rPr>
          <w:sz w:val="20"/>
          <w:szCs w:val="20"/>
          <w:color w:val="auto"/>
        </w:rPr>
      </w:pPr>
      <w:r>
        <w:rPr>
          <w:rFonts w:ascii="Arial" w:cs="Arial" w:eastAsia="Arial" w:hAnsi="Arial"/>
          <w:sz w:val="18"/>
          <w:szCs w:val="18"/>
          <w:color w:val="auto"/>
        </w:rPr>
        <w:t>Re: Waiver to the Loan Agreement dated as of January 10, 2011 (as amended, the "Agreement") between NORTHERN TECHNOLOGIES INTERNATIONAL CORPORATION (the "Borrower") and PNC Bank, National Association (the "Bank")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Renewal of Expiration Date for $3,000,000.00 Working Cash® Line of Credit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Matthew:</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letter is issued in connection with the Agreement referenced above. Terms used in this letter which are defined in the Agreement shall have the same meanings in this letter as they do in the Agreement.</w:t>
      </w:r>
    </w:p>
    <w:p>
      <w:pPr>
        <w:spacing w:after="0" w:line="19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Borrower's failure to comply with delivery of its certificate as to its compliance as referenced in subsection 4.2. of the Agreement for all applicable periods, constitutes Events of Default under the Agreement. In reliance upon the Borrower's representations and warranties contained in the Loan Documents (as defined below), and subject to the terms and conditions herein set forth, the Bank agrees to grant a waiver as follows: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reliance upon the Borrower's representations and warranties contained in the Loan Documents (as defined below), and subject to the terms and conditions herein set forth, the Bank agrees to grant a waiver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Waiver</w:t>
      </w:r>
      <w:r>
        <w:rPr>
          <w:rFonts w:ascii="Arial" w:cs="Arial" w:eastAsia="Arial" w:hAnsi="Arial"/>
          <w:sz w:val="18"/>
          <w:szCs w:val="18"/>
          <w:color w:val="auto"/>
        </w:rPr>
        <w:t>. The Bank hereby grants a waiver of the Events of Default specified above.</w:t>
      </w:r>
    </w:p>
    <w:p>
      <w:pPr>
        <w:spacing w:after="0" w:line="252" w:lineRule="exact"/>
        <w:rPr>
          <w:sz w:val="20"/>
          <w:szCs w:val="20"/>
          <w:color w:val="auto"/>
        </w:rPr>
      </w:pPr>
    </w:p>
    <w:p>
      <w:pPr>
        <w:ind w:right="20" w:firstLine="8"/>
        <w:spacing w:after="0" w:line="272"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Extent of Waiver</w:t>
      </w:r>
      <w:r>
        <w:rPr>
          <w:rFonts w:ascii="Arial" w:cs="Arial" w:eastAsia="Arial" w:hAnsi="Arial"/>
          <w:sz w:val="17"/>
          <w:szCs w:val="17"/>
          <w:color w:val="auto"/>
        </w:rPr>
        <w:t>. Except as expressly described above, this waiver shall not constitute (a) a modification or an alteration of any of the terms, conditions or covenants of the Agreement or any related documents, instruments and agreements (collectively as amended from time to time, the "Loan Documents"), all of which remain in full force and effect, or (b) a waiver, release or limitation upon the Bank's exercise of any of its rights and remedies thereunder, all of which are hereby expressly reserved. This waiver shall not relieve or release the Borrower or any guarantor in any way from any of its respective duties, obligations, covenants or agreements under the Agreement or the other Loan Documents or from the consequences of any Event of Default thereunder, except as expressly described above. This waiver shall not obligate the Bank, or be construed to require the Bank, to waive any other Event of Default or defaults, whether now existing or which may occur after the date of this waiver.</w:t>
      </w:r>
    </w:p>
    <w:p>
      <w:pPr>
        <w:spacing w:after="0" w:line="2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granting the waiver as described above, we are pleased to inform you that your Working Cash® Line of Credit has been renewed. The Expiration Date, as set forth in that certain Amended and Restated Committed Line of Credit Note dated January 10, 2011 and that certain Loan Agreement dated January 10, 2011, has been extended from January 9, 2013 to January 8, 2014, effective on January 10, 2013. All other terms and conditions of the Working Cash® Line of Credit remain in full force and effect.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 has been a pleasure working with you and I look forward to a continued successful relationship. Thank you again for your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\s\Pamela LeRose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Pamela LeRose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52"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300" w:firstLine="2"/>
        <w:spacing w:after="0" w:line="286" w:lineRule="auto"/>
        <w:tabs>
          <w:tab w:leader="none" w:pos="2015"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140" w:right="320" w:firstLine="2"/>
        <w:spacing w:after="0" w:line="286" w:lineRule="auto"/>
        <w:tabs>
          <w:tab w:leader="none" w:pos="2025"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92" w:lineRule="exact"/>
        <w:rPr>
          <w:rFonts w:ascii="Arial" w:cs="Arial" w:eastAsia="Arial" w:hAnsi="Arial"/>
          <w:sz w:val="17"/>
          <w:szCs w:val="17"/>
          <w:color w:val="auto"/>
        </w:rPr>
      </w:pPr>
    </w:p>
    <w:p>
      <w:pPr>
        <w:ind w:left="1140" w:right="140" w:firstLine="2"/>
        <w:spacing w:after="0" w:line="264" w:lineRule="auto"/>
        <w:tabs>
          <w:tab w:leader="none" w:pos="20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140" w:right="60" w:firstLine="2"/>
        <w:spacing w:after="0" w:line="264" w:lineRule="auto"/>
        <w:tabs>
          <w:tab w:leader="none" w:pos="20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50" w:lineRule="exact"/>
        <w:rPr>
          <w:rFonts w:ascii="Arial" w:cs="Arial" w:eastAsia="Arial" w:hAnsi="Arial"/>
          <w:sz w:val="16"/>
          <w:szCs w:val="16"/>
          <w:color w:val="auto"/>
        </w:rPr>
      </w:pPr>
    </w:p>
    <w:p>
      <w:pPr>
        <w:ind w:left="1140" w:right="80" w:firstLine="2"/>
        <w:spacing w:after="0" w:line="308" w:lineRule="auto"/>
        <w:tabs>
          <w:tab w:leader="none" w:pos="205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160" w:firstLine="2"/>
        <w:spacing w:after="0" w:line="277" w:lineRule="auto"/>
        <w:tabs>
          <w:tab w:leader="none" w:pos="2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134620</wp:posOffset>
            </wp:positionV>
            <wp:extent cx="2169795" cy="38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69795" cy="38608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2013</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5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300" w:firstLine="2"/>
        <w:spacing w:after="0" w:line="286" w:lineRule="auto"/>
        <w:tabs>
          <w:tab w:leader="none" w:pos="2015"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140" w:right="320" w:firstLine="2"/>
        <w:spacing w:after="0" w:line="286" w:lineRule="auto"/>
        <w:tabs>
          <w:tab w:leader="none" w:pos="2025"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92" w:lineRule="exact"/>
        <w:rPr>
          <w:rFonts w:ascii="Arial" w:cs="Arial" w:eastAsia="Arial" w:hAnsi="Arial"/>
          <w:sz w:val="17"/>
          <w:szCs w:val="17"/>
          <w:color w:val="auto"/>
        </w:rPr>
      </w:pPr>
    </w:p>
    <w:p>
      <w:pPr>
        <w:ind w:left="1140" w:right="140" w:firstLine="2"/>
        <w:spacing w:after="0" w:line="264" w:lineRule="auto"/>
        <w:tabs>
          <w:tab w:leader="none" w:pos="20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140" w:right="60" w:firstLine="2"/>
        <w:spacing w:after="0" w:line="264" w:lineRule="auto"/>
        <w:tabs>
          <w:tab w:leader="none" w:pos="202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50" w:lineRule="exact"/>
        <w:rPr>
          <w:rFonts w:ascii="Arial" w:cs="Arial" w:eastAsia="Arial" w:hAnsi="Arial"/>
          <w:sz w:val="16"/>
          <w:szCs w:val="16"/>
          <w:color w:val="auto"/>
        </w:rPr>
      </w:pPr>
    </w:p>
    <w:p>
      <w:pPr>
        <w:ind w:left="1140" w:right="80" w:firstLine="2"/>
        <w:spacing w:after="0" w:line="308" w:lineRule="auto"/>
        <w:tabs>
          <w:tab w:leader="none" w:pos="205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160" w:firstLine="2"/>
        <w:spacing w:after="0" w:line="277" w:lineRule="auto"/>
        <w:tabs>
          <w:tab w:leader="none" w:pos="2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1346200" cy="634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462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2013</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1697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41" w:name="page42"/>
    <w:bookmarkEnd w:id="41"/>
    <w:p>
      <w:pPr>
        <w:ind w:left="10480"/>
        <w:spacing w:after="0"/>
        <w:rPr>
          <w:sz w:val="20"/>
          <w:szCs w:val="20"/>
          <w:color w:val="auto"/>
        </w:rPr>
      </w:pPr>
      <w:r>
        <w:rPr>
          <w:rFonts w:ascii="Arial" w:cs="Arial" w:eastAsia="Arial" w:hAnsi="Arial"/>
          <w:sz w:val="16"/>
          <w:szCs w:val="16"/>
          <w:b w:val="1"/>
          <w:bCs w:val="1"/>
          <w:color w:val="auto"/>
        </w:rPr>
        <w:t>Exhibit 32.1</w:t>
      </w:r>
    </w:p>
    <w:p>
      <w:pPr>
        <w:spacing w:after="0" w:line="275"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2012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964"/>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120" w:hanging="964"/>
        <w:spacing w:after="0" w:line="277"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2178050" cy="38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78050" cy="38608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2013</w:t>
      </w:r>
    </w:p>
    <w:p>
      <w:pPr>
        <w:sectPr>
          <w:pgSz w:w="11900" w:h="16838" w:orient="portrait"/>
          <w:cols w:equalWidth="0" w:num="1">
            <w:col w:w="11420"/>
          </w:cols>
          <w:pgMar w:left="240" w:top="121" w:right="239" w:bottom="1440" w:gutter="0" w:footer="0" w:header="0"/>
        </w:sectPr>
      </w:pPr>
    </w:p>
    <w:bookmarkStart w:id="42" w:name="page43"/>
    <w:bookmarkEnd w:id="42"/>
    <w:p>
      <w:pPr>
        <w:ind w:left="10480"/>
        <w:spacing w:after="0"/>
        <w:rPr>
          <w:sz w:val="20"/>
          <w:szCs w:val="20"/>
          <w:color w:val="auto"/>
        </w:rPr>
      </w:pPr>
      <w:r>
        <w:rPr>
          <w:rFonts w:ascii="Arial" w:cs="Arial" w:eastAsia="Arial" w:hAnsi="Arial"/>
          <w:sz w:val="16"/>
          <w:szCs w:val="16"/>
          <w:b w:val="1"/>
          <w:bCs w:val="1"/>
          <w:color w:val="auto"/>
        </w:rPr>
        <w:t>Exhibit 32.2</w:t>
      </w:r>
    </w:p>
    <w:p>
      <w:pPr>
        <w:spacing w:after="0" w:line="275"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2012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964"/>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120" w:hanging="964"/>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178050" cy="643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7805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Roman"/>
      <w:start w:val="10"/>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1."/>
      <w:numFmt w:val="decimal"/>
      <w:start w:val="6"/>
    </w:lvl>
  </w:abstractNum>
  <w:abstractNum w:abstractNumId="5">
    <w:nsid w:val="1BEFD79F"/>
    <w:multiLevelType w:val="hybridMultilevel"/>
    <w:lvl w:ilvl="0">
      <w:lvlJc w:val="left"/>
      <w:lvlText w:val="%1."/>
      <w:numFmt w:val="decimal"/>
      <w:start w:val="7"/>
    </w:lvl>
  </w:abstractNum>
  <w:abstractNum w:abstractNumId="6">
    <w:nsid w:val="41A7C4C9"/>
    <w:multiLevelType w:val="hybridMultilevel"/>
    <w:lvl w:ilvl="0">
      <w:lvlJc w:val="left"/>
      <w:lvlText w:val="%1."/>
      <w:numFmt w:val="decimal"/>
      <w:start w:val="8"/>
    </w:lvl>
  </w:abstractNum>
  <w:abstractNum w:abstractNumId="7">
    <w:nsid w:val="6B68079A"/>
    <w:multiLevelType w:val="hybridMultilevel"/>
    <w:lvl w:ilvl="0">
      <w:lvlJc w:val="left"/>
      <w:lvlText w:val="%1."/>
      <w:numFmt w:val="decimal"/>
      <w:start w:val="9"/>
    </w:lvl>
  </w:abstractNum>
  <w:abstractNum w:abstractNumId="8">
    <w:nsid w:val="4E6AFB66"/>
    <w:multiLevelType w:val="hybridMultilevel"/>
    <w:lvl w:ilvl="0">
      <w:lvlJc w:val="left"/>
      <w:lvlText w:val="%1."/>
      <w:numFmt w:val="decimal"/>
      <w:start w:val="10"/>
    </w:lvl>
  </w:abstractNum>
  <w:abstractNum w:abstractNumId="9">
    <w:nsid w:val="25E45D32"/>
    <w:multiLevelType w:val="hybridMultilevel"/>
    <w:lvl w:ilvl="0">
      <w:lvlJc w:val="left"/>
      <w:lvlText w:val="%1."/>
      <w:numFmt w:val="decimal"/>
      <w:start w:val="1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2"/>
    </w:lvl>
  </w:abstractNum>
  <w:abstractNum w:abstractNumId="12">
    <w:nsid w:val="3F2DBA31"/>
    <w:multiLevelType w:val="hybridMultilevel"/>
    <w:lvl w:ilvl="0">
      <w:lvlJc w:val="left"/>
      <w:lvlText w:val="%1."/>
      <w:numFmt w:val="decimal"/>
      <w:start w:val="13"/>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0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2"/>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upperLetter"/>
      <w:start w:val="1"/>
    </w:lvl>
    <w:lvl w:ilvl="1">
      <w:lvlJc w:val="left"/>
      <w:lvlText w:val="(%2)"/>
      <w:numFmt w:val="decimal"/>
      <w:start w:val="1"/>
    </w:lvl>
  </w:abstractNum>
  <w:abstractNum w:abstractNumId="22">
    <w:nsid w:val="6763845E"/>
    <w:multiLevelType w:val="hybridMultilevel"/>
    <w:lvl w:ilvl="0">
      <w:lvlJc w:val="left"/>
      <w:lvlText w:val="%1."/>
      <w:numFmt w:val="upperLetter"/>
      <w:start w:val="7"/>
    </w:lvl>
    <w:lvl w:ilvl="1">
      <w:lvlJc w:val="left"/>
      <w:lvlText w:val="%2"/>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2019-12-06T05:44:56Z</dcterms:created>
  <dcterms:modified xsi:type="dcterms:W3CDTF">2019-12-06T05:44:56Z</dcterms:modified>
</cp:coreProperties>
</file>