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SECURITIES AND EXCHANGE COMMISSION</w:t>
      </w:r>
    </w:p>
    <w:p>
      <w:pPr>
        <w:spacing w:after="0" w:line="4"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Washington, D.C. 20549</w:t>
      </w:r>
    </w:p>
    <w:p>
      <w:pPr>
        <w:spacing w:after="0" w:line="9" w:lineRule="exact"/>
        <w:rPr>
          <w:sz w:val="24"/>
          <w:szCs w:val="24"/>
          <w:color w:val="auto"/>
        </w:rPr>
      </w:pPr>
    </w:p>
    <w:p>
      <w:pPr>
        <w:ind w:left="4489"/>
        <w:spacing w:after="0"/>
        <w:rPr>
          <w:sz w:val="20"/>
          <w:szCs w:val="20"/>
          <w:color w:val="auto"/>
        </w:rPr>
      </w:pPr>
      <w:r>
        <w:rPr>
          <w:rFonts w:ascii="Arial" w:cs="Arial" w:eastAsia="Arial" w:hAnsi="Arial"/>
          <w:sz w:val="15"/>
          <w:szCs w:val="15"/>
          <w:b w:val="1"/>
          <w:bCs w:val="1"/>
          <w:color w:val="auto"/>
        </w:rPr>
        <w:t>______________________________</w:t>
      </w:r>
    </w:p>
    <w:p>
      <w:pPr>
        <w:spacing w:after="0" w:line="157"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FORM 10-Q</w:t>
      </w:r>
    </w:p>
    <w:p>
      <w:pPr>
        <w:spacing w:after="0" w:line="36" w:lineRule="exact"/>
        <w:rPr>
          <w:sz w:val="24"/>
          <w:szCs w:val="24"/>
          <w:color w:val="auto"/>
        </w:rPr>
      </w:pPr>
    </w:p>
    <w:p>
      <w:pPr>
        <w:ind w:left="9"/>
        <w:spacing w:after="0"/>
        <w:rPr>
          <w:sz w:val="20"/>
          <w:szCs w:val="20"/>
          <w:color w:val="auto"/>
        </w:rPr>
      </w:pPr>
      <w:r>
        <w:rPr>
          <w:rFonts w:ascii="Arial" w:cs="Arial" w:eastAsia="Arial" w:hAnsi="Arial"/>
          <w:sz w:val="15"/>
          <w:szCs w:val="15"/>
          <w:color w:val="auto"/>
        </w:rPr>
        <w:t>(Mark One)</w:t>
      </w:r>
    </w:p>
    <w:p>
      <w:pPr>
        <w:spacing w:after="0" w:line="177" w:lineRule="exact"/>
        <w:rPr>
          <w:sz w:val="24"/>
          <w:szCs w:val="24"/>
          <w:color w:val="auto"/>
        </w:rPr>
      </w:pPr>
    </w:p>
    <w:p>
      <w:pPr>
        <w:ind w:left="4169" w:right="3360" w:hanging="4169"/>
        <w:spacing w:after="0" w:line="512" w:lineRule="auto"/>
        <w:tabs>
          <w:tab w:leader="none" w:pos="176"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 For the quarterly period ended May 31, 2020</w:t>
      </w:r>
    </w:p>
    <w:p>
      <w:pPr>
        <w:jc w:val="center"/>
        <w:ind w:right="-8"/>
        <w:spacing w:after="0"/>
        <w:rPr>
          <w:sz w:val="20"/>
          <w:szCs w:val="20"/>
          <w:color w:val="auto"/>
        </w:rPr>
      </w:pPr>
      <w:r>
        <w:rPr>
          <w:rFonts w:ascii="Arial" w:cs="Arial" w:eastAsia="Arial" w:hAnsi="Arial"/>
          <w:sz w:val="15"/>
          <w:szCs w:val="15"/>
          <w:color w:val="auto"/>
        </w:rPr>
        <w:t>or</w:t>
      </w:r>
    </w:p>
    <w:p>
      <w:pPr>
        <w:spacing w:after="0" w:line="189" w:lineRule="exact"/>
        <w:rPr>
          <w:sz w:val="24"/>
          <w:szCs w:val="24"/>
          <w:color w:val="auto"/>
        </w:rPr>
      </w:pPr>
    </w:p>
    <w:p>
      <w:pPr>
        <w:jc w:val="right"/>
        <w:ind w:left="3309" w:right="3320" w:hanging="3309"/>
        <w:spacing w:after="0" w:line="545" w:lineRule="auto"/>
        <w:tabs>
          <w:tab w:leader="none" w:pos="169"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________________ to __________________</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Commission File Number: 001-11038</w:t>
      </w:r>
    </w:p>
    <w:p>
      <w:pPr>
        <w:spacing w:after="0" w:line="25" w:lineRule="exact"/>
        <w:rPr>
          <w:sz w:val="24"/>
          <w:szCs w:val="24"/>
          <w:color w:val="auto"/>
        </w:rPr>
      </w:pPr>
    </w:p>
    <w:p>
      <w:pPr>
        <w:ind w:left="4869"/>
        <w:spacing w:after="0"/>
        <w:rPr>
          <w:sz w:val="20"/>
          <w:szCs w:val="20"/>
          <w:color w:val="auto"/>
        </w:rPr>
      </w:pPr>
      <w:r>
        <w:rPr>
          <w:rFonts w:ascii="Arial" w:cs="Arial" w:eastAsia="Arial" w:hAnsi="Arial"/>
          <w:sz w:val="15"/>
          <w:szCs w:val="15"/>
          <w:b w:val="1"/>
          <w:bCs w:val="1"/>
          <w:i w:val="1"/>
          <w:iCs w:val="1"/>
          <w:color w:val="auto"/>
        </w:rPr>
        <w:t>____________________</w:t>
      </w:r>
    </w:p>
    <w:p>
      <w:pPr>
        <w:spacing w:after="0" w:line="157"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NORTHERN TECHNOLOGIES INTERNATIONAL CORPORATION</w:t>
      </w:r>
    </w:p>
    <w:p>
      <w:pPr>
        <w:spacing w:after="0" w:line="36"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69"/>
          </w:cols>
          <w:pgMar w:left="311" w:top="195" w:right="319" w:bottom="1440" w:gutter="0" w:footer="0" w:header="0"/>
        </w:sectPr>
      </w:pPr>
    </w:p>
    <w:p>
      <w:pPr>
        <w:spacing w:after="0" w:line="177" w:lineRule="exact"/>
        <w:rPr>
          <w:sz w:val="24"/>
          <w:szCs w:val="24"/>
          <w:color w:val="auto"/>
        </w:rPr>
      </w:pPr>
    </w:p>
    <w:p>
      <w:pPr>
        <w:jc w:val="center"/>
        <w:ind w:right="991"/>
        <w:spacing w:after="0"/>
        <w:rPr>
          <w:sz w:val="20"/>
          <w:szCs w:val="20"/>
          <w:color w:val="auto"/>
        </w:rPr>
      </w:pPr>
      <w:r>
        <w:rPr>
          <w:rFonts w:ascii="Arial" w:cs="Arial" w:eastAsia="Arial" w:hAnsi="Arial"/>
          <w:sz w:val="15"/>
          <w:szCs w:val="15"/>
          <w:b w:val="1"/>
          <w:bCs w:val="1"/>
          <w:color w:val="auto"/>
        </w:rPr>
        <w:t>Delaware</w:t>
      </w:r>
    </w:p>
    <w:p>
      <w:pPr>
        <w:spacing w:after="0" w:line="25" w:lineRule="exact"/>
        <w:rPr>
          <w:sz w:val="24"/>
          <w:szCs w:val="24"/>
          <w:color w:val="auto"/>
        </w:rPr>
      </w:pPr>
    </w:p>
    <w:p>
      <w:pPr>
        <w:jc w:val="center"/>
        <w:ind w:right="991"/>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700"/>
        <w:spacing w:after="0"/>
        <w:rPr>
          <w:sz w:val="20"/>
          <w:szCs w:val="20"/>
          <w:color w:val="auto"/>
        </w:rPr>
      </w:pPr>
      <w:r>
        <w:rPr>
          <w:rFonts w:ascii="Arial" w:cs="Arial" w:eastAsia="Arial" w:hAnsi="Arial"/>
          <w:sz w:val="15"/>
          <w:szCs w:val="15"/>
          <w:b w:val="1"/>
          <w:bCs w:val="1"/>
          <w:color w:val="auto"/>
        </w:rPr>
        <w:t>41-0857886</w:t>
      </w:r>
    </w:p>
    <w:p>
      <w:pPr>
        <w:spacing w:after="0" w:line="25"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(I.R.S. Employer Identification No.)</w:t>
      </w:r>
    </w:p>
    <w:p>
      <w:pPr>
        <w:spacing w:after="0" w:line="190" w:lineRule="exact"/>
        <w:rPr>
          <w:sz w:val="24"/>
          <w:szCs w:val="24"/>
          <w:color w:val="auto"/>
        </w:rPr>
      </w:pPr>
    </w:p>
    <w:p>
      <w:pPr>
        <w:sectPr>
          <w:pgSz w:w="11900" w:h="16838" w:orient="portrait"/>
          <w:cols w:equalWidth="0" w:num="2">
            <w:col w:w="6629" w:space="720"/>
            <w:col w:w="3920"/>
          </w:cols>
          <w:pgMar w:left="311" w:top="195" w:right="319" w:bottom="1440" w:gutter="0" w:footer="0" w:header="0"/>
          <w:type w:val="continuous"/>
        </w:sectPr>
      </w:pPr>
    </w:p>
    <w:p>
      <w:pPr>
        <w:jc w:val="center"/>
        <w:ind w:right="-8"/>
        <w:spacing w:after="0"/>
        <w:rPr>
          <w:sz w:val="20"/>
          <w:szCs w:val="20"/>
          <w:color w:val="auto"/>
        </w:rPr>
      </w:pPr>
      <w:r>
        <w:rPr>
          <w:rFonts w:ascii="Arial" w:cs="Arial" w:eastAsia="Arial" w:hAnsi="Arial"/>
          <w:sz w:val="15"/>
          <w:szCs w:val="15"/>
          <w:b w:val="1"/>
          <w:bCs w:val="1"/>
          <w:color w:val="auto"/>
        </w:rPr>
        <w:t>4201 Woodland Road</w:t>
      </w:r>
    </w:p>
    <w:p>
      <w:pPr>
        <w:spacing w:after="0" w:line="25"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P.O. Box 69</w:t>
      </w:r>
    </w:p>
    <w:p>
      <w:pPr>
        <w:spacing w:after="0" w:line="11"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Circle Pines, Minnesota 55014</w:t>
      </w:r>
    </w:p>
    <w:p>
      <w:pPr>
        <w:spacing w:after="0" w:line="11"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(Address of principal executive offices) (Zip Code)</w:t>
      </w:r>
    </w:p>
    <w:p>
      <w:pPr>
        <w:spacing w:after="0" w:line="179"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(763) 225-6600</w:t>
      </w:r>
    </w:p>
    <w:p>
      <w:pPr>
        <w:spacing w:after="0" w:line="25"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(Registrant’s telephone number, including area code)</w:t>
      </w:r>
    </w:p>
    <w:p>
      <w:pPr>
        <w:spacing w:after="0" w:line="183" w:lineRule="exact"/>
        <w:rPr>
          <w:sz w:val="24"/>
          <w:szCs w:val="24"/>
          <w:color w:val="auto"/>
        </w:rPr>
      </w:pPr>
    </w:p>
    <w:p>
      <w:pPr>
        <w:ind w:left="9"/>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1" w:lineRule="exact"/>
        <w:rPr>
          <w:sz w:val="24"/>
          <w:szCs w:val="24"/>
          <w:color w:val="auto"/>
        </w:rPr>
      </w:pPr>
    </w:p>
    <w:tbl>
      <w:tblPr>
        <w:tblLayout w:type="fixed"/>
        <w:tblInd w:w="19" w:type="dxa"/>
        <w:tblCellMar>
          <w:top w:w="0" w:type="dxa"/>
          <w:left w:w="0" w:type="dxa"/>
          <w:bottom w:w="0" w:type="dxa"/>
          <w:right w:w="0" w:type="dxa"/>
        </w:tblCellMar>
      </w:tblPr>
      <w:tr>
        <w:trPr>
          <w:trHeight w:val="174"/>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Trading Symbol(s)</w:t>
            </w:r>
          </w:p>
        </w:tc>
        <w:tc>
          <w:tcPr>
            <w:tcW w:w="5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Name of each exchange on which registered</w:t>
            </w:r>
          </w:p>
        </w:tc>
      </w:tr>
      <w:tr>
        <w:trPr>
          <w:trHeight w:val="174"/>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Common stock, par value $0.02 per share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NTIC</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Nasdaq Global Market</w:t>
            </w:r>
          </w:p>
        </w:tc>
      </w:tr>
    </w:tbl>
    <w:p>
      <w:pPr>
        <w:spacing w:after="0" w:line="172" w:lineRule="exact"/>
        <w:rPr>
          <w:sz w:val="24"/>
          <w:szCs w:val="24"/>
          <w:color w:val="auto"/>
        </w:rPr>
      </w:pPr>
    </w:p>
    <w:p>
      <w:pPr>
        <w:ind w:left="9" w:right="240" w:firstLine="275"/>
        <w:spacing w:after="0" w:line="19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7" w:lineRule="exact"/>
        <w:rPr>
          <w:sz w:val="24"/>
          <w:szCs w:val="24"/>
          <w:color w:val="auto"/>
        </w:rPr>
      </w:pPr>
    </w:p>
    <w:p>
      <w:pPr>
        <w:ind w:left="9" w:right="140" w:firstLine="275"/>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7" w:lineRule="exact"/>
        <w:rPr>
          <w:sz w:val="24"/>
          <w:szCs w:val="24"/>
          <w:color w:val="auto"/>
        </w:rPr>
      </w:pPr>
    </w:p>
    <w:p>
      <w:pPr>
        <w:ind w:left="269"/>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44" w:lineRule="exact"/>
        <w:rPr>
          <w:sz w:val="24"/>
          <w:szCs w:val="24"/>
          <w:color w:val="auto"/>
        </w:rPr>
      </w:pPr>
    </w:p>
    <w:p>
      <w:pPr>
        <w:ind w:left="9"/>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69"/>
          </w:cols>
          <w:pgMar w:left="311" w:top="195" w:right="319" w:bottom="1440" w:gutter="0" w:footer="0" w:header="0"/>
          <w:type w:val="continuous"/>
        </w:sectPr>
      </w:pPr>
    </w:p>
    <w:p>
      <w:pPr>
        <w:spacing w:after="0" w:line="153" w:lineRule="exact"/>
        <w:rPr>
          <w:sz w:val="24"/>
          <w:szCs w:val="24"/>
          <w:color w:val="auto"/>
        </w:rPr>
      </w:pPr>
    </w:p>
    <w:p>
      <w:pPr>
        <w:ind w:left="9"/>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75" w:lineRule="exact"/>
        <w:rPr>
          <w:sz w:val="24"/>
          <w:szCs w:val="24"/>
          <w:color w:val="auto"/>
        </w:rPr>
      </w:pPr>
    </w:p>
    <w:p>
      <w:pPr>
        <w:ind w:left="9"/>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2">
            <w:col w:w="6949" w:space="720"/>
            <w:col w:w="3600"/>
          </w:cols>
          <w:pgMar w:left="311" w:top="195" w:right="319" w:bottom="1440" w:gutter="0" w:footer="0" w:header="0"/>
          <w:type w:val="continuous"/>
        </w:sectPr>
      </w:pPr>
    </w:p>
    <w:p>
      <w:pPr>
        <w:spacing w:after="0" w:line="4" w:lineRule="exact"/>
        <w:rPr>
          <w:sz w:val="24"/>
          <w:szCs w:val="24"/>
          <w:color w:val="auto"/>
        </w:rPr>
      </w:pPr>
    </w:p>
    <w:p>
      <w:pPr>
        <w:ind w:left="9" w:right="400" w:firstLine="275"/>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27" w:lineRule="exact"/>
        <w:rPr>
          <w:sz w:val="24"/>
          <w:szCs w:val="24"/>
          <w:color w:val="auto"/>
        </w:rPr>
      </w:pPr>
    </w:p>
    <w:p>
      <w:pPr>
        <w:ind w:left="269"/>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23" w:lineRule="exact"/>
        <w:rPr>
          <w:sz w:val="24"/>
          <w:szCs w:val="24"/>
          <w:color w:val="auto"/>
        </w:rPr>
      </w:pPr>
    </w:p>
    <w:p>
      <w:pPr>
        <w:ind w:left="269"/>
        <w:spacing w:after="0"/>
        <w:rPr>
          <w:sz w:val="20"/>
          <w:szCs w:val="20"/>
          <w:color w:val="auto"/>
        </w:rPr>
      </w:pPr>
      <w:r>
        <w:rPr>
          <w:rFonts w:ascii="Arial" w:cs="Arial" w:eastAsia="Arial" w:hAnsi="Arial"/>
          <w:sz w:val="15"/>
          <w:szCs w:val="15"/>
          <w:color w:val="auto"/>
        </w:rPr>
        <w:t>As of July 9, 2020, there were 9,099,990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5327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195"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NORTHERN TECHNOLOGIES INTERNATIONAL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FORM 10-Q</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May 31, 2020</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88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rPr>
              <w:t>Page</w:t>
            </w:r>
          </w:p>
        </w:tc>
      </w:tr>
      <w:tr>
        <w:trPr>
          <w:trHeight w:val="20"/>
        </w:trPr>
        <w:tc>
          <w:tcPr>
            <w:tcW w:w="740" w:type="dxa"/>
            <w:vAlign w:val="bottom"/>
            <w:shd w:val="clear" w:color="auto" w:fill="000000"/>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381"/>
        </w:trPr>
        <w:tc>
          <w:tcPr>
            <w:tcW w:w="9860" w:type="dxa"/>
            <w:vAlign w:val="bottom"/>
            <w:gridSpan w:val="3"/>
          </w:tcPr>
          <w:p>
            <w:pPr>
              <w:spacing w:after="0"/>
              <w:rPr>
                <w:sz w:val="20"/>
                <w:szCs w:val="20"/>
                <w:color w:val="auto"/>
              </w:rPr>
            </w:pPr>
            <w:r>
              <w:rPr>
                <w:rFonts w:ascii="Arial" w:cs="Arial" w:eastAsia="Arial" w:hAnsi="Arial"/>
                <w:sz w:val="15"/>
                <w:szCs w:val="15"/>
                <w:b w:val="1"/>
                <w:bCs w:val="1"/>
                <w:color w:val="auto"/>
              </w:rPr>
              <w:t>PART I - FINANCIAL INFORMATION</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Item 1.</w:t>
              </w:r>
            </w:hyperlink>
          </w:p>
        </w:tc>
        <w:tc>
          <w:tcPr>
            <w:tcW w:w="8860" w:type="dxa"/>
            <w:vAlign w:val="bottom"/>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Financial Statements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3</w:t>
              </w:r>
            </w:hyperlink>
          </w:p>
        </w:tc>
      </w:tr>
      <w:tr>
        <w:trPr>
          <w:trHeight w:val="36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Consolidated Balance Sheets as of May 31, 2020 (unaudited) and August 31, 2019</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3</w:t>
              </w:r>
            </w:hyperlink>
          </w:p>
        </w:tc>
      </w:tr>
      <w:tr>
        <w:trPr>
          <w:trHeight w:val="36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Consolidated Statements of Operations (unaudited) for the Three and Nine Months Ended May 31, 2020 and 2019</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4</w:t>
              </w:r>
            </w:hyperlink>
          </w:p>
        </w:tc>
      </w:tr>
      <w:tr>
        <w:trPr>
          <w:trHeight w:val="36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Consolidated Statements of Comprehensive Income (unaudited) for the Three and Nine Months Ended May 31, 2020 and 2019</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5</w:t>
              </w:r>
            </w:hyperlink>
          </w:p>
        </w:tc>
      </w:tr>
      <w:tr>
        <w:trPr>
          <w:trHeight w:val="36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Consolidated Statements of Equity (unaudited) for the Three and Nine Months Ended May 31, 2020 and 2019</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6</w:t>
              </w:r>
            </w:hyperlink>
          </w:p>
        </w:tc>
      </w:tr>
      <w:tr>
        <w:trPr>
          <w:trHeight w:val="36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Consolidated Statements of Cash Flows (unaudited) for the Nine Months Ended May 31, 2020 and 2019</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7</w:t>
              </w:r>
            </w:hyperlink>
          </w:p>
        </w:tc>
      </w:tr>
      <w:tr>
        <w:trPr>
          <w:trHeight w:val="36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Notes to Consolidated Financial Statements (unaudited)</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8</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Item 2.</w:t>
              </w:r>
            </w:hyperlink>
          </w:p>
        </w:tc>
        <w:tc>
          <w:tcPr>
            <w:tcW w:w="8860" w:type="dxa"/>
            <w:vAlign w:val="bottom"/>
          </w:tcPr>
          <w:p>
            <w:pPr>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Management’s Discussion and Analysis of Financial Condition and Results of Operations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22</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Item 3.</w:t>
              </w:r>
            </w:hyperlink>
          </w:p>
        </w:tc>
        <w:tc>
          <w:tcPr>
            <w:tcW w:w="8860" w:type="dxa"/>
            <w:vAlign w:val="bottom"/>
          </w:tcPr>
          <w:p>
            <w:pPr>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Quantitative and Qualitative Disclosures About Market Risk</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39</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Item 4.</w:t>
              </w:r>
            </w:hyperlink>
          </w:p>
        </w:tc>
        <w:tc>
          <w:tcPr>
            <w:tcW w:w="8860" w:type="dxa"/>
            <w:vAlign w:val="bottom"/>
          </w:tcPr>
          <w:p>
            <w:pPr>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Controls and Procedures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39</w:t>
              </w:r>
            </w:hyperlink>
          </w:p>
        </w:tc>
      </w:tr>
      <w:tr>
        <w:trPr>
          <w:trHeight w:val="366"/>
        </w:trPr>
        <w:tc>
          <w:tcPr>
            <w:tcW w:w="9860" w:type="dxa"/>
            <w:vAlign w:val="bottom"/>
            <w:gridSpan w:val="3"/>
          </w:tcPr>
          <w:p>
            <w:pPr>
              <w:spacing w:after="0"/>
              <w:rPr>
                <w:sz w:val="20"/>
                <w:szCs w:val="20"/>
                <w:color w:val="auto"/>
              </w:rPr>
            </w:pPr>
            <w:r>
              <w:rPr>
                <w:rFonts w:ascii="Arial" w:cs="Arial" w:eastAsia="Arial" w:hAnsi="Arial"/>
                <w:sz w:val="15"/>
                <w:szCs w:val="15"/>
                <w:b w:val="1"/>
                <w:bCs w:val="1"/>
                <w:color w:val="auto"/>
              </w:rPr>
              <w:t>PART II - OTHER INFORMATION</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Item 1.</w:t>
              </w:r>
            </w:hyperlink>
          </w:p>
        </w:tc>
        <w:tc>
          <w:tcPr>
            <w:tcW w:w="8860" w:type="dxa"/>
            <w:vAlign w:val="bottom"/>
          </w:tcPr>
          <w:p>
            <w:pPr>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Legal Proceedings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40</w:t>
              </w:r>
            </w:hyperlink>
          </w:p>
        </w:tc>
      </w:tr>
      <w:tr>
        <w:trPr>
          <w:trHeight w:val="366"/>
        </w:trPr>
        <w:tc>
          <w:tcPr>
            <w:tcW w:w="1000" w:type="dxa"/>
            <w:vAlign w:val="bottom"/>
            <w:gridSpan w:val="2"/>
          </w:tcPr>
          <w:p>
            <w:pPr>
              <w:spacing w:after="0"/>
              <w:rPr>
                <w:rFonts w:ascii="Arial" w:cs="Arial" w:eastAsia="Arial" w:hAnsi="Arial"/>
                <w:sz w:val="15"/>
                <w:szCs w:val="15"/>
                <w:color w:val="0000EE"/>
              </w:rPr>
            </w:pPr>
            <w:hyperlink w:anchor="page41">
              <w:r>
                <w:rPr>
                  <w:rFonts w:ascii="Arial" w:cs="Arial" w:eastAsia="Arial" w:hAnsi="Arial"/>
                  <w:sz w:val="15"/>
                  <w:szCs w:val="15"/>
                  <w:u w:val="single" w:color="auto"/>
                  <w:color w:val="0000EE"/>
                </w:rPr>
                <w:t>Item 1A</w:t>
              </w:r>
              <w:r>
                <w:rPr>
                  <w:rFonts w:ascii="Arial" w:cs="Arial" w:eastAsia="Arial" w:hAnsi="Arial"/>
                  <w:sz w:val="15"/>
                  <w:szCs w:val="15"/>
                  <w:color w:val="0000EE"/>
                </w:rPr>
                <w:t>.</w:t>
              </w:r>
            </w:hyperlink>
          </w:p>
        </w:tc>
        <w:tc>
          <w:tcPr>
            <w:tcW w:w="8860" w:type="dxa"/>
            <w:vAlign w:val="bottom"/>
          </w:tcPr>
          <w:p>
            <w:pPr>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Risk Factors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40</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Item 2.</w:t>
              </w:r>
            </w:hyperlink>
          </w:p>
        </w:tc>
        <w:tc>
          <w:tcPr>
            <w:tcW w:w="8860" w:type="dxa"/>
            <w:vAlign w:val="bottom"/>
          </w:tcPr>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Unregistered Sales of Equity Securities and Use of Proceeds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41</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Item 3.</w:t>
              </w:r>
            </w:hyperlink>
          </w:p>
        </w:tc>
        <w:tc>
          <w:tcPr>
            <w:tcW w:w="8860" w:type="dxa"/>
            <w:vAlign w:val="bottom"/>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Defaults Upon Senior Securities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42</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Item 4.</w:t>
              </w:r>
            </w:hyperlink>
          </w:p>
        </w:tc>
        <w:tc>
          <w:tcPr>
            <w:tcW w:w="8860" w:type="dxa"/>
            <w:vAlign w:val="bottom"/>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Mine Safety Disclosures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42</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Item 5.</w:t>
              </w:r>
            </w:hyperlink>
          </w:p>
        </w:tc>
        <w:tc>
          <w:tcPr>
            <w:tcW w:w="8860" w:type="dxa"/>
            <w:vAlign w:val="bottom"/>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Other Information</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42</w:t>
              </w:r>
            </w:hyperlink>
          </w:p>
        </w:tc>
      </w:tr>
      <w:tr>
        <w:trPr>
          <w:trHeight w:val="366"/>
        </w:trPr>
        <w:tc>
          <w:tcPr>
            <w:tcW w:w="1000" w:type="dxa"/>
            <w:vAlign w:val="bottom"/>
            <w:gridSpan w:val="2"/>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Item 6.</w:t>
              </w:r>
            </w:hyperlink>
          </w:p>
        </w:tc>
        <w:tc>
          <w:tcPr>
            <w:tcW w:w="8860" w:type="dxa"/>
            <w:vAlign w:val="bottom"/>
          </w:tcPr>
          <w:p>
            <w:pPr>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Exhibits</w:t>
              </w:r>
            </w:hyperlink>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42</w:t>
              </w:r>
            </w:hyperlink>
          </w:p>
        </w:tc>
      </w:tr>
      <w:tr>
        <w:trPr>
          <w:trHeight w:val="366"/>
        </w:trPr>
        <w:tc>
          <w:tcPr>
            <w:tcW w:w="1000" w:type="dxa"/>
            <w:vAlign w:val="bottom"/>
            <w:gridSpan w:val="2"/>
          </w:tcPr>
          <w:p>
            <w:pPr>
              <w:spacing w:after="0"/>
              <w:rPr>
                <w:rFonts w:ascii="Arial" w:cs="Arial" w:eastAsia="Arial" w:hAnsi="Arial"/>
                <w:sz w:val="15"/>
                <w:szCs w:val="15"/>
                <w:b w:val="1"/>
                <w:bCs w:val="1"/>
                <w:u w:val="single" w:color="auto"/>
                <w:color w:val="0000EE"/>
                <w:w w:val="99"/>
              </w:rPr>
            </w:pPr>
            <w:hyperlink w:anchor="page44">
              <w:r>
                <w:rPr>
                  <w:rFonts w:ascii="Arial" w:cs="Arial" w:eastAsia="Arial" w:hAnsi="Arial"/>
                  <w:sz w:val="15"/>
                  <w:szCs w:val="15"/>
                  <w:b w:val="1"/>
                  <w:bCs w:val="1"/>
                  <w:u w:val="single" w:color="auto"/>
                  <w:color w:val="0000EE"/>
                  <w:w w:val="99"/>
                </w:rPr>
                <w:t>SIGNATURES</w:t>
              </w:r>
            </w:hyperlink>
          </w:p>
        </w:tc>
        <w:tc>
          <w:tcPr>
            <w:tcW w:w="8860" w:type="dxa"/>
            <w:vAlign w:val="bottom"/>
          </w:tcPr>
          <w:p>
            <w:pPr>
              <w:spacing w:after="0"/>
              <w:rPr>
                <w:sz w:val="24"/>
                <w:szCs w:val="24"/>
                <w:color w:val="auto"/>
              </w:rPr>
            </w:pPr>
          </w:p>
        </w:tc>
        <w:tc>
          <w:tcPr>
            <w:tcW w:w="1400" w:type="dxa"/>
            <w:vAlign w:val="bottom"/>
            <w:gridSpan w:val="2"/>
          </w:tcPr>
          <w:p>
            <w:pPr>
              <w:jc w:val="right"/>
              <w:spacing w:after="0"/>
              <w:rPr>
                <w:rFonts w:ascii="Arial" w:cs="Arial" w:eastAsia="Arial" w:hAnsi="Arial"/>
                <w:sz w:val="15"/>
                <w:szCs w:val="15"/>
                <w:u w:val="single" w:color="auto"/>
                <w:color w:val="0000EE"/>
              </w:rPr>
            </w:pPr>
            <w:hyperlink w:anchor="page44">
              <w:r>
                <w:rPr>
                  <w:rFonts w:ascii="Arial" w:cs="Arial" w:eastAsia="Arial" w:hAnsi="Arial"/>
                  <w:sz w:val="15"/>
                  <w:szCs w:val="15"/>
                  <w:u w:val="single" w:color="auto"/>
                  <w:color w:val="0000EE"/>
                </w:rPr>
                <w:t>43</w:t>
              </w:r>
            </w:hyperlink>
          </w:p>
        </w:tc>
      </w:tr>
      <w:tr>
        <w:trPr>
          <w:trHeight w:val="769"/>
        </w:trPr>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4600"/>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2" w:name="page3"/>
    <w:bookmarkEnd w:id="2"/>
    <w:p>
      <w:pPr>
        <w:ind w:left="9"/>
        <w:spacing w:after="0" w:line="302" w:lineRule="auto"/>
        <w:rPr>
          <w:sz w:val="20"/>
          <w:szCs w:val="20"/>
          <w:color w:val="auto"/>
        </w:rPr>
      </w:pPr>
      <w:r>
        <w:rPr>
          <w:rFonts w:ascii="Arial" w:cs="Arial" w:eastAsia="Arial" w:hAnsi="Arial"/>
          <w:sz w:val="13"/>
          <w:szCs w:val="13"/>
          <w:i w:val="1"/>
          <w:iCs w:val="1"/>
          <w:color w:val="auto"/>
        </w:rPr>
        <w:t>This quarterly report on Form 10-Q contains certain forward-looking statements that are within the meaning of Section 27A of the Securities Act of 1933, as amended, and Section 21E of the Securities Exchange Act of 1934, as amended, and that are subject to the safe harbor created by those sections. For more information, see “Part I. Financial Information – Item</w:t>
      </w:r>
    </w:p>
    <w:p>
      <w:pPr>
        <w:spacing w:after="0" w:line="1" w:lineRule="exact"/>
        <w:rPr>
          <w:sz w:val="20"/>
          <w:szCs w:val="20"/>
          <w:color w:val="auto"/>
        </w:rPr>
      </w:pPr>
    </w:p>
    <w:p>
      <w:pPr>
        <w:ind w:left="149" w:hanging="149"/>
        <w:spacing w:after="0"/>
        <w:tabs>
          <w:tab w:leader="none" w:pos="149"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Management’s Discussion and Analysis of Financial Condition and Results of Operations – Forward-Looking Statements.”</w:t>
      </w:r>
    </w:p>
    <w:p>
      <w:pPr>
        <w:spacing w:after="0" w:line="182" w:lineRule="exact"/>
        <w:rPr>
          <w:rFonts w:ascii="Arial" w:cs="Arial" w:eastAsia="Arial" w:hAnsi="Arial"/>
          <w:sz w:val="15"/>
          <w:szCs w:val="15"/>
          <w:i w:val="1"/>
          <w:iCs w:val="1"/>
          <w:color w:val="auto"/>
        </w:rPr>
      </w:pPr>
    </w:p>
    <w:p>
      <w:pPr>
        <w:ind w:left="4989"/>
        <w:spacing w:after="0"/>
        <w:rPr>
          <w:rFonts w:ascii="Arial" w:cs="Arial" w:eastAsia="Arial" w:hAnsi="Arial"/>
          <w:sz w:val="15"/>
          <w:szCs w:val="15"/>
          <w:i w:val="1"/>
          <w:iCs w:val="1"/>
          <w:color w:val="auto"/>
        </w:rPr>
      </w:pPr>
      <w:r>
        <w:rPr>
          <w:rFonts w:ascii="Arial" w:cs="Arial" w:eastAsia="Arial" w:hAnsi="Arial"/>
          <w:sz w:val="15"/>
          <w:szCs w:val="15"/>
          <w:color w:val="auto"/>
        </w:rPr>
        <w:t>_________________</w:t>
      </w:r>
    </w:p>
    <w:p>
      <w:pPr>
        <w:spacing w:after="0" w:line="193" w:lineRule="exact"/>
        <w:rPr>
          <w:sz w:val="20"/>
          <w:szCs w:val="20"/>
          <w:color w:val="auto"/>
        </w:rPr>
      </w:pPr>
    </w:p>
    <w:p>
      <w:pPr>
        <w:ind w:left="9" w:right="140"/>
        <w:spacing w:after="0" w:line="284" w:lineRule="auto"/>
        <w:rPr>
          <w:sz w:val="20"/>
          <w:szCs w:val="20"/>
          <w:color w:val="auto"/>
        </w:rPr>
      </w:pPr>
      <w:r>
        <w:rPr>
          <w:rFonts w:ascii="Arial" w:cs="Arial" w:eastAsia="Arial" w:hAnsi="Arial"/>
          <w:sz w:val="15"/>
          <w:szCs w:val="15"/>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41" w:lineRule="exact"/>
        <w:rPr>
          <w:sz w:val="20"/>
          <w:szCs w:val="20"/>
          <w:color w:val="auto"/>
        </w:rPr>
      </w:pPr>
    </w:p>
    <w:p>
      <w:pPr>
        <w:ind w:left="9" w:right="20"/>
        <w:spacing w:after="0" w:line="289" w:lineRule="auto"/>
        <w:rPr>
          <w:sz w:val="20"/>
          <w:szCs w:val="20"/>
          <w:color w:val="auto"/>
        </w:rPr>
      </w:pPr>
      <w:r>
        <w:rPr>
          <w:rFonts w:ascii="Arial" w:cs="Arial" w:eastAsia="Arial" w:hAnsi="Arial"/>
          <w:sz w:val="14"/>
          <w:szCs w:val="14"/>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and (4)“NTI Asean” refer to NTIC’s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39" w:lineRule="exact"/>
        <w:rPr>
          <w:sz w:val="20"/>
          <w:szCs w:val="20"/>
          <w:color w:val="auto"/>
        </w:rPr>
      </w:pPr>
    </w:p>
    <w:p>
      <w:pPr>
        <w:ind w:left="9" w:right="40"/>
        <w:spacing w:after="0" w:line="284" w:lineRule="auto"/>
        <w:rPr>
          <w:sz w:val="20"/>
          <w:szCs w:val="20"/>
          <w:color w:val="auto"/>
        </w:rPr>
      </w:pPr>
      <w:r>
        <w:rPr>
          <w:rFonts w:ascii="Arial" w:cs="Arial" w:eastAsia="Arial" w:hAnsi="Arial"/>
          <w:sz w:val="15"/>
          <w:szCs w:val="15"/>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As used in this report, references to “EXCOR” refer to NTIC’s joint venture in Germany, Excor Korrosionsschutz – Technologien und Produkte GmbH.</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As used in this report, references to “Tianjin Zerust” refer to NTIC’s former joint venture in China, Tianjin-Zerust Anticorrosion Co., Ltd.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All trademarks, trade names, or service marks referred to in this report are the property of their respective owners.</w:t>
      </w:r>
    </w:p>
    <w:p>
      <w:pPr>
        <w:spacing w:after="0" w:line="193" w:lineRule="exact"/>
        <w:rPr>
          <w:sz w:val="20"/>
          <w:szCs w:val="20"/>
          <w:color w:val="auto"/>
        </w:rPr>
      </w:pPr>
    </w:p>
    <w:p>
      <w:pPr>
        <w:jc w:val="both"/>
        <w:ind w:left="9" w:right="260"/>
        <w:spacing w:after="0" w:line="364" w:lineRule="auto"/>
        <w:rPr>
          <w:sz w:val="20"/>
          <w:szCs w:val="20"/>
          <w:color w:val="auto"/>
        </w:rPr>
      </w:pPr>
      <w:r>
        <w:rPr>
          <w:rFonts w:ascii="Arial" w:cs="Arial" w:eastAsia="Arial" w:hAnsi="Arial"/>
          <w:sz w:val="13"/>
          <w:szCs w:val="13"/>
          <w:i w:val="1"/>
          <w:iCs w:val="1"/>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200" w:lineRule="exact"/>
        <w:rPr>
          <w:sz w:val="20"/>
          <w:szCs w:val="20"/>
          <w:color w:val="auto"/>
        </w:rPr>
      </w:pPr>
    </w:p>
    <w:p>
      <w:pPr>
        <w:spacing w:after="0" w:line="261"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29"/>
          </w:cols>
          <w:pgMar w:left="311" w:top="975"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8"/>
        </w:trPr>
        <w:tc>
          <w:tcPr>
            <w:tcW w:w="8440" w:type="dxa"/>
            <w:vAlign w:val="bottom"/>
            <w:gridSpan w:val="2"/>
          </w:tcPr>
          <w:p>
            <w:pPr>
              <w:spacing w:after="0"/>
              <w:rPr>
                <w:sz w:val="20"/>
                <w:szCs w:val="20"/>
                <w:color w:val="auto"/>
              </w:rPr>
            </w:pPr>
            <w:r>
              <w:rPr>
                <w:rFonts w:ascii="Arial" w:cs="Arial" w:eastAsia="Arial" w:hAnsi="Arial"/>
                <w:sz w:val="15"/>
                <w:szCs w:val="15"/>
                <w:b w:val="1"/>
                <w:bCs w:val="1"/>
                <w:color w:val="auto"/>
              </w:rPr>
              <w:t>PART I - FINANCIAL INFORMATION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66"/>
        </w:trPr>
        <w:tc>
          <w:tcPr>
            <w:tcW w:w="108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7360" w:type="dxa"/>
            <w:vAlign w:val="bottom"/>
          </w:tcPr>
          <w:p>
            <w:pPr>
              <w:spacing w:after="0"/>
              <w:rPr>
                <w:sz w:val="20"/>
                <w:szCs w:val="20"/>
                <w:color w:val="auto"/>
              </w:rPr>
            </w:pPr>
            <w:r>
              <w:rPr>
                <w:rFonts w:ascii="Arial" w:cs="Arial" w:eastAsia="Arial" w:hAnsi="Arial"/>
                <w:sz w:val="15"/>
                <w:szCs w:val="15"/>
                <w:b w:val="1"/>
                <w:bCs w:val="1"/>
                <w:color w:val="auto"/>
              </w:rPr>
              <w:t>FINANCIAL STATEMENTS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8440" w:type="dxa"/>
            <w:vAlign w:val="bottom"/>
            <w:gridSpan w:val="2"/>
          </w:tcPr>
          <w:p>
            <w:pPr>
              <w:spacing w:after="0"/>
              <w:rPr>
                <w:sz w:val="20"/>
                <w:szCs w:val="20"/>
                <w:color w:val="auto"/>
              </w:rPr>
            </w:pPr>
            <w:r>
              <w:rPr>
                <w:rFonts w:ascii="Arial" w:cs="Arial" w:eastAsia="Arial" w:hAnsi="Arial"/>
                <w:sz w:val="15"/>
                <w:szCs w:val="15"/>
                <w:b w:val="1"/>
                <w:bCs w:val="1"/>
                <w:color w:val="auto"/>
              </w:rPr>
              <w:t>NORTHERN TECHNOLOGIES INTERNATIONAL CORPORATION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3"/>
        </w:trPr>
        <w:tc>
          <w:tcPr>
            <w:tcW w:w="8440" w:type="dxa"/>
            <w:vAlign w:val="bottom"/>
            <w:gridSpan w:val="2"/>
          </w:tcPr>
          <w:p>
            <w:pPr>
              <w:spacing w:after="0"/>
              <w:rPr>
                <w:sz w:val="20"/>
                <w:szCs w:val="20"/>
                <w:color w:val="auto"/>
              </w:rPr>
            </w:pPr>
            <w:r>
              <w:rPr>
                <w:rFonts w:ascii="Arial" w:cs="Arial" w:eastAsia="Arial" w:hAnsi="Arial"/>
                <w:sz w:val="15"/>
                <w:szCs w:val="15"/>
                <w:b w:val="1"/>
                <w:bCs w:val="1"/>
                <w:color w:val="auto"/>
              </w:rPr>
              <w:t>CONSOLIDATED BALANCE SHEETS AS OF MAY 31, 2020 (UNAUDITED)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8"/>
        </w:trPr>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AND AUGUST 31, 2019 (AUDITED)</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397"/>
        </w:trPr>
        <w:tc>
          <w:tcPr>
            <w:tcW w:w="1080" w:type="dxa"/>
            <w:vAlign w:val="bottom"/>
            <w:tcBorders>
              <w:bottom w:val="single" w:sz="8" w:color="CCEEFF"/>
            </w:tcBorders>
          </w:tcPr>
          <w:p>
            <w:pPr>
              <w:spacing w:after="0"/>
              <w:rPr>
                <w:sz w:val="24"/>
                <w:szCs w:val="24"/>
                <w:color w:val="auto"/>
              </w:rPr>
            </w:pPr>
          </w:p>
        </w:tc>
        <w:tc>
          <w:tcPr>
            <w:tcW w:w="7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2"/>
              </w:rPr>
              <w:t>August 31, 2019</w:t>
            </w:r>
          </w:p>
        </w:tc>
      </w:tr>
      <w:tr>
        <w:trPr>
          <w:trHeight w:val="157"/>
        </w:trPr>
        <w:tc>
          <w:tcPr>
            <w:tcW w:w="10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ASSETS</w:t>
            </w:r>
          </w:p>
        </w:tc>
        <w:tc>
          <w:tcPr>
            <w:tcW w:w="7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3"/>
        </w:trPr>
        <w:tc>
          <w:tcPr>
            <w:tcW w:w="8440" w:type="dxa"/>
            <w:vAlign w:val="bottom"/>
            <w:gridSpan w:val="2"/>
          </w:tcPr>
          <w:p>
            <w:pPr>
              <w:ind w:left="140"/>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3"/>
        </w:trPr>
        <w:tc>
          <w:tcPr>
            <w:tcW w:w="84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5,050,722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5,856,758</w:t>
            </w:r>
          </w:p>
        </w:tc>
      </w:tr>
      <w:tr>
        <w:trPr>
          <w:trHeight w:val="183"/>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Available for sale securities</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5,450,693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3,565,258</w:t>
            </w:r>
          </w:p>
        </w:tc>
      </w:tr>
      <w:tr>
        <w:trPr>
          <w:trHeight w:val="183"/>
        </w:trPr>
        <w:tc>
          <w:tcPr>
            <w:tcW w:w="10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88"/>
              </w:rPr>
              <w:t>Receivables:</w:t>
            </w:r>
          </w:p>
        </w:tc>
        <w:tc>
          <w:tcPr>
            <w:tcW w:w="7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3"/>
        </w:trPr>
        <w:tc>
          <w:tcPr>
            <w:tcW w:w="8440" w:type="dxa"/>
            <w:vAlign w:val="bottom"/>
            <w:gridSpan w:val="2"/>
          </w:tcPr>
          <w:p>
            <w:pPr>
              <w:ind w:left="440"/>
              <w:spacing w:after="0"/>
              <w:rPr>
                <w:sz w:val="20"/>
                <w:szCs w:val="20"/>
                <w:color w:val="auto"/>
              </w:rPr>
            </w:pPr>
            <w:r>
              <w:rPr>
                <w:rFonts w:ascii="Arial" w:cs="Arial" w:eastAsia="Arial" w:hAnsi="Arial"/>
                <w:sz w:val="15"/>
                <w:szCs w:val="15"/>
                <w:color w:val="auto"/>
              </w:rPr>
              <w:t>Trade excluding joint ventures, less allowance for doubtful accounts of $65,000 at May 31, 2020 and August 31, 2019</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7,544,886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9,779,518</w:t>
            </w:r>
          </w:p>
        </w:tc>
      </w:tr>
      <w:tr>
        <w:trPr>
          <w:trHeight w:val="183"/>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Trade joint ventures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857,377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824,473</w:t>
            </w:r>
          </w:p>
        </w:tc>
      </w:tr>
      <w:tr>
        <w:trPr>
          <w:trHeight w:val="183"/>
        </w:trPr>
        <w:tc>
          <w:tcPr>
            <w:tcW w:w="8440" w:type="dxa"/>
            <w:vAlign w:val="bottom"/>
            <w:gridSpan w:val="2"/>
          </w:tcPr>
          <w:p>
            <w:pPr>
              <w:ind w:left="440"/>
              <w:spacing w:after="0"/>
              <w:rPr>
                <w:sz w:val="20"/>
                <w:szCs w:val="20"/>
                <w:color w:val="auto"/>
              </w:rPr>
            </w:pPr>
            <w:r>
              <w:rPr>
                <w:rFonts w:ascii="Arial" w:cs="Arial" w:eastAsia="Arial" w:hAnsi="Arial"/>
                <w:sz w:val="15"/>
                <w:szCs w:val="15"/>
                <w:color w:val="auto"/>
              </w:rPr>
              <w:t>Fees for services provided to joint ventures</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876,120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1,268,000</w:t>
            </w:r>
          </w:p>
        </w:tc>
      </w:tr>
      <w:tr>
        <w:trPr>
          <w:trHeight w:val="183"/>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Income taxes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48,861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457,018</w:t>
            </w:r>
          </w:p>
        </w:tc>
      </w:tr>
      <w:tr>
        <w:trPr>
          <w:trHeight w:val="183"/>
        </w:trPr>
        <w:tc>
          <w:tcPr>
            <w:tcW w:w="1080" w:type="dxa"/>
            <w:vAlign w:val="bottom"/>
          </w:tcPr>
          <w:p>
            <w:pPr>
              <w:ind w:left="300"/>
              <w:spacing w:after="0"/>
              <w:rPr>
                <w:sz w:val="20"/>
                <w:szCs w:val="20"/>
                <w:color w:val="auto"/>
              </w:rPr>
            </w:pPr>
            <w:r>
              <w:rPr>
                <w:rFonts w:ascii="Arial" w:cs="Arial" w:eastAsia="Arial" w:hAnsi="Arial"/>
                <w:sz w:val="15"/>
                <w:szCs w:val="15"/>
                <w:color w:val="auto"/>
              </w:rPr>
              <w:t>Inventories</w:t>
            </w:r>
          </w:p>
        </w:tc>
        <w:tc>
          <w:tcPr>
            <w:tcW w:w="7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12,080,765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10,488,728</w:t>
            </w:r>
          </w:p>
        </w:tc>
      </w:tr>
      <w:tr>
        <w:trPr>
          <w:trHeight w:val="194"/>
        </w:trPr>
        <w:tc>
          <w:tcPr>
            <w:tcW w:w="84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Prepaid expenses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696,010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1,062,609</w:t>
            </w:r>
          </w:p>
        </w:tc>
      </w:tr>
      <w:tr>
        <w:trPr>
          <w:trHeight w:val="174"/>
        </w:trPr>
        <w:tc>
          <w:tcPr>
            <w:tcW w:w="8440" w:type="dxa"/>
            <w:vAlign w:val="bottom"/>
            <w:tcBorders>
              <w:bottom w:val="single" w:sz="8" w:color="CCEEFF"/>
            </w:tcBorders>
            <w:gridSpan w:val="2"/>
          </w:tcPr>
          <w:p>
            <w:pPr>
              <w:ind w:left="760"/>
              <w:spacing w:after="0"/>
              <w:rPr>
                <w:sz w:val="20"/>
                <w:szCs w:val="20"/>
                <w:color w:val="auto"/>
              </w:rPr>
            </w:pPr>
            <w:r>
              <w:rPr>
                <w:rFonts w:ascii="Arial" w:cs="Arial" w:eastAsia="Arial" w:hAnsi="Arial"/>
                <w:sz w:val="15"/>
                <w:szCs w:val="15"/>
                <w:color w:val="auto"/>
              </w:rPr>
              <w:t>Total current assets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32,605,434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33,302,362</w:t>
            </w:r>
          </w:p>
        </w:tc>
      </w:tr>
      <w:tr>
        <w:trPr>
          <w:trHeight w:val="174"/>
        </w:trPr>
        <w:tc>
          <w:tcPr>
            <w:tcW w:w="1080" w:type="dxa"/>
            <w:vAlign w:val="bottom"/>
            <w:shd w:val="clear" w:color="auto" w:fill="CCEEFF"/>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4"/>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PROPERTY AND EQUIPMENT,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6,963,968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7,358,159</w:t>
            </w:r>
          </w:p>
        </w:tc>
      </w:tr>
      <w:tr>
        <w:trPr>
          <w:trHeight w:val="174"/>
        </w:trPr>
        <w:tc>
          <w:tcPr>
            <w:tcW w:w="1080" w:type="dxa"/>
            <w:vAlign w:val="bottom"/>
            <w:shd w:val="clear" w:color="auto" w:fill="CCEEFF"/>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60"/>
          </w:cols>
          <w:pgMar w:left="320" w:top="605" w:right="319" w:bottom="1440" w:gutter="0" w:footer="0" w:header="0"/>
        </w:sectPr>
      </w:pPr>
    </w:p>
    <w:p>
      <w:pPr>
        <w:ind w:left="140"/>
        <w:spacing w:after="0"/>
        <w:rPr>
          <w:sz w:val="20"/>
          <w:szCs w:val="20"/>
          <w:color w:val="auto"/>
        </w:rPr>
      </w:pPr>
      <w:r>
        <w:rPr>
          <w:rFonts w:ascii="Arial" w:cs="Arial" w:eastAsia="Arial" w:hAnsi="Arial"/>
          <w:sz w:val="15"/>
          <w:szCs w:val="15"/>
          <w:color w:val="auto"/>
        </w:rPr>
        <w:t>OTHER ASSETS: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Investments in joint ventures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Deferred income taxes</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Patents and trademarks, net</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Operating lease right of use asset</w:t>
      </w:r>
    </w:p>
    <w:p>
      <w:pPr>
        <w:spacing w:after="0" w:line="34" w:lineRule="exact"/>
        <w:rPr>
          <w:sz w:val="20"/>
          <w:szCs w:val="20"/>
          <w:color w:val="auto"/>
        </w:rPr>
      </w:pPr>
    </w:p>
    <w:p>
      <w:pPr>
        <w:jc w:val="right"/>
        <w:ind w:right="6220"/>
        <w:spacing w:after="0"/>
        <w:rPr>
          <w:sz w:val="20"/>
          <w:szCs w:val="20"/>
          <w:color w:val="auto"/>
        </w:rPr>
      </w:pPr>
      <w:r>
        <w:rPr>
          <w:rFonts w:ascii="Arial" w:cs="Arial" w:eastAsia="Arial" w:hAnsi="Arial"/>
          <w:sz w:val="15"/>
          <w:szCs w:val="15"/>
          <w:color w:val="auto"/>
        </w:rPr>
        <w:t>Total other assets</w:t>
      </w:r>
    </w:p>
    <w:p>
      <w:pPr>
        <w:spacing w:after="0" w:line="22" w:lineRule="exact"/>
        <w:rPr>
          <w:sz w:val="20"/>
          <w:szCs w:val="20"/>
          <w:color w:val="auto"/>
        </w:rPr>
      </w:pPr>
    </w:p>
    <w:p>
      <w:pPr>
        <w:jc w:val="right"/>
        <w:ind w:right="626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3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21,942,063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24,207,339</w:t>
            </w:r>
          </w:p>
        </w:tc>
      </w:tr>
      <w:tr>
        <w:trPr>
          <w:trHeight w:val="183"/>
        </w:trPr>
        <w:tc>
          <w:tcPr>
            <w:tcW w:w="3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1,728,946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1,634,258</w:t>
            </w:r>
          </w:p>
        </w:tc>
      </w:tr>
      <w:tr>
        <w:trPr>
          <w:trHeight w:val="194"/>
        </w:trPr>
        <w:tc>
          <w:tcPr>
            <w:tcW w:w="320" w:type="dxa"/>
            <w:vAlign w:val="bottom"/>
          </w:tcPr>
          <w:p>
            <w:pPr>
              <w:spacing w:after="0"/>
              <w:rPr>
                <w:sz w:val="16"/>
                <w:szCs w:val="16"/>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839,535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1,008,969</w:t>
            </w:r>
          </w:p>
        </w:tc>
      </w:tr>
      <w:tr>
        <w:trPr>
          <w:trHeight w:val="194"/>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451,188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174"/>
        </w:trPr>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24,961,732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26,850,566</w:t>
            </w:r>
          </w:p>
        </w:tc>
      </w:tr>
      <w:tr>
        <w:trPr>
          <w:trHeight w:val="186"/>
        </w:trPr>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64,531,134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67,511,087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-5364480</wp:posOffset>
            </wp:positionH>
            <wp:positionV relativeFrom="paragraph">
              <wp:posOffset>-747395</wp:posOffset>
            </wp:positionV>
            <wp:extent cx="7153275" cy="116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-514985</wp:posOffset>
            </wp:positionV>
            <wp:extent cx="7153275" cy="11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-275590</wp:posOffset>
            </wp:positionV>
            <wp:extent cx="7153275" cy="12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231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720" w:space="720"/>
            <w:col w:w="2820"/>
          </w:cols>
          <w:pgMar w:left="320" w:top="605" w:right="3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8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3"/>
        </w:trPr>
        <w:tc>
          <w:tcPr>
            <w:tcW w:w="8440" w:type="dxa"/>
            <w:vAlign w:val="bottom"/>
          </w:tcPr>
          <w:p>
            <w:pPr>
              <w:spacing w:after="0"/>
              <w:rPr>
                <w:sz w:val="20"/>
                <w:szCs w:val="20"/>
                <w:color w:val="auto"/>
              </w:rPr>
            </w:pPr>
            <w:r>
              <w:rPr>
                <w:rFonts w:ascii="Arial" w:cs="Arial" w:eastAsia="Arial" w:hAnsi="Arial"/>
                <w:sz w:val="15"/>
                <w:szCs w:val="15"/>
                <w:b w:val="1"/>
                <w:bCs w:val="1"/>
                <w:color w:val="auto"/>
              </w:rPr>
              <w:t>LIABILITIES AND EQUITY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3"/>
        </w:trPr>
        <w:tc>
          <w:tcPr>
            <w:tcW w:w="844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2,348,016</w:t>
            </w:r>
          </w:p>
        </w:tc>
        <w:tc>
          <w:tcPr>
            <w:tcW w:w="120" w:type="dxa"/>
            <w:vAlign w:val="bottom"/>
          </w:tcPr>
          <w:p>
            <w:pPr>
              <w:spacing w:after="0"/>
              <w:rPr>
                <w:sz w:val="15"/>
                <w:szCs w:val="15"/>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4,505,531</w:t>
            </w:r>
          </w:p>
        </w:tc>
      </w:tr>
      <w:tr>
        <w:trPr>
          <w:trHeight w:val="183"/>
        </w:trPr>
        <w:tc>
          <w:tcPr>
            <w:tcW w:w="8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payable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43,580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6,759</w:t>
            </w:r>
          </w:p>
        </w:tc>
      </w:tr>
      <w:tr>
        <w:trPr>
          <w:trHeight w:val="183"/>
        </w:trPr>
        <w:tc>
          <w:tcPr>
            <w:tcW w:w="8440" w:type="dxa"/>
            <w:vAlign w:val="bottom"/>
          </w:tcPr>
          <w:p>
            <w:pPr>
              <w:ind w:left="300"/>
              <w:spacing w:after="0"/>
              <w:rPr>
                <w:sz w:val="20"/>
                <w:szCs w:val="20"/>
                <w:color w:val="auto"/>
              </w:rPr>
            </w:pPr>
            <w:r>
              <w:rPr>
                <w:rFonts w:ascii="Arial" w:cs="Arial" w:eastAsia="Arial" w:hAnsi="Arial"/>
                <w:sz w:val="15"/>
                <w:szCs w:val="15"/>
                <w:color w:val="auto"/>
              </w:rPr>
              <w:t>Accrued liabilities: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8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Payroll and related benefits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1,132,918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1,857,971</w:t>
            </w:r>
          </w:p>
        </w:tc>
      </w:tr>
      <w:tr>
        <w:trPr>
          <w:trHeight w:val="183"/>
        </w:trPr>
        <w:tc>
          <w:tcPr>
            <w:tcW w:w="8440" w:type="dxa"/>
            <w:vAlign w:val="bottom"/>
          </w:tcPr>
          <w:p>
            <w:pPr>
              <w:ind w:left="44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809,028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1,471,532</w:t>
            </w:r>
          </w:p>
        </w:tc>
      </w:tr>
      <w:tr>
        <w:trPr>
          <w:trHeight w:val="194"/>
        </w:trPr>
        <w:tc>
          <w:tcPr>
            <w:tcW w:w="8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Current portion of operating lease</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136,714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174"/>
        </w:trPr>
        <w:tc>
          <w:tcPr>
            <w:tcW w:w="844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current liabilities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4,470,256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7,841,793</w:t>
            </w:r>
          </w:p>
        </w:tc>
      </w:tr>
      <w:tr>
        <w:trPr>
          <w:trHeight w:val="174"/>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LIABILITIES: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4"/>
        </w:trPr>
        <w:tc>
          <w:tcPr>
            <w:tcW w:w="84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Operating lease, less current portion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314,474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174"/>
        </w:trPr>
        <w:tc>
          <w:tcPr>
            <w:tcW w:w="8440" w:type="dxa"/>
            <w:vAlign w:val="bottom"/>
            <w:shd w:val="clear" w:color="auto" w:fill="CCEEFF"/>
          </w:tcPr>
          <w:p>
            <w:pPr>
              <w:ind w:left="760"/>
              <w:spacing w:after="0"/>
              <w:rPr>
                <w:sz w:val="20"/>
                <w:szCs w:val="20"/>
                <w:color w:val="auto"/>
              </w:rPr>
            </w:pPr>
            <w:r>
              <w:rPr>
                <w:rFonts w:ascii="Arial" w:cs="Arial" w:eastAsia="Arial" w:hAnsi="Arial"/>
                <w:sz w:val="15"/>
                <w:szCs w:val="15"/>
                <w:color w:val="auto"/>
              </w:rPr>
              <w:t>Total long-term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314,474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174"/>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COMMITMENTS AND CONTINGENCIES (Note 12)</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3"/>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8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3"/>
        </w:trPr>
        <w:tc>
          <w:tcPr>
            <w:tcW w:w="8440" w:type="dxa"/>
            <w:vAlign w:val="bottom"/>
          </w:tcPr>
          <w:p>
            <w:pPr>
              <w:ind w:left="300"/>
              <w:spacing w:after="0"/>
              <w:rPr>
                <w:sz w:val="20"/>
                <w:szCs w:val="20"/>
                <w:color w:val="auto"/>
              </w:rPr>
            </w:pPr>
            <w:r>
              <w:rPr>
                <w:rFonts w:ascii="Arial" w:cs="Arial" w:eastAsia="Arial" w:hAnsi="Arial"/>
                <w:sz w:val="15"/>
                <w:szCs w:val="15"/>
                <w:color w:val="auto"/>
              </w:rPr>
              <w:t>Preferred stock, no par value; authorized 10,000 shares; none issued and outstanding</w:t>
            </w:r>
          </w:p>
        </w:tc>
        <w:tc>
          <w:tcPr>
            <w:tcW w:w="3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72"/>
        </w:trPr>
        <w:tc>
          <w:tcPr>
            <w:tcW w:w="844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6"/>
              </w:rPr>
              <w:t>Common stock, $0.02 par value per share; authorized 15,000,000 shares as of May 31, 2020 and August 31, 2019; issued and</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4"/>
        </w:trPr>
        <w:tc>
          <w:tcPr>
            <w:tcW w:w="8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outstanding 9,099,990 and 9,086,816, respectively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182,000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181,736</w:t>
            </w:r>
          </w:p>
        </w:tc>
      </w:tr>
      <w:tr>
        <w:trPr>
          <w:trHeight w:val="183"/>
        </w:trPr>
        <w:tc>
          <w:tcPr>
            <w:tcW w:w="8440" w:type="dxa"/>
            <w:vAlign w:val="bottom"/>
          </w:tcPr>
          <w:p>
            <w:pPr>
              <w:ind w:left="300"/>
              <w:spacing w:after="0"/>
              <w:rPr>
                <w:sz w:val="20"/>
                <w:szCs w:val="20"/>
                <w:color w:val="auto"/>
              </w:rPr>
            </w:pPr>
            <w:r>
              <w:rPr>
                <w:rFonts w:ascii="Arial" w:cs="Arial" w:eastAsia="Arial" w:hAnsi="Arial"/>
                <w:sz w:val="15"/>
                <w:szCs w:val="15"/>
                <w:color w:val="auto"/>
              </w:rPr>
              <w:t>Additional paid-in capital</w:t>
            </w:r>
          </w:p>
        </w:tc>
        <w:tc>
          <w:tcPr>
            <w:tcW w:w="3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17,075,391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16,013,338</w:t>
            </w:r>
          </w:p>
        </w:tc>
      </w:tr>
      <w:tr>
        <w:trPr>
          <w:trHeight w:val="183"/>
        </w:trPr>
        <w:tc>
          <w:tcPr>
            <w:tcW w:w="8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Retained earnings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44,237,682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44,992,719</w:t>
            </w:r>
          </w:p>
        </w:tc>
      </w:tr>
      <w:tr>
        <w:trPr>
          <w:trHeight w:val="194"/>
        </w:trPr>
        <w:tc>
          <w:tcPr>
            <w:tcW w:w="84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(4,829,337)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(4,593,178)</w:t>
            </w:r>
          </w:p>
        </w:tc>
      </w:tr>
      <w:tr>
        <w:trPr>
          <w:trHeight w:val="174"/>
        </w:trPr>
        <w:tc>
          <w:tcPr>
            <w:tcW w:w="84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Stockholders’ equity</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56,665,736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56,594,615</w:t>
            </w:r>
          </w:p>
        </w:tc>
      </w:tr>
      <w:tr>
        <w:trPr>
          <w:trHeight w:val="194"/>
        </w:trPr>
        <w:tc>
          <w:tcPr>
            <w:tcW w:w="84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3,080,668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3,074,679</w:t>
            </w:r>
          </w:p>
        </w:tc>
      </w:tr>
      <w:tr>
        <w:trPr>
          <w:trHeight w:val="174"/>
        </w:trPr>
        <w:tc>
          <w:tcPr>
            <w:tcW w:w="84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equity</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59,746,404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59,669,294</w:t>
            </w:r>
          </w:p>
        </w:tc>
      </w:tr>
      <w:tr>
        <w:trPr>
          <w:trHeight w:val="186"/>
        </w:trPr>
        <w:tc>
          <w:tcPr>
            <w:tcW w:w="8440" w:type="dxa"/>
            <w:vAlign w:val="bottom"/>
          </w:tcPr>
          <w:p>
            <w:pPr>
              <w:ind w:left="600"/>
              <w:spacing w:after="0"/>
              <w:rPr>
                <w:sz w:val="20"/>
                <w:szCs w:val="20"/>
                <w:color w:val="auto"/>
              </w:rPr>
            </w:pPr>
            <w:r>
              <w:rPr>
                <w:rFonts w:ascii="Arial" w:cs="Arial" w:eastAsia="Arial" w:hAnsi="Arial"/>
                <w:sz w:val="15"/>
                <w:szCs w:val="15"/>
                <w:color w:val="auto"/>
              </w:rPr>
              <w:t>Total liabilities and equity</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64,531,134</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67,511,087</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*Share and per share data have been adjusted for all periods presented to reflect the two-for-one stock split effective June 28, 2019.</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notes to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type w:val="continuous"/>
        </w:sectPr>
      </w:pPr>
    </w:p>
    <w:bookmarkStart w:id="4" w:name="page5"/>
    <w:bookmarkEnd w:id="4"/>
    <w:p>
      <w:pPr>
        <w:ind w:right="5120"/>
        <w:spacing w:after="0" w:line="272" w:lineRule="auto"/>
        <w:rPr>
          <w:sz w:val="20"/>
          <w:szCs w:val="20"/>
          <w:color w:val="auto"/>
        </w:rPr>
      </w:pPr>
      <w:r>
        <w:rPr>
          <w:rFonts w:ascii="Arial" w:cs="Arial" w:eastAsia="Arial" w:hAnsi="Arial"/>
          <w:sz w:val="15"/>
          <w:szCs w:val="15"/>
          <w:b w:val="1"/>
          <w:bCs w:val="1"/>
          <w:color w:val="auto"/>
        </w:rPr>
        <w:t>NORTHERN TECHNOLOGIES INTERNATIONAL CORPORATION AND SUBSIDIARIES CONSOLIDATED STATEMENTS OF OPERATIONS (UNAUDITED) FOR THE THREE AND NINE MONTHS ENDED MAY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532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8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b w:val="1"/>
                <w:bCs w:val="1"/>
                <w:color w:val="auto"/>
              </w:rPr>
              <w:t>May 31, 2019</w:t>
            </w:r>
          </w:p>
        </w:tc>
        <w:tc>
          <w:tcPr>
            <w:tcW w:w="160" w:type="dxa"/>
            <w:vAlign w:val="bottom"/>
          </w:tcPr>
          <w:p>
            <w:pPr>
              <w:spacing w:after="0"/>
              <w:rPr>
                <w:sz w:val="20"/>
                <w:szCs w:val="20"/>
                <w:color w:val="auto"/>
              </w:rPr>
            </w:pPr>
          </w:p>
        </w:tc>
        <w:tc>
          <w:tcPr>
            <w:tcW w:w="1200" w:type="dxa"/>
            <w:vAlign w:val="bottom"/>
          </w:tcPr>
          <w:p>
            <w:pPr>
              <w:jc w:val="right"/>
              <w:ind w:right="16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64"/>
              <w:spacing w:after="0"/>
              <w:rPr>
                <w:sz w:val="20"/>
                <w:szCs w:val="20"/>
                <w:color w:val="auto"/>
              </w:rPr>
            </w:pPr>
            <w:r>
              <w:rPr>
                <w:rFonts w:ascii="Arial" w:cs="Arial" w:eastAsia="Arial" w:hAnsi="Arial"/>
                <w:sz w:val="15"/>
                <w:szCs w:val="15"/>
                <w:b w:val="1"/>
                <w:bCs w:val="1"/>
                <w:color w:val="auto"/>
              </w:rPr>
              <w:t>May 31, 2019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5"/>
                <w:szCs w:val="15"/>
                <w:color w:val="auto"/>
              </w:rPr>
              <w:t>NET SALES:</w:t>
            </w: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Net sales, excluding joint ventures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9,071,072</w:t>
            </w:r>
          </w:p>
        </w:tc>
        <w:tc>
          <w:tcPr>
            <w:tcW w:w="28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13,780,804</w:t>
            </w:r>
          </w:p>
        </w:tc>
        <w:tc>
          <w:tcPr>
            <w:tcW w:w="10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36,105,009</w:t>
            </w:r>
          </w:p>
        </w:tc>
        <w:tc>
          <w:tcPr>
            <w:tcW w:w="26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39,998,118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sales, to joint ventures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673,751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1,112,313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1,504,997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2,304,455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ind w:left="280"/>
              <w:spacing w:after="0"/>
              <w:rPr>
                <w:sz w:val="20"/>
                <w:szCs w:val="20"/>
                <w:color w:val="auto"/>
              </w:rPr>
            </w:pPr>
            <w:r>
              <w:rPr>
                <w:rFonts w:ascii="Arial" w:cs="Arial" w:eastAsia="Arial" w:hAnsi="Arial"/>
                <w:sz w:val="15"/>
                <w:szCs w:val="15"/>
                <w:color w:val="auto"/>
              </w:rPr>
              <w:t>Total net sales</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9,744,823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14,893,117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37,610,006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42,302,573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goods sold</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6,499,102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10,138,353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24,991,487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28,883,589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ind w:left="280"/>
              <w:spacing w:after="0"/>
              <w:rPr>
                <w:sz w:val="20"/>
                <w:szCs w:val="20"/>
                <w:color w:val="auto"/>
              </w:rPr>
            </w:pPr>
            <w:r>
              <w:rPr>
                <w:rFonts w:ascii="Arial" w:cs="Arial" w:eastAsia="Arial" w:hAnsi="Arial"/>
                <w:sz w:val="15"/>
                <w:szCs w:val="15"/>
                <w:color w:val="auto"/>
              </w:rPr>
              <w:t>Gross profit</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3,245,721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4,754,764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12,618,519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13,418,984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JOINT VENTURE OPERATIONS: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Equity in income from joint ventures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811,787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1,877,410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3,466,581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5,596,788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Fees for services provided to joint ventures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876,706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1,433,823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3,491,244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4,299,032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joint venture operations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1,688,493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3,311,233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6,957,825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9,895,820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tcPr>
          <w:p>
            <w:pPr>
              <w:ind w:left="120"/>
              <w:spacing w:after="0"/>
              <w:rPr>
                <w:sz w:val="20"/>
                <w:szCs w:val="20"/>
                <w:color w:val="auto"/>
              </w:rPr>
            </w:pPr>
            <w:r>
              <w:rPr>
                <w:rFonts w:ascii="Arial" w:cs="Arial" w:eastAsia="Arial" w:hAnsi="Arial"/>
                <w:sz w:val="15"/>
                <w:szCs w:val="15"/>
                <w:color w:val="auto"/>
              </w:rPr>
              <w:t>Selling expenses</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2,487,396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2,761,488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8,484,928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8,077,663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General and administrative expenses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2,213,552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2,527,192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6,608,352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6,986,526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Research and development expenses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950,127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1,005,045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2,918,163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2,804,739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operating expenses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5,651,075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6,293,725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18,011,443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17,868,928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OPERATING (LOSS) INCOME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(716,861)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1,772,272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1,564,901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5,445,876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INCOME</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(73,738)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18,949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15,881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40,666</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(LOSS) INCOME BEFORE INCOME TAX EXPENSE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(790,239)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1,791,221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1,580,782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5,486,542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142,285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150,257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869,945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652,331</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1,640,964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710,837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4,834,211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NET INCOME ATTRIBUTABLE TO NON-</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32,697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158,815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283,674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453,435</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 ATTRIBUTABLE TO NTIC</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(965,221)</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1,482,149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427,163</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4,380,776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 ATTRIBUTABLE TO NTIC PER COMMON SHARE: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00" w:type="dxa"/>
            <w:vAlign w:val="bottom"/>
          </w:tcPr>
          <w:p>
            <w:pPr>
              <w:ind w:left="580"/>
              <w:spacing w:after="0"/>
              <w:rPr>
                <w:sz w:val="20"/>
                <w:szCs w:val="20"/>
                <w:color w:val="auto"/>
              </w:rPr>
            </w:pPr>
            <w:r>
              <w:rPr>
                <w:rFonts w:ascii="Arial" w:cs="Arial" w:eastAsia="Arial" w:hAnsi="Arial"/>
                <w:sz w:val="15"/>
                <w:szCs w:val="15"/>
                <w:color w:val="auto"/>
              </w:rPr>
              <w:t>Basic</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(0.11)</w:t>
            </w:r>
          </w:p>
        </w:tc>
        <w:tc>
          <w:tcPr>
            <w:tcW w:w="28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0.05</w:t>
            </w:r>
          </w:p>
        </w:tc>
        <w:tc>
          <w:tcPr>
            <w:tcW w:w="26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Borders>
              <w:top w:val="single" w:sz="8" w:color="CCEEFF"/>
              <w:bottom w:val="single" w:sz="8" w:color="CCEEFF"/>
            </w:tcBorders>
            <w:shd w:val="clear" w:color="auto" w:fill="CCEEFF"/>
          </w:tcPr>
          <w:p>
            <w:pPr>
              <w:ind w:left="580"/>
              <w:spacing w:after="0" w:line="154" w:lineRule="exact"/>
              <w:rPr>
                <w:sz w:val="20"/>
                <w:szCs w:val="20"/>
                <w:color w:val="auto"/>
              </w:rPr>
            </w:pPr>
            <w:r>
              <w:rPr>
                <w:rFonts w:ascii="Arial" w:cs="Arial" w:eastAsia="Arial" w:hAnsi="Arial"/>
                <w:sz w:val="15"/>
                <w:szCs w:val="15"/>
                <w:color w:val="auto"/>
              </w:rPr>
              <w:t>Diluted</w:t>
            </w:r>
          </w:p>
        </w:tc>
        <w:tc>
          <w:tcPr>
            <w:tcW w:w="160" w:type="dxa"/>
            <w:vAlign w:val="bottom"/>
            <w:tcBorders>
              <w:top w:val="single" w:sz="8" w:color="auto"/>
              <w:bottom w:val="single" w:sz="8" w:color="auto"/>
            </w:tcBorders>
            <w:shd w:val="clear" w:color="auto" w:fill="CCEEFF"/>
          </w:tcPr>
          <w:p>
            <w:pPr>
              <w:jc w:val="right"/>
              <w:ind w:right="4"/>
              <w:spacing w:after="0" w:line="157"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(0.11)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ind w:right="44"/>
              <w:spacing w:after="0" w:line="157" w:lineRule="exact"/>
              <w:rPr>
                <w:sz w:val="20"/>
                <w:szCs w:val="20"/>
                <w:color w:val="auto"/>
              </w:rPr>
            </w:pPr>
            <w:r>
              <w:rPr>
                <w:rFonts w:ascii="Arial" w:cs="Arial" w:eastAsia="Arial" w:hAnsi="Arial"/>
                <w:sz w:val="15"/>
                <w:szCs w:val="15"/>
                <w:color w:val="auto"/>
              </w:rPr>
              <w:t>0.16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
              <w:spacing w:after="0" w:line="157"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ind w:right="24"/>
              <w:spacing w:after="0" w:line="157" w:lineRule="exact"/>
              <w:rPr>
                <w:sz w:val="20"/>
                <w:szCs w:val="20"/>
                <w:color w:val="auto"/>
              </w:rPr>
            </w:pPr>
            <w:r>
              <w:rPr>
                <w:rFonts w:ascii="Arial" w:cs="Arial" w:eastAsia="Arial" w:hAnsi="Arial"/>
                <w:sz w:val="15"/>
                <w:szCs w:val="15"/>
                <w:color w:val="auto"/>
              </w:rPr>
              <w:t>0.05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
              <w:spacing w:after="0" w:line="157"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ind w:right="24"/>
              <w:spacing w:after="0" w:line="157" w:lineRule="exact"/>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COMMON SHARES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ASSUMED OUTSTANDING:</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Basic</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9,099,990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9,084,354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9,096,981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9,085,584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580"/>
              <w:spacing w:after="0"/>
              <w:rPr>
                <w:sz w:val="20"/>
                <w:szCs w:val="20"/>
                <w:color w:val="auto"/>
              </w:rPr>
            </w:pPr>
            <w:r>
              <w:rPr>
                <w:rFonts w:ascii="Arial" w:cs="Arial" w:eastAsia="Arial" w:hAnsi="Arial"/>
                <w:sz w:val="15"/>
                <w:szCs w:val="15"/>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
              <w:spacing w:after="0" w:line="157" w:lineRule="exact"/>
              <w:rPr>
                <w:sz w:val="20"/>
                <w:szCs w:val="20"/>
                <w:color w:val="auto"/>
              </w:rPr>
            </w:pPr>
            <w:r>
              <w:rPr>
                <w:rFonts w:ascii="Arial" w:cs="Arial" w:eastAsia="Arial" w:hAnsi="Arial"/>
                <w:sz w:val="15"/>
                <w:szCs w:val="15"/>
                <w:color w:val="auto"/>
              </w:rPr>
              <w:t>9,099,990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
              <w:spacing w:after="0" w:line="157" w:lineRule="exact"/>
              <w:rPr>
                <w:sz w:val="20"/>
                <w:szCs w:val="20"/>
                <w:color w:val="auto"/>
              </w:rPr>
            </w:pPr>
            <w:r>
              <w:rPr>
                <w:rFonts w:ascii="Arial" w:cs="Arial" w:eastAsia="Arial" w:hAnsi="Arial"/>
                <w:sz w:val="15"/>
                <w:szCs w:val="15"/>
                <w:color w:val="auto"/>
              </w:rPr>
              <w:t>9,392,444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line="157" w:lineRule="exact"/>
              <w:rPr>
                <w:sz w:val="20"/>
                <w:szCs w:val="20"/>
                <w:color w:val="auto"/>
              </w:rPr>
            </w:pPr>
            <w:r>
              <w:rPr>
                <w:rFonts w:ascii="Arial" w:cs="Arial" w:eastAsia="Arial" w:hAnsi="Arial"/>
                <w:sz w:val="15"/>
                <w:szCs w:val="15"/>
                <w:color w:val="auto"/>
              </w:rPr>
              <w:t>9,312,914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
              <w:spacing w:after="0" w:line="157" w:lineRule="exact"/>
              <w:rPr>
                <w:sz w:val="20"/>
                <w:szCs w:val="20"/>
                <w:color w:val="auto"/>
              </w:rPr>
            </w:pPr>
            <w:r>
              <w:rPr>
                <w:rFonts w:ascii="Arial" w:cs="Arial" w:eastAsia="Arial" w:hAnsi="Arial"/>
                <w:sz w:val="15"/>
                <w:szCs w:val="15"/>
                <w:color w:val="auto"/>
              </w:rPr>
              <w:t>9,440,858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5"/>
                <w:szCs w:val="15"/>
                <w:color w:val="auto"/>
              </w:rPr>
              <w:t>CASH DIVIDENDS DECLARED PER COMMON SHARE</w:t>
            </w:r>
          </w:p>
        </w:tc>
        <w:tc>
          <w:tcPr>
            <w:tcW w:w="160" w:type="dxa"/>
            <w:vAlign w:val="bottom"/>
            <w:tcBorders>
              <w:bottom w:val="single" w:sz="8" w:color="auto"/>
            </w:tcBorders>
            <w:shd w:val="clear" w:color="auto" w:fill="CCEEFF"/>
          </w:tcPr>
          <w:p>
            <w:pPr>
              <w:jc w:val="right"/>
              <w:ind w:right="4"/>
              <w:spacing w:after="0" w:line="157"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44"/>
              <w:spacing w:after="0" w:line="157" w:lineRule="exact"/>
              <w:rPr>
                <w:sz w:val="20"/>
                <w:szCs w:val="20"/>
                <w:color w:val="auto"/>
              </w:rPr>
            </w:pPr>
            <w:r>
              <w:rPr>
                <w:rFonts w:ascii="Arial" w:cs="Arial" w:eastAsia="Arial" w:hAnsi="Arial"/>
                <w:sz w:val="15"/>
                <w:szCs w:val="15"/>
                <w:color w:val="auto"/>
              </w:rPr>
              <w:t>0.00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44"/>
              <w:spacing w:after="0" w:line="157" w:lineRule="exact"/>
              <w:rPr>
                <w:sz w:val="20"/>
                <w:szCs w:val="20"/>
                <w:color w:val="auto"/>
              </w:rPr>
            </w:pPr>
            <w:r>
              <w:rPr>
                <w:rFonts w:ascii="Arial" w:cs="Arial" w:eastAsia="Arial" w:hAnsi="Arial"/>
                <w:sz w:val="15"/>
                <w:szCs w:val="15"/>
                <w:color w:val="auto"/>
              </w:rPr>
              <w:t>0.06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7"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24"/>
              <w:spacing w:after="0" w:line="157" w:lineRule="exact"/>
              <w:rPr>
                <w:sz w:val="20"/>
                <w:szCs w:val="20"/>
                <w:color w:val="auto"/>
              </w:rPr>
            </w:pPr>
            <w:r>
              <w:rPr>
                <w:rFonts w:ascii="Arial" w:cs="Arial" w:eastAsia="Arial" w:hAnsi="Arial"/>
                <w:sz w:val="15"/>
                <w:szCs w:val="15"/>
                <w:color w:val="auto"/>
              </w:rPr>
              <w:t>0.13</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7"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24"/>
              <w:spacing w:after="0" w:line="157" w:lineRule="exact"/>
              <w:rPr>
                <w:sz w:val="20"/>
                <w:szCs w:val="20"/>
                <w:color w:val="auto"/>
              </w:rPr>
            </w:pPr>
            <w:r>
              <w:rPr>
                <w:rFonts w:ascii="Arial" w:cs="Arial" w:eastAsia="Arial" w:hAnsi="Arial"/>
                <w:sz w:val="15"/>
                <w:szCs w:val="15"/>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*Share and per share data have been adjusted for all periods presented to reflect the two-for-one stock split effective June 28, 2019.</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See notes to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5" w:name="page6"/>
    <w:bookmarkEnd w:id="5"/>
    <w:p>
      <w:pPr>
        <w:ind w:right="5120"/>
        <w:spacing w:after="0" w:line="272" w:lineRule="auto"/>
        <w:rPr>
          <w:sz w:val="20"/>
          <w:szCs w:val="20"/>
          <w:color w:val="auto"/>
        </w:rPr>
      </w:pPr>
      <w:r>
        <w:rPr>
          <w:rFonts w:ascii="Arial" w:cs="Arial" w:eastAsia="Arial" w:hAnsi="Arial"/>
          <w:sz w:val="15"/>
          <w:szCs w:val="15"/>
          <w:b w:val="1"/>
          <w:bCs w:val="1"/>
          <w:color w:val="auto"/>
        </w:rPr>
        <w:t>NORTHERN TECHNOLOGIES INTERNATIONAL CORPORATION AND SUBSIDIARIES CONSOLIDATED STATEMENTS OF COMPREHENSIVE INCOME (UNAUDITED) FOR THE THREE AND NINE MONTHS ENDED MAY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532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p>
      <w:pPr>
        <w:spacing w:after="0" w:line="191"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15875</wp:posOffset>
            </wp:positionV>
            <wp:extent cx="18008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6985"/>
                    </a:xfrm>
                    <a:prstGeom prst="rect">
                      <a:avLst/>
                    </a:prstGeom>
                    <a:noFill/>
                  </pic:spPr>
                </pic:pic>
              </a:graphicData>
            </a:graphic>
          </wp:anchor>
        </w:drawing>
      </w:r>
    </w:p>
    <w:p>
      <w:pPr>
        <w:spacing w:after="0" w:line="36" w:lineRule="exact"/>
        <w:rPr>
          <w:sz w:val="20"/>
          <w:szCs w:val="20"/>
          <w:color w:val="auto"/>
        </w:rPr>
      </w:pPr>
    </w:p>
    <w:p>
      <w:pPr>
        <w:ind w:left="5900"/>
        <w:spacing w:after="0"/>
        <w:tabs>
          <w:tab w:leader="none" w:pos="7340" w:val="left"/>
        </w:tabs>
        <w:rPr>
          <w:sz w:val="20"/>
          <w:szCs w:val="20"/>
          <w:color w:val="auto"/>
        </w:rPr>
      </w:pPr>
      <w:r>
        <w:rPr>
          <w:rFonts w:ascii="Arial" w:cs="Arial" w:eastAsia="Arial" w:hAnsi="Arial"/>
          <w:sz w:val="15"/>
          <w:szCs w:val="15"/>
          <w:b w:val="1"/>
          <w:bCs w:val="1"/>
          <w:color w:val="auto"/>
        </w:rPr>
        <w:t>May 31, 2020</w:t>
      </w:r>
      <w:r>
        <w:rPr>
          <w:sz w:val="20"/>
          <w:szCs w:val="20"/>
          <w:color w:val="auto"/>
        </w:rPr>
        <w:tab/>
      </w:r>
      <w:r>
        <w:rPr>
          <w:rFonts w:ascii="Arial" w:cs="Arial" w:eastAsia="Arial" w:hAnsi="Arial"/>
          <w:sz w:val="14"/>
          <w:szCs w:val="14"/>
          <w:b w:val="1"/>
          <w:bCs w:val="1"/>
          <w:color w:val="auto"/>
        </w:rPr>
        <w:t>May 31, 2019</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15875</wp:posOffset>
            </wp:positionV>
            <wp:extent cx="17722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2285" cy="6985"/>
                    </a:xfrm>
                    <a:prstGeom prst="rect">
                      <a:avLst/>
                    </a:prstGeom>
                    <a:noFill/>
                  </pic:spPr>
                </pic:pic>
              </a:graphicData>
            </a:graphic>
          </wp:anchor>
        </w:drawing>
      </w:r>
    </w:p>
    <w:p>
      <w:pPr>
        <w:spacing w:after="0" w:line="36"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b w:val="1"/>
          <w:bCs w:val="1"/>
          <w:color w:val="auto"/>
        </w:rPr>
        <w:t>May 31, 2020</w:t>
      </w:r>
      <w:r>
        <w:rPr>
          <w:sz w:val="20"/>
          <w:szCs w:val="20"/>
          <w:color w:val="auto"/>
        </w:rPr>
        <w:tab/>
      </w:r>
      <w:r>
        <w:rPr>
          <w:rFonts w:ascii="Arial" w:cs="Arial" w:eastAsia="Arial" w:hAnsi="Arial"/>
          <w:sz w:val="14"/>
          <w:szCs w:val="14"/>
          <w:b w:val="1"/>
          <w:bCs w:val="1"/>
          <w:color w:val="auto"/>
        </w:rPr>
        <w:t>May 31, 2019</w:t>
      </w:r>
    </w:p>
    <w:p>
      <w:pPr>
        <w:spacing w:after="0" w:line="25" w:lineRule="exact"/>
        <w:rPr>
          <w:sz w:val="20"/>
          <w:szCs w:val="20"/>
          <w:color w:val="auto"/>
        </w:rPr>
      </w:pPr>
    </w:p>
    <w:p>
      <w:pPr>
        <w:sectPr>
          <w:pgSz w:w="11900" w:h="16838" w:orient="portrait"/>
          <w:cols w:equalWidth="0" w:num="2">
            <w:col w:w="8240" w:space="600"/>
            <w:col w:w="2420"/>
          </w:cols>
          <w:pgMar w:left="320" w:top="788" w:right="31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(932,524)</w:t>
            </w:r>
          </w:p>
        </w:tc>
        <w:tc>
          <w:tcPr>
            <w:tcW w:w="4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1,640,964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710,837</w:t>
            </w: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4,834,211</w:t>
            </w:r>
          </w:p>
        </w:tc>
      </w:tr>
      <w:tr>
        <w:trPr>
          <w:trHeight w:val="172"/>
        </w:trPr>
        <w:tc>
          <w:tcPr>
            <w:tcW w:w="5520" w:type="dxa"/>
            <w:vAlign w:val="bottom"/>
          </w:tcPr>
          <w:p>
            <w:pPr>
              <w:spacing w:after="0"/>
              <w:rPr>
                <w:sz w:val="20"/>
                <w:szCs w:val="20"/>
                <w:color w:val="auto"/>
              </w:rPr>
            </w:pPr>
            <w:r>
              <w:rPr>
                <w:rFonts w:ascii="Arial" w:cs="Arial" w:eastAsia="Arial" w:hAnsi="Arial"/>
                <w:sz w:val="15"/>
                <w:szCs w:val="15"/>
                <w:color w:val="auto"/>
              </w:rPr>
              <w:t>OTHER COMPREHENSIVE INCOME (LOSS) – FOREIGN CURRENCY</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4"/>
        </w:trPr>
        <w:tc>
          <w:tcPr>
            <w:tcW w:w="5520" w:type="dxa"/>
            <w:vAlign w:val="bottom"/>
          </w:tcPr>
          <w:p>
            <w:pPr>
              <w:ind w:left="140"/>
              <w:spacing w:after="0"/>
              <w:rPr>
                <w:sz w:val="20"/>
                <w:szCs w:val="20"/>
                <w:color w:val="auto"/>
              </w:rPr>
            </w:pPr>
            <w:r>
              <w:rPr>
                <w:rFonts w:ascii="Arial" w:cs="Arial" w:eastAsia="Arial" w:hAnsi="Arial"/>
                <w:sz w:val="15"/>
                <w:szCs w:val="15"/>
                <w:color w:val="auto"/>
              </w:rPr>
              <w:t>TRANSLATION ADJUSTMENT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(281,177)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(493,488)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(313,844)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(596,468)</w:t>
            </w:r>
          </w:p>
        </w:tc>
      </w:tr>
      <w:tr>
        <w:trPr>
          <w:trHeight w:val="194"/>
        </w:trPr>
        <w:tc>
          <w:tcPr>
            <w:tcW w:w="55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r>
      <w:tr>
        <w:trPr>
          <w:trHeight w:val="174"/>
        </w:trPr>
        <w:tc>
          <w:tcPr>
            <w:tcW w:w="5520" w:type="dxa"/>
            <w:vAlign w:val="bottom"/>
          </w:tcPr>
          <w:p>
            <w:pPr>
              <w:spacing w:after="0"/>
              <w:rPr>
                <w:sz w:val="20"/>
                <w:szCs w:val="20"/>
                <w:color w:val="auto"/>
              </w:rPr>
            </w:pPr>
            <w:r>
              <w:rPr>
                <w:rFonts w:ascii="Arial" w:cs="Arial" w:eastAsia="Arial" w:hAnsi="Arial"/>
                <w:sz w:val="15"/>
                <w:szCs w:val="15"/>
                <w:color w:val="auto"/>
              </w:rPr>
              <w:t>COMPREHENSIVE (LOSS) INCOME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(1,213,701)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1,147,476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396,993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4,237,743</w:t>
            </w:r>
          </w:p>
        </w:tc>
      </w:tr>
      <w:tr>
        <w:trPr>
          <w:trHeight w:val="172"/>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 INCOME ATTRIBUTABLE TO NON- CONTROLLING</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5"/>
        </w:trPr>
        <w:tc>
          <w:tcPr>
            <w:tcW w:w="5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(21,492)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129,541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205,989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466,240</w:t>
            </w:r>
          </w:p>
        </w:tc>
      </w:tr>
      <w:tr>
        <w:trPr>
          <w:trHeight w:val="186"/>
        </w:trPr>
        <w:tc>
          <w:tcPr>
            <w:tcW w:w="5520" w:type="dxa"/>
            <w:vAlign w:val="bottom"/>
          </w:tcPr>
          <w:p>
            <w:pPr>
              <w:spacing w:after="0"/>
              <w:rPr>
                <w:sz w:val="20"/>
                <w:szCs w:val="20"/>
                <w:color w:val="auto"/>
              </w:rPr>
            </w:pPr>
            <w:r>
              <w:rPr>
                <w:rFonts w:ascii="Arial" w:cs="Arial" w:eastAsia="Arial" w:hAnsi="Arial"/>
                <w:sz w:val="15"/>
                <w:szCs w:val="15"/>
                <w:color w:val="auto"/>
              </w:rPr>
              <w:t>COMPREHENSIVE (LOSS) INCOME ATTRIBUTABLE TO NTIC</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(1,192,209)</w:t>
            </w: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1,017,935</w:t>
            </w:r>
          </w:p>
        </w:tc>
        <w:tc>
          <w:tcPr>
            <w:tcW w:w="100" w:type="dxa"/>
            <w:vAlign w:val="bottom"/>
          </w:tcPr>
          <w:p>
            <w:pPr>
              <w:spacing w:after="0"/>
              <w:rPr>
                <w:sz w:val="16"/>
                <w:szCs w:val="16"/>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191,004</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3,771,503</w:t>
            </w: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5"/>
          <w:szCs w:val="15"/>
          <w:b w:val="1"/>
          <w:bCs w:val="1"/>
          <w:color w:val="auto"/>
        </w:rPr>
        <w:t>NORTHERN TECHNOLOGIES INTERNATIONAL CORPORATION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EQUITY (UNAUDITED)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THREE AND SIX MONTHS ENDED MAY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532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00" w:type="dxa"/>
            <w:vAlign w:val="bottom"/>
            <w:gridSpan w:val="2"/>
          </w:tcPr>
          <w:p>
            <w:pPr>
              <w:spacing w:after="0"/>
              <w:rPr>
                <w:sz w:val="20"/>
                <w:szCs w:val="20"/>
                <w:color w:val="auto"/>
              </w:rPr>
            </w:pPr>
            <w:r>
              <w:rPr>
                <w:rFonts w:ascii="Arial" w:cs="Arial" w:eastAsia="Arial" w:hAnsi="Arial"/>
                <w:sz w:val="15"/>
                <w:szCs w:val="15"/>
                <w:b w:val="1"/>
                <w:bCs w:val="1"/>
                <w:color w:val="FFFFFF"/>
              </w:rPr>
              <w:t>.</w:t>
            </w:r>
          </w:p>
        </w:tc>
        <w:tc>
          <w:tcPr>
            <w:tcW w:w="6160" w:type="dxa"/>
            <w:vAlign w:val="bottom"/>
            <w:tcBorders>
              <w:bottom w:val="single" w:sz="8" w:color="auto"/>
            </w:tcBorders>
            <w:gridSpan w:val="9"/>
          </w:tcPr>
          <w:p>
            <w:pPr>
              <w:jc w:val="center"/>
              <w:spacing w:after="0"/>
              <w:rPr>
                <w:sz w:val="20"/>
                <w:szCs w:val="20"/>
                <w:color w:val="auto"/>
              </w:rPr>
            </w:pPr>
            <w:r>
              <w:rPr>
                <w:rFonts w:ascii="Arial" w:cs="Arial" w:eastAsia="Arial" w:hAnsi="Arial"/>
                <w:sz w:val="15"/>
                <w:szCs w:val="15"/>
                <w:b w:val="1"/>
                <w:bCs w:val="1"/>
                <w:color w:val="auto"/>
              </w:rPr>
              <w:t>STOCKHOLDERS’ EQUITY – THREE MONTHS ENDED MAY 31, 2020 AND 2019</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4"/>
              <w:spacing w:after="0" w:line="160" w:lineRule="exact"/>
              <w:rPr>
                <w:sz w:val="20"/>
                <w:szCs w:val="20"/>
                <w:color w:val="auto"/>
              </w:rPr>
            </w:pPr>
            <w:r>
              <w:rPr>
                <w:rFonts w:ascii="Arial" w:cs="Arial" w:eastAsia="Arial" w:hAnsi="Arial"/>
                <w:sz w:val="15"/>
                <w:szCs w:val="15"/>
                <w:b w:val="1"/>
                <w:bCs w:val="1"/>
                <w:color w:val="auto"/>
                <w:w w:val="91"/>
              </w:rPr>
              <w:t>Accumulated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Additional</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24"/>
              <w:spacing w:after="0"/>
              <w:rPr>
                <w:sz w:val="20"/>
                <w:szCs w:val="20"/>
                <w:color w:val="auto"/>
              </w:rPr>
            </w:pPr>
            <w:r>
              <w:rPr>
                <w:rFonts w:ascii="Arial" w:cs="Arial" w:eastAsia="Arial" w:hAnsi="Arial"/>
                <w:sz w:val="15"/>
                <w:szCs w:val="15"/>
                <w:b w:val="1"/>
                <w:bCs w:val="1"/>
                <w:color w:val="auto"/>
                <w:w w:val="99"/>
              </w:rPr>
              <w:t>Other</w:t>
            </w:r>
          </w:p>
        </w:tc>
        <w:tc>
          <w:tcPr>
            <w:tcW w:w="220" w:type="dxa"/>
            <w:vAlign w:val="bottom"/>
          </w:tcPr>
          <w:p>
            <w:pPr>
              <w:spacing w:after="0"/>
              <w:rPr>
                <w:sz w:val="16"/>
                <w:szCs w:val="16"/>
                <w:color w:val="auto"/>
              </w:rPr>
            </w:pPr>
          </w:p>
        </w:tc>
        <w:tc>
          <w:tcPr>
            <w:tcW w:w="100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Non-</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7"/>
                <w:szCs w:val="17"/>
                <w:color w:val="auto"/>
              </w:rPr>
            </w:pPr>
          </w:p>
        </w:tc>
        <w:tc>
          <w:tcPr>
            <w:tcW w:w="1000" w:type="dxa"/>
            <w:vAlign w:val="bottom"/>
          </w:tcPr>
          <w:p>
            <w:pPr>
              <w:jc w:val="center"/>
              <w:ind w:right="84"/>
              <w:spacing w:after="0"/>
              <w:rPr>
                <w:sz w:val="20"/>
                <w:szCs w:val="20"/>
                <w:color w:val="auto"/>
              </w:rPr>
            </w:pPr>
            <w:r>
              <w:rPr>
                <w:rFonts w:ascii="Arial" w:cs="Arial" w:eastAsia="Arial" w:hAnsi="Arial"/>
                <w:sz w:val="15"/>
                <w:szCs w:val="15"/>
                <w:b w:val="1"/>
                <w:bCs w:val="1"/>
                <w:color w:val="auto"/>
                <w:w w:val="95"/>
              </w:rPr>
              <w:t>Paid-in</w:t>
            </w:r>
          </w:p>
        </w:tc>
        <w:tc>
          <w:tcPr>
            <w:tcW w:w="260" w:type="dxa"/>
            <w:vAlign w:val="bottom"/>
          </w:tcPr>
          <w:p>
            <w:pPr>
              <w:spacing w:after="0"/>
              <w:rPr>
                <w:sz w:val="17"/>
                <w:szCs w:val="17"/>
                <w:color w:val="auto"/>
              </w:rPr>
            </w:pPr>
          </w:p>
        </w:tc>
        <w:tc>
          <w:tcPr>
            <w:tcW w:w="960" w:type="dxa"/>
            <w:vAlign w:val="bottom"/>
          </w:tcPr>
          <w:p>
            <w:pPr>
              <w:jc w:val="right"/>
              <w:ind w:right="204"/>
              <w:spacing w:after="0"/>
              <w:rPr>
                <w:sz w:val="20"/>
                <w:szCs w:val="20"/>
                <w:color w:val="auto"/>
              </w:rPr>
            </w:pPr>
            <w:r>
              <w:rPr>
                <w:rFonts w:ascii="Arial" w:cs="Arial" w:eastAsia="Arial" w:hAnsi="Arial"/>
                <w:sz w:val="15"/>
                <w:szCs w:val="15"/>
                <w:b w:val="1"/>
                <w:bCs w:val="1"/>
                <w:color w:val="auto"/>
              </w:rPr>
              <w:t>Retained</w:t>
            </w:r>
          </w:p>
        </w:tc>
        <w:tc>
          <w:tcPr>
            <w:tcW w:w="160" w:type="dxa"/>
            <w:vAlign w:val="bottom"/>
          </w:tcPr>
          <w:p>
            <w:pPr>
              <w:spacing w:after="0"/>
              <w:rPr>
                <w:sz w:val="17"/>
                <w:szCs w:val="17"/>
                <w:color w:val="auto"/>
              </w:rPr>
            </w:pPr>
          </w:p>
        </w:tc>
        <w:tc>
          <w:tcPr>
            <w:tcW w:w="1140" w:type="dxa"/>
            <w:vAlign w:val="bottom"/>
          </w:tcPr>
          <w:p>
            <w:pPr>
              <w:jc w:val="center"/>
              <w:ind w:right="24"/>
              <w:spacing w:after="0"/>
              <w:rPr>
                <w:sz w:val="20"/>
                <w:szCs w:val="20"/>
                <w:color w:val="auto"/>
              </w:rPr>
            </w:pPr>
            <w:r>
              <w:rPr>
                <w:rFonts w:ascii="Arial" w:cs="Arial" w:eastAsia="Arial" w:hAnsi="Arial"/>
                <w:sz w:val="15"/>
                <w:szCs w:val="15"/>
                <w:b w:val="1"/>
                <w:bCs w:val="1"/>
                <w:color w:val="auto"/>
                <w:w w:val="88"/>
              </w:rPr>
              <w:t>Comprehensive</w:t>
            </w:r>
          </w:p>
        </w:tc>
        <w:tc>
          <w:tcPr>
            <w:tcW w:w="220" w:type="dxa"/>
            <w:vAlign w:val="bottom"/>
          </w:tcPr>
          <w:p>
            <w:pPr>
              <w:spacing w:after="0"/>
              <w:rPr>
                <w:sz w:val="17"/>
                <w:szCs w:val="17"/>
                <w:color w:val="auto"/>
              </w:rPr>
            </w:pPr>
          </w:p>
        </w:tc>
        <w:tc>
          <w:tcPr>
            <w:tcW w:w="100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Controlling</w:t>
            </w:r>
          </w:p>
        </w:tc>
        <w:tc>
          <w:tcPr>
            <w:tcW w:w="280" w:type="dxa"/>
            <w:vAlign w:val="bottom"/>
          </w:tcPr>
          <w:p>
            <w:pPr>
              <w:spacing w:after="0"/>
              <w:rPr>
                <w:sz w:val="17"/>
                <w:szCs w:val="17"/>
                <w:color w:val="auto"/>
              </w:rPr>
            </w:pPr>
          </w:p>
        </w:tc>
        <w:tc>
          <w:tcPr>
            <w:tcW w:w="900" w:type="dxa"/>
            <w:vAlign w:val="bottom"/>
          </w:tcPr>
          <w:p>
            <w:pPr>
              <w:jc w:val="center"/>
              <w:ind w:right="12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Shares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5"/>
              </w:rPr>
              <w:t>Capital</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0"/>
              </w:rPr>
              <w:t>Income (Loss)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89"/>
              </w:rPr>
              <w:t>Interests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BALANCE AT FEBRUARY 28, 2020</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9,097,236</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181,945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16,707,207</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45,202,903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(4,602,349)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3,302,160</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60,791,866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5"/>
                <w:szCs w:val="15"/>
                <w:color w:val="auto"/>
                <w:w w:val="94"/>
              </w:rPr>
              <w:t>Stock issued for employee stock purchase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ind w:left="120"/>
              <w:spacing w:after="0"/>
              <w:rPr>
                <w:sz w:val="20"/>
                <w:szCs w:val="20"/>
                <w:color w:val="auto"/>
              </w:rPr>
            </w:pPr>
            <w:r>
              <w:rPr>
                <w:rFonts w:ascii="Arial" w:cs="Arial" w:eastAsia="Arial" w:hAnsi="Arial"/>
                <w:sz w:val="15"/>
                <w:szCs w:val="15"/>
                <w:color w:val="auto"/>
              </w:rPr>
              <w:t>plan</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2,754</w:t>
            </w:r>
          </w:p>
        </w:tc>
        <w:tc>
          <w:tcPr>
            <w:tcW w:w="3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55</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28,532</w:t>
            </w:r>
          </w:p>
        </w:tc>
        <w:tc>
          <w:tcPr>
            <w:tcW w:w="26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28,587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Stock option expense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339,652</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339,652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Dividend received by non-controlling</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ind w:left="120"/>
              <w:spacing w:after="0"/>
              <w:rPr>
                <w:sz w:val="20"/>
                <w:szCs w:val="20"/>
                <w:color w:val="auto"/>
              </w:rPr>
            </w:pPr>
            <w:r>
              <w:rPr>
                <w:rFonts w:ascii="Arial" w:cs="Arial" w:eastAsia="Arial" w:hAnsi="Arial"/>
                <w:sz w:val="15"/>
                <w:szCs w:val="15"/>
                <w:color w:val="auto"/>
              </w:rPr>
              <w:t>interest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(200,000)</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(965,221)</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32,697</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comprehensive loss</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(226,988)</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(54,189)</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MAY 31, 2020</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9,099,990</w:t>
            </w:r>
          </w:p>
        </w:tc>
        <w:tc>
          <w:tcPr>
            <w:tcW w:w="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182,000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17,075,391</w:t>
            </w: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44,237,682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(4,829,337)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3,080,668</w:t>
            </w:r>
          </w:p>
        </w:tc>
        <w:tc>
          <w:tcPr>
            <w:tcW w:w="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59,746,404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BALANCE AT FEBRUARY 28, 2019</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9,084,354</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181,688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15,262,556</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43,771,843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(3,742,258)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3,013,042</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58,486,871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5"/>
                <w:szCs w:val="15"/>
                <w:color w:val="auto"/>
                <w:w w:val="94"/>
              </w:rPr>
              <w:t>Stock issued for employee stock purchase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ind w:left="120"/>
              <w:spacing w:after="0"/>
              <w:rPr>
                <w:sz w:val="20"/>
                <w:szCs w:val="20"/>
                <w:color w:val="auto"/>
              </w:rPr>
            </w:pPr>
            <w:r>
              <w:rPr>
                <w:rFonts w:ascii="Arial" w:cs="Arial" w:eastAsia="Arial" w:hAnsi="Arial"/>
                <w:sz w:val="15"/>
                <w:szCs w:val="15"/>
                <w:color w:val="auto"/>
              </w:rPr>
              <w:t>plan</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2,462</w:t>
            </w:r>
          </w:p>
        </w:tc>
        <w:tc>
          <w:tcPr>
            <w:tcW w:w="3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48</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34,817</w:t>
            </w:r>
          </w:p>
        </w:tc>
        <w:tc>
          <w:tcPr>
            <w:tcW w:w="26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34,865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Stock option expense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357,980</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357,980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Dividends paid to stockholders</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(545,058)</w:t>
            </w:r>
          </w:p>
        </w:tc>
        <w:tc>
          <w:tcPr>
            <w:tcW w:w="1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(545,058)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1,482,149</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158,815</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1,640,964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comprehensive loss</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(464,214)</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(29,274)</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(493,488)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MAY 31, 2019</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9,086,816</w:t>
            </w:r>
          </w:p>
        </w:tc>
        <w:tc>
          <w:tcPr>
            <w:tcW w:w="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181,736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15,655,353</w:t>
            </w: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44,708,934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(4,206,472)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3,142,583</w:t>
            </w:r>
          </w:p>
        </w:tc>
        <w:tc>
          <w:tcPr>
            <w:tcW w:w="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59,482,134</w:t>
            </w: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6160" w:type="dxa"/>
            <w:vAlign w:val="bottom"/>
            <w:tcBorders>
              <w:bottom w:val="single" w:sz="8" w:color="auto"/>
            </w:tcBorders>
            <w:gridSpan w:val="9"/>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700" w:type="dxa"/>
            <w:vAlign w:val="bottom"/>
            <w:gridSpan w:val="2"/>
          </w:tcPr>
          <w:p>
            <w:pPr>
              <w:spacing w:after="0"/>
              <w:rPr>
                <w:sz w:val="20"/>
                <w:szCs w:val="20"/>
                <w:color w:val="auto"/>
              </w:rPr>
            </w:pPr>
            <w:r>
              <w:rPr>
                <w:rFonts w:ascii="Arial" w:cs="Arial" w:eastAsia="Arial" w:hAnsi="Arial"/>
                <w:sz w:val="15"/>
                <w:szCs w:val="15"/>
                <w:b w:val="1"/>
                <w:bCs w:val="1"/>
                <w:color w:val="FFFFFF"/>
              </w:rPr>
              <w:t>.</w:t>
            </w:r>
          </w:p>
        </w:tc>
        <w:tc>
          <w:tcPr>
            <w:tcW w:w="6160" w:type="dxa"/>
            <w:vAlign w:val="bottom"/>
            <w:tcBorders>
              <w:bottom w:val="single" w:sz="8" w:color="auto"/>
            </w:tcBorders>
            <w:gridSpan w:val="9"/>
          </w:tcPr>
          <w:p>
            <w:pPr>
              <w:jc w:val="center"/>
              <w:spacing w:after="0"/>
              <w:rPr>
                <w:sz w:val="20"/>
                <w:szCs w:val="20"/>
                <w:color w:val="auto"/>
              </w:rPr>
            </w:pPr>
            <w:r>
              <w:rPr>
                <w:rFonts w:ascii="Arial" w:cs="Arial" w:eastAsia="Arial" w:hAnsi="Arial"/>
                <w:sz w:val="15"/>
                <w:szCs w:val="15"/>
                <w:b w:val="1"/>
                <w:bCs w:val="1"/>
                <w:color w:val="auto"/>
              </w:rPr>
              <w:t>STOCKHOLDERS’ EQUITY – NINE MONTHS ENDED MAY 31 2020 AND 2019</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4"/>
              <w:spacing w:after="0" w:line="160" w:lineRule="exact"/>
              <w:rPr>
                <w:sz w:val="20"/>
                <w:szCs w:val="20"/>
                <w:color w:val="auto"/>
              </w:rPr>
            </w:pPr>
            <w:r>
              <w:rPr>
                <w:rFonts w:ascii="Arial" w:cs="Arial" w:eastAsia="Arial" w:hAnsi="Arial"/>
                <w:sz w:val="15"/>
                <w:szCs w:val="15"/>
                <w:b w:val="1"/>
                <w:bCs w:val="1"/>
                <w:color w:val="auto"/>
                <w:w w:val="91"/>
              </w:rPr>
              <w:t>Accumulated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84"/>
              <w:spacing w:after="0"/>
              <w:rPr>
                <w:sz w:val="20"/>
                <w:szCs w:val="20"/>
                <w:color w:val="auto"/>
              </w:rPr>
            </w:pPr>
            <w:r>
              <w:rPr>
                <w:rFonts w:ascii="Arial" w:cs="Arial" w:eastAsia="Arial" w:hAnsi="Arial"/>
                <w:sz w:val="15"/>
                <w:szCs w:val="15"/>
                <w:b w:val="1"/>
                <w:bCs w:val="1"/>
                <w:color w:val="auto"/>
                <w:w w:val="92"/>
              </w:rPr>
              <w:t>Additional</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24"/>
              <w:spacing w:after="0"/>
              <w:rPr>
                <w:sz w:val="20"/>
                <w:szCs w:val="20"/>
                <w:color w:val="auto"/>
              </w:rPr>
            </w:pPr>
            <w:r>
              <w:rPr>
                <w:rFonts w:ascii="Arial" w:cs="Arial" w:eastAsia="Arial" w:hAnsi="Arial"/>
                <w:sz w:val="15"/>
                <w:szCs w:val="15"/>
                <w:b w:val="1"/>
                <w:bCs w:val="1"/>
                <w:color w:val="auto"/>
                <w:w w:val="99"/>
              </w:rPr>
              <w:t>Other</w:t>
            </w:r>
          </w:p>
        </w:tc>
        <w:tc>
          <w:tcPr>
            <w:tcW w:w="220" w:type="dxa"/>
            <w:vAlign w:val="bottom"/>
          </w:tcPr>
          <w:p>
            <w:pPr>
              <w:spacing w:after="0"/>
              <w:rPr>
                <w:sz w:val="16"/>
                <w:szCs w:val="16"/>
                <w:color w:val="auto"/>
              </w:rPr>
            </w:pPr>
          </w:p>
        </w:tc>
        <w:tc>
          <w:tcPr>
            <w:tcW w:w="100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Non-</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7"/>
                <w:szCs w:val="17"/>
                <w:color w:val="auto"/>
              </w:rPr>
            </w:pPr>
          </w:p>
        </w:tc>
        <w:tc>
          <w:tcPr>
            <w:tcW w:w="1000" w:type="dxa"/>
            <w:vAlign w:val="bottom"/>
          </w:tcPr>
          <w:p>
            <w:pPr>
              <w:jc w:val="center"/>
              <w:ind w:right="84"/>
              <w:spacing w:after="0"/>
              <w:rPr>
                <w:sz w:val="20"/>
                <w:szCs w:val="20"/>
                <w:color w:val="auto"/>
              </w:rPr>
            </w:pPr>
            <w:r>
              <w:rPr>
                <w:rFonts w:ascii="Arial" w:cs="Arial" w:eastAsia="Arial" w:hAnsi="Arial"/>
                <w:sz w:val="15"/>
                <w:szCs w:val="15"/>
                <w:b w:val="1"/>
                <w:bCs w:val="1"/>
                <w:color w:val="auto"/>
                <w:w w:val="95"/>
              </w:rPr>
              <w:t>Paid-in</w:t>
            </w:r>
          </w:p>
        </w:tc>
        <w:tc>
          <w:tcPr>
            <w:tcW w:w="260" w:type="dxa"/>
            <w:vAlign w:val="bottom"/>
          </w:tcPr>
          <w:p>
            <w:pPr>
              <w:spacing w:after="0"/>
              <w:rPr>
                <w:sz w:val="17"/>
                <w:szCs w:val="17"/>
                <w:color w:val="auto"/>
              </w:rPr>
            </w:pPr>
          </w:p>
        </w:tc>
        <w:tc>
          <w:tcPr>
            <w:tcW w:w="960" w:type="dxa"/>
            <w:vAlign w:val="bottom"/>
          </w:tcPr>
          <w:p>
            <w:pPr>
              <w:jc w:val="right"/>
              <w:ind w:right="204"/>
              <w:spacing w:after="0"/>
              <w:rPr>
                <w:sz w:val="20"/>
                <w:szCs w:val="20"/>
                <w:color w:val="auto"/>
              </w:rPr>
            </w:pPr>
            <w:r>
              <w:rPr>
                <w:rFonts w:ascii="Arial" w:cs="Arial" w:eastAsia="Arial" w:hAnsi="Arial"/>
                <w:sz w:val="15"/>
                <w:szCs w:val="15"/>
                <w:b w:val="1"/>
                <w:bCs w:val="1"/>
                <w:color w:val="auto"/>
              </w:rPr>
              <w:t>Retained</w:t>
            </w:r>
          </w:p>
        </w:tc>
        <w:tc>
          <w:tcPr>
            <w:tcW w:w="160" w:type="dxa"/>
            <w:vAlign w:val="bottom"/>
          </w:tcPr>
          <w:p>
            <w:pPr>
              <w:spacing w:after="0"/>
              <w:rPr>
                <w:sz w:val="17"/>
                <w:szCs w:val="17"/>
                <w:color w:val="auto"/>
              </w:rPr>
            </w:pPr>
          </w:p>
        </w:tc>
        <w:tc>
          <w:tcPr>
            <w:tcW w:w="1140" w:type="dxa"/>
            <w:vAlign w:val="bottom"/>
          </w:tcPr>
          <w:p>
            <w:pPr>
              <w:jc w:val="center"/>
              <w:ind w:right="24"/>
              <w:spacing w:after="0"/>
              <w:rPr>
                <w:sz w:val="20"/>
                <w:szCs w:val="20"/>
                <w:color w:val="auto"/>
              </w:rPr>
            </w:pPr>
            <w:r>
              <w:rPr>
                <w:rFonts w:ascii="Arial" w:cs="Arial" w:eastAsia="Arial" w:hAnsi="Arial"/>
                <w:sz w:val="15"/>
                <w:szCs w:val="15"/>
                <w:b w:val="1"/>
                <w:bCs w:val="1"/>
                <w:color w:val="auto"/>
                <w:w w:val="88"/>
              </w:rPr>
              <w:t>Comprehensive</w:t>
            </w:r>
          </w:p>
        </w:tc>
        <w:tc>
          <w:tcPr>
            <w:tcW w:w="220" w:type="dxa"/>
            <w:vAlign w:val="bottom"/>
          </w:tcPr>
          <w:p>
            <w:pPr>
              <w:spacing w:after="0"/>
              <w:rPr>
                <w:sz w:val="17"/>
                <w:szCs w:val="17"/>
                <w:color w:val="auto"/>
              </w:rPr>
            </w:pPr>
          </w:p>
        </w:tc>
        <w:tc>
          <w:tcPr>
            <w:tcW w:w="100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Controlling</w:t>
            </w:r>
          </w:p>
        </w:tc>
        <w:tc>
          <w:tcPr>
            <w:tcW w:w="280" w:type="dxa"/>
            <w:vAlign w:val="bottom"/>
          </w:tcPr>
          <w:p>
            <w:pPr>
              <w:spacing w:after="0"/>
              <w:rPr>
                <w:sz w:val="17"/>
                <w:szCs w:val="17"/>
                <w:color w:val="auto"/>
              </w:rPr>
            </w:pPr>
          </w:p>
        </w:tc>
        <w:tc>
          <w:tcPr>
            <w:tcW w:w="900" w:type="dxa"/>
            <w:vAlign w:val="bottom"/>
          </w:tcPr>
          <w:p>
            <w:pPr>
              <w:jc w:val="center"/>
              <w:ind w:right="12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Shares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5"/>
              </w:rPr>
              <w:t>Capital</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0"/>
              </w:rPr>
              <w:t>Income (Loss)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89"/>
              </w:rPr>
              <w:t>Interests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BALANCE AT AUGUST 31, 2019</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9,086,816</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181,736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16,013,338</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44,992,719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(4,593,178)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3,074,679</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59,669,294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Stock options exercised</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6,823</w:t>
            </w:r>
          </w:p>
        </w:tc>
        <w:tc>
          <w:tcPr>
            <w:tcW w:w="3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w w:val="94"/>
              </w:rPr>
              <w:t>Stock issued for employee stock purchase</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plan</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6,351</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127</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64,068</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64,195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Stock option expense</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998,122</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998,122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Dividends paid to stockholders</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(1,182,200)</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Dividend received by non-controlling</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Arial" w:cs="Arial" w:eastAsia="Arial" w:hAnsi="Arial"/>
                <w:sz w:val="15"/>
                <w:szCs w:val="15"/>
                <w:color w:val="auto"/>
              </w:rPr>
              <w:t>interest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(200,000)</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427,163</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283,674</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710,837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comprehensive income (loss)</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(236,159)</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(77,685)</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(313,844)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MAY 31, 2020</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9,099,990</w:t>
            </w:r>
          </w:p>
        </w:tc>
        <w:tc>
          <w:tcPr>
            <w:tcW w:w="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182,000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17,075,391</w:t>
            </w: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44,237,682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(4,829,337)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3,080,668</w:t>
            </w:r>
          </w:p>
        </w:tc>
        <w:tc>
          <w:tcPr>
            <w:tcW w:w="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59,746,404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BALANCE AT AUGUST 31, 2018</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9,082,606</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181,652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14,528,951</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41,963,341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(3,597,199)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2,742,309</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55,819,054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5"/>
                <w:szCs w:val="15"/>
                <w:color w:val="auto"/>
                <w:w w:val="94"/>
              </w:rPr>
              <w:t>Stock issued for employee stock purchase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Arial" w:cs="Arial" w:eastAsia="Arial" w:hAnsi="Arial"/>
                <w:sz w:val="15"/>
                <w:szCs w:val="15"/>
                <w:color w:val="auto"/>
              </w:rPr>
              <w:t>plan</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4,210</w:t>
            </w:r>
          </w:p>
        </w:tc>
        <w:tc>
          <w:tcPr>
            <w:tcW w:w="3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84</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52,462</w:t>
            </w:r>
          </w:p>
        </w:tc>
        <w:tc>
          <w:tcPr>
            <w:tcW w:w="26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52,546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Stock option expense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1,073,940</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1,073,940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Investment by non-controlling interest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134,034</w:t>
            </w:r>
          </w:p>
        </w:tc>
        <w:tc>
          <w:tcPr>
            <w:tcW w:w="28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134,034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Dividends paid to stockholders</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(1,635,183)</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(1,635,183)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Dividend received by non-controlling</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tcPr>
          <w:p>
            <w:pPr>
              <w:spacing w:after="0"/>
              <w:rPr>
                <w:sz w:val="20"/>
                <w:szCs w:val="20"/>
                <w:color w:val="auto"/>
              </w:rPr>
            </w:pPr>
            <w:r>
              <w:rPr>
                <w:rFonts w:ascii="Arial" w:cs="Arial" w:eastAsia="Arial" w:hAnsi="Arial"/>
                <w:sz w:val="15"/>
                <w:szCs w:val="15"/>
                <w:color w:val="auto"/>
              </w:rPr>
              <w:t>interest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(200,000)</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4,380,776</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453,435</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4,834,211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comprehensive income (loss)</w:t>
            </w: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(609,273)</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12,805</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(596,468)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MAY 31, 2019</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9,086,816</w:t>
            </w:r>
          </w:p>
        </w:tc>
        <w:tc>
          <w:tcPr>
            <w:tcW w:w="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181,736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15,655,353</w:t>
            </w: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44,708,934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(4,206,472)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3,142,583</w:t>
            </w:r>
          </w:p>
        </w:tc>
        <w:tc>
          <w:tcPr>
            <w:tcW w:w="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59,482,134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*Share and per share data have been adjusted for all periods presented to reflect the two-for-one stock split effective June 28, 2019.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7" w:name="page8"/>
    <w:bookmarkEnd w:id="7"/>
    <w:p>
      <w:pPr>
        <w:ind w:right="5120"/>
        <w:spacing w:after="0" w:line="270" w:lineRule="auto"/>
        <w:rPr>
          <w:sz w:val="20"/>
          <w:szCs w:val="20"/>
          <w:color w:val="auto"/>
        </w:rPr>
      </w:pPr>
      <w:r>
        <w:rPr>
          <w:rFonts w:ascii="Arial" w:cs="Arial" w:eastAsia="Arial" w:hAnsi="Arial"/>
          <w:sz w:val="15"/>
          <w:szCs w:val="15"/>
          <w:b w:val="1"/>
          <w:bCs w:val="1"/>
          <w:color w:val="auto"/>
        </w:rPr>
        <w:t>NORTHERN TECHNOLOGIES INTERNATIONAL CORPORATION AND SUBSIDIARIES CONSOLIDATED STATEMENTS OF CASH FLOWS (UNAUDITED) FOR THE NINE MONTHS ENDED MAY 31, 2020 AND 2019</w:t>
      </w: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4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560" w:type="dxa"/>
            <w:vAlign w:val="bottom"/>
            <w:tcBorders>
              <w:top w:val="single" w:sz="8" w:color="auto"/>
              <w:bottom w:val="single" w:sz="8" w:color="auto"/>
            </w:tcBorders>
            <w:gridSpan w:val="4"/>
          </w:tcPr>
          <w:p>
            <w:pPr>
              <w:jc w:val="right"/>
              <w:ind w:right="68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44"/>
              <w:spacing w:after="0" w:line="160" w:lineRule="exact"/>
              <w:rPr>
                <w:sz w:val="20"/>
                <w:szCs w:val="20"/>
                <w:color w:val="auto"/>
              </w:rPr>
            </w:pPr>
            <w:r>
              <w:rPr>
                <w:rFonts w:ascii="Arial" w:cs="Arial" w:eastAsia="Arial" w:hAnsi="Arial"/>
                <w:sz w:val="15"/>
                <w:szCs w:val="15"/>
                <w:b w:val="1"/>
                <w:bCs w:val="1"/>
                <w:color w:val="auto"/>
              </w:rPr>
              <w:t>May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24"/>
              <w:spacing w:after="0" w:line="160" w:lineRule="exact"/>
              <w:rPr>
                <w:sz w:val="20"/>
                <w:szCs w:val="20"/>
                <w:color w:val="auto"/>
              </w:rPr>
            </w:pPr>
            <w:r>
              <w:rPr>
                <w:rFonts w:ascii="Arial" w:cs="Arial" w:eastAsia="Arial" w:hAnsi="Arial"/>
                <w:sz w:val="15"/>
                <w:szCs w:val="15"/>
                <w:b w:val="1"/>
                <w:bCs w:val="1"/>
                <w:color w:val="auto"/>
              </w:rPr>
              <w:t>May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710,837</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4,834,211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280"/>
              <w:spacing w:after="0"/>
              <w:rPr>
                <w:sz w:val="20"/>
                <w:szCs w:val="20"/>
                <w:color w:val="auto"/>
              </w:rPr>
            </w:pPr>
            <w:r>
              <w:rPr>
                <w:rFonts w:ascii="Arial" w:cs="Arial" w:eastAsia="Arial" w:hAnsi="Arial"/>
                <w:sz w:val="15"/>
                <w:szCs w:val="15"/>
                <w:color w:val="auto"/>
              </w:rPr>
              <w:t>Stock-based compensation</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998,122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1,073,940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Depreciation expense</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637,030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627,853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280"/>
              <w:spacing w:after="0"/>
              <w:rPr>
                <w:sz w:val="20"/>
                <w:szCs w:val="20"/>
                <w:color w:val="auto"/>
              </w:rPr>
            </w:pPr>
            <w:r>
              <w:rPr>
                <w:rFonts w:ascii="Arial" w:cs="Arial" w:eastAsia="Arial" w:hAnsi="Arial"/>
                <w:sz w:val="15"/>
                <w:szCs w:val="15"/>
                <w:color w:val="auto"/>
              </w:rPr>
              <w:t>Amortization expense</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175,465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195,230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disposal of property and equipment and patents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173,809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280"/>
              <w:spacing w:after="0"/>
              <w:rPr>
                <w:sz w:val="20"/>
                <w:szCs w:val="20"/>
                <w:color w:val="auto"/>
              </w:rPr>
            </w:pPr>
            <w:r>
              <w:rPr>
                <w:rFonts w:ascii="Arial" w:cs="Arial" w:eastAsia="Arial" w:hAnsi="Arial"/>
                <w:sz w:val="15"/>
                <w:szCs w:val="15"/>
                <w:color w:val="auto"/>
              </w:rPr>
              <w:t>Equity in income from joint ventures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(3,466,581)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(5,596,788)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Dividends received from joint ventures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5,648,153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3,822,785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280"/>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109,646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177,916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on sale of property and equipment</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20"/>
              <w:spacing w:after="0"/>
              <w:rPr>
                <w:sz w:val="20"/>
                <w:szCs w:val="20"/>
                <w:color w:val="auto"/>
              </w:rPr>
            </w:pPr>
            <w:r>
              <w:rPr>
                <w:rFonts w:ascii="Arial" w:cs="Arial" w:eastAsia="Arial" w:hAnsi="Arial"/>
                <w:sz w:val="15"/>
                <w:szCs w:val="15"/>
                <w:color w:val="auto"/>
              </w:rPr>
              <w:t>Changes in current assets and liabilities: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Receivables: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580"/>
              <w:spacing w:after="0"/>
              <w:rPr>
                <w:sz w:val="20"/>
                <w:szCs w:val="20"/>
                <w:color w:val="auto"/>
              </w:rPr>
            </w:pPr>
            <w:r>
              <w:rPr>
                <w:rFonts w:ascii="Arial" w:cs="Arial" w:eastAsia="Arial" w:hAnsi="Arial"/>
                <w:sz w:val="15"/>
                <w:szCs w:val="15"/>
                <w:color w:val="auto"/>
              </w:rPr>
              <w:t>Trade, excluding joint ventures</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2,065,641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(132,122)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Trade, joint ventures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(32,904)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580"/>
              <w:spacing w:after="0"/>
              <w:rPr>
                <w:sz w:val="20"/>
                <w:szCs w:val="20"/>
                <w:color w:val="auto"/>
              </w:rPr>
            </w:pPr>
            <w:r>
              <w:rPr>
                <w:rFonts w:ascii="Arial" w:cs="Arial" w:eastAsia="Arial" w:hAnsi="Arial"/>
                <w:sz w:val="15"/>
                <w:szCs w:val="15"/>
                <w:color w:val="auto"/>
              </w:rPr>
              <w:t>Fees for services provided to joint ventures</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391,880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114,327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Income taxes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174,623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(343,377)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42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(1,729,133)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(1,465,663)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Prepaid expenses and other</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368,769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709,049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42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(882,962)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495,251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Income tax payable</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40,983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Accrued liabilities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(2,370,845)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(1,491,663)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3,012,533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2,717,391</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20"/>
              <w:spacing w:after="0"/>
              <w:rPr>
                <w:sz w:val="20"/>
                <w:szCs w:val="20"/>
                <w:color w:val="auto"/>
              </w:rPr>
            </w:pPr>
            <w:r>
              <w:rPr>
                <w:rFonts w:ascii="Arial" w:cs="Arial" w:eastAsia="Arial" w:hAnsi="Arial"/>
                <w:sz w:val="15"/>
                <w:szCs w:val="15"/>
                <w:color w:val="auto"/>
              </w:rPr>
              <w:t>Proceeds from the sale of property and equipment</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2,190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available for sale securities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(2,340,503)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20"/>
              <w:spacing w:after="0"/>
              <w:rPr>
                <w:sz w:val="20"/>
                <w:szCs w:val="20"/>
                <w:color w:val="auto"/>
              </w:rPr>
            </w:pPr>
            <w:r>
              <w:rPr>
                <w:rFonts w:ascii="Arial" w:cs="Arial" w:eastAsia="Arial" w:hAnsi="Arial"/>
                <w:sz w:val="15"/>
                <w:szCs w:val="15"/>
                <w:color w:val="auto"/>
              </w:rPr>
              <w:t>Proceeds from the sale of available for sale securities</w:t>
            </w:r>
          </w:p>
        </w:tc>
        <w:tc>
          <w:tcPr>
            <w:tcW w:w="2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2,114,565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3,100,000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Purchases of property and equipment</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(375,087)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(716,212)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Investments in patents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(79,139)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(2,337,471)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(43,937)</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20"/>
              <w:spacing w:after="0"/>
              <w:rPr>
                <w:sz w:val="20"/>
                <w:szCs w:val="20"/>
                <w:color w:val="auto"/>
              </w:rPr>
            </w:pPr>
            <w:r>
              <w:rPr>
                <w:rFonts w:ascii="Arial" w:cs="Arial" w:eastAsia="Arial" w:hAnsi="Arial"/>
                <w:sz w:val="15"/>
                <w:szCs w:val="15"/>
                <w:color w:val="auto"/>
              </w:rPr>
              <w:t>Dividend received by non-controlling interest</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(200,000)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Investment by non-controlling interest</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134,034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tcPr>
          <w:p>
            <w:pPr>
              <w:ind w:left="120"/>
              <w:spacing w:after="0"/>
              <w:rPr>
                <w:sz w:val="20"/>
                <w:szCs w:val="20"/>
                <w:color w:val="auto"/>
              </w:rPr>
            </w:pPr>
            <w:r>
              <w:rPr>
                <w:rFonts w:ascii="Arial" w:cs="Arial" w:eastAsia="Arial" w:hAnsi="Arial"/>
                <w:sz w:val="15"/>
                <w:szCs w:val="15"/>
                <w:color w:val="auto"/>
              </w:rPr>
              <w:t>Dividends paid on NTIC common stock</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(1,182,200)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(1,635,183)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employee stock purchase plan</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64,195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52,547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Borders>
              <w:bottom w:val="single" w:sz="8" w:color="CCEEFF"/>
            </w:tcBorders>
          </w:tcPr>
          <w:p>
            <w:pPr>
              <w:ind w:left="58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(1,318,005)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(1,648,602)</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(163,093)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36,605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5"/>
                <w:szCs w:val="15"/>
                <w:color w:val="auto"/>
              </w:rPr>
              <w:t>NET (DECREASE) INCREASE IN CASH AND CASH EQUIVALENTS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(806,036)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1,061,457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CASH AND CASH EQUIVALENTS AT BEGINNING OF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5,856,758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4,163,023</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5"/>
                <w:szCs w:val="15"/>
                <w:color w:val="auto"/>
              </w:rPr>
              <w:t>CASH AND CASH EQUIVALENTS AT END OF PERIOD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5,050,722</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5,224,480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180"/>
              <w:spacing w:after="0"/>
              <w:rPr>
                <w:sz w:val="20"/>
                <w:szCs w:val="20"/>
                <w:color w:val="auto"/>
              </w:rPr>
            </w:pPr>
            <w:r>
              <w:rPr>
                <w:rFonts w:ascii="Arial" w:cs="Arial" w:eastAsia="Arial" w:hAnsi="Arial"/>
                <w:sz w:val="15"/>
                <w:szCs w:val="15"/>
                <w:color w:val="auto"/>
              </w:rPr>
              <w:t>See notes to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8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8420" w:type="dxa"/>
            <w:vAlign w:val="bottom"/>
            <w:tcBorders>
              <w:bottom w:val="single" w:sz="8" w:color="auto"/>
            </w:tcBorders>
          </w:tcPr>
          <w:p>
            <w:pPr>
              <w:ind w:left="5580"/>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8" w:right="319" w:bottom="1440" w:gutter="0" w:footer="0" w:header="0"/>
        </w:sectPr>
      </w:pPr>
    </w:p>
    <w:bookmarkStart w:id="8" w:name="page9"/>
    <w:bookmarkEnd w:id="8"/>
    <w:p>
      <w:pPr>
        <w:ind w:left="9" w:right="5060"/>
        <w:spacing w:after="0" w:line="289" w:lineRule="auto"/>
        <w:rPr>
          <w:sz w:val="20"/>
          <w:szCs w:val="20"/>
          <w:color w:val="auto"/>
        </w:rPr>
      </w:pPr>
      <w:r>
        <w:rPr>
          <w:rFonts w:ascii="Arial" w:cs="Arial" w:eastAsia="Arial" w:hAnsi="Arial"/>
          <w:sz w:val="15"/>
          <w:szCs w:val="15"/>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532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125" w:lineRule="exact"/>
        <w:rPr>
          <w:sz w:val="20"/>
          <w:szCs w:val="20"/>
          <w:color w:val="auto"/>
        </w:rPr>
      </w:pPr>
    </w:p>
    <w:p>
      <w:pPr>
        <w:ind w:left="389" w:hanging="389"/>
        <w:spacing w:after="0"/>
        <w:tabs>
          <w:tab w:leader="none" w:pos="38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INTERIM FINANCIAL INFORMATION</w:t>
      </w:r>
    </w:p>
    <w:p>
      <w:pPr>
        <w:spacing w:after="0" w:line="197" w:lineRule="exact"/>
        <w:rPr>
          <w:sz w:val="20"/>
          <w:szCs w:val="20"/>
          <w:color w:val="auto"/>
        </w:rPr>
      </w:pPr>
    </w:p>
    <w:p>
      <w:pPr>
        <w:ind w:left="9" w:right="40"/>
        <w:spacing w:after="0" w:line="289" w:lineRule="auto"/>
        <w:rPr>
          <w:sz w:val="20"/>
          <w:szCs w:val="20"/>
          <w:color w:val="auto"/>
        </w:rPr>
      </w:pPr>
      <w:r>
        <w:rPr>
          <w:rFonts w:ascii="Arial" w:cs="Arial" w:eastAsia="Arial" w:hAnsi="Arial"/>
          <w:sz w:val="14"/>
          <w:szCs w:val="14"/>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2020 and August 31, 2019, the results of their operations for the three and nine months ended May 31, 2020 and 2019, the changes in equity for the three and nine months ended May 31, 2020 and 2019, and the Company’s cash flows for the nine months ended May 31, 2020 and 2019, in conformity with accounting principles generally accepted in the United States of America (U.S. GAAP).</w:t>
      </w:r>
    </w:p>
    <w:p>
      <w:pPr>
        <w:spacing w:after="0" w:line="139" w:lineRule="exact"/>
        <w:rPr>
          <w:sz w:val="20"/>
          <w:szCs w:val="20"/>
          <w:color w:val="auto"/>
        </w:rPr>
      </w:pPr>
    </w:p>
    <w:p>
      <w:pPr>
        <w:ind w:left="9" w:right="140"/>
        <w:spacing w:after="0" w:line="269" w:lineRule="auto"/>
        <w:rPr>
          <w:sz w:val="20"/>
          <w:szCs w:val="20"/>
          <w:color w:val="auto"/>
        </w:rPr>
      </w:pPr>
      <w:r>
        <w:rPr>
          <w:rFonts w:ascii="Arial" w:cs="Arial" w:eastAsia="Arial" w:hAnsi="Arial"/>
          <w:sz w:val="15"/>
          <w:szCs w:val="15"/>
          <w:color w:val="auto"/>
        </w:rPr>
        <w:t>These consolidated financial statements should be read in conjunction with the consolidated financial statements and related notes contained in the Company’s annual report on Form 10-K for the fiscal year ended August 31, 2019. These consolidated financial statements also should be read in conjunction with the “</w:t>
      </w:r>
      <w:r>
        <w:rPr>
          <w:rFonts w:ascii="Arial" w:cs="Arial" w:eastAsia="Arial" w:hAnsi="Arial"/>
          <w:sz w:val="15"/>
          <w:szCs w:val="15"/>
          <w:i w:val="1"/>
          <w:iCs w:val="1"/>
          <w:color w:val="auto"/>
        </w:rPr>
        <w:t>Management’s Discussion and Analysis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Condition and Results of Operations</w:t>
      </w:r>
      <w:r>
        <w:rPr>
          <w:rFonts w:ascii="Arial" w:cs="Arial" w:eastAsia="Arial" w:hAnsi="Arial"/>
          <w:sz w:val="15"/>
          <w:szCs w:val="15"/>
          <w:color w:val="auto"/>
        </w:rPr>
        <w:t>” section appearing in this report.</w:t>
      </w:r>
    </w:p>
    <w:p>
      <w:pPr>
        <w:spacing w:after="0" w:line="152" w:lineRule="exact"/>
        <w:rPr>
          <w:sz w:val="20"/>
          <w:szCs w:val="20"/>
          <w:color w:val="auto"/>
        </w:rPr>
      </w:pPr>
    </w:p>
    <w:p>
      <w:pPr>
        <w:ind w:left="9" w:right="200"/>
        <w:spacing w:after="0" w:line="364" w:lineRule="auto"/>
        <w:rPr>
          <w:sz w:val="20"/>
          <w:szCs w:val="20"/>
          <w:color w:val="auto"/>
        </w:rPr>
      </w:pPr>
      <w:r>
        <w:rPr>
          <w:rFonts w:ascii="Arial" w:cs="Arial" w:eastAsia="Arial" w:hAnsi="Arial"/>
          <w:sz w:val="13"/>
          <w:szCs w:val="13"/>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95" w:lineRule="exact"/>
        <w:rPr>
          <w:sz w:val="20"/>
          <w:szCs w:val="20"/>
          <w:color w:val="auto"/>
        </w:rPr>
      </w:pPr>
    </w:p>
    <w:p>
      <w:pPr>
        <w:ind w:left="9"/>
        <w:spacing w:after="0"/>
        <w:rPr>
          <w:sz w:val="20"/>
          <w:szCs w:val="20"/>
          <w:color w:val="auto"/>
        </w:rPr>
      </w:pPr>
      <w:r>
        <w:rPr>
          <w:rFonts w:ascii="Arial" w:cs="Arial" w:eastAsia="Arial" w:hAnsi="Arial"/>
          <w:sz w:val="14"/>
          <w:szCs w:val="14"/>
          <w:color w:val="auto"/>
        </w:rPr>
        <w:t>Operating results for the three and nine months ended May 31, 2020 are not necessarily indicative of the results that may be expected for the full fiscal year ending August 31, 2020.</w:t>
      </w:r>
    </w:p>
    <w:p>
      <w:pPr>
        <w:spacing w:after="0" w:line="205"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Company evaluates events occurring after the date of the consolidated financial statements requiring recording or disclosure in the consolidated financial statements.</w:t>
      </w:r>
    </w:p>
    <w:p>
      <w:pPr>
        <w:spacing w:after="0" w:line="205"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Impact of COVID-19 Pandemic</w:t>
      </w:r>
    </w:p>
    <w:p>
      <w:pPr>
        <w:spacing w:after="0" w:line="193" w:lineRule="exact"/>
        <w:rPr>
          <w:sz w:val="20"/>
          <w:szCs w:val="20"/>
          <w:color w:val="auto"/>
        </w:rPr>
      </w:pPr>
    </w:p>
    <w:p>
      <w:pPr>
        <w:ind w:left="9"/>
        <w:spacing w:after="0" w:line="282" w:lineRule="auto"/>
        <w:rPr>
          <w:sz w:val="20"/>
          <w:szCs w:val="20"/>
          <w:color w:val="auto"/>
        </w:rPr>
      </w:pPr>
      <w:r>
        <w:rPr>
          <w:rFonts w:ascii="Arial" w:cs="Arial" w:eastAsia="Arial" w:hAnsi="Arial"/>
          <w:sz w:val="14"/>
          <w:szCs w:val="14"/>
          <w:color w:val="auto"/>
        </w:rPr>
        <w:t>In March 2020, the World Health Organization declared the novel coronavirus (COVID-19) outbreak a global pandemic. The COVID-19 pandemic has negatively impacted the global economy, disrupted global supply chains, created significant volatility and disruption in financial markets and has resulted in an economic slowdown.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and is expected to continue through the fourth quarter of fiscal 2020 and beyond. Additionally, the Company expects the COVID-19 pandemic will likely continue to have a material adverse effect on its business, operating results and financial condition during the fourth quarter of fiscal 2020 and beyond; however, the precise financial impact and duration cannot be reasonably estimated at this time.</w:t>
      </w:r>
    </w:p>
    <w:p>
      <w:pPr>
        <w:spacing w:after="0" w:line="146" w:lineRule="exact"/>
        <w:rPr>
          <w:sz w:val="20"/>
          <w:szCs w:val="20"/>
          <w:color w:val="auto"/>
        </w:rPr>
      </w:pPr>
    </w:p>
    <w:p>
      <w:pPr>
        <w:ind w:left="9" w:right="80"/>
        <w:spacing w:after="0" w:line="284" w:lineRule="auto"/>
        <w:rPr>
          <w:sz w:val="20"/>
          <w:szCs w:val="20"/>
          <w:color w:val="auto"/>
        </w:rPr>
      </w:pPr>
      <w:r>
        <w:rPr>
          <w:rFonts w:ascii="Arial" w:cs="Arial" w:eastAsia="Arial" w:hAnsi="Arial"/>
          <w:sz w:val="15"/>
          <w:szCs w:val="15"/>
          <w:color w:val="auto"/>
        </w:rPr>
        <w:t>In response to the impact of the COVID-19 pandemic, and given the uncertainty of its duration, the Company has taken a number of precautionary measures, including the withdrawal and suspension of its specific full-year fiscal 2020 guidance and the temporary suspension of its quarterly cash dividend.</w:t>
      </w:r>
    </w:p>
    <w:p>
      <w:pPr>
        <w:spacing w:after="0" w:line="324"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29"/>
          </w:cols>
          <w:pgMar w:left="311" w:top="605" w:right="359" w:bottom="1440" w:gutter="0" w:footer="0" w:header="0"/>
        </w:sectPr>
      </w:pPr>
    </w:p>
    <w:bookmarkStart w:id="9" w:name="page10"/>
    <w:bookmarkEnd w:id="9"/>
    <w:p>
      <w:pPr>
        <w:ind w:left="429" w:hanging="429"/>
        <w:spacing w:after="0"/>
        <w:tabs>
          <w:tab w:leader="none" w:pos="42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ACCOUNTING PRONOUNCEMENTS</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New Accounting Pronouncements Adopted</w:t>
      </w:r>
    </w:p>
    <w:p>
      <w:pPr>
        <w:spacing w:after="0" w:line="193" w:lineRule="exact"/>
        <w:rPr>
          <w:sz w:val="20"/>
          <w:szCs w:val="20"/>
          <w:color w:val="auto"/>
        </w:rPr>
      </w:pPr>
    </w:p>
    <w:p>
      <w:pPr>
        <w:ind w:left="9" w:right="120"/>
        <w:spacing w:after="0" w:line="329" w:lineRule="auto"/>
        <w:rPr>
          <w:sz w:val="20"/>
          <w:szCs w:val="20"/>
          <w:color w:val="auto"/>
        </w:rPr>
      </w:pPr>
      <w:r>
        <w:rPr>
          <w:rFonts w:ascii="Arial" w:cs="Arial" w:eastAsia="Arial" w:hAnsi="Arial"/>
          <w:sz w:val="13"/>
          <w:szCs w:val="13"/>
          <w:color w:val="auto"/>
        </w:rPr>
        <w:t xml:space="preserve">In February 2016, the Financial Accounting Standards Board (FASB) issued Accounting Standards Update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The guidance in ASU 2016-02 supersedes the lease recognition requirements in the Accounting Standards Codification (ASC) Topic 840, </w:t>
      </w:r>
      <w:r>
        <w:rPr>
          <w:rFonts w:ascii="Arial" w:cs="Arial" w:eastAsia="Arial" w:hAnsi="Arial"/>
          <w:sz w:val="13"/>
          <w:szCs w:val="13"/>
          <w:i w:val="1"/>
          <w:iCs w:val="1"/>
          <w:color w:val="auto"/>
        </w:rPr>
        <w:t>Leases</w:t>
      </w:r>
      <w:r>
        <w:rPr>
          <w:rFonts w:ascii="Arial" w:cs="Arial" w:eastAsia="Arial" w:hAnsi="Arial"/>
          <w:sz w:val="13"/>
          <w:szCs w:val="13"/>
          <w:color w:val="auto"/>
        </w:rPr>
        <w:t>. ASU 2016-02 requires an entity to recognize assets and liabilities arising from a lease for both financing and operating leases, along with additional qualitative and quantitative disclosures. This standard became effective for the Company on September 1, 2019.</w:t>
      </w:r>
    </w:p>
    <w:p>
      <w:pPr>
        <w:spacing w:after="0" w:line="117" w:lineRule="exact"/>
        <w:rPr>
          <w:sz w:val="20"/>
          <w:szCs w:val="20"/>
          <w:color w:val="auto"/>
        </w:rPr>
      </w:pPr>
    </w:p>
    <w:p>
      <w:pPr>
        <w:ind w:left="9"/>
        <w:spacing w:after="0" w:line="284" w:lineRule="auto"/>
        <w:rPr>
          <w:sz w:val="20"/>
          <w:szCs w:val="20"/>
          <w:color w:val="auto"/>
        </w:rPr>
      </w:pPr>
      <w:r>
        <w:rPr>
          <w:rFonts w:ascii="Arial" w:cs="Arial" w:eastAsia="Arial" w:hAnsi="Arial"/>
          <w:sz w:val="15"/>
          <w:szCs w:val="15"/>
          <w:color w:val="auto"/>
        </w:rPr>
        <w:t>The FASB has subsequently issued the following amendments to ASU 2016-02, which have the same effective date and transition date of September 1, 2019, and which are collectively referred to as the new leasing standards:</w:t>
      </w:r>
    </w:p>
    <w:p>
      <w:pPr>
        <w:spacing w:after="0" w:line="141" w:lineRule="exact"/>
        <w:rPr>
          <w:sz w:val="20"/>
          <w:szCs w:val="20"/>
          <w:color w:val="auto"/>
        </w:rPr>
      </w:pPr>
    </w:p>
    <w:p>
      <w:pPr>
        <w:ind w:left="549" w:right="80" w:hanging="274"/>
        <w:spacing w:after="0" w:line="269" w:lineRule="auto"/>
        <w:tabs>
          <w:tab w:leader="none" w:pos="549"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ASU No. 2018-01, Leases (Topic 842): Land Easement Practical Expedient for Transition to Topic 842</w:t>
      </w:r>
      <w:r>
        <w:rPr>
          <w:rFonts w:ascii="Arial" w:cs="Arial" w:eastAsia="Arial" w:hAnsi="Arial"/>
          <w:sz w:val="15"/>
          <w:szCs w:val="15"/>
          <w:color w:val="auto"/>
        </w:rPr>
        <w:t>, which permits an entity to elect an optional transition practical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expedient to not evaluate under Topic 842 land easements that existed or expired prior to adoption of Topic 842 and that were not previously accounted for as leases under the prior standard, ASC 840,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left="549" w:hanging="274"/>
        <w:spacing w:after="0"/>
        <w:tabs>
          <w:tab w:leader="none" w:pos="549"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ASU No. 2018-10, </w:t>
      </w:r>
      <w:r>
        <w:rPr>
          <w:rFonts w:ascii="Arial" w:cs="Arial" w:eastAsia="Arial" w:hAnsi="Arial"/>
          <w:sz w:val="15"/>
          <w:szCs w:val="15"/>
          <w:i w:val="1"/>
          <w:iCs w:val="1"/>
          <w:color w:val="auto"/>
        </w:rPr>
        <w:t>Codification Improvements to Topic 842, Leases</w:t>
      </w:r>
      <w:r>
        <w:rPr>
          <w:rFonts w:ascii="Arial" w:cs="Arial" w:eastAsia="Arial" w:hAnsi="Arial"/>
          <w:sz w:val="15"/>
          <w:szCs w:val="15"/>
          <w:color w:val="auto"/>
        </w:rPr>
        <w:t>, which amends certain narrow aspects of the guidance issued in ASU 2016-02.</w:t>
      </w:r>
    </w:p>
    <w:p>
      <w:pPr>
        <w:spacing w:after="0" w:line="193" w:lineRule="exact"/>
        <w:rPr>
          <w:rFonts w:ascii="Arial" w:cs="Arial" w:eastAsia="Arial" w:hAnsi="Arial"/>
          <w:sz w:val="15"/>
          <w:szCs w:val="15"/>
          <w:color w:val="auto"/>
        </w:rPr>
      </w:pPr>
    </w:p>
    <w:p>
      <w:pPr>
        <w:ind w:left="549" w:right="140" w:hanging="274"/>
        <w:spacing w:after="0" w:line="269" w:lineRule="auto"/>
        <w:tabs>
          <w:tab w:leader="none" w:pos="549"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ASU No.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51" w:lineRule="exact"/>
        <w:rPr>
          <w:rFonts w:ascii="Arial" w:cs="Arial" w:eastAsia="Arial" w:hAnsi="Arial"/>
          <w:sz w:val="15"/>
          <w:szCs w:val="15"/>
          <w:color w:val="auto"/>
        </w:rPr>
      </w:pPr>
    </w:p>
    <w:p>
      <w:pPr>
        <w:ind w:left="549" w:hanging="274"/>
        <w:spacing w:after="0"/>
        <w:tabs>
          <w:tab w:leader="none" w:pos="549"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ASU No. 2018-20, </w:t>
      </w:r>
      <w:r>
        <w:rPr>
          <w:rFonts w:ascii="Arial" w:cs="Arial" w:eastAsia="Arial" w:hAnsi="Arial"/>
          <w:sz w:val="15"/>
          <w:szCs w:val="15"/>
          <w:i w:val="1"/>
          <w:iCs w:val="1"/>
          <w:color w:val="auto"/>
        </w:rPr>
        <w:t>Narrow-Scope Improvements for Lessors</w:t>
      </w:r>
      <w:r>
        <w:rPr>
          <w:rFonts w:ascii="Arial" w:cs="Arial" w:eastAsia="Arial" w:hAnsi="Arial"/>
          <w:sz w:val="15"/>
          <w:szCs w:val="15"/>
          <w:color w:val="auto"/>
        </w:rPr>
        <w:t>, which contains certain narrow scope improvements to the guidance issued in ASU 2016-02.</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color w:val="auto"/>
        </w:rPr>
        <w:t>Additional information and disclosures required by this new standard are contained in Note 12, titled “Commitments and Contingencies.”</w:t>
      </w:r>
    </w:p>
    <w:p>
      <w:pPr>
        <w:spacing w:after="0" w:line="193" w:lineRule="exact"/>
        <w:rPr>
          <w:sz w:val="20"/>
          <w:szCs w:val="20"/>
          <w:color w:val="auto"/>
        </w:rPr>
      </w:pPr>
    </w:p>
    <w:p>
      <w:pPr>
        <w:ind w:left="9" w:right="140"/>
        <w:spacing w:after="0" w:line="262" w:lineRule="auto"/>
        <w:rPr>
          <w:sz w:val="20"/>
          <w:szCs w:val="20"/>
          <w:color w:val="auto"/>
        </w:rPr>
      </w:pPr>
      <w:r>
        <w:rPr>
          <w:rFonts w:ascii="Arial" w:cs="Arial" w:eastAsia="Arial" w:hAnsi="Arial"/>
          <w:sz w:val="15"/>
          <w:szCs w:val="15"/>
          <w:color w:val="auto"/>
        </w:rPr>
        <w:t>The Company adopted the new leasing standards on September 1, 2019, using a modified retrospective transition approach to be applied to leases existing as of, or entered into after, September 1, 2019; and, consequently, financial information will not be updated and the disclosures required under Topic 842 will not be provided for dates and periods prior to September 1, 2019. The Company has reviewed its existing lease contracts and the impact of the new leasing standards on its consolidated results of operations, financial position and disclosures. Upon adoption of the new leasing standards, the Company recognized a lease liability and related right-of-use asset on its consolidated balance sheet of approximately $600,000.</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Recently Issued Accounting Pronouncements</w:t>
      </w:r>
    </w:p>
    <w:p>
      <w:pPr>
        <w:spacing w:after="0" w:line="193" w:lineRule="exact"/>
        <w:rPr>
          <w:sz w:val="20"/>
          <w:szCs w:val="20"/>
          <w:color w:val="auto"/>
        </w:rPr>
      </w:pPr>
    </w:p>
    <w:p>
      <w:pPr>
        <w:ind w:left="9"/>
        <w:spacing w:after="0" w:line="285" w:lineRule="auto"/>
        <w:rPr>
          <w:sz w:val="20"/>
          <w:szCs w:val="20"/>
          <w:color w:val="auto"/>
        </w:rPr>
      </w:pPr>
      <w:r>
        <w:rPr>
          <w:rFonts w:ascii="Arial" w:cs="Arial" w:eastAsia="Arial" w:hAnsi="Arial"/>
          <w:sz w:val="14"/>
          <w:szCs w:val="14"/>
          <w:color w:val="auto"/>
        </w:rPr>
        <w:t xml:space="preserve">In February 2018, the FASB issued ASU No. 2018-02, </w:t>
      </w:r>
      <w:r>
        <w:rPr>
          <w:rFonts w:ascii="Arial" w:cs="Arial" w:eastAsia="Arial" w:hAnsi="Arial"/>
          <w:sz w:val="14"/>
          <w:szCs w:val="14"/>
          <w:i w:val="1"/>
          <w:iCs w:val="1"/>
          <w:color w:val="auto"/>
        </w:rPr>
        <w:t>Income Statement – Reporting Comprehensive Income (Topic 220) Reclassification of Certain Tax Effects from Accumulated</w:t>
      </w:r>
      <w:r>
        <w:rPr>
          <w:rFonts w:ascii="Arial" w:cs="Arial" w:eastAsia="Arial" w:hAnsi="Arial"/>
          <w:sz w:val="14"/>
          <w:szCs w:val="14"/>
          <w:color w:val="auto"/>
        </w:rPr>
        <w:t xml:space="preserve"> </w:t>
      </w:r>
      <w:r>
        <w:rPr>
          <w:rFonts w:ascii="Arial" w:cs="Arial" w:eastAsia="Arial" w:hAnsi="Arial"/>
          <w:sz w:val="14"/>
          <w:szCs w:val="14"/>
          <w:i w:val="1"/>
          <w:iCs w:val="1"/>
          <w:color w:val="auto"/>
        </w:rPr>
        <w:t>Other Comprehensive Income</w:t>
      </w:r>
      <w:r>
        <w:rPr>
          <w:rFonts w:ascii="Arial" w:cs="Arial" w:eastAsia="Arial" w:hAnsi="Arial"/>
          <w:sz w:val="14"/>
          <w:szCs w:val="14"/>
          <w:color w:val="auto"/>
        </w:rPr>
        <w:t>, which will allow a reclassification from accumulated other comprehensive income to retained earnings for the tax effects resulting from the Tax Cuts and</w:t>
      </w:r>
      <w:r>
        <w:rPr>
          <w:rFonts w:ascii="Arial" w:cs="Arial" w:eastAsia="Arial" w:hAnsi="Arial"/>
          <w:sz w:val="14"/>
          <w:szCs w:val="14"/>
          <w:i w:val="1"/>
          <w:iCs w:val="1"/>
          <w:color w:val="auto"/>
        </w:rPr>
        <w:t xml:space="preserve"> </w:t>
      </w:r>
      <w:r>
        <w:rPr>
          <w:rFonts w:ascii="Arial" w:cs="Arial" w:eastAsia="Arial" w:hAnsi="Arial"/>
          <w:sz w:val="14"/>
          <w:szCs w:val="14"/>
          <w:color w:val="auto"/>
        </w:rPr>
        <w:t>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was adopted by the Company commencing with first quarter of the Company’s fiscal year 2020, and it did not have any impact on its consolidated financial statements.</w:t>
      </w:r>
    </w:p>
    <w:p>
      <w:pPr>
        <w:spacing w:after="0" w:line="142"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9"/>
          </w:cols>
          <w:pgMar w:left="311" w:top="605" w:right="3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Measurement of Credit Losses on Financial Instruments</w:t>
      </w:r>
      <w:r>
        <w:rPr>
          <w:rFonts w:ascii="Arial" w:cs="Arial" w:eastAsia="Arial" w:hAnsi="Arial"/>
          <w:sz w:val="14"/>
          <w:szCs w:val="14"/>
          <w:color w:val="auto"/>
        </w:rPr>
        <w:t>,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50" w:lineRule="exact"/>
        <w:rPr>
          <w:sz w:val="20"/>
          <w:szCs w:val="20"/>
          <w:color w:val="auto"/>
        </w:rPr>
      </w:pPr>
    </w:p>
    <w:p>
      <w:pPr>
        <w:ind w:right="60"/>
        <w:spacing w:after="0" w:line="321" w:lineRule="auto"/>
        <w:rPr>
          <w:sz w:val="20"/>
          <w:szCs w:val="20"/>
          <w:color w:val="auto"/>
        </w:rPr>
      </w:pPr>
      <w:r>
        <w:rPr>
          <w:rFonts w:ascii="Arial" w:cs="Arial" w:eastAsia="Arial" w:hAnsi="Arial"/>
          <w:sz w:val="14"/>
          <w:szCs w:val="14"/>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rPr>
                <w:sz w:val="20"/>
                <w:szCs w:val="20"/>
                <w:color w:val="auto"/>
              </w:rPr>
            </w:pPr>
            <w:r>
              <w:rPr>
                <w:rFonts w:ascii="Arial" w:cs="Arial" w:eastAsia="Arial" w:hAnsi="Arial"/>
                <w:sz w:val="15"/>
                <w:szCs w:val="15"/>
                <w:b w:val="1"/>
                <w:bCs w:val="1"/>
                <w:color w:val="auto"/>
              </w:rPr>
              <w:t>3.</w:t>
            </w:r>
          </w:p>
        </w:tc>
        <w:tc>
          <w:tcPr>
            <w:tcW w:w="4000" w:type="dxa"/>
            <w:vAlign w:val="bottom"/>
            <w:gridSpan w:val="2"/>
          </w:tcPr>
          <w:p>
            <w:pPr>
              <w:ind w:left="140"/>
              <w:spacing w:after="0"/>
              <w:rPr>
                <w:sz w:val="20"/>
                <w:szCs w:val="20"/>
                <w:color w:val="auto"/>
              </w:rPr>
            </w:pPr>
            <w:r>
              <w:rPr>
                <w:rFonts w:ascii="Arial" w:cs="Arial" w:eastAsia="Arial" w:hAnsi="Arial"/>
                <w:sz w:val="15"/>
                <w:szCs w:val="15"/>
                <w:b w:val="1"/>
                <w:bCs w:val="1"/>
                <w:color w:val="auto"/>
              </w:rPr>
              <w:t>INVENTORIES</w:t>
            </w: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66"/>
        </w:trPr>
        <w:tc>
          <w:tcPr>
            <w:tcW w:w="4240" w:type="dxa"/>
            <w:vAlign w:val="bottom"/>
            <w:gridSpan w:val="3"/>
          </w:tcPr>
          <w:p>
            <w:pPr>
              <w:spacing w:after="0"/>
              <w:rPr>
                <w:sz w:val="20"/>
                <w:szCs w:val="20"/>
                <w:color w:val="auto"/>
              </w:rPr>
            </w:pPr>
            <w:r>
              <w:rPr>
                <w:rFonts w:ascii="Arial" w:cs="Arial" w:eastAsia="Arial" w:hAnsi="Arial"/>
                <w:sz w:val="15"/>
                <w:szCs w:val="15"/>
                <w:color w:val="auto"/>
              </w:rPr>
              <w:t>Inventories consisted of the following:</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7"/>
        </w:trPr>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August 31, 2019</w:t>
            </w:r>
          </w:p>
        </w:tc>
      </w:tr>
      <w:tr>
        <w:trPr>
          <w:trHeight w:val="174"/>
        </w:trPr>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Production materials</w:t>
            </w:r>
          </w:p>
        </w:tc>
        <w:tc>
          <w:tcPr>
            <w:tcW w:w="19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3,898,782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1,980,816</w:t>
            </w:r>
          </w:p>
        </w:tc>
      </w:tr>
      <w:tr>
        <w:trPr>
          <w:trHeight w:val="194"/>
        </w:trPr>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Finished goods</w:t>
            </w:r>
          </w:p>
        </w:tc>
        <w:tc>
          <w:tcPr>
            <w:tcW w:w="19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8,181,983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8,507,912</w:t>
            </w:r>
          </w:p>
        </w:tc>
      </w:tr>
      <w:tr>
        <w:trPr>
          <w:trHeight w:val="186"/>
        </w:trPr>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12,080,765</w:t>
            </w:r>
          </w:p>
        </w:tc>
        <w:tc>
          <w:tcPr>
            <w:tcW w:w="720" w:type="dxa"/>
            <w:vAlign w:val="bottom"/>
            <w:gridSpan w:val="2"/>
            <w:shd w:val="clear" w:color="auto" w:fill="CCEEFF"/>
          </w:tcPr>
          <w:p>
            <w:pPr>
              <w:jc w:val="right"/>
              <w:ind w:right="464"/>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10,488,728</w:t>
            </w:r>
          </w:p>
        </w:tc>
      </w:tr>
      <w:tr>
        <w:trPr>
          <w:trHeight w:val="20"/>
        </w:trPr>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rPr>
                <w:sz w:val="20"/>
                <w:szCs w:val="20"/>
                <w:color w:val="auto"/>
              </w:rPr>
            </w:pPr>
            <w:r>
              <w:rPr>
                <w:rFonts w:ascii="Arial" w:cs="Arial" w:eastAsia="Arial" w:hAnsi="Arial"/>
                <w:sz w:val="15"/>
                <w:szCs w:val="15"/>
                <w:b w:val="1"/>
                <w:bCs w:val="1"/>
                <w:color w:val="auto"/>
              </w:rPr>
              <w:t>4.</w:t>
            </w:r>
          </w:p>
        </w:tc>
        <w:tc>
          <w:tcPr>
            <w:tcW w:w="4540" w:type="dxa"/>
            <w:vAlign w:val="bottom"/>
            <w:gridSpan w:val="2"/>
          </w:tcPr>
          <w:p>
            <w:pPr>
              <w:ind w:left="140"/>
              <w:spacing w:after="0"/>
              <w:rPr>
                <w:sz w:val="20"/>
                <w:szCs w:val="20"/>
                <w:color w:val="auto"/>
              </w:rPr>
            </w:pPr>
            <w:r>
              <w:rPr>
                <w:rFonts w:ascii="Arial" w:cs="Arial" w:eastAsia="Arial" w:hAnsi="Arial"/>
                <w:sz w:val="15"/>
                <w:szCs w:val="15"/>
                <w:b w:val="1"/>
                <w:bCs w:val="1"/>
                <w:color w:val="auto"/>
              </w:rPr>
              <w:t>PROPERTY AND EQUIPMENT, NET</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66"/>
        </w:trPr>
        <w:tc>
          <w:tcPr>
            <w:tcW w:w="4780" w:type="dxa"/>
            <w:vAlign w:val="bottom"/>
            <w:gridSpan w:val="3"/>
          </w:tcPr>
          <w:p>
            <w:pPr>
              <w:spacing w:after="0"/>
              <w:rPr>
                <w:sz w:val="20"/>
                <w:szCs w:val="20"/>
                <w:color w:val="auto"/>
              </w:rPr>
            </w:pPr>
            <w:r>
              <w:rPr>
                <w:rFonts w:ascii="Arial" w:cs="Arial" w:eastAsia="Arial" w:hAnsi="Arial"/>
                <w:sz w:val="15"/>
                <w:szCs w:val="15"/>
                <w:color w:val="auto"/>
              </w:rPr>
              <w:t>Property and equipment, net, consisted of the following:</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7"/>
        </w:trPr>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2"/>
          </w:tcPr>
          <w:p>
            <w:pPr>
              <w:ind w:left="300"/>
              <w:spacing w:after="0"/>
              <w:rPr>
                <w:sz w:val="20"/>
                <w:szCs w:val="20"/>
                <w:color w:val="auto"/>
              </w:rPr>
            </w:pPr>
            <w:r>
              <w:rPr>
                <w:rFonts w:ascii="Arial" w:cs="Arial" w:eastAsia="Arial" w:hAnsi="Arial"/>
                <w:sz w:val="15"/>
                <w:szCs w:val="15"/>
                <w:b w:val="1"/>
                <w:bCs w:val="1"/>
                <w:color w:val="auto"/>
              </w:rPr>
              <w:t>May 31, 2020</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jc w:val="right"/>
              <w:ind w:right="524"/>
              <w:spacing w:after="0"/>
              <w:rPr>
                <w:sz w:val="20"/>
                <w:szCs w:val="20"/>
                <w:color w:val="auto"/>
              </w:rPr>
            </w:pPr>
            <w:r>
              <w:rPr>
                <w:rFonts w:ascii="Arial" w:cs="Arial" w:eastAsia="Arial" w:hAnsi="Arial"/>
                <w:sz w:val="15"/>
                <w:szCs w:val="15"/>
                <w:b w:val="1"/>
                <w:bCs w:val="1"/>
                <w:color w:val="auto"/>
              </w:rPr>
              <w:t>August 31, 2019</w:t>
            </w:r>
          </w:p>
        </w:tc>
      </w:tr>
      <w:tr>
        <w:trPr>
          <w:trHeight w:val="174"/>
        </w:trPr>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Land</w:t>
            </w:r>
          </w:p>
        </w:tc>
        <w:tc>
          <w:tcPr>
            <w:tcW w:w="1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310,365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310,365</w:t>
            </w:r>
          </w:p>
        </w:tc>
      </w:tr>
      <w:tr>
        <w:trPr>
          <w:trHeight w:val="183"/>
        </w:trPr>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Buildings and improvements</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ind w:right="24"/>
              <w:spacing w:after="0"/>
              <w:rPr>
                <w:sz w:val="20"/>
                <w:szCs w:val="20"/>
                <w:color w:val="auto"/>
              </w:rPr>
            </w:pPr>
            <w:r>
              <w:rPr>
                <w:rFonts w:ascii="Arial" w:cs="Arial" w:eastAsia="Arial" w:hAnsi="Arial"/>
                <w:sz w:val="15"/>
                <w:szCs w:val="15"/>
                <w:color w:val="auto"/>
              </w:rPr>
              <w:t>7,969,890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ind w:right="24"/>
              <w:spacing w:after="0"/>
              <w:rPr>
                <w:sz w:val="20"/>
                <w:szCs w:val="20"/>
                <w:color w:val="auto"/>
              </w:rPr>
            </w:pPr>
            <w:r>
              <w:rPr>
                <w:rFonts w:ascii="Arial" w:cs="Arial" w:eastAsia="Arial" w:hAnsi="Arial"/>
                <w:sz w:val="15"/>
                <w:szCs w:val="15"/>
                <w:color w:val="auto"/>
              </w:rPr>
              <w:t>7,749,980</w:t>
            </w:r>
          </w:p>
        </w:tc>
      </w:tr>
      <w:tr>
        <w:trPr>
          <w:trHeight w:val="194"/>
        </w:trPr>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Machinery and equipment</w:t>
            </w:r>
          </w:p>
        </w:tc>
        <w:tc>
          <w:tcPr>
            <w:tcW w:w="13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4,795,234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4,903,664</w:t>
            </w:r>
          </w:p>
        </w:tc>
      </w:tr>
      <w:tr>
        <w:trPr>
          <w:trHeight w:val="174"/>
        </w:trPr>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ind w:right="24"/>
              <w:spacing w:after="0"/>
              <w:rPr>
                <w:sz w:val="20"/>
                <w:szCs w:val="20"/>
                <w:color w:val="auto"/>
              </w:rPr>
            </w:pPr>
            <w:r>
              <w:rPr>
                <w:rFonts w:ascii="Arial" w:cs="Arial" w:eastAsia="Arial" w:hAnsi="Arial"/>
                <w:sz w:val="15"/>
                <w:szCs w:val="15"/>
                <w:color w:val="auto"/>
              </w:rPr>
              <w:t>13,075,489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ind w:right="24"/>
              <w:spacing w:after="0"/>
              <w:rPr>
                <w:sz w:val="20"/>
                <w:szCs w:val="20"/>
                <w:color w:val="auto"/>
              </w:rPr>
            </w:pPr>
            <w:r>
              <w:rPr>
                <w:rFonts w:ascii="Arial" w:cs="Arial" w:eastAsia="Arial" w:hAnsi="Arial"/>
                <w:sz w:val="15"/>
                <w:szCs w:val="15"/>
                <w:color w:val="auto"/>
              </w:rPr>
              <w:t>12,964,009</w:t>
            </w:r>
          </w:p>
        </w:tc>
      </w:tr>
      <w:tr>
        <w:trPr>
          <w:trHeight w:val="194"/>
        </w:trPr>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w:t>
            </w:r>
          </w:p>
        </w:tc>
        <w:tc>
          <w:tcPr>
            <w:tcW w:w="13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(6,111,521)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(5,605,850)</w:t>
            </w:r>
          </w:p>
        </w:tc>
      </w:tr>
      <w:tr>
        <w:trPr>
          <w:trHeight w:val="186"/>
        </w:trPr>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74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24"/>
              <w:spacing w:after="0"/>
              <w:rPr>
                <w:sz w:val="20"/>
                <w:szCs w:val="20"/>
                <w:color w:val="auto"/>
              </w:rPr>
            </w:pPr>
            <w:r>
              <w:rPr>
                <w:rFonts w:ascii="Arial" w:cs="Arial" w:eastAsia="Arial" w:hAnsi="Arial"/>
                <w:sz w:val="15"/>
                <w:szCs w:val="15"/>
                <w:color w:val="auto"/>
              </w:rPr>
              <w:t>6,963,968</w:t>
            </w:r>
          </w:p>
        </w:tc>
        <w:tc>
          <w:tcPr>
            <w:tcW w:w="100" w:type="dxa"/>
            <w:vAlign w:val="bottom"/>
          </w:tcPr>
          <w:p>
            <w:pPr>
              <w:spacing w:after="0"/>
              <w:rPr>
                <w:sz w:val="16"/>
                <w:szCs w:val="16"/>
                <w:color w:val="auto"/>
              </w:rPr>
            </w:pPr>
          </w:p>
        </w:tc>
        <w:tc>
          <w:tcPr>
            <w:tcW w:w="340" w:type="dxa"/>
            <w:vAlign w:val="bottom"/>
            <w:gridSpan w:val="2"/>
          </w:tcPr>
          <w:p>
            <w:pPr>
              <w:jc w:val="right"/>
              <w:ind w:right="211"/>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ind w:right="24"/>
              <w:spacing w:after="0"/>
              <w:rPr>
                <w:sz w:val="20"/>
                <w:szCs w:val="20"/>
                <w:color w:val="auto"/>
              </w:rPr>
            </w:pPr>
            <w:r>
              <w:rPr>
                <w:rFonts w:ascii="Arial" w:cs="Arial" w:eastAsia="Arial" w:hAnsi="Arial"/>
                <w:sz w:val="15"/>
                <w:szCs w:val="15"/>
                <w:color w:val="auto"/>
              </w:rPr>
              <w:t>7,358,159</w:t>
            </w:r>
          </w:p>
        </w:tc>
      </w:tr>
      <w:tr>
        <w:trPr>
          <w:trHeight w:val="20"/>
        </w:trPr>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60" w:type="dxa"/>
            <w:vAlign w:val="bottom"/>
            <w:gridSpan w:val="2"/>
          </w:tcPr>
          <w:p>
            <w:pPr>
              <w:spacing w:after="0"/>
              <w:rPr>
                <w:sz w:val="20"/>
                <w:szCs w:val="20"/>
                <w:color w:val="auto"/>
              </w:rPr>
            </w:pPr>
            <w:r>
              <w:rPr>
                <w:rFonts w:ascii="Arial" w:cs="Arial" w:eastAsia="Arial" w:hAnsi="Arial"/>
                <w:sz w:val="15"/>
                <w:szCs w:val="15"/>
                <w:b w:val="1"/>
                <w:bCs w:val="1"/>
                <w:color w:val="auto"/>
              </w:rPr>
              <w:t>5.    PATENTS AND TRADEMARKS, NET</w:t>
            </w: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66"/>
        </w:trPr>
        <w:tc>
          <w:tcPr>
            <w:tcW w:w="4760" w:type="dxa"/>
            <w:vAlign w:val="bottom"/>
            <w:gridSpan w:val="2"/>
          </w:tcPr>
          <w:p>
            <w:pPr>
              <w:spacing w:after="0"/>
              <w:rPr>
                <w:sz w:val="20"/>
                <w:szCs w:val="20"/>
                <w:color w:val="auto"/>
              </w:rPr>
            </w:pPr>
            <w:r>
              <w:rPr>
                <w:rFonts w:ascii="Arial" w:cs="Arial" w:eastAsia="Arial" w:hAnsi="Arial"/>
                <w:sz w:val="15"/>
                <w:szCs w:val="15"/>
                <w:color w:val="auto"/>
              </w:rPr>
              <w:t>Patents and trademarks, net, consisted of the following:</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7"/>
        </w:trPr>
        <w:tc>
          <w:tcPr>
            <w:tcW w:w="560" w:type="dxa"/>
            <w:vAlign w:val="bottom"/>
          </w:tcPr>
          <w:p>
            <w:pPr>
              <w:spacing w:after="0"/>
              <w:rPr>
                <w:sz w:val="24"/>
                <w:szCs w:val="24"/>
                <w:color w:val="auto"/>
              </w:rPr>
            </w:pPr>
          </w:p>
        </w:tc>
        <w:tc>
          <w:tcPr>
            <w:tcW w:w="42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August 31, 2019</w:t>
            </w:r>
          </w:p>
        </w:tc>
      </w:tr>
      <w:tr>
        <w:trPr>
          <w:trHeight w:val="174"/>
        </w:trPr>
        <w:tc>
          <w:tcPr>
            <w:tcW w:w="560" w:type="dxa"/>
            <w:vAlign w:val="bottom"/>
          </w:tcPr>
          <w:p>
            <w:pPr>
              <w:spacing w:after="0"/>
              <w:rPr>
                <w:sz w:val="15"/>
                <w:szCs w:val="15"/>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Patents and trademarks</w:t>
            </w:r>
          </w:p>
        </w:tc>
        <w:tc>
          <w:tcPr>
            <w:tcW w:w="13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2,889,223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2,938,876</w:t>
            </w:r>
          </w:p>
        </w:tc>
      </w:tr>
      <w:tr>
        <w:trPr>
          <w:trHeight w:val="194"/>
        </w:trPr>
        <w:tc>
          <w:tcPr>
            <w:tcW w:w="560" w:type="dxa"/>
            <w:vAlign w:val="bottom"/>
          </w:tcPr>
          <w:p>
            <w:pPr>
              <w:spacing w:after="0"/>
              <w:rPr>
                <w:sz w:val="16"/>
                <w:szCs w:val="16"/>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accumulated amortization</w:t>
            </w:r>
          </w:p>
        </w:tc>
        <w:tc>
          <w:tcPr>
            <w:tcW w:w="1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(2,049,688)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(1,929,907)</w:t>
            </w:r>
          </w:p>
        </w:tc>
      </w:tr>
      <w:tr>
        <w:trPr>
          <w:trHeight w:val="186"/>
        </w:trPr>
        <w:tc>
          <w:tcPr>
            <w:tcW w:w="560" w:type="dxa"/>
            <w:vAlign w:val="bottom"/>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839,535</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1,008,969</w:t>
            </w:r>
          </w:p>
        </w:tc>
      </w:tr>
      <w:tr>
        <w:trPr>
          <w:trHeight w:val="20"/>
        </w:trPr>
        <w:tc>
          <w:tcPr>
            <w:tcW w:w="56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60"/>
        <w:spacing w:after="0" w:line="269" w:lineRule="auto"/>
        <w:rPr>
          <w:sz w:val="20"/>
          <w:szCs w:val="20"/>
          <w:color w:val="auto"/>
        </w:rPr>
      </w:pPr>
      <w:r>
        <w:rPr>
          <w:rFonts w:ascii="Arial" w:cs="Arial" w:eastAsia="Arial" w:hAnsi="Arial"/>
          <w:sz w:val="15"/>
          <w:szCs w:val="15"/>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$200,000 in each of the next five fiscal years.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1" w:name="page12"/>
    <w:bookmarkEnd w:id="11"/>
    <w:p>
      <w:pPr>
        <w:ind w:left="389" w:hanging="389"/>
        <w:spacing w:after="0"/>
        <w:tabs>
          <w:tab w:leader="none" w:pos="38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IN JOINT VENTURES</w:t>
      </w:r>
    </w:p>
    <w:p>
      <w:pPr>
        <w:spacing w:after="0" w:line="197" w:lineRule="exact"/>
        <w:rPr>
          <w:sz w:val="20"/>
          <w:szCs w:val="20"/>
          <w:color w:val="auto"/>
        </w:rPr>
      </w:pPr>
    </w:p>
    <w:p>
      <w:pPr>
        <w:ind w:left="9" w:right="40"/>
        <w:spacing w:after="0" w:line="264" w:lineRule="auto"/>
        <w:rPr>
          <w:sz w:val="20"/>
          <w:szCs w:val="20"/>
          <w:color w:val="auto"/>
        </w:rPr>
      </w:pPr>
      <w:r>
        <w:rPr>
          <w:rFonts w:ascii="Arial" w:cs="Arial" w:eastAsia="Arial" w:hAnsi="Arial"/>
          <w:sz w:val="15"/>
          <w:szCs w:val="15"/>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of sales from the Company to its joint ventures and from joint ventures to other joint ventures have been eliminated for financial reporting purposes.</w:t>
      </w:r>
    </w:p>
    <w:p>
      <w:pPr>
        <w:spacing w:after="0" w:line="156" w:lineRule="exact"/>
        <w:rPr>
          <w:sz w:val="20"/>
          <w:szCs w:val="20"/>
          <w:color w:val="auto"/>
        </w:rPr>
      </w:pPr>
    </w:p>
    <w:p>
      <w:pPr>
        <w:ind w:left="9" w:right="220"/>
        <w:spacing w:after="0" w:line="284" w:lineRule="auto"/>
        <w:rPr>
          <w:sz w:val="20"/>
          <w:szCs w:val="20"/>
          <w:color w:val="auto"/>
        </w:rPr>
      </w:pPr>
      <w:r>
        <w:rPr>
          <w:rFonts w:ascii="Arial" w:cs="Arial" w:eastAsia="Arial" w:hAnsi="Arial"/>
          <w:sz w:val="15"/>
          <w:szCs w:val="15"/>
          <w:color w:val="auto"/>
        </w:rPr>
        <w:t>Financial information from the audited and unaudited financial statements of the Company’s joint venture in Germany, Excor Korrosionsschutz – Technologien und Produkte GmbH (EXCOR), and all the Company’s other joint ventures are summarized as follows:</w:t>
      </w:r>
    </w:p>
    <w:p>
      <w:pPr>
        <w:spacing w:after="0" w:line="148"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4"/>
              </w:rPr>
              <w:t>As of May 31, 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120" w:type="dxa"/>
            <w:vAlign w:val="bottom"/>
          </w:tcPr>
          <w:p>
            <w:pPr>
              <w:jc w:val="right"/>
              <w:ind w:right="324"/>
              <w:spacing w:after="0"/>
              <w:rPr>
                <w:sz w:val="20"/>
                <w:szCs w:val="20"/>
                <w:color w:val="auto"/>
              </w:rPr>
            </w:pPr>
            <w:r>
              <w:rPr>
                <w:rFonts w:ascii="Arial" w:cs="Arial" w:eastAsia="Arial" w:hAnsi="Arial"/>
                <w:sz w:val="15"/>
                <w:szCs w:val="15"/>
                <w:b w:val="1"/>
                <w:bCs w:val="1"/>
                <w:color w:val="auto"/>
              </w:rPr>
              <w:t>EXCOR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84"/>
              <w:spacing w:after="0"/>
              <w:rPr>
                <w:sz w:val="20"/>
                <w:szCs w:val="20"/>
                <w:color w:val="auto"/>
              </w:rPr>
            </w:pPr>
            <w:r>
              <w:rPr>
                <w:rFonts w:ascii="Arial" w:cs="Arial" w:eastAsia="Arial" w:hAnsi="Arial"/>
                <w:sz w:val="15"/>
                <w:szCs w:val="15"/>
                <w:b w:val="1"/>
                <w:bCs w:val="1"/>
                <w:color w:val="auto"/>
              </w:rPr>
              <w:t>All Other</w:t>
            </w:r>
          </w:p>
        </w:tc>
      </w:tr>
      <w:tr>
        <w:trPr>
          <w:trHeight w:val="174"/>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52,424,780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23,825,008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28,599,772</w:t>
            </w:r>
          </w:p>
        </w:tc>
      </w:tr>
      <w:tr>
        <w:trPr>
          <w:trHeight w:val="183"/>
        </w:trPr>
        <w:tc>
          <w:tcPr>
            <w:tcW w:w="6980" w:type="dxa"/>
            <w:vAlign w:val="bottom"/>
          </w:tcPr>
          <w:p>
            <w:pPr>
              <w:spacing w:after="0"/>
              <w:rPr>
                <w:sz w:val="20"/>
                <w:szCs w:val="20"/>
                <w:color w:val="auto"/>
              </w:rPr>
            </w:pPr>
            <w:r>
              <w:rPr>
                <w:rFonts w:ascii="Arial" w:cs="Arial" w:eastAsia="Arial" w:hAnsi="Arial"/>
                <w:sz w:val="15"/>
                <w:szCs w:val="15"/>
                <w:color w:val="auto"/>
              </w:rPr>
              <w:t>Total assets</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56,403,406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26,143,537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30,259,869</w:t>
            </w:r>
          </w:p>
        </w:tc>
      </w:tr>
      <w:tr>
        <w:trPr>
          <w:trHeight w:val="183"/>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11,741,077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2,686,694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9,054,383</w:t>
            </w:r>
          </w:p>
        </w:tc>
      </w:tr>
      <w:tr>
        <w:trPr>
          <w:trHeight w:val="183"/>
        </w:trPr>
        <w:tc>
          <w:tcPr>
            <w:tcW w:w="6980" w:type="dxa"/>
            <w:vAlign w:val="bottom"/>
          </w:tcPr>
          <w:p>
            <w:pPr>
              <w:spacing w:after="0"/>
              <w:rPr>
                <w:sz w:val="20"/>
                <w:szCs w:val="20"/>
                <w:color w:val="auto"/>
              </w:rPr>
            </w:pPr>
            <w:r>
              <w:rPr>
                <w:rFonts w:ascii="Arial" w:cs="Arial" w:eastAsia="Arial" w:hAnsi="Arial"/>
                <w:sz w:val="15"/>
                <w:szCs w:val="15"/>
                <w:color w:val="auto"/>
              </w:rPr>
              <w:t>Noncurrent liabilities</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32,412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32,412</w:t>
            </w:r>
          </w:p>
        </w:tc>
      </w:tr>
      <w:tr>
        <w:trPr>
          <w:trHeight w:val="183"/>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Joint ventures’ equity</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44,629,920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23,456,842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21,173,078</w:t>
            </w:r>
          </w:p>
        </w:tc>
      </w:tr>
      <w:tr>
        <w:trPr>
          <w:trHeight w:val="183"/>
        </w:trPr>
        <w:tc>
          <w:tcPr>
            <w:tcW w:w="6980" w:type="dxa"/>
            <w:vAlign w:val="bottom"/>
          </w:tcPr>
          <w:p>
            <w:pPr>
              <w:spacing w:after="0"/>
              <w:rPr>
                <w:sz w:val="20"/>
                <w:szCs w:val="20"/>
                <w:color w:val="auto"/>
              </w:rPr>
            </w:pPr>
            <w:r>
              <w:rPr>
                <w:rFonts w:ascii="Arial" w:cs="Arial" w:eastAsia="Arial" w:hAnsi="Arial"/>
                <w:sz w:val="15"/>
                <w:szCs w:val="15"/>
                <w:color w:val="auto"/>
              </w:rPr>
              <w:t>Northern Technologies International Corporation’s share of joint ventures’ equity</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21,942,063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11,728,423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10,213,640</w:t>
            </w:r>
          </w:p>
        </w:tc>
      </w:tr>
      <w:tr>
        <w:trPr>
          <w:trHeight w:val="183"/>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Northern Technologies International Corporation’s share of joint ventures’ undistributed earnings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19,706,983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11,697,518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8,009,465</w:t>
            </w:r>
          </w:p>
        </w:tc>
      </w:tr>
    </w:tbl>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Three Months Ended May 31, 2020</w:t>
            </w:r>
          </w:p>
        </w:tc>
        <w:tc>
          <w:tcPr>
            <w:tcW w:w="980" w:type="dxa"/>
            <w:vAlign w:val="bottom"/>
            <w:tcBorders>
              <w:bottom w:val="single" w:sz="8" w:color="auto"/>
            </w:tcBorders>
          </w:tcPr>
          <w:p>
            <w:pPr>
              <w:spacing w:after="0"/>
              <w:rPr>
                <w:sz w:val="17"/>
                <w:szCs w:val="17"/>
                <w:color w:val="auto"/>
              </w:rPr>
            </w:pPr>
          </w:p>
        </w:tc>
      </w:tr>
      <w:tr>
        <w:trPr>
          <w:trHeight w:val="186"/>
        </w:trPr>
        <w:tc>
          <w:tcPr>
            <w:tcW w:w="6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120" w:type="dxa"/>
            <w:vAlign w:val="bottom"/>
          </w:tcPr>
          <w:p>
            <w:pPr>
              <w:jc w:val="right"/>
              <w:ind w:right="324"/>
              <w:spacing w:after="0"/>
              <w:rPr>
                <w:sz w:val="20"/>
                <w:szCs w:val="20"/>
                <w:color w:val="auto"/>
              </w:rPr>
            </w:pPr>
            <w:r>
              <w:rPr>
                <w:rFonts w:ascii="Arial" w:cs="Arial" w:eastAsia="Arial" w:hAnsi="Arial"/>
                <w:sz w:val="15"/>
                <w:szCs w:val="15"/>
                <w:b w:val="1"/>
                <w:bCs w:val="1"/>
                <w:color w:val="auto"/>
              </w:rPr>
              <w:t>EXCOR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284"/>
              <w:spacing w:after="0"/>
              <w:rPr>
                <w:sz w:val="20"/>
                <w:szCs w:val="20"/>
                <w:color w:val="auto"/>
              </w:rPr>
            </w:pPr>
            <w:r>
              <w:rPr>
                <w:rFonts w:ascii="Arial" w:cs="Arial" w:eastAsia="Arial" w:hAnsi="Arial"/>
                <w:sz w:val="15"/>
                <w:szCs w:val="15"/>
                <w:b w:val="1"/>
                <w:bCs w:val="1"/>
                <w:color w:val="auto"/>
                <w:w w:val="94"/>
              </w:rPr>
              <w:t>All Other</w:t>
            </w:r>
          </w:p>
        </w:tc>
      </w:tr>
      <w:tr>
        <w:trPr>
          <w:trHeight w:val="174"/>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18,782,233</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7,753,631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11,028,602</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Gross profit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8,647,784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4,478,739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4,169,045</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1,610,524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1,071,899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538,625</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Northern Technologies International Corporation’s share of equity in income from joint ventures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811,787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536,540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275,247</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Northern Technologies International Corporation’s dividends received from joint ventures</w:t>
            </w:r>
          </w:p>
        </w:tc>
        <w:tc>
          <w:tcPr>
            <w:tcW w:w="86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89,227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89,227</w:t>
            </w:r>
          </w:p>
        </w:tc>
      </w:tr>
    </w:tbl>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Nine Months Ended May 31, 2020</w:t>
            </w:r>
          </w:p>
        </w:tc>
        <w:tc>
          <w:tcPr>
            <w:tcW w:w="1000" w:type="dxa"/>
            <w:vAlign w:val="bottom"/>
            <w:tcBorders>
              <w:bottom w:val="single" w:sz="8" w:color="auto"/>
            </w:tcBorders>
          </w:tcPr>
          <w:p>
            <w:pPr>
              <w:spacing w:after="0"/>
              <w:rPr>
                <w:sz w:val="17"/>
                <w:szCs w:val="17"/>
                <w:color w:val="auto"/>
              </w:rPr>
            </w:pPr>
          </w:p>
        </w:tc>
      </w:tr>
      <w:tr>
        <w:trPr>
          <w:trHeight w:val="186"/>
        </w:trPr>
        <w:tc>
          <w:tcPr>
            <w:tcW w:w="6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120" w:type="dxa"/>
            <w:vAlign w:val="bottom"/>
          </w:tcPr>
          <w:p>
            <w:pPr>
              <w:jc w:val="right"/>
              <w:ind w:right="324"/>
              <w:spacing w:after="0"/>
              <w:rPr>
                <w:sz w:val="20"/>
                <w:szCs w:val="20"/>
                <w:color w:val="auto"/>
              </w:rPr>
            </w:pPr>
            <w:r>
              <w:rPr>
                <w:rFonts w:ascii="Arial" w:cs="Arial" w:eastAsia="Arial" w:hAnsi="Arial"/>
                <w:sz w:val="15"/>
                <w:szCs w:val="15"/>
                <w:b w:val="1"/>
                <w:bCs w:val="1"/>
                <w:color w:val="auto"/>
              </w:rPr>
              <w:t>EXCOR</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284"/>
              <w:spacing w:after="0"/>
              <w:rPr>
                <w:sz w:val="20"/>
                <w:szCs w:val="20"/>
                <w:color w:val="auto"/>
              </w:rPr>
            </w:pPr>
            <w:r>
              <w:rPr>
                <w:rFonts w:ascii="Arial" w:cs="Arial" w:eastAsia="Arial" w:hAnsi="Arial"/>
                <w:sz w:val="15"/>
                <w:szCs w:val="15"/>
                <w:b w:val="1"/>
                <w:bCs w:val="1"/>
                <w:color w:val="auto"/>
                <w:w w:val="97"/>
              </w:rPr>
              <w:t>All Other</w:t>
            </w:r>
          </w:p>
        </w:tc>
      </w:tr>
      <w:tr>
        <w:trPr>
          <w:trHeight w:val="174"/>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68,531,897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26,102,046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42,429,851</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Gross profit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31,107,491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15,066,309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16,041,182</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6,920,047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4,492,254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2,427,793</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Northern Technologies International Corporation’s share of equity in income from joint ventures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3,466,581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2,246,930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1,219,651</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Northern Technologies International Corporation’s dividends received from joint ventures</w:t>
            </w:r>
          </w:p>
        </w:tc>
        <w:tc>
          <w:tcPr>
            <w:tcW w:w="86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5,648,153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4,675,850</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972,303</w:t>
            </w:r>
          </w:p>
        </w:tc>
      </w:tr>
      <w:tr>
        <w:trPr>
          <w:trHeight w:val="586"/>
        </w:trPr>
        <w:tc>
          <w:tcPr>
            <w:tcW w:w="6420" w:type="dxa"/>
            <w:vAlign w:val="bottom"/>
            <w:tcBorders>
              <w:bottom w:val="single" w:sz="8" w:color="auto"/>
            </w:tcBorders>
          </w:tcPr>
          <w:p>
            <w:pPr>
              <w:ind w:left="5560"/>
              <w:spacing w:after="0"/>
              <w:rPr>
                <w:sz w:val="20"/>
                <w:szCs w:val="20"/>
                <w:color w:val="auto"/>
              </w:rPr>
            </w:pPr>
            <w:r>
              <w:rPr>
                <w:rFonts w:ascii="Arial" w:cs="Arial" w:eastAsia="Arial" w:hAnsi="Arial"/>
                <w:sz w:val="15"/>
                <w:szCs w:val="15"/>
                <w:color w:val="auto"/>
              </w:rPr>
              <w:t>11</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9"/>
          </w:cols>
          <w:pgMar w:left="311" w:top="605" w:right="319" w:bottom="1440" w:gutter="0" w:footer="0" w:header="0"/>
        </w:sectPr>
      </w:pPr>
    </w:p>
    <w:bookmarkStart w:id="12" w:name="page13"/>
    <w:bookmarkEnd w:id="12"/>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5"/>
                <w:szCs w:val="15"/>
                <w:b w:val="1"/>
                <w:bCs w:val="1"/>
                <w:color w:val="auto"/>
                <w:w w:val="89"/>
              </w:rPr>
              <w:t>As of August 31, 2019</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4"/>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EXCOR</w:t>
            </w:r>
          </w:p>
        </w:tc>
        <w:tc>
          <w:tcPr>
            <w:tcW w:w="220" w:type="dxa"/>
            <w:vAlign w:val="bottom"/>
          </w:tcPr>
          <w:p>
            <w:pPr>
              <w:spacing w:after="0"/>
              <w:rPr>
                <w:sz w:val="16"/>
                <w:szCs w:val="16"/>
                <w:color w:val="auto"/>
              </w:rPr>
            </w:pPr>
          </w:p>
        </w:tc>
        <w:tc>
          <w:tcPr>
            <w:tcW w:w="1120" w:type="dxa"/>
            <w:vAlign w:val="bottom"/>
          </w:tcPr>
          <w:p>
            <w:pPr>
              <w:jc w:val="right"/>
              <w:ind w:right="284"/>
              <w:spacing w:after="0"/>
              <w:rPr>
                <w:sz w:val="20"/>
                <w:szCs w:val="20"/>
                <w:color w:val="auto"/>
              </w:rPr>
            </w:pPr>
            <w:r>
              <w:rPr>
                <w:rFonts w:ascii="Arial" w:cs="Arial" w:eastAsia="Arial" w:hAnsi="Arial"/>
                <w:sz w:val="15"/>
                <w:szCs w:val="15"/>
                <w:b w:val="1"/>
                <w:bCs w:val="1"/>
                <w:color w:val="auto"/>
              </w:rPr>
              <w:t>All Other</w:t>
            </w:r>
          </w:p>
        </w:tc>
      </w:tr>
      <w:tr>
        <w:trPr>
          <w:trHeight w:val="174"/>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59,162,834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29,139,787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30,023,047</w:t>
            </w:r>
          </w:p>
        </w:tc>
      </w:tr>
      <w:tr>
        <w:trPr>
          <w:trHeight w:val="183"/>
        </w:trPr>
        <w:tc>
          <w:tcPr>
            <w:tcW w:w="6980" w:type="dxa"/>
            <w:vAlign w:val="bottom"/>
          </w:tcPr>
          <w:p>
            <w:pPr>
              <w:spacing w:after="0"/>
              <w:rPr>
                <w:sz w:val="20"/>
                <w:szCs w:val="20"/>
                <w:color w:val="auto"/>
              </w:rPr>
            </w:pPr>
            <w:r>
              <w:rPr>
                <w:rFonts w:ascii="Arial" w:cs="Arial" w:eastAsia="Arial" w:hAnsi="Arial"/>
                <w:sz w:val="15"/>
                <w:szCs w:val="15"/>
                <w:color w:val="auto"/>
              </w:rPr>
              <w:t>Total assets</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63,326,703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31,666,841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31,659,862</w:t>
            </w:r>
          </w:p>
        </w:tc>
      </w:tr>
      <w:tr>
        <w:trPr>
          <w:trHeight w:val="183"/>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14,145,499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3,573,160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10,572,339</w:t>
            </w:r>
          </w:p>
        </w:tc>
      </w:tr>
      <w:tr>
        <w:trPr>
          <w:trHeight w:val="183"/>
        </w:trPr>
        <w:tc>
          <w:tcPr>
            <w:tcW w:w="6980" w:type="dxa"/>
            <w:vAlign w:val="bottom"/>
          </w:tcPr>
          <w:p>
            <w:pPr>
              <w:spacing w:after="0"/>
              <w:rPr>
                <w:sz w:val="20"/>
                <w:szCs w:val="20"/>
                <w:color w:val="auto"/>
              </w:rPr>
            </w:pPr>
            <w:r>
              <w:rPr>
                <w:rFonts w:ascii="Arial" w:cs="Arial" w:eastAsia="Arial" w:hAnsi="Arial"/>
                <w:sz w:val="15"/>
                <w:szCs w:val="15"/>
                <w:color w:val="auto"/>
              </w:rPr>
              <w:t>Noncurrent liabilities</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20,797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20,797</w:t>
            </w:r>
          </w:p>
        </w:tc>
      </w:tr>
      <w:tr>
        <w:trPr>
          <w:trHeight w:val="183"/>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Joint ventures’ equity</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49,160,407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28,093,681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21,066,726</w:t>
            </w:r>
          </w:p>
        </w:tc>
      </w:tr>
      <w:tr>
        <w:trPr>
          <w:trHeight w:val="183"/>
        </w:trPr>
        <w:tc>
          <w:tcPr>
            <w:tcW w:w="6980" w:type="dxa"/>
            <w:vAlign w:val="bottom"/>
          </w:tcPr>
          <w:p>
            <w:pPr>
              <w:spacing w:after="0"/>
              <w:rPr>
                <w:sz w:val="20"/>
                <w:szCs w:val="20"/>
                <w:color w:val="auto"/>
              </w:rPr>
            </w:pPr>
            <w:r>
              <w:rPr>
                <w:rFonts w:ascii="Arial" w:cs="Arial" w:eastAsia="Arial" w:hAnsi="Arial"/>
                <w:sz w:val="15"/>
                <w:szCs w:val="15"/>
                <w:color w:val="auto"/>
              </w:rPr>
              <w:t>Northern Technologies International Corporation’s share of joint ventures’ equity</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24,207,339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14,046,842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10,160,497</w:t>
            </w:r>
          </w:p>
        </w:tc>
      </w:tr>
      <w:tr>
        <w:trPr>
          <w:trHeight w:val="183"/>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Northern Technologies International Corporation’s share of joint ventures’ undistributed earnings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22,178,126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14,015,937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8,162,189</w:t>
            </w:r>
          </w:p>
        </w:tc>
      </w:tr>
    </w:tbl>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Three Months Ended May 31, 2019</w:t>
            </w:r>
          </w:p>
        </w:tc>
        <w:tc>
          <w:tcPr>
            <w:tcW w:w="980" w:type="dxa"/>
            <w:vAlign w:val="bottom"/>
            <w:tcBorders>
              <w:bottom w:val="single" w:sz="8" w:color="auto"/>
            </w:tcBorders>
          </w:tcPr>
          <w:p>
            <w:pPr>
              <w:spacing w:after="0"/>
              <w:rPr>
                <w:sz w:val="17"/>
                <w:szCs w:val="17"/>
                <w:color w:val="auto"/>
              </w:rPr>
            </w:pPr>
          </w:p>
        </w:tc>
      </w:tr>
      <w:tr>
        <w:trPr>
          <w:trHeight w:val="186"/>
        </w:trPr>
        <w:tc>
          <w:tcPr>
            <w:tcW w:w="6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120" w:type="dxa"/>
            <w:vAlign w:val="bottom"/>
          </w:tcPr>
          <w:p>
            <w:pPr>
              <w:jc w:val="right"/>
              <w:ind w:right="324"/>
              <w:spacing w:after="0"/>
              <w:rPr>
                <w:sz w:val="20"/>
                <w:szCs w:val="20"/>
                <w:color w:val="auto"/>
              </w:rPr>
            </w:pPr>
            <w:r>
              <w:rPr>
                <w:rFonts w:ascii="Arial" w:cs="Arial" w:eastAsia="Arial" w:hAnsi="Arial"/>
                <w:sz w:val="15"/>
                <w:szCs w:val="15"/>
                <w:b w:val="1"/>
                <w:bCs w:val="1"/>
                <w:color w:val="auto"/>
              </w:rPr>
              <w:t>EXCOR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284"/>
              <w:spacing w:after="0"/>
              <w:rPr>
                <w:sz w:val="20"/>
                <w:szCs w:val="20"/>
                <w:color w:val="auto"/>
              </w:rPr>
            </w:pPr>
            <w:r>
              <w:rPr>
                <w:rFonts w:ascii="Arial" w:cs="Arial" w:eastAsia="Arial" w:hAnsi="Arial"/>
                <w:sz w:val="15"/>
                <w:szCs w:val="15"/>
                <w:b w:val="1"/>
                <w:bCs w:val="1"/>
                <w:color w:val="auto"/>
                <w:w w:val="94"/>
              </w:rPr>
              <w:t>All Other</w:t>
            </w:r>
          </w:p>
        </w:tc>
      </w:tr>
      <w:tr>
        <w:trPr>
          <w:trHeight w:val="174"/>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27,774,112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10,933,386</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16,840,726</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Gross profit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12,557,580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6,129,046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6,428,534</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3,797,785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2,707,342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1,090,443</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Northern Technologies International Corporation’s share of equity in income from joint ventures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1,877,410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1,353,856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523,554</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Northern Technologies International Corporation’s dividends received from joint ventures</w:t>
            </w:r>
          </w:p>
        </w:tc>
        <w:tc>
          <w:tcPr>
            <w:tcW w:w="86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1,795,542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1,673,700</w:t>
            </w:r>
          </w:p>
        </w:tc>
        <w:tc>
          <w:tcPr>
            <w:tcW w:w="46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121,842</w:t>
            </w:r>
          </w:p>
        </w:tc>
      </w:tr>
    </w:tbl>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6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Nine Months Ended May 31, 2019</w:t>
            </w:r>
          </w:p>
        </w:tc>
        <w:tc>
          <w:tcPr>
            <w:tcW w:w="1000" w:type="dxa"/>
            <w:vAlign w:val="bottom"/>
            <w:tcBorders>
              <w:bottom w:val="single" w:sz="8" w:color="auto"/>
            </w:tcBorders>
          </w:tcPr>
          <w:p>
            <w:pPr>
              <w:spacing w:after="0"/>
              <w:rPr>
                <w:sz w:val="17"/>
                <w:szCs w:val="17"/>
                <w:color w:val="auto"/>
              </w:rPr>
            </w:pPr>
          </w:p>
        </w:tc>
      </w:tr>
      <w:tr>
        <w:trPr>
          <w:trHeight w:val="186"/>
        </w:trPr>
        <w:tc>
          <w:tcPr>
            <w:tcW w:w="6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120" w:type="dxa"/>
            <w:vAlign w:val="bottom"/>
          </w:tcPr>
          <w:p>
            <w:pPr>
              <w:jc w:val="right"/>
              <w:ind w:right="324"/>
              <w:spacing w:after="0"/>
              <w:rPr>
                <w:sz w:val="20"/>
                <w:szCs w:val="20"/>
                <w:color w:val="auto"/>
              </w:rPr>
            </w:pPr>
            <w:r>
              <w:rPr>
                <w:rFonts w:ascii="Arial" w:cs="Arial" w:eastAsia="Arial" w:hAnsi="Arial"/>
                <w:sz w:val="15"/>
                <w:szCs w:val="15"/>
                <w:b w:val="1"/>
                <w:bCs w:val="1"/>
                <w:color w:val="auto"/>
              </w:rPr>
              <w:t>EXCOR</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284"/>
              <w:spacing w:after="0"/>
              <w:rPr>
                <w:sz w:val="20"/>
                <w:szCs w:val="20"/>
                <w:color w:val="auto"/>
              </w:rPr>
            </w:pPr>
            <w:r>
              <w:rPr>
                <w:rFonts w:ascii="Arial" w:cs="Arial" w:eastAsia="Arial" w:hAnsi="Arial"/>
                <w:sz w:val="15"/>
                <w:szCs w:val="15"/>
                <w:b w:val="1"/>
                <w:bCs w:val="1"/>
                <w:color w:val="auto"/>
                <w:w w:val="97"/>
              </w:rPr>
              <w:t>All Other</w:t>
            </w:r>
          </w:p>
        </w:tc>
      </w:tr>
      <w:tr>
        <w:trPr>
          <w:trHeight w:val="174"/>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sales</w:t>
            </w:r>
          </w:p>
        </w:tc>
        <w:tc>
          <w:tcPr>
            <w:tcW w:w="5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86,003,918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34,895,042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51,108,876</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Gross profit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38,547,018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19,118,704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19,428,314</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11,412,552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8,187,467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3,225,085</w:t>
            </w: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Northern Technologies International Corporation’s share of equity in income from joint ventures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5,596,788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4,094,763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1,502,025</w:t>
            </w:r>
          </w:p>
        </w:tc>
      </w:tr>
      <w:tr>
        <w:trPr>
          <w:trHeight w:val="18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Northern Technologies International Corporation’s dividends received from joint ventures</w:t>
            </w:r>
          </w:p>
        </w:tc>
        <w:tc>
          <w:tcPr>
            <w:tcW w:w="86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3,822,785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2,517,450</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1,305,335</w:t>
            </w:r>
          </w:p>
        </w:tc>
      </w:tr>
    </w:tbl>
    <w:p>
      <w:pPr>
        <w:spacing w:after="0" w:line="172"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Company did not make any joint venture investments during the three and nine months ended May 31, 2020 or 2019.</w:t>
      </w:r>
    </w:p>
    <w:p>
      <w:pPr>
        <w:spacing w:after="0" w:line="189" w:lineRule="exact"/>
        <w:rPr>
          <w:sz w:val="20"/>
          <w:szCs w:val="20"/>
          <w:color w:val="auto"/>
        </w:rPr>
      </w:pPr>
    </w:p>
    <w:p>
      <w:pPr>
        <w:ind w:left="389" w:hanging="389"/>
        <w:spacing w:after="0"/>
        <w:tabs>
          <w:tab w:leader="none" w:pos="389"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CORPORATE DEBT</w:t>
      </w:r>
    </w:p>
    <w:p>
      <w:pPr>
        <w:spacing w:after="0" w:line="197" w:lineRule="exact"/>
        <w:rPr>
          <w:sz w:val="20"/>
          <w:szCs w:val="20"/>
          <w:color w:val="auto"/>
        </w:rPr>
      </w:pPr>
    </w:p>
    <w:p>
      <w:pPr>
        <w:jc w:val="both"/>
        <w:ind w:left="9" w:right="160"/>
        <w:spacing w:after="0" w:line="297" w:lineRule="auto"/>
        <w:rPr>
          <w:sz w:val="20"/>
          <w:szCs w:val="20"/>
          <w:color w:val="auto"/>
        </w:rPr>
      </w:pPr>
      <w:r>
        <w:rPr>
          <w:rFonts w:ascii="Arial" w:cs="Arial" w:eastAsia="Arial" w:hAnsi="Arial"/>
          <w:sz w:val="14"/>
          <w:szCs w:val="14"/>
          <w:color w:val="auto"/>
        </w:rPr>
        <w:t>The Company has a revolving line of credit with PNC Bank, National Association (PNC Bank) of $3,000,000. No amounts were outstanding under the line of credit as of either May 31, 2020 or August 31, 2019.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134" w:lineRule="exact"/>
        <w:rPr>
          <w:sz w:val="20"/>
          <w:szCs w:val="20"/>
          <w:color w:val="auto"/>
        </w:rPr>
      </w:pPr>
    </w:p>
    <w:p>
      <w:pPr>
        <w:ind w:left="9" w:right="40"/>
        <w:spacing w:after="0" w:line="264" w:lineRule="auto"/>
        <w:rPr>
          <w:sz w:val="20"/>
          <w:szCs w:val="20"/>
          <w:color w:val="auto"/>
        </w:rPr>
      </w:pPr>
      <w:r>
        <w:rPr>
          <w:rFonts w:ascii="Arial" w:cs="Arial" w:eastAsia="Arial" w:hAnsi="Arial"/>
          <w:sz w:val="15"/>
          <w:szCs w:val="15"/>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May 31, 2020, the Company was in compliance with all debt covenants.</w:t>
      </w:r>
    </w:p>
    <w:p>
      <w:pPr>
        <w:spacing w:after="0" w:line="33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617" w:right="319" w:bottom="1440" w:gutter="0" w:footer="0" w:header="0"/>
        </w:sectPr>
      </w:pPr>
    </w:p>
    <w:bookmarkStart w:id="13" w:name="page14"/>
    <w:bookmarkEnd w:id="13"/>
    <w:p>
      <w:pPr>
        <w:jc w:val="both"/>
        <w:ind w:left="9" w:right="80"/>
        <w:spacing w:after="0" w:line="269" w:lineRule="auto"/>
        <w:rPr>
          <w:sz w:val="20"/>
          <w:szCs w:val="20"/>
          <w:color w:val="auto"/>
        </w:rPr>
      </w:pPr>
      <w:r>
        <w:rPr>
          <w:rFonts w:ascii="Arial" w:cs="Arial" w:eastAsia="Arial" w:hAnsi="Arial"/>
          <w:sz w:val="15"/>
          <w:szCs w:val="15"/>
          <w:color w:val="auto"/>
        </w:rPr>
        <w:t>The revolving credit facility allows the Company to request that PNC Bank issue letters of credit up to $1,200,000. The Company did not have any letters of credit reserved against the available letters of credit balance as of May 31, 2020 and August 31, 2019 with PNC Bank. The availability of advances under the line of credit will be reduced by the face amount of any letter of credit issued and outstanding (whether or not drawn) under the revolving credit facility.</w:t>
      </w:r>
    </w:p>
    <w:p>
      <w:pPr>
        <w:spacing w:after="0" w:line="152" w:lineRule="exact"/>
        <w:rPr>
          <w:sz w:val="20"/>
          <w:szCs w:val="20"/>
          <w:color w:val="auto"/>
        </w:rPr>
      </w:pPr>
    </w:p>
    <w:p>
      <w:pPr>
        <w:ind w:left="9" w:right="160"/>
        <w:spacing w:after="0" w:line="284" w:lineRule="auto"/>
        <w:rPr>
          <w:sz w:val="20"/>
          <w:szCs w:val="20"/>
          <w:color w:val="auto"/>
        </w:rPr>
      </w:pPr>
      <w:r>
        <w:rPr>
          <w:rFonts w:ascii="Arial" w:cs="Arial" w:eastAsia="Arial" w:hAnsi="Arial"/>
          <w:sz w:val="15"/>
          <w:szCs w:val="15"/>
          <w:color w:val="auto"/>
        </w:rPr>
        <w:t>On December 16, 2019, the Company and PNC Bank extended the maturity date of the line of credit from January 7, 2020 to January 7, 2021. All other terms of the line of credit and the loan agreement and other documents evidencing the line of credit remain the same.</w:t>
      </w:r>
    </w:p>
    <w:p>
      <w:pPr>
        <w:spacing w:after="0" w:line="141" w:lineRule="exact"/>
        <w:rPr>
          <w:sz w:val="20"/>
          <w:szCs w:val="20"/>
          <w:color w:val="auto"/>
        </w:rPr>
      </w:pPr>
    </w:p>
    <w:p>
      <w:pPr>
        <w:ind w:left="9" w:right="220"/>
        <w:spacing w:after="0" w:line="284" w:lineRule="auto"/>
        <w:rPr>
          <w:sz w:val="20"/>
          <w:szCs w:val="20"/>
          <w:color w:val="auto"/>
        </w:rPr>
      </w:pPr>
      <w:r>
        <w:rPr>
          <w:rFonts w:ascii="Arial" w:cs="Arial" w:eastAsia="Arial" w:hAnsi="Arial"/>
          <w:sz w:val="15"/>
          <w:szCs w:val="15"/>
          <w:color w:val="auto"/>
        </w:rPr>
        <w:t>As of May 31, 2020 and August 31, 2019, the Company had $88,831 of letters of credit with JP Morgan Chase Bank that are performance based and set to expire between June 2020 and May 2022.</w:t>
      </w:r>
    </w:p>
    <w:p>
      <w:pPr>
        <w:spacing w:after="0" w:line="137" w:lineRule="exact"/>
        <w:rPr>
          <w:sz w:val="20"/>
          <w:szCs w:val="20"/>
          <w:color w:val="auto"/>
        </w:rPr>
      </w:pPr>
    </w:p>
    <w:p>
      <w:pPr>
        <w:ind w:left="389" w:hanging="389"/>
        <w:spacing w:after="0"/>
        <w:tabs>
          <w:tab w:leader="none" w:pos="38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w:t>
      </w:r>
    </w:p>
    <w:p>
      <w:pPr>
        <w:spacing w:after="0" w:line="197" w:lineRule="exact"/>
        <w:rPr>
          <w:sz w:val="20"/>
          <w:szCs w:val="20"/>
          <w:color w:val="auto"/>
        </w:rPr>
      </w:pPr>
    </w:p>
    <w:p>
      <w:pPr>
        <w:ind w:left="9" w:right="240"/>
        <w:spacing w:after="0" w:line="321" w:lineRule="auto"/>
        <w:rPr>
          <w:sz w:val="20"/>
          <w:szCs w:val="20"/>
          <w:color w:val="auto"/>
        </w:rPr>
      </w:pPr>
      <w:r>
        <w:rPr>
          <w:rFonts w:ascii="Arial" w:cs="Arial" w:eastAsia="Arial" w:hAnsi="Arial"/>
          <w:sz w:val="14"/>
          <w:szCs w:val="14"/>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4"/>
          <w:szCs w:val="14"/>
          <w:color w:val="auto"/>
        </w:rPr>
        <w:t>During the nine months ended May 31, 2020, the Company’s Board of Directors declared cash dividends on the following dates in the following amounts to holders of record of the</w:t>
      </w:r>
    </w:p>
    <w:p>
      <w:pPr>
        <w:spacing w:after="0" w:line="33" w:lineRule="exact"/>
        <w:rPr>
          <w:sz w:val="20"/>
          <w:szCs w:val="20"/>
          <w:color w:val="auto"/>
        </w:rPr>
      </w:pPr>
    </w:p>
    <w:p>
      <w:pPr>
        <w:ind w:left="9"/>
        <w:spacing w:after="0"/>
        <w:rPr>
          <w:sz w:val="20"/>
          <w:szCs w:val="20"/>
          <w:color w:val="auto"/>
        </w:rPr>
      </w:pPr>
      <w:r>
        <w:rPr>
          <w:rFonts w:ascii="Arial" w:cs="Arial" w:eastAsia="Arial" w:hAnsi="Arial"/>
          <w:sz w:val="15"/>
          <w:szCs w:val="15"/>
          <w:color w:val="auto"/>
        </w:rPr>
        <w:t>Company’s common stock as of the following record dates:</w:t>
      </w:r>
    </w:p>
    <w:p>
      <w:pPr>
        <w:spacing w:after="0" w:line="19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2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Declaration Date</w:t>
            </w:r>
          </w:p>
        </w:tc>
        <w:tc>
          <w:tcPr>
            <w:tcW w:w="2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Amount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Record Date</w:t>
            </w:r>
          </w:p>
        </w:tc>
        <w:tc>
          <w:tcPr>
            <w:tcW w:w="2700" w:type="dxa"/>
            <w:vAlign w:val="bottom"/>
          </w:tcPr>
          <w:p>
            <w:pPr>
              <w:jc w:val="center"/>
              <w:spacing w:after="0"/>
              <w:rPr>
                <w:sz w:val="20"/>
                <w:szCs w:val="20"/>
                <w:color w:val="auto"/>
              </w:rPr>
            </w:pPr>
            <w:r>
              <w:rPr>
                <w:rFonts w:ascii="Arial" w:cs="Arial" w:eastAsia="Arial" w:hAnsi="Arial"/>
                <w:sz w:val="15"/>
                <w:szCs w:val="15"/>
                <w:b w:val="1"/>
                <w:bCs w:val="1"/>
                <w:color w:val="auto"/>
                <w:w w:val="92"/>
              </w:rPr>
              <w:t>Payable Date</w:t>
            </w:r>
          </w:p>
        </w:tc>
      </w:tr>
      <w:tr>
        <w:trPr>
          <w:trHeight w:val="174"/>
        </w:trPr>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October 22, 2019</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$0.065</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November 6, 2019</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November 20, 2019</w:t>
            </w:r>
          </w:p>
        </w:tc>
      </w:tr>
      <w:tr>
        <w:trPr>
          <w:trHeight w:val="194"/>
        </w:trPr>
        <w:tc>
          <w:tcPr>
            <w:tcW w:w="29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January 22, 2020</w:t>
            </w:r>
          </w:p>
        </w:tc>
        <w:tc>
          <w:tcPr>
            <w:tcW w:w="2700" w:type="dxa"/>
            <w:vAlign w:val="bottom"/>
          </w:tcPr>
          <w:p>
            <w:pPr>
              <w:jc w:val="center"/>
              <w:spacing w:after="0"/>
              <w:rPr>
                <w:sz w:val="20"/>
                <w:szCs w:val="20"/>
                <w:color w:val="auto"/>
              </w:rPr>
            </w:pPr>
            <w:r>
              <w:rPr>
                <w:rFonts w:ascii="Arial" w:cs="Arial" w:eastAsia="Arial" w:hAnsi="Arial"/>
                <w:sz w:val="15"/>
                <w:szCs w:val="15"/>
                <w:color w:val="auto"/>
                <w:w w:val="91"/>
              </w:rPr>
              <w:t>$0.065</w:t>
            </w:r>
          </w:p>
        </w:tc>
        <w:tc>
          <w:tcPr>
            <w:tcW w:w="120" w:type="dxa"/>
            <w:vAlign w:val="bottom"/>
          </w:tcPr>
          <w:p>
            <w:pPr>
              <w:spacing w:after="0"/>
              <w:rPr>
                <w:sz w:val="16"/>
                <w:szCs w:val="16"/>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5"/>
                <w:szCs w:val="15"/>
                <w:color w:val="auto"/>
                <w:w w:val="91"/>
              </w:rPr>
              <w:t>February 5, 2020</w:t>
            </w:r>
          </w:p>
        </w:tc>
        <w:tc>
          <w:tcPr>
            <w:tcW w:w="2700" w:type="dxa"/>
            <w:vAlign w:val="bottom"/>
          </w:tcPr>
          <w:p>
            <w:pPr>
              <w:jc w:val="center"/>
              <w:spacing w:after="0"/>
              <w:rPr>
                <w:sz w:val="20"/>
                <w:szCs w:val="20"/>
                <w:color w:val="auto"/>
              </w:rPr>
            </w:pPr>
            <w:r>
              <w:rPr>
                <w:rFonts w:ascii="Arial" w:cs="Arial" w:eastAsia="Arial" w:hAnsi="Arial"/>
                <w:sz w:val="15"/>
                <w:szCs w:val="15"/>
                <w:color w:val="auto"/>
                <w:w w:val="91"/>
              </w:rPr>
              <w:t>February 19, 2020</w:t>
            </w:r>
          </w:p>
        </w:tc>
      </w:tr>
    </w:tbl>
    <w:p>
      <w:pPr>
        <w:spacing w:after="0" w:line="162" w:lineRule="exact"/>
        <w:rPr>
          <w:sz w:val="20"/>
          <w:szCs w:val="20"/>
          <w:color w:val="auto"/>
        </w:rPr>
      </w:pPr>
    </w:p>
    <w:p>
      <w:pPr>
        <w:ind w:left="9" w:right="200"/>
        <w:spacing w:after="0" w:line="284" w:lineRule="auto"/>
        <w:rPr>
          <w:sz w:val="20"/>
          <w:szCs w:val="20"/>
          <w:color w:val="auto"/>
        </w:rPr>
      </w:pPr>
      <w:r>
        <w:rPr>
          <w:rFonts w:ascii="Arial" w:cs="Arial" w:eastAsia="Arial" w:hAnsi="Arial"/>
          <w:sz w:val="15"/>
          <w:szCs w:val="15"/>
          <w:color w:val="auto"/>
        </w:rPr>
        <w:t>On April 23, 2020, the Company announced the temporary suspension of its quarterly cash dividend pending clarity on the novel strain of COVID-19 crisis. Therefore, the Company did not declare a cash dividend during the quarter ended May 31, 2020.</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4"/>
          <w:szCs w:val="14"/>
          <w:color w:val="auto"/>
        </w:rPr>
        <w:t>During the nine months ended May 31, 2019, the Company’s Board of Directors declared cash dividends on the following dates in the following amounts to holders of record of the</w:t>
      </w:r>
    </w:p>
    <w:p>
      <w:pPr>
        <w:spacing w:after="0" w:line="33" w:lineRule="exact"/>
        <w:rPr>
          <w:sz w:val="20"/>
          <w:szCs w:val="20"/>
          <w:color w:val="auto"/>
        </w:rPr>
      </w:pPr>
    </w:p>
    <w:p>
      <w:pPr>
        <w:ind w:left="9"/>
        <w:spacing w:after="0"/>
        <w:rPr>
          <w:sz w:val="20"/>
          <w:szCs w:val="20"/>
          <w:color w:val="auto"/>
        </w:rPr>
      </w:pPr>
      <w:r>
        <w:rPr>
          <w:rFonts w:ascii="Arial" w:cs="Arial" w:eastAsia="Arial" w:hAnsi="Arial"/>
          <w:sz w:val="15"/>
          <w:szCs w:val="15"/>
          <w:color w:val="auto"/>
        </w:rPr>
        <w:t>Company’s common stock as of the following record dates:</w:t>
      </w:r>
    </w:p>
    <w:p>
      <w:pPr>
        <w:spacing w:after="0" w:line="19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2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Declaration Date</w:t>
            </w:r>
          </w:p>
        </w:tc>
        <w:tc>
          <w:tcPr>
            <w:tcW w:w="2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Amount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Record Date</w:t>
            </w:r>
          </w:p>
        </w:tc>
        <w:tc>
          <w:tcPr>
            <w:tcW w:w="2700" w:type="dxa"/>
            <w:vAlign w:val="bottom"/>
          </w:tcPr>
          <w:p>
            <w:pPr>
              <w:jc w:val="center"/>
              <w:spacing w:after="0"/>
              <w:rPr>
                <w:sz w:val="20"/>
                <w:szCs w:val="20"/>
                <w:color w:val="auto"/>
              </w:rPr>
            </w:pPr>
            <w:r>
              <w:rPr>
                <w:rFonts w:ascii="Arial" w:cs="Arial" w:eastAsia="Arial" w:hAnsi="Arial"/>
                <w:sz w:val="15"/>
                <w:szCs w:val="15"/>
                <w:b w:val="1"/>
                <w:bCs w:val="1"/>
                <w:color w:val="auto"/>
                <w:w w:val="92"/>
              </w:rPr>
              <w:t>Payable Date</w:t>
            </w:r>
          </w:p>
        </w:tc>
      </w:tr>
      <w:tr>
        <w:trPr>
          <w:trHeight w:val="174"/>
        </w:trPr>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October 24, 2018</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$0.06</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November 7, 2018</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November 21, 2018</w:t>
            </w:r>
          </w:p>
        </w:tc>
      </w:tr>
      <w:tr>
        <w:trPr>
          <w:trHeight w:val="183"/>
        </w:trPr>
        <w:tc>
          <w:tcPr>
            <w:tcW w:w="29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January 23, 2019</w:t>
            </w:r>
          </w:p>
        </w:tc>
        <w:tc>
          <w:tcPr>
            <w:tcW w:w="2700" w:type="dxa"/>
            <w:vAlign w:val="bottom"/>
          </w:tcPr>
          <w:p>
            <w:pPr>
              <w:jc w:val="center"/>
              <w:spacing w:after="0"/>
              <w:rPr>
                <w:sz w:val="20"/>
                <w:szCs w:val="20"/>
                <w:color w:val="auto"/>
              </w:rPr>
            </w:pPr>
            <w:r>
              <w:rPr>
                <w:rFonts w:ascii="Arial" w:cs="Arial" w:eastAsia="Arial" w:hAnsi="Arial"/>
                <w:sz w:val="15"/>
                <w:szCs w:val="15"/>
                <w:color w:val="auto"/>
                <w:w w:val="90"/>
              </w:rPr>
              <w:t>$0.06</w:t>
            </w:r>
          </w:p>
        </w:tc>
        <w:tc>
          <w:tcPr>
            <w:tcW w:w="120" w:type="dxa"/>
            <w:vAlign w:val="bottom"/>
          </w:tcPr>
          <w:p>
            <w:pPr>
              <w:spacing w:after="0"/>
              <w:rPr>
                <w:sz w:val="15"/>
                <w:szCs w:val="15"/>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5"/>
                <w:szCs w:val="15"/>
                <w:color w:val="auto"/>
                <w:w w:val="91"/>
              </w:rPr>
              <w:t>February 6, 2019</w:t>
            </w:r>
          </w:p>
        </w:tc>
        <w:tc>
          <w:tcPr>
            <w:tcW w:w="2700" w:type="dxa"/>
            <w:vAlign w:val="bottom"/>
          </w:tcPr>
          <w:p>
            <w:pPr>
              <w:jc w:val="center"/>
              <w:spacing w:after="0"/>
              <w:rPr>
                <w:sz w:val="20"/>
                <w:szCs w:val="20"/>
                <w:color w:val="auto"/>
              </w:rPr>
            </w:pPr>
            <w:r>
              <w:rPr>
                <w:rFonts w:ascii="Arial" w:cs="Arial" w:eastAsia="Arial" w:hAnsi="Arial"/>
                <w:sz w:val="15"/>
                <w:szCs w:val="15"/>
                <w:color w:val="auto"/>
                <w:w w:val="91"/>
              </w:rPr>
              <w:t>February 22, 2019</w:t>
            </w:r>
          </w:p>
        </w:tc>
      </w:tr>
      <w:tr>
        <w:trPr>
          <w:trHeight w:val="183"/>
        </w:trPr>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April 25, 2019</w:t>
            </w:r>
          </w:p>
        </w:tc>
        <w:tc>
          <w:tcPr>
            <w:tcW w:w="2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$0.06</w:t>
            </w:r>
          </w:p>
        </w:tc>
        <w:tc>
          <w:tcPr>
            <w:tcW w:w="1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May 9, 2019</w:t>
            </w:r>
          </w:p>
        </w:tc>
        <w:tc>
          <w:tcPr>
            <w:tcW w:w="2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May 23, 2019</w:t>
            </w:r>
          </w:p>
        </w:tc>
      </w:tr>
    </w:tbl>
    <w:p>
      <w:pPr>
        <w:spacing w:after="0" w:line="172" w:lineRule="exact"/>
        <w:rPr>
          <w:sz w:val="20"/>
          <w:szCs w:val="20"/>
          <w:color w:val="auto"/>
        </w:rPr>
      </w:pPr>
    </w:p>
    <w:p>
      <w:pPr>
        <w:ind w:left="9"/>
        <w:spacing w:after="0"/>
        <w:rPr>
          <w:sz w:val="20"/>
          <w:szCs w:val="20"/>
          <w:color w:val="auto"/>
        </w:rPr>
      </w:pPr>
      <w:r>
        <w:rPr>
          <w:rFonts w:ascii="Arial" w:cs="Arial" w:eastAsia="Arial" w:hAnsi="Arial"/>
          <w:sz w:val="15"/>
          <w:szCs w:val="15"/>
          <w:color w:val="auto"/>
        </w:rPr>
        <w:t>During the nine months ended May 31, 2020 and 2019, the Company repurchased no shares of its common stock.</w:t>
      </w:r>
    </w:p>
    <w:p>
      <w:pPr>
        <w:spacing w:after="0" w:line="193" w:lineRule="exact"/>
        <w:rPr>
          <w:sz w:val="20"/>
          <w:szCs w:val="20"/>
          <w:color w:val="auto"/>
        </w:rPr>
      </w:pPr>
    </w:p>
    <w:p>
      <w:pPr>
        <w:ind w:left="9" w:right="20"/>
        <w:spacing w:after="0" w:line="264" w:lineRule="auto"/>
        <w:rPr>
          <w:sz w:val="20"/>
          <w:szCs w:val="20"/>
          <w:color w:val="auto"/>
        </w:rPr>
      </w:pPr>
      <w:r>
        <w:rPr>
          <w:rFonts w:ascii="Arial" w:cs="Arial" w:eastAsia="Arial" w:hAnsi="Arial"/>
          <w:sz w:val="15"/>
          <w:szCs w:val="15"/>
          <w:color w:val="auto"/>
        </w:rPr>
        <w:t>During the nine months ended May 31, 2020, the Company granted stock options under the Northern Technologies International Corporation 2019 Stock Incentive Plan (the 2019 Plan) to purchase an aggregate of 300,770 shares of its common stock to various employees and directors. The weighted average per share exercise price of the stock options is $10.87, which was equal to the fair market value of the Company’s common stock on the date of grant. During the nine months ended May 31, 2020, 6,823 stock options to purchase common stock were exercised.</w:t>
      </w:r>
    </w:p>
    <w:p>
      <w:pPr>
        <w:spacing w:after="0" w:line="156" w:lineRule="exact"/>
        <w:rPr>
          <w:sz w:val="20"/>
          <w:szCs w:val="20"/>
          <w:color w:val="auto"/>
        </w:rPr>
      </w:pPr>
    </w:p>
    <w:p>
      <w:pPr>
        <w:ind w:left="9" w:right="40"/>
        <w:spacing w:after="0" w:line="269" w:lineRule="auto"/>
        <w:rPr>
          <w:sz w:val="20"/>
          <w:szCs w:val="20"/>
          <w:color w:val="auto"/>
        </w:rPr>
      </w:pPr>
      <w:r>
        <w:rPr>
          <w:rFonts w:ascii="Arial" w:cs="Arial" w:eastAsia="Arial" w:hAnsi="Arial"/>
          <w:sz w:val="15"/>
          <w:szCs w:val="15"/>
          <w:color w:val="auto"/>
        </w:rPr>
        <w:t>During the nine months ended May 31, 2019, the Company granted stock options under the 2019 Plan to purchase an aggregate of 141,768 shares of its common stock to various employees and directors. The weighted average per share exercise price of the stock options is $18.23, which was equal to the fair market value of the Company’s common stock on the date of grant. During the nine months ended May 31, 2019, no stock options to purchase common stock were exercised.</w:t>
      </w:r>
    </w:p>
    <w:p>
      <w:pPr>
        <w:spacing w:after="0" w:line="33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609" w:right="319" w:bottom="1440" w:gutter="0" w:footer="0" w:header="0"/>
        </w:sectPr>
      </w:pPr>
    </w:p>
    <w:bookmarkStart w:id="14" w:name="page15"/>
    <w:bookmarkEnd w:id="14"/>
    <w:p>
      <w:pPr>
        <w:ind w:left="9" w:right="340"/>
        <w:spacing w:after="0" w:line="321" w:lineRule="auto"/>
        <w:rPr>
          <w:sz w:val="20"/>
          <w:szCs w:val="20"/>
          <w:color w:val="auto"/>
        </w:rPr>
      </w:pPr>
      <w:r>
        <w:rPr>
          <w:rFonts w:ascii="Arial" w:cs="Arial" w:eastAsia="Arial" w:hAnsi="Arial"/>
          <w:sz w:val="14"/>
          <w:szCs w:val="14"/>
          <w:color w:val="auto"/>
        </w:rPr>
        <w:t>The Company issued 3,597 and 1,748 shares of common stock on September 1, 2019 and 2018, respectively, under the Northern Technologies International Corporation Employee Stock Purchase Plan (the ESPP). The Company issued 2,754 and 2,462 shares of common stock on March 1, 2020 and 2019, respectively, under the ESPP.</w:t>
      </w:r>
    </w:p>
    <w:p>
      <w:pPr>
        <w:spacing w:after="0" w:line="114" w:lineRule="exact"/>
        <w:rPr>
          <w:sz w:val="20"/>
          <w:szCs w:val="20"/>
          <w:color w:val="auto"/>
        </w:rPr>
      </w:pPr>
    </w:p>
    <w:p>
      <w:pPr>
        <w:ind w:left="389" w:hanging="389"/>
        <w:spacing w:after="0"/>
        <w:tabs>
          <w:tab w:leader="none" w:pos="389"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NET INCOME PER COMMON SHARE</w:t>
      </w:r>
    </w:p>
    <w:p>
      <w:pPr>
        <w:spacing w:after="0" w:line="197" w:lineRule="exact"/>
        <w:rPr>
          <w:sz w:val="20"/>
          <w:szCs w:val="20"/>
          <w:color w:val="auto"/>
        </w:rPr>
      </w:pPr>
    </w:p>
    <w:p>
      <w:pPr>
        <w:ind w:left="9" w:right="180"/>
        <w:spacing w:after="0" w:line="269" w:lineRule="auto"/>
        <w:rPr>
          <w:sz w:val="20"/>
          <w:szCs w:val="20"/>
          <w:color w:val="auto"/>
        </w:rPr>
      </w:pPr>
      <w:r>
        <w:rPr>
          <w:rFonts w:ascii="Arial" w:cs="Arial" w:eastAsia="Arial" w:hAnsi="Arial"/>
          <w:sz w:val="15"/>
          <w:szCs w:val="15"/>
          <w:color w:val="auto"/>
        </w:rPr>
        <w:t>Basic net income per common share is computed by dividing net income by the weighted average number of common shares outstanding. Diluted net income per share assumes the exercise of stock options using the treasury stock method, if dilutive. There was no dilution for the three months ended May 31, 2020 due to the loss position of the Company. 71,273 shares were excluded from the computation for the three months ended May 31, 2020.</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is a reconciliation of the net income per share computation for the three and nine months ended May 31, 2020 and 2019:</w:t>
      </w:r>
    </w:p>
    <w:p>
      <w:pPr>
        <w:spacing w:after="0" w:line="201"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4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6"/>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Numerator:</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2019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attributable to NTIC</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(965,221)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1,482,149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427,163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4,380,776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Basic – weighted shares outstanding</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9,099,990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9,084,354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9,096,981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9,085,584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Weighted shares assumed upon exercise of stock options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308,090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215,933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355,274</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5"/>
                <w:szCs w:val="15"/>
                <w:color w:val="auto"/>
              </w:rPr>
              <w:t>Diluted – weighted shares outstanding</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9,099,990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9,392,444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9,312,914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9,440,858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Basic net income per share: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0.05</w:t>
            </w: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Diluted net income per share: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(0.11)</w:t>
            </w:r>
          </w:p>
        </w:tc>
        <w:tc>
          <w:tcPr>
            <w:tcW w:w="28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0.05</w:t>
            </w:r>
          </w:p>
        </w:tc>
        <w:tc>
          <w:tcPr>
            <w:tcW w:w="26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29" w:hanging="429"/>
        <w:spacing w:after="0"/>
        <w:tabs>
          <w:tab w:leader="none" w:pos="4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Share and per share data have been adjusted for all periods presented to reflect the two-for-one stock split effective June 28, 2019.</w:t>
      </w:r>
    </w:p>
    <w:p>
      <w:pPr>
        <w:spacing w:after="0" w:line="193" w:lineRule="exact"/>
        <w:rPr>
          <w:sz w:val="20"/>
          <w:szCs w:val="20"/>
          <w:color w:val="auto"/>
        </w:rPr>
      </w:pPr>
    </w:p>
    <w:p>
      <w:pPr>
        <w:ind w:left="9" w:right="340"/>
        <w:spacing w:after="0" w:line="311" w:lineRule="auto"/>
        <w:rPr>
          <w:sz w:val="20"/>
          <w:szCs w:val="20"/>
          <w:color w:val="auto"/>
        </w:rPr>
      </w:pPr>
      <w:r>
        <w:rPr>
          <w:rFonts w:ascii="Arial" w:cs="Arial" w:eastAsia="Arial" w:hAnsi="Arial"/>
          <w:sz w:val="13"/>
          <w:szCs w:val="13"/>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method when computing the diluted net income per share. Excluded from the computation of diluted net income per share for the nine months ended May 31, 2020 were options outstanding to purchase 633,176 shares of common stock. Excluded from the computation of diluted net income per share for the three and nine months ended May 31, 2019 were options outstanding to purchase 141,768 shares of common stock.</w:t>
      </w:r>
    </w:p>
    <w:p>
      <w:pPr>
        <w:spacing w:after="0" w:line="125" w:lineRule="exact"/>
        <w:rPr>
          <w:sz w:val="20"/>
          <w:szCs w:val="20"/>
          <w:color w:val="auto"/>
        </w:rPr>
      </w:pPr>
    </w:p>
    <w:p>
      <w:pPr>
        <w:ind w:left="449" w:hanging="449"/>
        <w:spacing w:after="0"/>
        <w:tabs>
          <w:tab w:leader="none" w:pos="449"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97" w:lineRule="exact"/>
        <w:rPr>
          <w:sz w:val="20"/>
          <w:szCs w:val="20"/>
          <w:color w:val="auto"/>
        </w:rPr>
      </w:pPr>
    </w:p>
    <w:p>
      <w:pPr>
        <w:ind w:left="9" w:right="40"/>
        <w:spacing w:after="0" w:line="262" w:lineRule="auto"/>
        <w:rPr>
          <w:sz w:val="20"/>
          <w:szCs w:val="20"/>
          <w:color w:val="auto"/>
        </w:rPr>
      </w:pPr>
      <w:r>
        <w:rPr>
          <w:rFonts w:ascii="Arial" w:cs="Arial" w:eastAsia="Arial" w:hAnsi="Arial"/>
          <w:sz w:val="15"/>
          <w:szCs w:val="15"/>
          <w:color w:val="auto"/>
        </w:rPr>
        <w:t>The Company has three stock-based compensation plans under which stock options or other stock-based awards have been granted: the Northern Technologies International Corporation 2019 Stock Incentive Plan, which was approved by stockholders at the 2019 annual meeting of stockholders, the Northern Technologies International Corporation Amended and Restated 2007 Stock Incentive Plan (the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33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609" w:right="319" w:bottom="144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5"/>
          <w:szCs w:val="15"/>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one- or three-year period beginning on the one-year anniversary of the date of grant. Options are granted at per share exercise prices equal to the market value of the Company’s common stock on the date of grant. The Company issues new shares upon the exercise of options. As of May 31, 2019, options to purchase an aggregate of 300,770 shares of the Company’s common stock had been granted under the 2019 Plan.</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As of May 31, 2020, 84,693 shares of common stock remained available for sale under the ESPP.</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The Company granted options to purchase an aggregate of 300,770 and 141,768 shares of its common stock during the nine months ended May 31, 2020 and 2019, respectively. The fair value of option grants is determined at the date of grant using the Black-Scholes option pricing model with the assumptions listed below. The Company recognized compensation expense of $998,122 and $1,073,940 during the nine months ended May 31, 2020 and 2019, respectively, related to the options that vested during such time period. As of May 31, 2020, the total compensation cost for non-vested options not yet recognized in the Company’s consolidated statements of operations was $360,486. Stock-based compensation expense of $339,652 is expected through the remainder of fiscal year 2020, and $20,834 is expected to be recognized during fiscal 2021, based on outstanding options as of May 31, 2020. Future option grants will impact the compensation expense recognized. Stock-based compensation expense is included in general and administrative expense on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each option grant is estimated on the grant date using the Black-Scholes option pricing model with the following assumptions and results for the grants: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1464"/>
              <w:spacing w:after="0"/>
              <w:rPr>
                <w:sz w:val="20"/>
                <w:szCs w:val="20"/>
                <w:color w:val="auto"/>
              </w:rPr>
            </w:pPr>
            <w:r>
              <w:rPr>
                <w:rFonts w:ascii="Arial" w:cs="Arial" w:eastAsia="Arial" w:hAnsi="Arial"/>
                <w:sz w:val="15"/>
                <w:szCs w:val="15"/>
                <w:b w:val="1"/>
                <w:bCs w:val="1"/>
                <w:color w:val="auto"/>
                <w:w w:val="95"/>
              </w:rPr>
              <w:t>Nine Months Ended</w:t>
            </w:r>
          </w:p>
        </w:tc>
      </w:tr>
      <w:tr>
        <w:trPr>
          <w:trHeight w:val="174"/>
        </w:trPr>
        <w:tc>
          <w:tcPr>
            <w:tcW w:w="46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May 31, 2020</w:t>
            </w: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May 31, 2019</w:t>
            </w: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14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2.15%</w:t>
            </w: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rPr>
              <w:t>1.32%</w:t>
            </w:r>
          </w:p>
        </w:tc>
      </w:tr>
      <w:tr>
        <w:trPr>
          <w:trHeight w:val="183"/>
        </w:trPr>
        <w:tc>
          <w:tcPr>
            <w:tcW w:w="4660" w:type="dxa"/>
            <w:vAlign w:val="bottom"/>
          </w:tcPr>
          <w:p>
            <w:pPr>
              <w:spacing w:after="0"/>
              <w:rPr>
                <w:sz w:val="20"/>
                <w:szCs w:val="20"/>
                <w:color w:val="auto"/>
              </w:rPr>
            </w:pPr>
            <w:r>
              <w:rPr>
                <w:rFonts w:ascii="Arial" w:cs="Arial" w:eastAsia="Arial" w:hAnsi="Arial"/>
                <w:sz w:val="15"/>
                <w:szCs w:val="15"/>
                <w:color w:val="auto"/>
              </w:rPr>
              <w:t>Expected volatility</w:t>
            </w:r>
          </w:p>
        </w:tc>
        <w:tc>
          <w:tcPr>
            <w:tcW w:w="1460" w:type="dxa"/>
            <w:vAlign w:val="bottom"/>
          </w:tcPr>
          <w:p>
            <w:pPr>
              <w:jc w:val="right"/>
              <w:ind w:right="224"/>
              <w:spacing w:after="0"/>
              <w:rPr>
                <w:sz w:val="20"/>
                <w:szCs w:val="20"/>
                <w:color w:val="auto"/>
              </w:rPr>
            </w:pPr>
            <w:r>
              <w:rPr>
                <w:rFonts w:ascii="Arial" w:cs="Arial" w:eastAsia="Arial" w:hAnsi="Arial"/>
                <w:sz w:val="15"/>
                <w:szCs w:val="15"/>
                <w:color w:val="auto"/>
              </w:rPr>
              <w:t>45.1%</w:t>
            </w:r>
          </w:p>
        </w:tc>
        <w:tc>
          <w:tcPr>
            <w:tcW w:w="2900" w:type="dxa"/>
            <w:vAlign w:val="bottom"/>
            <w:gridSpan w:val="3"/>
          </w:tcPr>
          <w:p>
            <w:pPr>
              <w:jc w:val="right"/>
              <w:ind w:right="704"/>
              <w:spacing w:after="0"/>
              <w:rPr>
                <w:sz w:val="20"/>
                <w:szCs w:val="20"/>
                <w:color w:val="auto"/>
              </w:rPr>
            </w:pPr>
            <w:r>
              <w:rPr>
                <w:rFonts w:ascii="Arial" w:cs="Arial" w:eastAsia="Arial" w:hAnsi="Arial"/>
                <w:sz w:val="15"/>
                <w:szCs w:val="15"/>
                <w:color w:val="auto"/>
              </w:rPr>
              <w:t>45.8%</w:t>
            </w:r>
          </w:p>
        </w:tc>
      </w:tr>
      <w:tr>
        <w:trPr>
          <w:trHeight w:val="183"/>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Expected life of option (in years)</w:t>
            </w:r>
          </w:p>
        </w:tc>
        <w:tc>
          <w:tcPr>
            <w:tcW w:w="146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rPr>
              <w:t>10</w:t>
            </w:r>
          </w:p>
        </w:tc>
        <w:tc>
          <w:tcPr>
            <w:tcW w:w="2900" w:type="dxa"/>
            <w:vAlign w:val="bottom"/>
            <w:gridSpan w:val="3"/>
            <w:shd w:val="clear" w:color="auto" w:fill="CCEEFF"/>
          </w:tcPr>
          <w:p>
            <w:pPr>
              <w:jc w:val="right"/>
              <w:ind w:right="824"/>
              <w:spacing w:after="0"/>
              <w:rPr>
                <w:sz w:val="20"/>
                <w:szCs w:val="20"/>
                <w:color w:val="auto"/>
              </w:rPr>
            </w:pPr>
            <w:r>
              <w:rPr>
                <w:rFonts w:ascii="Arial" w:cs="Arial" w:eastAsia="Arial" w:hAnsi="Arial"/>
                <w:sz w:val="15"/>
                <w:szCs w:val="15"/>
                <w:color w:val="auto"/>
              </w:rPr>
              <w:t>10</w:t>
            </w:r>
          </w:p>
        </w:tc>
      </w:tr>
      <w:tr>
        <w:trPr>
          <w:trHeight w:val="194"/>
        </w:trPr>
        <w:tc>
          <w:tcPr>
            <w:tcW w:w="4660" w:type="dxa"/>
            <w:vAlign w:val="bottom"/>
          </w:tcPr>
          <w:p>
            <w:pPr>
              <w:spacing w:after="0"/>
              <w:rPr>
                <w:sz w:val="20"/>
                <w:szCs w:val="20"/>
                <w:color w:val="auto"/>
              </w:rPr>
            </w:pPr>
            <w:r>
              <w:rPr>
                <w:rFonts w:ascii="Arial" w:cs="Arial" w:eastAsia="Arial" w:hAnsi="Arial"/>
                <w:sz w:val="15"/>
                <w:szCs w:val="15"/>
                <w:color w:val="auto"/>
              </w:rPr>
              <w:t>Average risk-free interest rate</w:t>
            </w:r>
          </w:p>
        </w:tc>
        <w:tc>
          <w:tcPr>
            <w:tcW w:w="1460" w:type="dxa"/>
            <w:vAlign w:val="bottom"/>
          </w:tcPr>
          <w:p>
            <w:pPr>
              <w:jc w:val="right"/>
              <w:ind w:right="224"/>
              <w:spacing w:after="0"/>
              <w:rPr>
                <w:sz w:val="20"/>
                <w:szCs w:val="20"/>
                <w:color w:val="auto"/>
              </w:rPr>
            </w:pPr>
            <w:r>
              <w:rPr>
                <w:rFonts w:ascii="Arial" w:cs="Arial" w:eastAsia="Arial" w:hAnsi="Arial"/>
                <w:sz w:val="15"/>
                <w:szCs w:val="15"/>
                <w:color w:val="auto"/>
              </w:rPr>
              <w:t>1.57%</w:t>
            </w:r>
          </w:p>
        </w:tc>
        <w:tc>
          <w:tcPr>
            <w:tcW w:w="2900" w:type="dxa"/>
            <w:vAlign w:val="bottom"/>
            <w:gridSpan w:val="3"/>
          </w:tcPr>
          <w:p>
            <w:pPr>
              <w:jc w:val="right"/>
              <w:ind w:right="704"/>
              <w:spacing w:after="0"/>
              <w:rPr>
                <w:sz w:val="20"/>
                <w:szCs w:val="20"/>
                <w:color w:val="auto"/>
              </w:rPr>
            </w:pPr>
            <w:r>
              <w:rPr>
                <w:rFonts w:ascii="Arial" w:cs="Arial" w:eastAsia="Arial" w:hAnsi="Arial"/>
                <w:sz w:val="15"/>
                <w:szCs w:val="15"/>
                <w:color w:val="auto"/>
              </w:rPr>
              <w:t>2.75%</w:t>
            </w:r>
          </w:p>
        </w:tc>
      </w:tr>
    </w:tbl>
    <w:p>
      <w:pPr>
        <w:spacing w:after="0" w:line="16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weighted average per share fair value of options granted during the nine months ended May 31, 2020 and 2019 was $4.30 and $9.01, respectively. The weighted average remaining contractual life of the options outstanding as of May 31, 2020 and 2019 was 6.27 years and 6.15 years, respectively.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6" w:name="page17"/>
    <w:bookmarkEnd w:id="16"/>
    <w:p>
      <w:pPr>
        <w:ind w:left="449" w:hanging="449"/>
        <w:spacing w:after="0"/>
        <w:tabs>
          <w:tab w:leader="none" w:pos="449"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SEGMENT AND GEOGRAPHIC INFORMATION</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Segment Information</w:t>
      </w:r>
    </w:p>
    <w:p>
      <w:pPr>
        <w:spacing w:after="0" w:line="195" w:lineRule="exact"/>
        <w:rPr>
          <w:sz w:val="20"/>
          <w:szCs w:val="20"/>
          <w:color w:val="auto"/>
        </w:rPr>
      </w:pPr>
    </w:p>
    <w:p>
      <w:pPr>
        <w:ind w:left="9" w:right="120"/>
        <w:spacing w:after="0" w:line="219" w:lineRule="auto"/>
        <w:rPr>
          <w:sz w:val="20"/>
          <w:szCs w:val="20"/>
          <w:color w:val="auto"/>
        </w:rPr>
      </w:pPr>
      <w:r>
        <w:rPr>
          <w:rFonts w:ascii="Arial" w:cs="Arial" w:eastAsia="Arial" w:hAnsi="Arial"/>
          <w:sz w:val="15"/>
          <w:szCs w:val="15"/>
          <w:color w:val="auto"/>
        </w:rPr>
        <w:t>The Company’s chief operating decision maker is its Chief Executive Officer. The Company’s business is organized into two reportable segments: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Natur-Tec</w:t>
      </w:r>
      <w:r>
        <w:rPr>
          <w:rFonts w:ascii="Arial" w:cs="Arial" w:eastAsia="Arial" w:hAnsi="Arial"/>
          <w:sz w:val="25"/>
          <w:szCs w:val="25"/>
          <w:color w:val="auto"/>
          <w:vertAlign w:val="superscript"/>
        </w:rPr>
        <w:t>®</w:t>
      </w:r>
      <w:r>
        <w:rPr>
          <w:rFonts w:ascii="Arial" w:cs="Arial" w:eastAsia="Arial" w:hAnsi="Arial"/>
          <w:sz w:val="15"/>
          <w:szCs w:val="15"/>
          <w:color w:val="auto"/>
        </w:rPr>
        <w:t>. The Company has been selling its proprietary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brand.</w:t>
      </w:r>
    </w:p>
    <w:p>
      <w:pPr>
        <w:spacing w:after="0" w:line="72"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table sets forth the Company’s net sales for the three and nine months ended May 31, 2020 and 2019 by segment:</w:t>
      </w:r>
    </w:p>
    <w:p>
      <w:pPr>
        <w:spacing w:after="0" w:line="201"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4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Nine Months Ended</w:t>
            </w:r>
          </w:p>
        </w:tc>
      </w:tr>
      <w:tr>
        <w:trPr>
          <w:trHeight w:val="186"/>
        </w:trPr>
        <w:tc>
          <w:tcPr>
            <w:tcW w:w="55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2019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2019</w:t>
            </w:r>
          </w:p>
        </w:tc>
      </w:tr>
      <w:tr>
        <w:trPr>
          <w:trHeight w:val="197"/>
        </w:trPr>
        <w:tc>
          <w:tcPr>
            <w:tcW w:w="552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ZERUST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net sales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7,356,781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10,077,203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26,322,515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29,250,772</w:t>
            </w:r>
          </w:p>
        </w:tc>
      </w:tr>
      <w:tr>
        <w:trPr>
          <w:trHeight w:val="229"/>
        </w:trPr>
        <w:tc>
          <w:tcPr>
            <w:tcW w:w="5520" w:type="dxa"/>
            <w:vAlign w:val="bottom"/>
            <w:tcBorders>
              <w:bottom w:val="single" w:sz="8" w:color="CCEEFF"/>
            </w:tcBorders>
          </w:tcPr>
          <w:p>
            <w:pPr>
              <w:spacing w:after="0" w:line="228" w:lineRule="exact"/>
              <w:rPr>
                <w:sz w:val="20"/>
                <w:szCs w:val="20"/>
                <w:color w:val="auto"/>
              </w:rPr>
            </w:pPr>
            <w:r>
              <w:rPr>
                <w:rFonts w:ascii="Arial" w:cs="Arial" w:eastAsia="Arial" w:hAnsi="Arial"/>
                <w:sz w:val="15"/>
                <w:szCs w:val="15"/>
                <w:color w:val="auto"/>
              </w:rPr>
              <w:t>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net sales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2,388,042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4,815,914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11,287,491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13,051,801</w:t>
            </w:r>
          </w:p>
        </w:tc>
      </w:tr>
      <w:tr>
        <w:trPr>
          <w:trHeight w:val="186"/>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Total net sales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9,744,823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14,893,117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37,610,006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42,302,573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table sets forth the Company’s cost of goods sold for the three and nine months ended May 31, 2020 and 2019 by segment:</w:t>
      </w:r>
    </w:p>
    <w:p>
      <w:pPr>
        <w:spacing w:after="0" w:line="201"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8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5"/>
                <w:szCs w:val="15"/>
                <w:b w:val="1"/>
                <w:bCs w:val="1"/>
                <w:color w:val="auto"/>
              </w:rPr>
              <w:t>Three Months Ended</w:t>
            </w: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5"/>
                <w:szCs w:val="15"/>
                <w:b w:val="1"/>
                <w:bCs w:val="1"/>
                <w:color w:val="auto"/>
              </w:rPr>
              <w:t>Nine Months Ended</w:t>
            </w:r>
          </w:p>
        </w:tc>
        <w:tc>
          <w:tcPr>
            <w:tcW w:w="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189"/>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w w:val="91"/>
              </w:rPr>
              <w:t>May 31, 2020</w:t>
            </w:r>
          </w:p>
        </w:tc>
        <w:tc>
          <w:tcPr>
            <w:tcW w:w="60" w:type="dxa"/>
            <w:vAlign w:val="bottom"/>
          </w:tcPr>
          <w:p>
            <w:pPr>
              <w:spacing w:after="0"/>
              <w:rPr>
                <w:sz w:val="16"/>
                <w:szCs w:val="16"/>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2"/>
              </w:rPr>
              <w:t>% of Segment Sales*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w w:val="93"/>
              </w:rPr>
              <w:t>May 31, 2019</w:t>
            </w:r>
          </w:p>
        </w:tc>
        <w:tc>
          <w:tcPr>
            <w:tcW w:w="40" w:type="dxa"/>
            <w:vAlign w:val="bottom"/>
          </w:tcPr>
          <w:p>
            <w:pPr>
              <w:spacing w:after="0"/>
              <w:rPr>
                <w:sz w:val="16"/>
                <w:szCs w:val="16"/>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w w:val="92"/>
              </w:rPr>
              <w:t>% of Segment Sales*</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w w:val="91"/>
              </w:rPr>
              <w:t>May 31, 2020</w:t>
            </w:r>
          </w:p>
        </w:tc>
        <w:tc>
          <w:tcPr>
            <w:tcW w:w="60" w:type="dxa"/>
            <w:vAlign w:val="bottom"/>
          </w:tcPr>
          <w:p>
            <w:pPr>
              <w:spacing w:after="0"/>
              <w:rPr>
                <w:sz w:val="16"/>
                <w:szCs w:val="16"/>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2"/>
              </w:rPr>
              <w:t>% of Segment Sales*</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w w:val="93"/>
              </w:rPr>
              <w:t>May 31, 2019</w:t>
            </w:r>
          </w:p>
        </w:tc>
        <w:tc>
          <w:tcPr>
            <w:tcW w:w="40" w:type="dxa"/>
            <w:vAlign w:val="bottom"/>
          </w:tcPr>
          <w:p>
            <w:pPr>
              <w:spacing w:after="0"/>
              <w:rPr>
                <w:sz w:val="16"/>
                <w:szCs w:val="16"/>
                <w:color w:val="auto"/>
              </w:rPr>
            </w:pPr>
          </w:p>
        </w:tc>
        <w:tc>
          <w:tcPr>
            <w:tcW w:w="1540" w:type="dxa"/>
            <w:vAlign w:val="bottom"/>
          </w:tcPr>
          <w:p>
            <w:pPr>
              <w:jc w:val="right"/>
              <w:ind w:right="64"/>
              <w:spacing w:after="0"/>
              <w:rPr>
                <w:sz w:val="20"/>
                <w:szCs w:val="20"/>
                <w:color w:val="auto"/>
              </w:rPr>
            </w:pPr>
            <w:r>
              <w:rPr>
                <w:rFonts w:ascii="Arial" w:cs="Arial" w:eastAsia="Arial" w:hAnsi="Arial"/>
                <w:sz w:val="15"/>
                <w:szCs w:val="15"/>
                <w:b w:val="1"/>
                <w:bCs w:val="1"/>
                <w:color w:val="auto"/>
                <w:w w:val="92"/>
              </w:rPr>
              <w:t>% of Segment Sales*</w:t>
            </w:r>
          </w:p>
        </w:tc>
      </w:tr>
      <w:tr>
        <w:trPr>
          <w:trHeight w:val="161"/>
        </w:trPr>
        <w:tc>
          <w:tcPr>
            <w:tcW w:w="880" w:type="dxa"/>
            <w:vAlign w:val="bottom"/>
          </w:tcPr>
          <w:p>
            <w:pPr>
              <w:spacing w:after="0" w:line="161" w:lineRule="exact"/>
              <w:rPr>
                <w:sz w:val="20"/>
                <w:szCs w:val="20"/>
                <w:color w:val="auto"/>
              </w:rPr>
            </w:pPr>
            <w:r>
              <w:rPr>
                <w:rFonts w:ascii="Arial" w:cs="Arial" w:eastAsia="Arial" w:hAnsi="Arial"/>
                <w:sz w:val="15"/>
                <w:szCs w:val="15"/>
                <w:color w:val="auto"/>
                <w:w w:val="98"/>
              </w:rPr>
              <w:t>Direct cost of</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194"/>
        </w:trPr>
        <w:tc>
          <w:tcPr>
            <w:tcW w:w="960" w:type="dxa"/>
            <w:vAlign w:val="bottom"/>
            <w:gridSpan w:val="2"/>
          </w:tcPr>
          <w:p>
            <w:pPr>
              <w:spacing w:after="0"/>
              <w:rPr>
                <w:sz w:val="20"/>
                <w:szCs w:val="20"/>
                <w:color w:val="auto"/>
              </w:rPr>
            </w:pPr>
            <w:r>
              <w:rPr>
                <w:rFonts w:ascii="Arial" w:cs="Arial" w:eastAsia="Arial" w:hAnsi="Arial"/>
                <w:sz w:val="15"/>
                <w:szCs w:val="15"/>
                <w:color w:val="auto"/>
              </w:rPr>
              <w:t>goods sold</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7"/>
        </w:trPr>
        <w:tc>
          <w:tcPr>
            <w:tcW w:w="96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5"/>
                <w:szCs w:val="15"/>
                <w:color w:val="auto"/>
                <w:w w:val="94"/>
              </w:rPr>
              <w:t>ZERUST</w:t>
            </w:r>
            <w:r>
              <w:rPr>
                <w:rFonts w:ascii="Arial" w:cs="Arial" w:eastAsia="Arial" w:hAnsi="Arial"/>
                <w:sz w:val="25"/>
                <w:szCs w:val="25"/>
                <w:color w:val="auto"/>
                <w:w w:val="94"/>
                <w:vertAlign w:val="superscript"/>
              </w:rPr>
              <w:t>®</w:t>
            </w:r>
            <w:r>
              <w:rPr>
                <w:rFonts w:ascii="Arial" w:cs="Arial" w:eastAsia="Arial" w:hAnsi="Arial"/>
                <w:sz w:val="15"/>
                <w:szCs w:val="15"/>
                <w:color w:val="auto"/>
                <w:w w:val="94"/>
              </w:rPr>
              <w:t xml:space="preserve"> $</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4,011,244</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54.5%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5,725,220</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56.8% $</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14,193,113</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53.9%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16,596,536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56.7%</w:t>
            </w:r>
          </w:p>
        </w:tc>
      </w:tr>
      <w:tr>
        <w:trPr>
          <w:trHeight w:val="174"/>
        </w:trPr>
        <w:tc>
          <w:tcPr>
            <w:tcW w:w="960" w:type="dxa"/>
            <w:vAlign w:val="bottom"/>
            <w:gridSpan w:val="2"/>
          </w:tcPr>
          <w:p>
            <w:pPr>
              <w:ind w:left="140"/>
              <w:spacing w:after="0"/>
              <w:rPr>
                <w:sz w:val="20"/>
                <w:szCs w:val="20"/>
                <w:color w:val="auto"/>
              </w:rPr>
            </w:pPr>
            <w:r>
              <w:rPr>
                <w:rFonts w:ascii="Arial" w:cs="Arial" w:eastAsia="Arial" w:hAnsi="Arial"/>
                <w:sz w:val="15"/>
                <w:szCs w:val="15"/>
                <w:color w:val="auto"/>
              </w:rPr>
              <w:t>Natur-</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6"/>
        </w:trPr>
        <w:tc>
          <w:tcPr>
            <w:tcW w:w="960" w:type="dxa"/>
            <w:vAlign w:val="bottom"/>
            <w:gridSpan w:val="2"/>
          </w:tcPr>
          <w:p>
            <w:pPr>
              <w:ind w:left="140"/>
              <w:spacing w:after="0" w:line="226" w:lineRule="exact"/>
              <w:rPr>
                <w:sz w:val="20"/>
                <w:szCs w:val="20"/>
                <w:color w:val="auto"/>
              </w:rPr>
            </w:pPr>
            <w:r>
              <w:rPr>
                <w:rFonts w:ascii="Arial" w:cs="Arial" w:eastAsia="Arial" w:hAnsi="Arial"/>
                <w:sz w:val="15"/>
                <w:szCs w:val="15"/>
                <w:color w:val="auto"/>
              </w:rPr>
              <w:t>Tec</w:t>
            </w:r>
            <w:r>
              <w:rPr>
                <w:rFonts w:ascii="Arial" w:cs="Arial" w:eastAsia="Arial" w:hAnsi="Arial"/>
                <w:sz w:val="25"/>
                <w:szCs w:val="25"/>
                <w:color w:val="auto"/>
                <w:vertAlign w:val="superscript"/>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1,842,539</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77.2%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3,670,282</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76.2%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8,733,016</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77.4%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10,181,050</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78.0%</w:t>
            </w:r>
          </w:p>
        </w:tc>
      </w:tr>
      <w:tr>
        <w:trPr>
          <w:trHeight w:val="172"/>
        </w:trPr>
        <w:tc>
          <w:tcPr>
            <w:tcW w:w="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Indirect cost</w:t>
            </w: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05"/>
        </w:trPr>
        <w:tc>
          <w:tcPr>
            <w:tcW w:w="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 goods sold</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645,319</w:t>
            </w:r>
          </w:p>
        </w:tc>
        <w:tc>
          <w:tcPr>
            <w:tcW w:w="6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742,851</w:t>
            </w:r>
          </w:p>
        </w:tc>
        <w:tc>
          <w:tcPr>
            <w:tcW w:w="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2,065,358</w:t>
            </w:r>
          </w:p>
        </w:tc>
        <w:tc>
          <w:tcPr>
            <w:tcW w:w="6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2,106,003</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r>
      <w:tr>
        <w:trPr>
          <w:trHeight w:val="152"/>
        </w:trPr>
        <w:tc>
          <w:tcPr>
            <w:tcW w:w="880" w:type="dxa"/>
            <w:vAlign w:val="bottom"/>
          </w:tcPr>
          <w:p>
            <w:pPr>
              <w:ind w:left="140"/>
              <w:spacing w:after="0" w:line="153" w:lineRule="exact"/>
              <w:rPr>
                <w:sz w:val="20"/>
                <w:szCs w:val="20"/>
                <w:color w:val="auto"/>
              </w:rPr>
            </w:pPr>
            <w:r>
              <w:rPr>
                <w:rFonts w:ascii="Arial" w:cs="Arial" w:eastAsia="Arial" w:hAnsi="Arial"/>
                <w:sz w:val="15"/>
                <w:szCs w:val="15"/>
                <w:color w:val="auto"/>
              </w:rPr>
              <w:t>Total net</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172"/>
        </w:trPr>
        <w:tc>
          <w:tcPr>
            <w:tcW w:w="960" w:type="dxa"/>
            <w:vAlign w:val="bottom"/>
            <w:gridSpan w:val="2"/>
          </w:tcPr>
          <w:p>
            <w:pPr>
              <w:ind w:left="140"/>
              <w:spacing w:after="0"/>
              <w:rPr>
                <w:sz w:val="20"/>
                <w:szCs w:val="20"/>
                <w:color w:val="auto"/>
              </w:rPr>
            </w:pPr>
            <w:r>
              <w:rPr>
                <w:rFonts w:ascii="Arial" w:cs="Arial" w:eastAsia="Arial" w:hAnsi="Arial"/>
                <w:sz w:val="15"/>
                <w:szCs w:val="15"/>
                <w:color w:val="auto"/>
              </w:rPr>
              <w:t>cost of</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94"/>
        </w:trPr>
        <w:tc>
          <w:tcPr>
            <w:tcW w:w="960" w:type="dxa"/>
            <w:vAlign w:val="bottom"/>
            <w:gridSpan w:val="2"/>
          </w:tcPr>
          <w:p>
            <w:pPr>
              <w:ind w:left="140"/>
              <w:spacing w:after="0"/>
              <w:rPr>
                <w:sz w:val="20"/>
                <w:szCs w:val="20"/>
                <w:color w:val="auto"/>
              </w:rPr>
            </w:pPr>
            <w:r>
              <w:rPr>
                <w:rFonts w:ascii="Arial" w:cs="Arial" w:eastAsia="Arial" w:hAnsi="Arial"/>
                <w:sz w:val="15"/>
                <w:szCs w:val="15"/>
                <w:color w:val="auto"/>
                <w:w w:val="94"/>
              </w:rPr>
              <w:t>goods sold $</w:t>
            </w:r>
          </w:p>
        </w:tc>
        <w:tc>
          <w:tcPr>
            <w:tcW w:w="900" w:type="dxa"/>
            <w:vAlign w:val="bottom"/>
          </w:tcPr>
          <w:p>
            <w:pPr>
              <w:jc w:val="right"/>
              <w:spacing w:after="0"/>
              <w:rPr>
                <w:sz w:val="20"/>
                <w:szCs w:val="20"/>
                <w:color w:val="auto"/>
              </w:rPr>
            </w:pPr>
            <w:r>
              <w:rPr>
                <w:rFonts w:ascii="Arial" w:cs="Arial" w:eastAsia="Arial" w:hAnsi="Arial"/>
                <w:sz w:val="15"/>
                <w:szCs w:val="15"/>
                <w:color w:val="auto"/>
              </w:rPr>
              <w:t>6,499,102</w:t>
            </w:r>
          </w:p>
        </w:tc>
        <w:tc>
          <w:tcPr>
            <w:tcW w:w="172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10,138,353</w:t>
            </w:r>
          </w:p>
        </w:tc>
        <w:tc>
          <w:tcPr>
            <w:tcW w:w="172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24,991,487</w:t>
            </w:r>
          </w:p>
        </w:tc>
        <w:tc>
          <w:tcPr>
            <w:tcW w:w="172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28,883,589</w:t>
            </w: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78625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6255" cy="6985"/>
                    </a:xfrm>
                    <a:prstGeom prst="rect">
                      <a:avLst/>
                    </a:prstGeom>
                    <a:noFill/>
                  </pic:spPr>
                </pic:pic>
              </a:graphicData>
            </a:graphic>
          </wp:anchor>
        </w:drawing>
      </w:r>
    </w:p>
    <w:p>
      <w:pPr>
        <w:spacing w:after="0" w:line="267" w:lineRule="exact"/>
        <w:rPr>
          <w:sz w:val="20"/>
          <w:szCs w:val="20"/>
          <w:color w:val="auto"/>
        </w:rPr>
      </w:pPr>
    </w:p>
    <w:p>
      <w:pPr>
        <w:ind w:left="329" w:hanging="329"/>
        <w:spacing w:after="0"/>
        <w:tabs>
          <w:tab w:leader="none" w:pos="329"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percent of segment sales is calculated by dividing the direct cost of goods sold for each individual segment category by the net sales for each segment category.</w:t>
      </w:r>
    </w:p>
    <w:p>
      <w:pPr>
        <w:spacing w:after="0" w:line="193" w:lineRule="exact"/>
        <w:rPr>
          <w:sz w:val="20"/>
          <w:szCs w:val="20"/>
          <w:color w:val="auto"/>
        </w:rPr>
      </w:pPr>
    </w:p>
    <w:p>
      <w:pPr>
        <w:ind w:left="9" w:right="260"/>
        <w:spacing w:after="0" w:line="269" w:lineRule="auto"/>
        <w:rPr>
          <w:sz w:val="20"/>
          <w:szCs w:val="20"/>
          <w:color w:val="auto"/>
        </w:rPr>
      </w:pPr>
      <w:r>
        <w:rPr>
          <w:rFonts w:ascii="Arial" w:cs="Arial" w:eastAsia="Arial" w:hAnsi="Arial"/>
          <w:sz w:val="15"/>
          <w:szCs w:val="15"/>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335"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5327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349"/>
          </w:cols>
          <w:pgMar w:left="311" w:top="788"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i w:val="1"/>
          <w:iCs w:val="1"/>
          <w:color w:val="auto"/>
        </w:rPr>
        <w:t>Geographic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Net sales by geographic location for the three and nine months ended May 31, 2020 and 2019 were as follows:</w:t>
      </w:r>
    </w:p>
    <w:p>
      <w:pPr>
        <w:sectPr>
          <w:pgSz w:w="11900" w:h="16838" w:orient="portrait"/>
          <w:cols w:equalWidth="0" w:num="1">
            <w:col w:w="11260"/>
          </w:cols>
          <w:pgMar w:left="320" w:top="6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Inside the U.S. to unaffiliated customers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Outside the U.S. to:</w:t>
      </w:r>
    </w:p>
    <w:p>
      <w:pPr>
        <w:spacing w:after="0" w:line="11"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Joint ventures in which the Company is a shareholder directly and indirectly Unaffiliated customers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60" w:type="dxa"/>
            <w:vAlign w:val="bottom"/>
          </w:tcPr>
          <w:p>
            <w:pPr>
              <w:spacing w:after="0"/>
              <w:rPr>
                <w:sz w:val="17"/>
                <w:szCs w:val="17"/>
                <w:color w:val="auto"/>
              </w:rPr>
            </w:pPr>
          </w:p>
        </w:tc>
        <w:tc>
          <w:tcPr>
            <w:tcW w:w="2780" w:type="dxa"/>
            <w:vAlign w:val="bottom"/>
            <w:gridSpan w:val="5"/>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4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Nine Months Ended</w:t>
            </w:r>
          </w:p>
        </w:tc>
      </w:tr>
      <w:tr>
        <w:trPr>
          <w:trHeight w:val="186"/>
        </w:trPr>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2019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2019</w:t>
            </w:r>
          </w:p>
        </w:tc>
      </w:tr>
      <w:tr>
        <w:trPr>
          <w:trHeight w:val="185"/>
        </w:trPr>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5,019,363</w:t>
            </w:r>
          </w:p>
        </w:tc>
        <w:tc>
          <w:tcPr>
            <w:tcW w:w="12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6,172,882</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19,546,708</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19,564,756</w:t>
            </w:r>
          </w:p>
        </w:tc>
      </w:tr>
      <w:tr>
        <w:trPr>
          <w:trHeight w:val="355"/>
        </w:trPr>
        <w:tc>
          <w:tcPr>
            <w:tcW w:w="160" w:type="dxa"/>
            <w:vAlign w:val="bottom"/>
          </w:tcPr>
          <w:p>
            <w:pPr>
              <w:spacing w:after="0"/>
              <w:rPr>
                <w:sz w:val="24"/>
                <w:szCs w:val="24"/>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673,751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1,112,313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1,504,997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2,304,455</w:t>
            </w:r>
          </w:p>
        </w:tc>
      </w:tr>
      <w:tr>
        <w:trPr>
          <w:trHeight w:val="194"/>
        </w:trPr>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4,051,709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7,607,922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16,558,301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20,433,362</w:t>
            </w:r>
          </w:p>
        </w:tc>
      </w:tr>
      <w:tr>
        <w:trPr>
          <w:trHeight w:val="209"/>
        </w:trPr>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9,744,823</w:t>
            </w:r>
          </w:p>
        </w:tc>
        <w:tc>
          <w:tcPr>
            <w:tcW w:w="2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14,893,117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37,610,006</w:t>
            </w:r>
          </w:p>
        </w:tc>
        <w:tc>
          <w:tcPr>
            <w:tcW w:w="2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42,302,573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-645795</wp:posOffset>
            </wp:positionV>
            <wp:extent cx="7153275" cy="123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1231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-405765</wp:posOffset>
            </wp:positionV>
            <wp:extent cx="7153275" cy="116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-166370</wp:posOffset>
            </wp:positionV>
            <wp:extent cx="7153275"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15240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800" w:space="720"/>
            <w:col w:w="5740"/>
          </w:cols>
          <w:pgMar w:left="320" w:top="609" w:right="319" w:bottom="1440" w:gutter="0" w:footer="0" w:header="0"/>
          <w:type w:val="continuous"/>
        </w:sectPr>
      </w:pPr>
    </w:p>
    <w:p>
      <w:pPr>
        <w:spacing w:after="0"/>
        <w:rPr>
          <w:sz w:val="20"/>
          <w:szCs w:val="20"/>
          <w:color w:val="auto"/>
        </w:rPr>
      </w:pPr>
      <w:r>
        <w:rPr>
          <w:rFonts w:ascii="Arial" w:cs="Arial" w:eastAsia="Arial" w:hAnsi="Arial"/>
          <w:sz w:val="15"/>
          <w:szCs w:val="15"/>
          <w:color w:val="auto"/>
        </w:rPr>
        <w:t>Net sales by geographic location are based on the location of the customer.</w:t>
      </w:r>
    </w:p>
    <w:p>
      <w:pPr>
        <w:spacing w:after="0" w:line="193"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Fees for services provided to joint ventures by geographic location as a percentage of total fees for services provided to joint ventures during the three and nine months ended May 31, 2020 and 2019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5"/>
                <w:szCs w:val="15"/>
                <w:b w:val="1"/>
                <w:bCs w:val="1"/>
                <w:color w:val="auto"/>
                <w:w w:val="92"/>
              </w:rPr>
              <w:t>Three Months Ended</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center"/>
              <w:ind w:right="224"/>
              <w:spacing w:after="0"/>
              <w:rPr>
                <w:sz w:val="20"/>
                <w:szCs w:val="20"/>
                <w:color w:val="auto"/>
              </w:rPr>
            </w:pPr>
            <w:r>
              <w:rPr>
                <w:rFonts w:ascii="Arial" w:cs="Arial" w:eastAsia="Arial" w:hAnsi="Arial"/>
                <w:sz w:val="15"/>
                <w:szCs w:val="15"/>
                <w:b w:val="1"/>
                <w:bCs w:val="1"/>
                <w:color w:val="auto"/>
                <w:w w:val="95"/>
              </w:rPr>
              <w:t>May 31,</w:t>
            </w: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60" w:lineRule="exact"/>
              <w:rPr>
                <w:sz w:val="20"/>
                <w:szCs w:val="20"/>
                <w:color w:val="auto"/>
              </w:rPr>
            </w:pPr>
            <w:r>
              <w:rPr>
                <w:rFonts w:ascii="Arial" w:cs="Arial" w:eastAsia="Arial" w:hAnsi="Arial"/>
                <w:sz w:val="15"/>
                <w:szCs w:val="15"/>
                <w:b w:val="1"/>
                <w:bCs w:val="1"/>
                <w:color w:val="auto"/>
                <w:w w:val="92"/>
              </w:rPr>
              <w:t>% of Total Fees for</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2"/>
              </w:rPr>
              <w:t>% of Total Fees for</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60" w:lineRule="exact"/>
              <w:rPr>
                <w:sz w:val="20"/>
                <w:szCs w:val="20"/>
                <w:color w:val="auto"/>
              </w:rPr>
            </w:pPr>
            <w:r>
              <w:rPr>
                <w:rFonts w:ascii="Arial" w:cs="Arial" w:eastAsia="Arial" w:hAnsi="Arial"/>
                <w:sz w:val="15"/>
                <w:szCs w:val="15"/>
                <w:b w:val="1"/>
                <w:bCs w:val="1"/>
                <w:color w:val="auto"/>
                <w:w w:val="88"/>
              </w:rPr>
              <w:t>Services Provided to</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60" w:lineRule="exact"/>
              <w:rPr>
                <w:sz w:val="20"/>
                <w:szCs w:val="20"/>
                <w:color w:val="auto"/>
              </w:rPr>
            </w:pPr>
            <w:r>
              <w:rPr>
                <w:rFonts w:ascii="Arial" w:cs="Arial" w:eastAsia="Arial" w:hAnsi="Arial"/>
                <w:sz w:val="15"/>
                <w:szCs w:val="15"/>
                <w:b w:val="1"/>
                <w:bCs w:val="1"/>
                <w:color w:val="auto"/>
                <w:w w:val="99"/>
              </w:rPr>
              <w:t>May 31,</w:t>
            </w:r>
          </w:p>
        </w:tc>
        <w:tc>
          <w:tcPr>
            <w:tcW w:w="13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8"/>
              </w:rPr>
              <w:t>Services Provided to</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Joint Ventures</w:t>
            </w:r>
          </w:p>
        </w:tc>
        <w:tc>
          <w:tcPr>
            <w:tcW w:w="240" w:type="dxa"/>
            <w:vAlign w:val="bottom"/>
          </w:tcPr>
          <w:p>
            <w:pPr>
              <w:spacing w:after="0"/>
              <w:rPr>
                <w:sz w:val="19"/>
                <w:szCs w:val="19"/>
                <w:color w:val="auto"/>
              </w:rPr>
            </w:pPr>
          </w:p>
        </w:tc>
        <w:tc>
          <w:tcPr>
            <w:tcW w:w="1100" w:type="dxa"/>
            <w:vAlign w:val="bottom"/>
          </w:tcPr>
          <w:p>
            <w:pPr>
              <w:jc w:val="center"/>
              <w:ind w:right="164"/>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0"/>
              </w:rPr>
              <w:t>Joint Ventures</w:t>
            </w:r>
          </w:p>
        </w:tc>
        <w:tc>
          <w:tcPr>
            <w:tcW w:w="0" w:type="dxa"/>
            <w:vAlign w:val="bottom"/>
          </w:tcPr>
          <w:p>
            <w:pPr>
              <w:spacing w:after="0"/>
              <w:rPr>
                <w:sz w:val="1"/>
                <w:szCs w:val="1"/>
                <w:color w:val="auto"/>
              </w:rPr>
            </w:pPr>
          </w:p>
        </w:tc>
      </w:tr>
      <w:tr>
        <w:trPr>
          <w:trHeight w:val="166"/>
        </w:trPr>
        <w:tc>
          <w:tcPr>
            <w:tcW w:w="552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Germany</w:t>
            </w:r>
          </w:p>
        </w:tc>
        <w:tc>
          <w:tcPr>
            <w:tcW w:w="300" w:type="dxa"/>
            <w:vAlign w:val="bottom"/>
            <w:tcBorders>
              <w:top w:val="single" w:sz="8" w:color="CCEEFF"/>
            </w:tcBorders>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199,877</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212,825</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Poland</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75,118</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181,057</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Japan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139,268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164,136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Sweden</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51,767</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137,642</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India</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24,842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114,705</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France</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61,716</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112,063</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Thailand</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67,919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109,427</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South Korea</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54,951</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85,732</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Czech Republic</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46,709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83,086</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Finland</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52,870</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75,135</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United Kingdom</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52,484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70,972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94"/>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49,185</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87,043</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876,706</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1,433,823</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5"/>
                <w:szCs w:val="15"/>
                <w:b w:val="1"/>
                <w:bCs w:val="1"/>
                <w:color w:val="auto"/>
                <w:w w:val="92"/>
              </w:rPr>
              <w:t>Nine Months Ended</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60" w:lineRule="exact"/>
              <w:rPr>
                <w:sz w:val="20"/>
                <w:szCs w:val="20"/>
                <w:color w:val="auto"/>
              </w:rPr>
            </w:pPr>
            <w:r>
              <w:rPr>
                <w:rFonts w:ascii="Arial" w:cs="Arial" w:eastAsia="Arial" w:hAnsi="Arial"/>
                <w:sz w:val="15"/>
                <w:szCs w:val="15"/>
                <w:b w:val="1"/>
                <w:bCs w:val="1"/>
                <w:color w:val="auto"/>
                <w:w w:val="92"/>
              </w:rPr>
              <w:t>% of Total Fees for</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2"/>
              </w:rPr>
              <w:t>% of Total Fees for</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24"/>
              <w:spacing w:after="0"/>
              <w:rPr>
                <w:sz w:val="20"/>
                <w:szCs w:val="20"/>
                <w:color w:val="auto"/>
              </w:rPr>
            </w:pPr>
            <w:r>
              <w:rPr>
                <w:rFonts w:ascii="Arial" w:cs="Arial" w:eastAsia="Arial" w:hAnsi="Arial"/>
                <w:sz w:val="15"/>
                <w:szCs w:val="15"/>
                <w:b w:val="1"/>
                <w:bCs w:val="1"/>
                <w:color w:val="auto"/>
                <w:w w:val="95"/>
              </w:rPr>
              <w:t>May 31,</w:t>
            </w:r>
          </w:p>
        </w:tc>
        <w:tc>
          <w:tcPr>
            <w:tcW w:w="12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Services Provided to</w:t>
            </w:r>
          </w:p>
        </w:tc>
        <w:tc>
          <w:tcPr>
            <w:tcW w:w="2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9"/>
              </w:rPr>
              <w:t>May 31,</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8"/>
              </w:rPr>
              <w:t>Services Provided to</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44"/>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Joint Ventures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89"/>
              </w:rPr>
              <w:t>2019</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Joint Ventures</w:t>
            </w:r>
          </w:p>
        </w:tc>
        <w:tc>
          <w:tcPr>
            <w:tcW w:w="0" w:type="dxa"/>
            <w:vAlign w:val="bottom"/>
          </w:tcPr>
          <w:p>
            <w:pPr>
              <w:spacing w:after="0"/>
              <w:rPr>
                <w:sz w:val="1"/>
                <w:szCs w:val="1"/>
                <w:color w:val="auto"/>
              </w:rPr>
            </w:pPr>
          </w:p>
        </w:tc>
      </w:tr>
      <w:tr>
        <w:trPr>
          <w:trHeight w:val="166"/>
        </w:trPr>
        <w:tc>
          <w:tcPr>
            <w:tcW w:w="552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Germany</w:t>
            </w:r>
          </w:p>
        </w:tc>
        <w:tc>
          <w:tcPr>
            <w:tcW w:w="300" w:type="dxa"/>
            <w:vAlign w:val="bottom"/>
            <w:tcBorders>
              <w:top w:val="single" w:sz="8" w:color="CCEEFF"/>
            </w:tcBorders>
            <w:shd w:val="clear" w:color="auto" w:fill="CCEEFF"/>
          </w:tcPr>
          <w:p>
            <w:pPr>
              <w:jc w:val="right"/>
              <w:ind w:right="144"/>
              <w:spacing w:after="0" w:line="166"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620,106</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17.8%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jc w:val="right"/>
              <w:ind w:right="84"/>
              <w:spacing w:after="0" w:line="16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643,154</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Poland</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441,011</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551,430</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Japan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453,347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501,432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Sweden</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259,671</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417,635</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France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241,056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328,395</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Thailand</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261,132</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313,075</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India</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187,826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294,833</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Czech Republic</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215,923</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266,706</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United Kingdom</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202,241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261,961</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South Korea</w:t>
            </w:r>
          </w:p>
        </w:tc>
        <w:tc>
          <w:tcPr>
            <w:tcW w:w="300" w:type="dxa"/>
            <w:vAlign w:val="bottom"/>
          </w:tcPr>
          <w:p>
            <w:pPr>
              <w:spacing w:after="0"/>
              <w:rPr>
                <w:sz w:val="15"/>
                <w:szCs w:val="15"/>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206,272</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259,612</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Finland</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194,813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221,599</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4"/>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207,846</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239,200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3,491,244</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4,299,032</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5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17</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9" w:right="319" w:bottom="1440" w:gutter="0" w:footer="0" w:header="0"/>
          <w:type w:val="continuous"/>
        </w:sectPr>
      </w:pPr>
    </w:p>
    <w:bookmarkStart w:id="18" w:name="page19"/>
    <w:bookmarkEnd w:id="18"/>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94"/>
        </w:trPr>
        <w:tc>
          <w:tcPr>
            <w:tcW w:w="6200" w:type="dxa"/>
            <w:vAlign w:val="bottom"/>
          </w:tcPr>
          <w:p>
            <w:pPr>
              <w:spacing w:after="0"/>
              <w:rPr>
                <w:sz w:val="20"/>
                <w:szCs w:val="20"/>
                <w:color w:val="auto"/>
              </w:rPr>
            </w:pPr>
            <w:r>
              <w:rPr>
                <w:rFonts w:ascii="Arial" w:cs="Arial" w:eastAsia="Arial" w:hAnsi="Arial"/>
                <w:sz w:val="15"/>
                <w:szCs w:val="15"/>
                <w:color w:val="auto"/>
              </w:rPr>
              <w:t>The geographical distribution of key financial statement data is as follows:</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380"/>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2"/>
          </w:tcPr>
          <w:p>
            <w:pPr>
              <w:ind w:left="600"/>
              <w:spacing w:after="0"/>
              <w:rPr>
                <w:sz w:val="20"/>
                <w:szCs w:val="20"/>
                <w:color w:val="auto"/>
              </w:rPr>
            </w:pPr>
            <w:r>
              <w:rPr>
                <w:rFonts w:ascii="Arial" w:cs="Arial" w:eastAsia="Arial" w:hAnsi="Arial"/>
                <w:sz w:val="15"/>
                <w:szCs w:val="15"/>
                <w:b w:val="1"/>
                <w:bCs w:val="1"/>
                <w:color w:val="auto"/>
              </w:rPr>
              <w:t>At May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jc w:val="right"/>
              <w:ind w:right="544"/>
              <w:spacing w:after="0"/>
              <w:rPr>
                <w:sz w:val="20"/>
                <w:szCs w:val="20"/>
                <w:color w:val="auto"/>
              </w:rPr>
            </w:pPr>
            <w:r>
              <w:rPr>
                <w:rFonts w:ascii="Arial" w:cs="Arial" w:eastAsia="Arial" w:hAnsi="Arial"/>
                <w:sz w:val="15"/>
                <w:szCs w:val="15"/>
                <w:b w:val="1"/>
                <w:bCs w:val="1"/>
                <w:color w:val="auto"/>
              </w:rPr>
              <w:t>At August 31, 2019</w:t>
            </w:r>
          </w:p>
        </w:tc>
      </w:tr>
      <w:tr>
        <w:trPr>
          <w:trHeight w:val="183"/>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China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377,959</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3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337,162</w:t>
            </w:r>
          </w:p>
        </w:tc>
      </w:tr>
      <w:tr>
        <w:trPr>
          <w:trHeight w:val="183"/>
        </w:trPr>
        <w:tc>
          <w:tcPr>
            <w:tcW w:w="6200" w:type="dxa"/>
            <w:vAlign w:val="bottom"/>
          </w:tcPr>
          <w:p>
            <w:pPr>
              <w:spacing w:after="0"/>
              <w:rPr>
                <w:sz w:val="20"/>
                <w:szCs w:val="20"/>
                <w:color w:val="auto"/>
              </w:rPr>
            </w:pPr>
            <w:r>
              <w:rPr>
                <w:rFonts w:ascii="Arial" w:cs="Arial" w:eastAsia="Arial" w:hAnsi="Arial"/>
                <w:sz w:val="15"/>
                <w:szCs w:val="15"/>
                <w:color w:val="auto"/>
              </w:rPr>
              <w:t>Brazil</w:t>
            </w:r>
          </w:p>
        </w:tc>
        <w:tc>
          <w:tcPr>
            <w:tcW w:w="100" w:type="dxa"/>
            <w:vAlign w:val="bottom"/>
          </w:tcPr>
          <w:p>
            <w:pPr>
              <w:spacing w:after="0"/>
              <w:rPr>
                <w:sz w:val="15"/>
                <w:szCs w:val="15"/>
                <w:color w:val="auto"/>
              </w:rPr>
            </w:pPr>
          </w:p>
        </w:tc>
        <w:tc>
          <w:tcPr>
            <w:tcW w:w="2380" w:type="dxa"/>
            <w:vAlign w:val="bottom"/>
          </w:tcPr>
          <w:p>
            <w:pPr>
              <w:jc w:val="right"/>
              <w:ind w:right="44"/>
              <w:spacing w:after="0"/>
              <w:rPr>
                <w:sz w:val="20"/>
                <w:szCs w:val="20"/>
                <w:color w:val="auto"/>
              </w:rPr>
            </w:pPr>
            <w:r>
              <w:rPr>
                <w:rFonts w:ascii="Arial" w:cs="Arial" w:eastAsia="Arial" w:hAnsi="Arial"/>
                <w:sz w:val="15"/>
                <w:szCs w:val="15"/>
                <w:color w:val="auto"/>
              </w:rPr>
              <w:t>64,540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jc w:val="right"/>
              <w:ind w:right="24"/>
              <w:spacing w:after="0"/>
              <w:rPr>
                <w:sz w:val="20"/>
                <w:szCs w:val="20"/>
                <w:color w:val="auto"/>
              </w:rPr>
            </w:pPr>
            <w:r>
              <w:rPr>
                <w:rFonts w:ascii="Arial" w:cs="Arial" w:eastAsia="Arial" w:hAnsi="Arial"/>
                <w:sz w:val="15"/>
                <w:szCs w:val="15"/>
                <w:color w:val="auto"/>
              </w:rPr>
              <w:t>101,548</w:t>
            </w:r>
          </w:p>
        </w:tc>
      </w:tr>
      <w:tr>
        <w:trPr>
          <w:trHeight w:val="183"/>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Germany</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25,384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14,791</w:t>
            </w:r>
          </w:p>
        </w:tc>
      </w:tr>
      <w:tr>
        <w:trPr>
          <w:trHeight w:val="183"/>
        </w:trPr>
        <w:tc>
          <w:tcPr>
            <w:tcW w:w="6200" w:type="dxa"/>
            <w:vAlign w:val="bottom"/>
          </w:tcPr>
          <w:p>
            <w:pPr>
              <w:spacing w:after="0"/>
              <w:rPr>
                <w:sz w:val="20"/>
                <w:szCs w:val="20"/>
                <w:color w:val="auto"/>
              </w:rPr>
            </w:pPr>
            <w:r>
              <w:rPr>
                <w:rFonts w:ascii="Arial" w:cs="Arial" w:eastAsia="Arial" w:hAnsi="Arial"/>
                <w:sz w:val="15"/>
                <w:szCs w:val="15"/>
                <w:color w:val="auto"/>
              </w:rPr>
              <w:t>India</w:t>
            </w:r>
          </w:p>
        </w:tc>
        <w:tc>
          <w:tcPr>
            <w:tcW w:w="100" w:type="dxa"/>
            <w:vAlign w:val="bottom"/>
          </w:tcPr>
          <w:p>
            <w:pPr>
              <w:spacing w:after="0"/>
              <w:rPr>
                <w:sz w:val="15"/>
                <w:szCs w:val="15"/>
                <w:color w:val="auto"/>
              </w:rPr>
            </w:pPr>
          </w:p>
        </w:tc>
        <w:tc>
          <w:tcPr>
            <w:tcW w:w="2380" w:type="dxa"/>
            <w:vAlign w:val="bottom"/>
          </w:tcPr>
          <w:p>
            <w:pPr>
              <w:jc w:val="right"/>
              <w:ind w:right="44"/>
              <w:spacing w:after="0"/>
              <w:rPr>
                <w:sz w:val="20"/>
                <w:szCs w:val="20"/>
                <w:color w:val="auto"/>
              </w:rPr>
            </w:pPr>
            <w:r>
              <w:rPr>
                <w:rFonts w:ascii="Arial" w:cs="Arial" w:eastAsia="Arial" w:hAnsi="Arial"/>
                <w:sz w:val="15"/>
                <w:szCs w:val="15"/>
                <w:color w:val="auto"/>
              </w:rPr>
              <w:t>65,472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jc w:val="right"/>
              <w:ind w:right="24"/>
              <w:spacing w:after="0"/>
              <w:rPr>
                <w:sz w:val="20"/>
                <w:szCs w:val="20"/>
                <w:color w:val="auto"/>
              </w:rPr>
            </w:pPr>
            <w:r>
              <w:rPr>
                <w:rFonts w:ascii="Arial" w:cs="Arial" w:eastAsia="Arial" w:hAnsi="Arial"/>
                <w:sz w:val="15"/>
                <w:szCs w:val="15"/>
                <w:color w:val="auto"/>
              </w:rPr>
              <w:t>61,748</w:t>
            </w:r>
          </w:p>
        </w:tc>
      </w:tr>
      <w:tr>
        <w:trPr>
          <w:trHeight w:val="194"/>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00" w:type="dxa"/>
            <w:vAlign w:val="bottom"/>
            <w:tcBorders>
              <w:bottom w:val="single" w:sz="8" w:color="auto"/>
            </w:tcBorders>
            <w:shd w:val="clear" w:color="auto" w:fill="CCEEFF"/>
          </w:tcPr>
          <w:p>
            <w:pPr>
              <w:spacing w:after="0"/>
              <w:rPr>
                <w:sz w:val="16"/>
                <w:szCs w:val="16"/>
                <w:color w:val="auto"/>
              </w:rPr>
            </w:pPr>
          </w:p>
        </w:tc>
        <w:tc>
          <w:tcPr>
            <w:tcW w:w="2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6,430,613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6,842,910</w:t>
            </w:r>
          </w:p>
        </w:tc>
      </w:tr>
      <w:tr>
        <w:trPr>
          <w:trHeight w:val="186"/>
        </w:trPr>
        <w:tc>
          <w:tcPr>
            <w:tcW w:w="6200" w:type="dxa"/>
            <w:vAlign w:val="bottom"/>
          </w:tcPr>
          <w:p>
            <w:pPr>
              <w:ind w:left="140"/>
              <w:spacing w:after="0"/>
              <w:rPr>
                <w:sz w:val="20"/>
                <w:szCs w:val="20"/>
                <w:color w:val="auto"/>
              </w:rPr>
            </w:pPr>
            <w:r>
              <w:rPr>
                <w:rFonts w:ascii="Arial" w:cs="Arial" w:eastAsia="Arial" w:hAnsi="Arial"/>
                <w:sz w:val="15"/>
                <w:szCs w:val="15"/>
                <w:color w:val="auto"/>
              </w:rPr>
              <w:t>Total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6,963,968</w:t>
            </w:r>
          </w:p>
        </w:tc>
        <w:tc>
          <w:tcPr>
            <w:tcW w:w="120" w:type="dxa"/>
            <w:vAlign w:val="bottom"/>
          </w:tcPr>
          <w:p>
            <w:pPr>
              <w:spacing w:after="0"/>
              <w:rPr>
                <w:sz w:val="16"/>
                <w:szCs w:val="16"/>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7,358,159</w:t>
            </w: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40" w:type="dxa"/>
            <w:vAlign w:val="bottom"/>
            <w:gridSpan w:val="5"/>
          </w:tcPr>
          <w:p>
            <w:pPr>
              <w:jc w:val="right"/>
              <w:ind w:right="664"/>
              <w:spacing w:after="0"/>
              <w:rPr>
                <w:sz w:val="20"/>
                <w:szCs w:val="20"/>
                <w:color w:val="auto"/>
              </w:rPr>
            </w:pPr>
            <w:r>
              <w:rPr>
                <w:rFonts w:ascii="Arial" w:cs="Arial" w:eastAsia="Arial" w:hAnsi="Arial"/>
                <w:sz w:val="15"/>
                <w:szCs w:val="15"/>
                <w:b w:val="1"/>
                <w:bCs w:val="1"/>
                <w:color w:val="auto"/>
              </w:rPr>
              <w:t>Nine Months Ended</w:t>
            </w:r>
          </w:p>
        </w:tc>
      </w:tr>
      <w:tr>
        <w:trPr>
          <w:trHeight w:val="186"/>
        </w:trPr>
        <w:tc>
          <w:tcPr>
            <w:tcW w:w="5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May 31, 2019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May 31, 2020</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May 31, 2019</w:t>
            </w:r>
          </w:p>
        </w:tc>
      </w:tr>
      <w:tr>
        <w:trPr>
          <w:trHeight w:val="174"/>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China</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3,089,135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3,691,220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9,975,091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9,864,479</w:t>
            </w: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Brazil</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365,222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792,299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2,080,418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2,343,894</w:t>
            </w:r>
          </w:p>
        </w:tc>
      </w:tr>
      <w:tr>
        <w:trPr>
          <w:trHeight w:val="183"/>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India</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631,551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2,283,346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4,727,325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6,159,136</w:t>
            </w:r>
          </w:p>
        </w:tc>
      </w:tr>
      <w:tr>
        <w:trPr>
          <w:trHeight w:val="183"/>
        </w:trPr>
        <w:tc>
          <w:tcPr>
            <w:tcW w:w="5520" w:type="dxa"/>
            <w:vAlign w:val="bottom"/>
          </w:tcPr>
          <w:p>
            <w:pPr>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1,607,206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1,953,370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4,268,871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4,370,308</w:t>
            </w:r>
          </w:p>
        </w:tc>
      </w:tr>
      <w:tr>
        <w:trPr>
          <w:trHeight w:val="194"/>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4,051,709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6,172,882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16,558,301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19,564,756</w:t>
            </w:r>
          </w:p>
        </w:tc>
      </w:tr>
      <w:tr>
        <w:trPr>
          <w:trHeight w:val="186"/>
        </w:trPr>
        <w:tc>
          <w:tcPr>
            <w:tcW w:w="5520" w:type="dxa"/>
            <w:vAlign w:val="bottom"/>
          </w:tcPr>
          <w:p>
            <w:pPr>
              <w:ind w:left="140"/>
              <w:spacing w:after="0"/>
              <w:rPr>
                <w:sz w:val="20"/>
                <w:szCs w:val="20"/>
                <w:color w:val="auto"/>
              </w:rPr>
            </w:pPr>
            <w:r>
              <w:rPr>
                <w:rFonts w:ascii="Arial" w:cs="Arial" w:eastAsia="Arial" w:hAnsi="Arial"/>
                <w:sz w:val="15"/>
                <w:szCs w:val="15"/>
                <w:color w:val="auto"/>
              </w:rPr>
              <w:t>Total net sales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9,744,823</w:t>
            </w:r>
          </w:p>
        </w:tc>
        <w:tc>
          <w:tcPr>
            <w:tcW w:w="28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14,893,117</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37,610,006</w:t>
            </w:r>
          </w:p>
        </w:tc>
        <w:tc>
          <w:tcPr>
            <w:tcW w:w="100" w:type="dxa"/>
            <w:vAlign w:val="bottom"/>
          </w:tcPr>
          <w:p>
            <w:pPr>
              <w:spacing w:after="0"/>
              <w:rPr>
                <w:sz w:val="16"/>
                <w:szCs w:val="16"/>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42,302,573</w:t>
            </w:r>
          </w:p>
        </w:tc>
      </w:tr>
      <w:tr>
        <w:trPr>
          <w:trHeight w:val="20"/>
        </w:trPr>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9" w:right="180"/>
        <w:spacing w:after="0" w:line="284" w:lineRule="auto"/>
        <w:rPr>
          <w:sz w:val="20"/>
          <w:szCs w:val="20"/>
          <w:color w:val="auto"/>
        </w:rPr>
      </w:pPr>
      <w:r>
        <w:rPr>
          <w:rFonts w:ascii="Arial" w:cs="Arial" w:eastAsia="Arial" w:hAnsi="Arial"/>
          <w:sz w:val="15"/>
          <w:szCs w:val="15"/>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41" w:lineRule="exact"/>
        <w:rPr>
          <w:sz w:val="20"/>
          <w:szCs w:val="20"/>
          <w:color w:val="auto"/>
        </w:rPr>
      </w:pPr>
    </w:p>
    <w:p>
      <w:pPr>
        <w:ind w:left="9" w:right="480"/>
        <w:spacing w:after="0" w:line="284" w:lineRule="auto"/>
        <w:rPr>
          <w:sz w:val="20"/>
          <w:szCs w:val="20"/>
          <w:color w:val="auto"/>
        </w:rPr>
      </w:pPr>
      <w:r>
        <w:rPr>
          <w:rFonts w:ascii="Arial" w:cs="Arial" w:eastAsia="Arial" w:hAnsi="Arial"/>
          <w:sz w:val="15"/>
          <w:szCs w:val="15"/>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15"/>
          <w:szCs w:val="15"/>
          <w:color w:val="auto"/>
        </w:rPr>
        <w:t>All joint venture operations, including equity in income, fees for services, and related dividends, are primarily related to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w:t>
      </w:r>
    </w:p>
    <w:p>
      <w:pPr>
        <w:spacing w:after="0" w:line="107" w:lineRule="exact"/>
        <w:rPr>
          <w:sz w:val="20"/>
          <w:szCs w:val="20"/>
          <w:color w:val="auto"/>
        </w:rPr>
      </w:pPr>
    </w:p>
    <w:p>
      <w:pPr>
        <w:ind w:left="449" w:hanging="449"/>
        <w:spacing w:after="0"/>
        <w:tabs>
          <w:tab w:leader="none" w:pos="449"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Operating Leases</w:t>
      </w:r>
    </w:p>
    <w:p>
      <w:pPr>
        <w:spacing w:after="0" w:line="193" w:lineRule="exact"/>
        <w:rPr>
          <w:sz w:val="20"/>
          <w:szCs w:val="20"/>
          <w:color w:val="auto"/>
        </w:rPr>
      </w:pPr>
    </w:p>
    <w:p>
      <w:pPr>
        <w:ind w:left="9" w:right="120"/>
        <w:spacing w:after="0" w:line="321" w:lineRule="auto"/>
        <w:rPr>
          <w:sz w:val="20"/>
          <w:szCs w:val="20"/>
          <w:color w:val="auto"/>
        </w:rPr>
      </w:pPr>
      <w:r>
        <w:rPr>
          <w:rFonts w:ascii="Arial" w:cs="Arial" w:eastAsia="Arial" w:hAnsi="Arial"/>
          <w:sz w:val="14"/>
          <w:szCs w:val="14"/>
          <w:color w:val="auto"/>
        </w:rPr>
        <w:t>The Company currently has 12 operating leases for various buildings, equipment and vehicles. These leases are under non-cancelable operating lease agreements with expiration dates between November 30, 2020 and June 30, 2024. The Company has the option to extend certain leases to five or ten-year term(s) and has the right of first refusal on any sale.</w:t>
      </w:r>
    </w:p>
    <w:p>
      <w:pPr>
        <w:spacing w:after="0" w:line="30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609" w:right="319" w:bottom="1440" w:gutter="0" w:footer="0" w:header="0"/>
        </w:sectPr>
      </w:pPr>
    </w:p>
    <w:bookmarkStart w:id="19" w:name="page20"/>
    <w:bookmarkEnd w:id="19"/>
    <w:p>
      <w:pPr>
        <w:ind w:right="80"/>
        <w:spacing w:after="0" w:line="264" w:lineRule="auto"/>
        <w:rPr>
          <w:sz w:val="20"/>
          <w:szCs w:val="20"/>
          <w:color w:val="auto"/>
        </w:rPr>
      </w:pPr>
      <w:r>
        <w:rPr>
          <w:rFonts w:ascii="Arial" w:cs="Arial" w:eastAsia="Arial" w:hAnsi="Arial"/>
          <w:sz w:val="15"/>
          <w:szCs w:val="15"/>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900" w:type="dxa"/>
            <w:vAlign w:val="bottom"/>
            <w:gridSpan w:val="2"/>
          </w:tcPr>
          <w:p>
            <w:pPr>
              <w:spacing w:after="0"/>
              <w:rPr>
                <w:sz w:val="20"/>
                <w:szCs w:val="20"/>
                <w:color w:val="auto"/>
              </w:rPr>
            </w:pPr>
            <w:r>
              <w:rPr>
                <w:rFonts w:ascii="Arial" w:cs="Arial" w:eastAsia="Arial" w:hAnsi="Arial"/>
                <w:sz w:val="15"/>
                <w:szCs w:val="15"/>
                <w:i w:val="1"/>
                <w:iCs w:val="1"/>
                <w:color w:val="auto"/>
              </w:rPr>
              <w:t>Present Value of Long-term Leases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7"/>
        </w:trPr>
        <w:tc>
          <w:tcPr>
            <w:tcW w:w="9900" w:type="dxa"/>
            <w:vAlign w:val="bottom"/>
            <w:gridSpan w:val="2"/>
          </w:tcPr>
          <w:p>
            <w:pPr>
              <w:spacing w:after="0"/>
              <w:rPr>
                <w:sz w:val="20"/>
                <w:szCs w:val="20"/>
                <w:color w:val="auto"/>
              </w:rPr>
            </w:pPr>
            <w:r>
              <w:rPr>
                <w:rFonts w:ascii="Arial" w:cs="Arial" w:eastAsia="Arial" w:hAnsi="Arial"/>
                <w:sz w:val="15"/>
                <w:szCs w:val="15"/>
                <w:color w:val="auto"/>
              </w:rPr>
              <w:t>(in thousands):</w:t>
            </w:r>
          </w:p>
        </w:tc>
        <w:tc>
          <w:tcPr>
            <w:tcW w:w="160" w:type="dxa"/>
            <w:vAlign w:val="bottom"/>
          </w:tcPr>
          <w:p>
            <w:pPr>
              <w:spacing w:after="0"/>
              <w:rPr>
                <w:sz w:val="24"/>
                <w:szCs w:val="24"/>
                <w:color w:val="auto"/>
              </w:rPr>
            </w:pPr>
          </w:p>
        </w:tc>
        <w:tc>
          <w:tcPr>
            <w:tcW w:w="1200" w:type="dxa"/>
            <w:vAlign w:val="bottom"/>
          </w:tcPr>
          <w:p>
            <w:pPr>
              <w:jc w:val="right"/>
              <w:ind w:right="164"/>
              <w:spacing w:after="0"/>
              <w:rPr>
                <w:sz w:val="20"/>
                <w:szCs w:val="20"/>
                <w:color w:val="auto"/>
              </w:rPr>
            </w:pPr>
            <w:r>
              <w:rPr>
                <w:rFonts w:ascii="Arial" w:cs="Arial" w:eastAsia="Arial" w:hAnsi="Arial"/>
                <w:sz w:val="15"/>
                <w:szCs w:val="15"/>
                <w:b w:val="1"/>
                <w:bCs w:val="1"/>
                <w:color w:val="auto"/>
              </w:rPr>
              <w:t>May 31, 2020</w:t>
            </w:r>
          </w:p>
        </w:tc>
      </w:tr>
      <w:tr>
        <w:trPr>
          <w:trHeight w:val="174"/>
        </w:trPr>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Right-of-use assets, net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451,188</w:t>
            </w:r>
          </w:p>
        </w:tc>
      </w:tr>
    </w:tbl>
    <w:p>
      <w:pPr>
        <w:spacing w:after="0" w:line="172" w:lineRule="exact"/>
        <w:rPr>
          <w:sz w:val="20"/>
          <w:szCs w:val="20"/>
          <w:color w:val="auto"/>
        </w:rPr>
      </w:pPr>
    </w:p>
    <w:p>
      <w:pPr>
        <w:sectPr>
          <w:pgSz w:w="11900" w:h="16838" w:orient="portrait"/>
          <w:cols w:equalWidth="0" w:num="1">
            <w:col w:w="11260"/>
          </w:cols>
          <w:pgMar w:left="320" w:top="609" w:right="319" w:bottom="1440" w:gutter="0" w:footer="0" w:header="0"/>
        </w:sectPr>
      </w:pPr>
    </w:p>
    <w:p>
      <w:pPr>
        <w:spacing w:after="0"/>
        <w:rPr>
          <w:sz w:val="20"/>
          <w:szCs w:val="20"/>
          <w:color w:val="auto"/>
        </w:rPr>
      </w:pPr>
      <w:r>
        <w:rPr>
          <w:rFonts w:ascii="Arial" w:cs="Arial" w:eastAsia="Arial" w:hAnsi="Arial"/>
          <w:sz w:val="15"/>
          <w:szCs w:val="15"/>
          <w:color w:val="auto"/>
        </w:rPr>
        <w:t>Current portion of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53275" cy="116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1162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Lease liability,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53275" cy="137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137795"/>
                    </a:xfrm>
                    <a:prstGeom prst="rect">
                      <a:avLst/>
                    </a:prstGeom>
                    <a:noFill/>
                  </pic:spPr>
                </pic:pic>
              </a:graphicData>
            </a:graphic>
          </wp:anchor>
        </w:drawing>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Total lease liability</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5"/>
          <w:szCs w:val="15"/>
          <w:color w:val="auto"/>
        </w:rPr>
        <w:t>136,714</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314,474</w:t>
      </w:r>
    </w:p>
    <w:p>
      <w:pPr>
        <w:spacing w:after="0" w:line="33" w:lineRule="exact"/>
        <w:rPr>
          <w:sz w:val="20"/>
          <w:szCs w:val="20"/>
          <w:color w:val="auto"/>
        </w:rPr>
      </w:pPr>
    </w:p>
    <w:p>
      <w:pPr>
        <w:ind w:left="760" w:hanging="753"/>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451,188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85725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698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180" w:space="720"/>
            <w:col w:w="1360"/>
          </w:cols>
          <w:pgMar w:left="320" w:top="609" w:right="319" w:bottom="1440" w:gutter="0" w:footer="0" w:header="0"/>
          <w:type w:val="continuous"/>
        </w:sectPr>
      </w:pPr>
    </w:p>
    <w:p>
      <w:pPr>
        <w:spacing w:after="0" w:line="1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of May 31, 2020, the weighted-average remaining lease term was 1.9 years. The Company’s lease agreements do not provide a readily determinable implicit rate nor is it available to the Company from its lessors. Instead, as of May 31, 2020, the Company estimates the weighted-average discount rate for its operating leases to be 4.32% to present value based on the incremental borrowing rate.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900" w:type="dxa"/>
            <w:vAlign w:val="bottom"/>
            <w:gridSpan w:val="2"/>
          </w:tcPr>
          <w:p>
            <w:pPr>
              <w:spacing w:after="0"/>
              <w:rPr>
                <w:sz w:val="20"/>
                <w:szCs w:val="20"/>
                <w:color w:val="auto"/>
              </w:rPr>
            </w:pPr>
            <w:r>
              <w:rPr>
                <w:rFonts w:ascii="Arial" w:cs="Arial" w:eastAsia="Arial" w:hAnsi="Arial"/>
                <w:sz w:val="15"/>
                <w:szCs w:val="15"/>
                <w:color w:val="auto"/>
                <w:w w:val="93"/>
              </w:rPr>
              <w:t>Future minimum payments for the next five fiscal years and thereafter as of May 31, 2020 under these long-term operating leases are as follows (in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5"/>
                <w:szCs w:val="15"/>
                <w:color w:val="auto"/>
              </w:rPr>
              <w:t>Fiscal 2020</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68,746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80" w:type="dxa"/>
            <w:vAlign w:val="bottom"/>
          </w:tcPr>
          <w:p>
            <w:pPr>
              <w:spacing w:after="0"/>
              <w:rPr>
                <w:sz w:val="20"/>
                <w:szCs w:val="20"/>
                <w:color w:val="auto"/>
              </w:rPr>
            </w:pPr>
            <w:r>
              <w:rPr>
                <w:rFonts w:ascii="Arial" w:cs="Arial" w:eastAsia="Arial" w:hAnsi="Arial"/>
                <w:sz w:val="15"/>
                <w:szCs w:val="15"/>
                <w:color w:val="auto"/>
              </w:rPr>
              <w:t>Fiscal 2021</w:t>
            </w:r>
          </w:p>
        </w:tc>
        <w:tc>
          <w:tcPr>
            <w:tcW w:w="4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263,392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5"/>
                <w:szCs w:val="15"/>
                <w:color w:val="auto"/>
              </w:rPr>
              <w:t>Fiscal 2022</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125,648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80" w:type="dxa"/>
            <w:vAlign w:val="bottom"/>
          </w:tcPr>
          <w:p>
            <w:pPr>
              <w:spacing w:after="0"/>
              <w:rPr>
                <w:sz w:val="20"/>
                <w:szCs w:val="20"/>
                <w:color w:val="auto"/>
              </w:rPr>
            </w:pPr>
            <w:r>
              <w:rPr>
                <w:rFonts w:ascii="Arial" w:cs="Arial" w:eastAsia="Arial" w:hAnsi="Arial"/>
                <w:sz w:val="15"/>
                <w:szCs w:val="15"/>
                <w:color w:val="auto"/>
              </w:rPr>
              <w:t>Fiscal 2023</w:t>
            </w:r>
          </w:p>
        </w:tc>
        <w:tc>
          <w:tcPr>
            <w:tcW w:w="4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10,222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5"/>
                <w:szCs w:val="15"/>
                <w:color w:val="auto"/>
              </w:rPr>
              <w:t>Fiscal 2024</w:t>
            </w: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2,570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80" w:type="dxa"/>
            <w:vAlign w:val="bottom"/>
          </w:tcPr>
          <w:p>
            <w:pPr>
              <w:ind w:left="420"/>
              <w:spacing w:after="0"/>
              <w:rPr>
                <w:sz w:val="20"/>
                <w:szCs w:val="20"/>
                <w:color w:val="auto"/>
              </w:rPr>
            </w:pPr>
            <w:r>
              <w:rPr>
                <w:rFonts w:ascii="Arial" w:cs="Arial" w:eastAsia="Arial" w:hAnsi="Arial"/>
                <w:sz w:val="15"/>
                <w:szCs w:val="15"/>
                <w:color w:val="auto"/>
              </w:rPr>
              <w:t>Total future minimum lease payments</w:t>
            </w:r>
          </w:p>
        </w:tc>
        <w:tc>
          <w:tcPr>
            <w:tcW w:w="4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470,578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80" w:type="dxa"/>
            <w:vAlign w:val="bottom"/>
          </w:tcPr>
          <w:p>
            <w:pPr>
              <w:ind w:left="420"/>
              <w:spacing w:after="0"/>
              <w:rPr>
                <w:sz w:val="20"/>
                <w:szCs w:val="20"/>
                <w:color w:val="auto"/>
              </w:rPr>
            </w:pPr>
            <w:r>
              <w:rPr>
                <w:rFonts w:ascii="Arial" w:cs="Arial" w:eastAsia="Arial" w:hAnsi="Arial"/>
                <w:sz w:val="15"/>
                <w:szCs w:val="15"/>
                <w:color w:val="auto"/>
              </w:rPr>
              <w:t>Present value of obligations under operating leases</w:t>
            </w:r>
          </w:p>
        </w:tc>
        <w:tc>
          <w:tcPr>
            <w:tcW w:w="40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451,188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w:t>
            </w: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(136,714)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80" w:type="dxa"/>
            <w:vAlign w:val="bottom"/>
          </w:tcPr>
          <w:p>
            <w:pPr>
              <w:ind w:left="420"/>
              <w:spacing w:after="0"/>
              <w:rPr>
                <w:sz w:val="20"/>
                <w:szCs w:val="20"/>
                <w:color w:val="auto"/>
              </w:rPr>
            </w:pPr>
            <w:r>
              <w:rPr>
                <w:rFonts w:ascii="Arial" w:cs="Arial" w:eastAsia="Arial" w:hAnsi="Arial"/>
                <w:sz w:val="15"/>
                <w:szCs w:val="15"/>
                <w:color w:val="auto"/>
              </w:rPr>
              <w:t>Long-term operating lease obligations</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314,474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Annual Bonus Plan</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On August 31, 2019, the Compensation Committee of the Board of Directors of the Company approved the material terms of an annual bonus plan for the Company’s executive officers as well as certain officers and employees for the fiscal year ending August 31, 2020. For fiscal 2020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75% of the amount of their individual bonus payout will be determined based upon the Company’s actual EBITOI for fiscal 2020 compared to a pre-established target EBITOI for fiscal 2020,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with the exact amount and percentages determined by the Company’s Board of Directors, upon recommendation of the Compensation Committee, after the completion of the Company’s consolidated financial statements for fiscal 2020. There was $1,200,000 recognized for management bonuses for the nine months ended May 31, 2020, compared to $1,450,000 recognized for management bonuses for the nine months ended May 31, 2019.</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type w:val="continuous"/>
        </w:sectPr>
      </w:pPr>
    </w:p>
    <w:bookmarkStart w:id="20" w:name="page21"/>
    <w:bookmarkEnd w:id="20"/>
    <w:p>
      <w:pPr>
        <w:jc w:val="both"/>
        <w:ind w:left="9" w:right="200"/>
        <w:spacing w:after="0" w:line="269" w:lineRule="auto"/>
        <w:rPr>
          <w:sz w:val="20"/>
          <w:szCs w:val="20"/>
          <w:color w:val="auto"/>
        </w:rPr>
      </w:pPr>
      <w:r>
        <w:rPr>
          <w:rFonts w:ascii="Arial" w:cs="Arial" w:eastAsia="Arial" w:hAnsi="Arial"/>
          <w:sz w:val="15"/>
          <w:szCs w:val="15"/>
          <w:color w:val="auto"/>
        </w:rPr>
        <w:t>Two joint ventures (consisting of the Company’s joint ventures in South Korea and Thailand) accounted for 56.2% of the Company’s trade joint venture receivables at May 31, 2020, and five joint ventures (consisting of the Company’s joint ventures in South Korea, Thailand, France, Germany and India) accounted for 69.6% of the Company’s trade joint venture receivables as of August 31, 2019.</w:t>
      </w:r>
    </w:p>
    <w:p>
      <w:pPr>
        <w:spacing w:after="0" w:line="152" w:lineRule="exact"/>
        <w:rPr>
          <w:sz w:val="20"/>
          <w:szCs w:val="20"/>
          <w:color w:val="auto"/>
        </w:rPr>
      </w:pPr>
    </w:p>
    <w:p>
      <w:pPr>
        <w:ind w:left="9" w:right="120"/>
        <w:spacing w:after="0" w:line="282" w:lineRule="auto"/>
        <w:rPr>
          <w:sz w:val="20"/>
          <w:szCs w:val="20"/>
          <w:color w:val="auto"/>
        </w:rPr>
      </w:pPr>
      <w:r>
        <w:rPr>
          <w:rFonts w:ascii="Arial" w:cs="Arial" w:eastAsia="Arial" w:hAnsi="Arial"/>
          <w:sz w:val="14"/>
          <w:szCs w:val="14"/>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2020, the amount of liability, if any, with respect to these matters, individually or in the aggregate, will not materially affect the Company’s consolidated results of operations, financial position, or cash flows.</w:t>
      </w:r>
    </w:p>
    <w:p>
      <w:pPr>
        <w:spacing w:after="0" w:line="142" w:lineRule="exact"/>
        <w:rPr>
          <w:sz w:val="20"/>
          <w:szCs w:val="20"/>
          <w:color w:val="auto"/>
        </w:rPr>
      </w:pPr>
    </w:p>
    <w:p>
      <w:pPr>
        <w:ind w:left="449" w:hanging="449"/>
        <w:spacing w:after="0"/>
        <w:tabs>
          <w:tab w:leader="none" w:pos="449"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97" w:lineRule="exact"/>
        <w:rPr>
          <w:sz w:val="20"/>
          <w:szCs w:val="20"/>
          <w:color w:val="auto"/>
        </w:rPr>
      </w:pPr>
    </w:p>
    <w:p>
      <w:pPr>
        <w:ind w:left="9" w:right="420"/>
        <w:spacing w:after="0" w:line="284" w:lineRule="auto"/>
        <w:rPr>
          <w:sz w:val="20"/>
          <w:szCs w:val="20"/>
          <w:color w:val="auto"/>
        </w:rPr>
      </w:pPr>
      <w:r>
        <w:rPr>
          <w:rFonts w:ascii="Arial" w:cs="Arial" w:eastAsia="Arial" w:hAnsi="Arial"/>
          <w:sz w:val="15"/>
          <w:szCs w:val="15"/>
          <w:color w:val="auto"/>
        </w:rPr>
        <w:t>Assets and liabilities that are measured at fair value on a recurring basis primarily relate to equity securities in an ultra-short bond fund. These items are marked-to-market at each reporting period, and the Company estimates that market value approximates costs.</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tables provide information by level for assets and liabilities that are measured at fair value on a recurring basis:</w:t>
      </w:r>
    </w:p>
    <w:p>
      <w:pPr>
        <w:spacing w:after="0" w:line="17"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20" w:type="dxa"/>
            <w:vAlign w:val="bottom"/>
            <w:gridSpan w:val="6"/>
          </w:tcPr>
          <w:p>
            <w:pPr>
              <w:jc w:val="center"/>
              <w:ind w:right="124"/>
              <w:spacing w:after="0"/>
              <w:rPr>
                <w:sz w:val="20"/>
                <w:szCs w:val="20"/>
                <w:color w:val="auto"/>
              </w:rPr>
            </w:pPr>
            <w:r>
              <w:rPr>
                <w:rFonts w:ascii="Arial" w:cs="Arial" w:eastAsia="Arial" w:hAnsi="Arial"/>
                <w:sz w:val="15"/>
                <w:szCs w:val="15"/>
                <w:b w:val="1"/>
                <w:bCs w:val="1"/>
                <w:color w:val="auto"/>
                <w:w w:val="92"/>
              </w:rPr>
              <w:t>Fair Value Measurements</w:t>
            </w:r>
          </w:p>
        </w:tc>
        <w:tc>
          <w:tcPr>
            <w:tcW w:w="1080" w:type="dxa"/>
            <w:vAlign w:val="bottom"/>
          </w:tcPr>
          <w:p>
            <w:pPr>
              <w:spacing w:after="0"/>
              <w:rPr>
                <w:sz w:val="14"/>
                <w:szCs w:val="14"/>
                <w:color w:val="auto"/>
              </w:rPr>
            </w:pPr>
          </w:p>
        </w:tc>
      </w:tr>
      <w:tr>
        <w:trPr>
          <w:trHeight w:val="200"/>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7"/>
          </w:tcPr>
          <w:p>
            <w:pPr>
              <w:jc w:val="center"/>
              <w:ind w:left="724"/>
              <w:spacing w:after="0"/>
              <w:rPr>
                <w:sz w:val="20"/>
                <w:szCs w:val="20"/>
                <w:color w:val="auto"/>
              </w:rPr>
            </w:pPr>
            <w:r>
              <w:rPr>
                <w:rFonts w:ascii="Arial" w:cs="Arial" w:eastAsia="Arial" w:hAnsi="Arial"/>
                <w:sz w:val="15"/>
                <w:szCs w:val="15"/>
                <w:b w:val="1"/>
                <w:bCs w:val="1"/>
                <w:color w:val="auto"/>
                <w:w w:val="90"/>
              </w:rPr>
              <w:t>Using Inputs Considered as</w:t>
            </w:r>
          </w:p>
        </w:tc>
        <w:tc>
          <w:tcPr>
            <w:tcW w:w="1080" w:type="dxa"/>
            <w:vAlign w:val="bottom"/>
            <w:tcBorders>
              <w:bottom w:val="single" w:sz="8" w:color="auto"/>
            </w:tcBorders>
          </w:tcPr>
          <w:p>
            <w:pPr>
              <w:spacing w:after="0"/>
              <w:rPr>
                <w:sz w:val="17"/>
                <w:szCs w:val="17"/>
                <w:color w:val="auto"/>
              </w:rPr>
            </w:pPr>
          </w:p>
        </w:tc>
      </w:tr>
      <w:tr>
        <w:trPr>
          <w:trHeight w:val="168"/>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4"/>
              <w:spacing w:after="0" w:line="169" w:lineRule="exact"/>
              <w:rPr>
                <w:sz w:val="20"/>
                <w:szCs w:val="20"/>
                <w:color w:val="auto"/>
              </w:rPr>
            </w:pPr>
            <w:r>
              <w:rPr>
                <w:rFonts w:ascii="Arial" w:cs="Arial" w:eastAsia="Arial" w:hAnsi="Arial"/>
                <w:sz w:val="15"/>
                <w:szCs w:val="15"/>
                <w:b w:val="1"/>
                <w:bCs w:val="1"/>
                <w:color w:val="auto"/>
                <w:w w:val="91"/>
              </w:rPr>
              <w:t>Fair value as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5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3"/>
              </w:rPr>
              <w:t>May 31, 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284"/>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ind w:left="20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Arial" w:cs="Arial" w:eastAsia="Arial" w:hAnsi="Arial"/>
                <w:sz w:val="15"/>
                <w:szCs w:val="15"/>
                <w:b w:val="1"/>
                <w:bCs w:val="1"/>
                <w:color w:val="auto"/>
              </w:rPr>
              <w:t>Level 3</w:t>
            </w:r>
          </w:p>
        </w:tc>
      </w:tr>
      <w:tr>
        <w:trPr>
          <w:trHeight w:val="166"/>
        </w:trPr>
        <w:tc>
          <w:tcPr>
            <w:tcW w:w="552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Available for sale securities</w:t>
            </w:r>
          </w:p>
        </w:tc>
        <w:tc>
          <w:tcPr>
            <w:tcW w:w="12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5,450,693</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5,450,693</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40"/>
              <w:spacing w:after="0" w:line="16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820"/>
              <w:spacing w:after="0" w:line="166" w:lineRule="exact"/>
              <w:rPr>
                <w:sz w:val="20"/>
                <w:szCs w:val="20"/>
                <w:color w:val="auto"/>
              </w:rPr>
            </w:pPr>
            <w:r>
              <w:rPr>
                <w:rFonts w:ascii="Arial" w:cs="Arial" w:eastAsia="Arial" w:hAnsi="Arial"/>
                <w:sz w:val="15"/>
                <w:szCs w:val="15"/>
                <w:color w:val="auto"/>
              </w:rPr>
              <w:t>—</w:t>
            </w:r>
          </w:p>
        </w:tc>
      </w:tr>
      <w:tr>
        <w:trPr>
          <w:trHeight w:val="351"/>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gridSpan w:val="6"/>
          </w:tcPr>
          <w:p>
            <w:pPr>
              <w:jc w:val="center"/>
              <w:ind w:right="124"/>
              <w:spacing w:after="0"/>
              <w:rPr>
                <w:sz w:val="20"/>
                <w:szCs w:val="20"/>
                <w:color w:val="auto"/>
              </w:rPr>
            </w:pPr>
            <w:r>
              <w:rPr>
                <w:rFonts w:ascii="Arial" w:cs="Arial" w:eastAsia="Arial" w:hAnsi="Arial"/>
                <w:sz w:val="15"/>
                <w:szCs w:val="15"/>
                <w:b w:val="1"/>
                <w:bCs w:val="1"/>
                <w:color w:val="auto"/>
                <w:w w:val="92"/>
              </w:rPr>
              <w:t>Fair Value Measurements</w:t>
            </w:r>
          </w:p>
        </w:tc>
        <w:tc>
          <w:tcPr>
            <w:tcW w:w="1080" w:type="dxa"/>
            <w:vAlign w:val="bottom"/>
          </w:tcPr>
          <w:p>
            <w:pPr>
              <w:spacing w:after="0"/>
              <w:rPr>
                <w:sz w:val="24"/>
                <w:szCs w:val="24"/>
                <w:color w:val="auto"/>
              </w:rPr>
            </w:pPr>
          </w:p>
        </w:tc>
      </w:tr>
      <w:tr>
        <w:trPr>
          <w:trHeight w:val="200"/>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7"/>
          </w:tcPr>
          <w:p>
            <w:pPr>
              <w:jc w:val="center"/>
              <w:ind w:left="724"/>
              <w:spacing w:after="0"/>
              <w:rPr>
                <w:sz w:val="20"/>
                <w:szCs w:val="20"/>
                <w:color w:val="auto"/>
              </w:rPr>
            </w:pPr>
            <w:r>
              <w:rPr>
                <w:rFonts w:ascii="Arial" w:cs="Arial" w:eastAsia="Arial" w:hAnsi="Arial"/>
                <w:sz w:val="15"/>
                <w:szCs w:val="15"/>
                <w:b w:val="1"/>
                <w:bCs w:val="1"/>
                <w:color w:val="auto"/>
                <w:w w:val="90"/>
              </w:rPr>
              <w:t>Using Inputs Considered as</w:t>
            </w:r>
          </w:p>
        </w:tc>
        <w:tc>
          <w:tcPr>
            <w:tcW w:w="1080" w:type="dxa"/>
            <w:vAlign w:val="bottom"/>
            <w:tcBorders>
              <w:bottom w:val="single" w:sz="8" w:color="auto"/>
            </w:tcBorders>
          </w:tcPr>
          <w:p>
            <w:pPr>
              <w:spacing w:after="0"/>
              <w:rPr>
                <w:sz w:val="17"/>
                <w:szCs w:val="17"/>
                <w:color w:val="auto"/>
              </w:rPr>
            </w:pPr>
          </w:p>
        </w:tc>
      </w:tr>
      <w:tr>
        <w:trPr>
          <w:trHeight w:val="168"/>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4"/>
              <w:spacing w:after="0" w:line="169" w:lineRule="exact"/>
              <w:rPr>
                <w:sz w:val="20"/>
                <w:szCs w:val="20"/>
                <w:color w:val="auto"/>
              </w:rPr>
            </w:pPr>
            <w:r>
              <w:rPr>
                <w:rFonts w:ascii="Arial" w:cs="Arial" w:eastAsia="Arial" w:hAnsi="Arial"/>
                <w:sz w:val="15"/>
                <w:szCs w:val="15"/>
                <w:b w:val="1"/>
                <w:bCs w:val="1"/>
                <w:color w:val="auto"/>
                <w:w w:val="91"/>
              </w:rPr>
              <w:t>Fair value as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5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1"/>
              </w:rPr>
              <w:t>August 31, 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284"/>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ind w:left="20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Arial" w:cs="Arial" w:eastAsia="Arial" w:hAnsi="Arial"/>
                <w:sz w:val="15"/>
                <w:szCs w:val="15"/>
                <w:b w:val="1"/>
                <w:bCs w:val="1"/>
                <w:color w:val="auto"/>
              </w:rPr>
              <w:t>Level 3</w:t>
            </w:r>
          </w:p>
        </w:tc>
      </w:tr>
      <w:tr>
        <w:trPr>
          <w:trHeight w:val="166"/>
        </w:trPr>
        <w:tc>
          <w:tcPr>
            <w:tcW w:w="552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Available for sale securities</w:t>
            </w:r>
          </w:p>
        </w:tc>
        <w:tc>
          <w:tcPr>
            <w:tcW w:w="12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shd w:val="clear" w:color="auto" w:fill="CCEEFF"/>
          </w:tcPr>
          <w:p>
            <w:pPr>
              <w:jc w:val="right"/>
              <w:ind w:right="44"/>
              <w:spacing w:after="0" w:line="166" w:lineRule="exact"/>
              <w:rPr>
                <w:sz w:val="20"/>
                <w:szCs w:val="20"/>
                <w:color w:val="auto"/>
              </w:rPr>
            </w:pPr>
            <w:r>
              <w:rPr>
                <w:rFonts w:ascii="Arial" w:cs="Arial" w:eastAsia="Arial" w:hAnsi="Arial"/>
                <w:sz w:val="15"/>
                <w:szCs w:val="15"/>
                <w:color w:val="auto"/>
              </w:rPr>
              <w:t>3,565,258</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3,565,258</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40"/>
              <w:spacing w:after="0" w:line="16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4"/>
              <w:spacing w:after="0" w:line="16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820"/>
              <w:spacing w:after="0" w:line="166" w:lineRule="exact"/>
              <w:rPr>
                <w:sz w:val="20"/>
                <w:szCs w:val="20"/>
                <w:color w:val="auto"/>
              </w:rPr>
            </w:pPr>
            <w:r>
              <w:rPr>
                <w:rFonts w:ascii="Arial" w:cs="Arial" w:eastAsia="Arial" w:hAnsi="Arial"/>
                <w:sz w:val="15"/>
                <w:szCs w:val="15"/>
                <w:color w:val="auto"/>
              </w:rPr>
              <w:t>—</w:t>
            </w:r>
          </w:p>
        </w:tc>
      </w:tr>
    </w:tbl>
    <w:p>
      <w:pPr>
        <w:spacing w:after="0" w:line="172" w:lineRule="exact"/>
        <w:rPr>
          <w:sz w:val="20"/>
          <w:szCs w:val="20"/>
          <w:color w:val="auto"/>
        </w:rPr>
      </w:pPr>
    </w:p>
    <w:p>
      <w:pPr>
        <w:jc w:val="both"/>
        <w:ind w:left="9" w:right="20"/>
        <w:spacing w:after="0" w:line="284" w:lineRule="auto"/>
        <w:rPr>
          <w:sz w:val="20"/>
          <w:szCs w:val="20"/>
          <w:color w:val="auto"/>
        </w:rPr>
      </w:pPr>
      <w:r>
        <w:rPr>
          <w:rFonts w:ascii="Arial" w:cs="Arial" w:eastAsia="Arial" w:hAnsi="Arial"/>
          <w:sz w:val="15"/>
          <w:szCs w:val="15"/>
          <w:color w:val="auto"/>
        </w:rPr>
        <w:t>Financial assets that are classified as Level 1 securities include cash equivalents and available for sale securities. These are valued using quoted market prices in an active market. There were no transfers between Level 1, Level 2, or Level 3 during the three and nine months ended May 31, 2020 and 2019.</w:t>
      </w:r>
    </w:p>
    <w:p>
      <w:pPr>
        <w:spacing w:after="0" w:line="200" w:lineRule="exact"/>
        <w:rPr>
          <w:sz w:val="20"/>
          <w:szCs w:val="20"/>
          <w:color w:val="auto"/>
        </w:rPr>
      </w:pPr>
    </w:p>
    <w:p>
      <w:pPr>
        <w:spacing w:after="0" w:line="30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609"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8"/>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14.    SUPPLEMENTAL CASH FLOW INFORMATION</w:t>
            </w: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66"/>
        </w:trPr>
        <w:tc>
          <w:tcPr>
            <w:tcW w:w="5260" w:type="dxa"/>
            <w:vAlign w:val="bottom"/>
            <w:gridSpan w:val="2"/>
          </w:tcPr>
          <w:p>
            <w:pPr>
              <w:spacing w:after="0"/>
              <w:rPr>
                <w:sz w:val="20"/>
                <w:szCs w:val="20"/>
                <w:color w:val="auto"/>
              </w:rPr>
            </w:pPr>
            <w:r>
              <w:rPr>
                <w:rFonts w:ascii="Arial" w:cs="Arial" w:eastAsia="Arial" w:hAnsi="Arial"/>
                <w:sz w:val="15"/>
                <w:szCs w:val="15"/>
                <w:color w:val="auto"/>
              </w:rPr>
              <w:t>Supplemental disclosures of cash flow information consisted of:</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7"/>
        </w:trPr>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Three Months Ended</w:t>
            </w:r>
          </w:p>
        </w:tc>
        <w:tc>
          <w:tcPr>
            <w:tcW w:w="540" w:type="dxa"/>
            <w:vAlign w:val="bottom"/>
            <w:tcBorders>
              <w:bottom w:val="single" w:sz="8" w:color="auto"/>
            </w:tcBorders>
          </w:tcPr>
          <w:p>
            <w:pPr>
              <w:spacing w:after="0"/>
              <w:rPr>
                <w:sz w:val="24"/>
                <w:szCs w:val="24"/>
                <w:color w:val="auto"/>
              </w:rPr>
            </w:pPr>
          </w:p>
        </w:tc>
      </w:tr>
      <w:tr>
        <w:trPr>
          <w:trHeight w:val="186"/>
        </w:trPr>
        <w:tc>
          <w:tcPr>
            <w:tcW w:w="300" w:type="dxa"/>
            <w:vAlign w:val="bottom"/>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May 31, 2020</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May 31, 2019</w:t>
            </w:r>
          </w:p>
        </w:tc>
        <w:tc>
          <w:tcPr>
            <w:tcW w:w="540" w:type="dxa"/>
            <w:vAlign w:val="bottom"/>
            <w:tcBorders>
              <w:bottom w:val="single" w:sz="8" w:color="auto"/>
            </w:tcBorders>
          </w:tcPr>
          <w:p>
            <w:pPr>
              <w:spacing w:after="0"/>
              <w:rPr>
                <w:sz w:val="16"/>
                <w:szCs w:val="16"/>
                <w:color w:val="auto"/>
              </w:rPr>
            </w:pPr>
          </w:p>
        </w:tc>
      </w:tr>
      <w:tr>
        <w:trPr>
          <w:trHeight w:val="174"/>
        </w:trPr>
        <w:tc>
          <w:tcPr>
            <w:tcW w:w="30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interest</w:t>
            </w:r>
          </w:p>
        </w:tc>
        <w:tc>
          <w:tcPr>
            <w:tcW w:w="1460" w:type="dxa"/>
            <w:vAlign w:val="bottom"/>
            <w:shd w:val="clear" w:color="auto" w:fill="CCEEFF"/>
          </w:tcPr>
          <w:p>
            <w:pPr>
              <w:jc w:val="right"/>
              <w:ind w:right="130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1"/>
              </w:rPr>
              <w:t>10,724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5,165</w:t>
            </w:r>
          </w:p>
        </w:tc>
      </w:tr>
      <w:tr>
        <w:trPr>
          <w:trHeight w:val="194"/>
        </w:trPr>
        <w:tc>
          <w:tcPr>
            <w:tcW w:w="30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Cash paid for income taxes</w:t>
            </w:r>
          </w:p>
        </w:tc>
        <w:tc>
          <w:tcPr>
            <w:tcW w:w="1460" w:type="dxa"/>
            <w:vAlign w:val="bottom"/>
          </w:tcPr>
          <w:p>
            <w:pPr>
              <w:spacing w:after="0"/>
              <w:rPr>
                <w:sz w:val="16"/>
                <w:szCs w:val="16"/>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367"/>
        </w:trPr>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Nine Months Ended</w:t>
            </w:r>
          </w:p>
        </w:tc>
        <w:tc>
          <w:tcPr>
            <w:tcW w:w="540" w:type="dxa"/>
            <w:vAlign w:val="bottom"/>
            <w:tcBorders>
              <w:bottom w:val="single" w:sz="8" w:color="auto"/>
            </w:tcBorders>
          </w:tcPr>
          <w:p>
            <w:pPr>
              <w:spacing w:after="0"/>
              <w:rPr>
                <w:sz w:val="24"/>
                <w:szCs w:val="24"/>
                <w:color w:val="auto"/>
              </w:rPr>
            </w:pPr>
          </w:p>
        </w:tc>
      </w:tr>
      <w:tr>
        <w:trPr>
          <w:trHeight w:val="186"/>
        </w:trPr>
        <w:tc>
          <w:tcPr>
            <w:tcW w:w="300" w:type="dxa"/>
            <w:vAlign w:val="bottom"/>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May 31, 2020</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May 31, 2019</w:t>
            </w:r>
          </w:p>
        </w:tc>
        <w:tc>
          <w:tcPr>
            <w:tcW w:w="540" w:type="dxa"/>
            <w:vAlign w:val="bottom"/>
            <w:tcBorders>
              <w:bottom w:val="single" w:sz="8" w:color="auto"/>
            </w:tcBorders>
          </w:tcPr>
          <w:p>
            <w:pPr>
              <w:spacing w:after="0"/>
              <w:rPr>
                <w:sz w:val="16"/>
                <w:szCs w:val="16"/>
                <w:color w:val="auto"/>
              </w:rPr>
            </w:pPr>
          </w:p>
        </w:tc>
      </w:tr>
      <w:tr>
        <w:trPr>
          <w:trHeight w:val="174"/>
        </w:trPr>
        <w:tc>
          <w:tcPr>
            <w:tcW w:w="30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interest</w:t>
            </w:r>
          </w:p>
        </w:tc>
        <w:tc>
          <w:tcPr>
            <w:tcW w:w="1460" w:type="dxa"/>
            <w:vAlign w:val="bottom"/>
            <w:shd w:val="clear" w:color="auto" w:fill="CCEEFF"/>
          </w:tcPr>
          <w:p>
            <w:pPr>
              <w:jc w:val="right"/>
              <w:ind w:right="130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1"/>
              </w:rPr>
              <w:t>20,101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8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1"/>
              </w:rPr>
              <w:t>11,357</w:t>
            </w:r>
          </w:p>
        </w:tc>
      </w:tr>
      <w:tr>
        <w:trPr>
          <w:trHeight w:val="194"/>
        </w:trPr>
        <w:tc>
          <w:tcPr>
            <w:tcW w:w="30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Cash paid for income taxes</w:t>
            </w:r>
          </w:p>
        </w:tc>
        <w:tc>
          <w:tcPr>
            <w:tcW w:w="1460" w:type="dxa"/>
            <w:vAlign w:val="bottom"/>
          </w:tcPr>
          <w:p>
            <w:pPr>
              <w:spacing w:after="0"/>
              <w:rPr>
                <w:sz w:val="16"/>
                <w:szCs w:val="16"/>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jc w:val="right"/>
              <w:ind w:right="24"/>
              <w:spacing w:after="0"/>
              <w:rPr>
                <w:sz w:val="20"/>
                <w:szCs w:val="20"/>
                <w:color w:val="auto"/>
              </w:rPr>
            </w:pPr>
            <w:r>
              <w:rPr>
                <w:rFonts w:ascii="Arial" w:cs="Arial" w:eastAsia="Arial" w:hAnsi="Arial"/>
                <w:sz w:val="15"/>
                <w:szCs w:val="15"/>
                <w:color w:val="auto"/>
                <w:w w:val="91"/>
              </w:rPr>
              <w:t>53,975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0139"/>
          </w:cols>
          <w:pgMar w:left="320" w:top="605" w:right="1440" w:bottom="1440" w:gutter="0" w:footer="0" w:header="0"/>
        </w:sectPr>
      </w:pPr>
    </w:p>
    <w:bookmarkStart w:id="22" w:name="page23"/>
    <w:bookmarkEnd w:id="22"/>
    <w:p>
      <w:pPr>
        <w:spacing w:after="0"/>
        <w:tabs>
          <w:tab w:leader="none" w:pos="10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7"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4"/>
          <w:szCs w:val="14"/>
          <w:i w:val="1"/>
          <w:iCs w:val="1"/>
          <w:color w:val="auto"/>
        </w:rPr>
        <w:t>Part I. Item 2. 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 of Financial Condition and Results of Operations—Forward-Looking Statements</w:t>
      </w:r>
      <w:r>
        <w:rPr>
          <w:rFonts w:ascii="Arial" w:cs="Arial" w:eastAsia="Arial" w:hAnsi="Arial"/>
          <w:sz w:val="14"/>
          <w:szCs w:val="14"/>
          <w:color w:val="auto"/>
        </w:rPr>
        <w:t>” in this report and under “</w:t>
      </w:r>
      <w:r>
        <w:rPr>
          <w:rFonts w:ascii="Arial" w:cs="Arial" w:eastAsia="Arial" w:hAnsi="Arial"/>
          <w:sz w:val="14"/>
          <w:szCs w:val="14"/>
          <w:i w:val="1"/>
          <w:iCs w:val="1"/>
          <w:color w:val="auto"/>
        </w:rPr>
        <w:t>Part 1. Item 1A. Risk Factors</w:t>
      </w:r>
      <w:r>
        <w:rPr>
          <w:rFonts w:ascii="Arial" w:cs="Arial" w:eastAsia="Arial" w:hAnsi="Arial"/>
          <w:sz w:val="14"/>
          <w:szCs w:val="14"/>
          <w:color w:val="auto"/>
        </w:rPr>
        <w:t>” in our annual report</w:t>
      </w:r>
      <w:r>
        <w:rPr>
          <w:rFonts w:ascii="Arial" w:cs="Arial" w:eastAsia="Arial" w:hAnsi="Arial"/>
          <w:sz w:val="14"/>
          <w:szCs w:val="14"/>
          <w:i w:val="1"/>
          <w:iCs w:val="1"/>
          <w:color w:val="auto"/>
        </w:rPr>
        <w:t xml:space="preserve"> </w:t>
      </w:r>
      <w:r>
        <w:rPr>
          <w:rFonts w:ascii="Arial" w:cs="Arial" w:eastAsia="Arial" w:hAnsi="Arial"/>
          <w:sz w:val="14"/>
          <w:szCs w:val="14"/>
          <w:color w:val="auto"/>
        </w:rPr>
        <w:t>on Form 10-K for the fiscal year ended August 31, 2019.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4"/>
          <w:szCs w:val="14"/>
          <w:i w:val="1"/>
          <w:iCs w:val="1"/>
          <w:color w:val="auto"/>
        </w:rPr>
        <w:t>Part I. Item 1. Financial Statements</w:t>
      </w:r>
      <w:r>
        <w:rPr>
          <w:rFonts w:ascii="Arial" w:cs="Arial" w:eastAsia="Arial" w:hAnsi="Arial"/>
          <w:sz w:val="14"/>
          <w:szCs w:val="14"/>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NTIC develops and markets proprietary, environmentally-beneficial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brand. NTIC has been selling its proprietary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brand. These products are intended to reduce NTIC’s customers’ carbon footprint and provide environmentally sound waste disposal options.</w:t>
      </w:r>
    </w:p>
    <w:p>
      <w:pPr>
        <w:spacing w:after="0" w:line="55"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NTIC’s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w:t>
      </w:r>
    </w:p>
    <w:p>
      <w:pPr>
        <w:ind w:right="60"/>
        <w:spacing w:after="0" w:line="216" w:lineRule="auto"/>
        <w:rPr>
          <w:sz w:val="20"/>
          <w:szCs w:val="20"/>
          <w:color w:val="auto"/>
        </w:rPr>
      </w:pPr>
      <w:r>
        <w:rPr>
          <w:rFonts w:ascii="Arial" w:cs="Arial" w:eastAsia="Arial" w:hAnsi="Arial"/>
          <w:sz w:val="13"/>
          <w:szCs w:val="13"/>
          <w:color w:val="auto"/>
        </w:rPr>
        <w:t>consultants work directly with the end users of NTIC’s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corrosion prevention solutions through a network of independent distributors and agents supported by a direct sales force.</w:t>
      </w:r>
    </w:p>
    <w:p>
      <w:pPr>
        <w:spacing w:after="0" w:line="1" w:lineRule="exact"/>
        <w:rPr>
          <w:sz w:val="20"/>
          <w:szCs w:val="20"/>
          <w:color w:val="auto"/>
        </w:rPr>
      </w:pPr>
    </w:p>
    <w:p>
      <w:pPr>
        <w:ind w:right="160"/>
        <w:spacing w:after="0" w:line="228" w:lineRule="auto"/>
        <w:rPr>
          <w:sz w:val="20"/>
          <w:szCs w:val="20"/>
          <w:color w:val="auto"/>
        </w:rPr>
      </w:pPr>
      <w:r>
        <w:rPr>
          <w:rFonts w:ascii="Arial" w:cs="Arial" w:eastAsia="Arial" w:hAnsi="Arial"/>
          <w:sz w:val="15"/>
          <w:szCs w:val="15"/>
          <w:color w:val="auto"/>
        </w:rPr>
        <w:t>Internationally, NTIC sells its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175"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One of NTIC’s strategic initiatives is to expand into and penetrate other markets for its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corrosion prevention technologies. Consequently, for the past several years, NTIC has focused significant sales and marketing efforts on the oil and gas industry, as the infrastructure that supports that industry is typically constructed using metals that are highly</w:t>
      </w:r>
    </w:p>
    <w:p>
      <w:pPr>
        <w:ind w:right="200"/>
        <w:spacing w:after="0" w:line="208" w:lineRule="auto"/>
        <w:rPr>
          <w:sz w:val="20"/>
          <w:szCs w:val="20"/>
          <w:color w:val="auto"/>
        </w:rPr>
      </w:pPr>
      <w:r>
        <w:rPr>
          <w:rFonts w:ascii="Arial" w:cs="Arial" w:eastAsia="Arial" w:hAnsi="Arial"/>
          <w:sz w:val="15"/>
          <w:szCs w:val="15"/>
          <w:color w:val="auto"/>
        </w:rPr>
        <w:t>susceptible to corrosion. NTIC believes that its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176" w:lineRule="exact"/>
        <w:rPr>
          <w:sz w:val="20"/>
          <w:szCs w:val="20"/>
          <w:color w:val="auto"/>
        </w:rPr>
      </w:pPr>
    </w:p>
    <w:p>
      <w:pPr>
        <w:jc w:val="both"/>
        <w:spacing w:after="0" w:line="201" w:lineRule="auto"/>
        <w:rPr>
          <w:sz w:val="20"/>
          <w:szCs w:val="20"/>
          <w:color w:val="auto"/>
        </w:rPr>
      </w:pPr>
      <w:r>
        <w:rPr>
          <w:rFonts w:ascii="Arial" w:cs="Arial" w:eastAsia="Arial" w:hAnsi="Arial"/>
          <w:sz w:val="15"/>
          <w:szCs w:val="15"/>
          <w:color w:val="auto"/>
        </w:rPr>
        <w:t>NTIC markets and sells its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23" w:name="page24"/>
    <w:bookmarkEnd w:id="23"/>
    <w:p>
      <w:pPr>
        <w:spacing w:after="0" w:line="241" w:lineRule="auto"/>
        <w:rPr>
          <w:sz w:val="20"/>
          <w:szCs w:val="20"/>
          <w:color w:val="auto"/>
        </w:rPr>
      </w:pPr>
      <w:r>
        <w:rPr>
          <w:rFonts w:ascii="Arial" w:cs="Arial" w:eastAsia="Arial" w:hAnsi="Arial"/>
          <w:sz w:val="13"/>
          <w:szCs w:val="13"/>
          <w:color w:val="auto"/>
        </w:rPr>
        <w:t>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pet waste collection bags, cutlery, and coated paper products. In North America, NTIC markets its 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resin compounds and finished products primarily through a network of regional and national distributors as well as independent agents. NTIC continues to see</w:t>
      </w:r>
    </w:p>
    <w:p>
      <w:pPr>
        <w:ind w:right="80"/>
        <w:spacing w:after="0" w:line="208" w:lineRule="auto"/>
        <w:rPr>
          <w:sz w:val="20"/>
          <w:szCs w:val="20"/>
          <w:color w:val="auto"/>
        </w:rPr>
      </w:pPr>
      <w:r>
        <w:rPr>
          <w:rFonts w:ascii="Arial" w:cs="Arial" w:eastAsia="Arial" w:hAnsi="Arial"/>
          <w:sz w:val="15"/>
          <w:szCs w:val="15"/>
          <w:color w:val="auto"/>
        </w:rPr>
        <w:t>significant opportunities for finished bioplastic products and, therefore, continues to strengthen and expand its North American distribution network for finished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bioplastic products.</w:t>
      </w:r>
    </w:p>
    <w:p>
      <w:pPr>
        <w:spacing w:after="0" w:line="175" w:lineRule="exact"/>
        <w:rPr>
          <w:sz w:val="20"/>
          <w:szCs w:val="20"/>
          <w:color w:val="auto"/>
        </w:rPr>
      </w:pPr>
    </w:p>
    <w:p>
      <w:pPr>
        <w:ind w:right="160"/>
        <w:spacing w:after="0" w:line="213" w:lineRule="auto"/>
        <w:rPr>
          <w:sz w:val="20"/>
          <w:szCs w:val="20"/>
          <w:color w:val="auto"/>
        </w:rPr>
      </w:pPr>
      <w:r>
        <w:rPr>
          <w:rFonts w:ascii="Arial" w:cs="Arial" w:eastAsia="Arial" w:hAnsi="Arial"/>
          <w:sz w:val="15"/>
          <w:szCs w:val="15"/>
          <w:color w:val="auto"/>
        </w:rPr>
        <w:t>Internationally, NTIC sells its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resin compounds and finished products both directly and through its wholly-owned subsidiary in China and majority-owned subsidiaries in India and Sri Lanka, and through distributors and certain joint ventures.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NTIC’s Subsidiaries and Joint Venture Network</w:t>
      </w:r>
    </w:p>
    <w:p>
      <w:pPr>
        <w:spacing w:after="0" w:line="197"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NTIC has ownership interests in nine operating subsidiaries in North America, South America, Europe, and Asia. The following table sets forth a list of NTIC’s operating subsidiaries as of May 31, 2020, the country in which the subsidiary is organized, and NTIC’s ownership percentage in each subsidiary:</w:t>
      </w:r>
    </w:p>
    <w:p>
      <w:pPr>
        <w:spacing w:after="0" w:line="137" w:lineRule="exact"/>
        <w:rPr>
          <w:sz w:val="20"/>
          <w:szCs w:val="20"/>
          <w:color w:val="auto"/>
        </w:rPr>
      </w:pPr>
    </w:p>
    <w:p>
      <w:pPr>
        <w:ind w:left="9880"/>
        <w:spacing w:after="0"/>
        <w:rPr>
          <w:sz w:val="20"/>
          <w:szCs w:val="20"/>
          <w:color w:val="auto"/>
        </w:rPr>
      </w:pPr>
      <w:r>
        <w:rPr>
          <w:rFonts w:ascii="Arial" w:cs="Arial" w:eastAsia="Arial" w:hAnsi="Arial"/>
          <w:sz w:val="15"/>
          <w:szCs w:val="15"/>
          <w:b w:val="1"/>
          <w:bCs w:val="1"/>
          <w:color w:val="auto"/>
        </w:rPr>
        <w:t>NTIC</w:t>
      </w:r>
    </w:p>
    <w:p>
      <w:pPr>
        <w:spacing w:after="0" w:line="25" w:lineRule="exact"/>
        <w:rPr>
          <w:sz w:val="20"/>
          <w:szCs w:val="20"/>
          <w:color w:val="auto"/>
        </w:rPr>
      </w:pPr>
    </w:p>
    <w:p>
      <w:pPr>
        <w:ind w:left="2860"/>
        <w:spacing w:after="0"/>
        <w:tabs>
          <w:tab w:leader="none" w:pos="7580" w:val="left"/>
          <w:tab w:leader="none" w:pos="9280" w:val="left"/>
        </w:tabs>
        <w:rPr>
          <w:sz w:val="20"/>
          <w:szCs w:val="20"/>
          <w:color w:val="auto"/>
        </w:rPr>
      </w:pPr>
      <w:r>
        <w:rPr>
          <w:rFonts w:ascii="Arial" w:cs="Arial" w:eastAsia="Arial" w:hAnsi="Arial"/>
          <w:sz w:val="15"/>
          <w:szCs w:val="15"/>
          <w:b w:val="1"/>
          <w:bCs w:val="1"/>
          <w:color w:val="auto"/>
        </w:rPr>
        <w:t>Subsidiary Name</w:t>
      </w:r>
      <w:r>
        <w:rPr>
          <w:sz w:val="20"/>
          <w:szCs w:val="20"/>
          <w:color w:val="auto"/>
        </w:rPr>
        <w:tab/>
      </w:r>
      <w:r>
        <w:rPr>
          <w:rFonts w:ascii="Arial" w:cs="Arial" w:eastAsia="Arial" w:hAnsi="Arial"/>
          <w:sz w:val="15"/>
          <w:szCs w:val="15"/>
          <w:b w:val="1"/>
          <w:bCs w:val="1"/>
          <w:color w:val="auto"/>
        </w:rPr>
        <w:t>Country</w:t>
      </w:r>
      <w:r>
        <w:rPr>
          <w:sz w:val="20"/>
          <w:szCs w:val="20"/>
          <w:color w:val="auto"/>
        </w:rPr>
        <w:tab/>
      </w:r>
      <w:r>
        <w:rPr>
          <w:rFonts w:ascii="Arial" w:cs="Arial" w:eastAsia="Arial" w:hAnsi="Arial"/>
          <w:sz w:val="14"/>
          <w:szCs w:val="14"/>
          <w:b w:val="1"/>
          <w:bCs w:val="1"/>
          <w:color w:val="auto"/>
        </w:rPr>
        <w:t>Percent (%)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5327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NTIC (Shanghai) Co., Ltd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NTI Asean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Zerust Prevenção de Corrosão S.A.</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ZERUST-EXCOR MEXICO, S. de R.L. de C.V</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Natur-Tec India Private Limited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Natur Tec Lanka (Pvt)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NTIC Europe GmbH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Zerust Singapore Pte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Zerust Vietnam Co. Ltd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620" w:type="dxa"/>
            <w:vAlign w:val="bottom"/>
          </w:tcPr>
          <w:p>
            <w:pPr>
              <w:jc w:val="center"/>
              <w:ind w:right="744"/>
              <w:spacing w:after="0"/>
              <w:rPr>
                <w:sz w:val="20"/>
                <w:szCs w:val="20"/>
                <w:color w:val="auto"/>
              </w:rPr>
            </w:pPr>
            <w:r>
              <w:rPr>
                <w:rFonts w:ascii="Arial" w:cs="Arial" w:eastAsia="Arial" w:hAnsi="Arial"/>
                <w:sz w:val="15"/>
                <w:szCs w:val="15"/>
                <w:color w:val="auto"/>
                <w:w w:val="91"/>
              </w:rPr>
              <w:t>China</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100%</w:t>
            </w:r>
          </w:p>
        </w:tc>
      </w:tr>
      <w:tr>
        <w:trPr>
          <w:trHeight w:val="183"/>
        </w:trPr>
        <w:tc>
          <w:tcPr>
            <w:tcW w:w="1620" w:type="dxa"/>
            <w:vAlign w:val="bottom"/>
          </w:tcPr>
          <w:p>
            <w:pPr>
              <w:jc w:val="center"/>
              <w:ind w:right="724"/>
              <w:spacing w:after="0"/>
              <w:rPr>
                <w:sz w:val="20"/>
                <w:szCs w:val="20"/>
                <w:color w:val="auto"/>
              </w:rPr>
            </w:pPr>
            <w:r>
              <w:rPr>
                <w:rFonts w:ascii="Arial" w:cs="Arial" w:eastAsia="Arial" w:hAnsi="Arial"/>
                <w:sz w:val="15"/>
                <w:szCs w:val="15"/>
                <w:color w:val="auto"/>
                <w:w w:val="91"/>
              </w:rPr>
              <w:t>United States</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60%</w:t>
            </w:r>
          </w:p>
        </w:tc>
      </w:tr>
      <w:tr>
        <w:trPr>
          <w:trHeight w:val="183"/>
        </w:trPr>
        <w:tc>
          <w:tcPr>
            <w:tcW w:w="1620" w:type="dxa"/>
            <w:vAlign w:val="bottom"/>
          </w:tcPr>
          <w:p>
            <w:pPr>
              <w:jc w:val="center"/>
              <w:ind w:right="744"/>
              <w:spacing w:after="0"/>
              <w:rPr>
                <w:sz w:val="20"/>
                <w:szCs w:val="20"/>
                <w:color w:val="auto"/>
              </w:rPr>
            </w:pPr>
            <w:r>
              <w:rPr>
                <w:rFonts w:ascii="Arial" w:cs="Arial" w:eastAsia="Arial" w:hAnsi="Arial"/>
                <w:sz w:val="15"/>
                <w:szCs w:val="15"/>
                <w:color w:val="auto"/>
                <w:w w:val="95"/>
              </w:rPr>
              <w:t>Brazil</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85%</w:t>
            </w:r>
          </w:p>
        </w:tc>
      </w:tr>
      <w:tr>
        <w:trPr>
          <w:trHeight w:val="183"/>
        </w:trPr>
        <w:tc>
          <w:tcPr>
            <w:tcW w:w="1620" w:type="dxa"/>
            <w:vAlign w:val="bottom"/>
          </w:tcPr>
          <w:p>
            <w:pPr>
              <w:jc w:val="center"/>
              <w:ind w:right="744"/>
              <w:spacing w:after="0"/>
              <w:rPr>
                <w:sz w:val="20"/>
                <w:szCs w:val="20"/>
                <w:color w:val="auto"/>
              </w:rPr>
            </w:pPr>
            <w:r>
              <w:rPr>
                <w:rFonts w:ascii="Arial" w:cs="Arial" w:eastAsia="Arial" w:hAnsi="Arial"/>
                <w:sz w:val="15"/>
                <w:szCs w:val="15"/>
                <w:color w:val="auto"/>
              </w:rPr>
              <w:t>Mexico</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100%</w:t>
            </w:r>
          </w:p>
        </w:tc>
      </w:tr>
      <w:tr>
        <w:trPr>
          <w:trHeight w:val="183"/>
        </w:trPr>
        <w:tc>
          <w:tcPr>
            <w:tcW w:w="1620" w:type="dxa"/>
            <w:vAlign w:val="bottom"/>
          </w:tcPr>
          <w:p>
            <w:pPr>
              <w:jc w:val="center"/>
              <w:ind w:right="744"/>
              <w:spacing w:after="0"/>
              <w:rPr>
                <w:sz w:val="20"/>
                <w:szCs w:val="20"/>
                <w:color w:val="auto"/>
              </w:rPr>
            </w:pPr>
            <w:r>
              <w:rPr>
                <w:rFonts w:ascii="Arial" w:cs="Arial" w:eastAsia="Arial" w:hAnsi="Arial"/>
                <w:sz w:val="15"/>
                <w:szCs w:val="15"/>
                <w:color w:val="auto"/>
                <w:w w:val="98"/>
              </w:rPr>
              <w:t>India</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75%</w:t>
            </w:r>
          </w:p>
        </w:tc>
      </w:tr>
      <w:tr>
        <w:trPr>
          <w:trHeight w:val="217"/>
        </w:trPr>
        <w:tc>
          <w:tcPr>
            <w:tcW w:w="1620" w:type="dxa"/>
            <w:vAlign w:val="bottom"/>
          </w:tcPr>
          <w:p>
            <w:pPr>
              <w:jc w:val="center"/>
              <w:ind w:right="724"/>
              <w:spacing w:after="0" w:line="217" w:lineRule="exact"/>
              <w:rPr>
                <w:sz w:val="20"/>
                <w:szCs w:val="20"/>
                <w:color w:val="auto"/>
              </w:rPr>
            </w:pPr>
            <w:r>
              <w:rPr>
                <w:rFonts w:ascii="Arial" w:cs="Arial" w:eastAsia="Arial" w:hAnsi="Arial"/>
                <w:sz w:val="15"/>
                <w:szCs w:val="15"/>
                <w:color w:val="auto"/>
                <w:w w:val="88"/>
              </w:rPr>
              <w:t>Sri Lanka</w:t>
            </w:r>
            <w:r>
              <w:rPr>
                <w:rFonts w:ascii="Arial" w:cs="Arial" w:eastAsia="Arial" w:hAnsi="Arial"/>
                <w:sz w:val="25"/>
                <w:szCs w:val="25"/>
                <w:color w:val="auto"/>
                <w:w w:val="88"/>
                <w:vertAlign w:val="superscript"/>
              </w:rPr>
              <w:t>(1)</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75%</w:t>
            </w:r>
          </w:p>
        </w:tc>
      </w:tr>
      <w:tr>
        <w:trPr>
          <w:trHeight w:val="183"/>
        </w:trPr>
        <w:tc>
          <w:tcPr>
            <w:tcW w:w="1620" w:type="dxa"/>
            <w:vAlign w:val="bottom"/>
          </w:tcPr>
          <w:p>
            <w:pPr>
              <w:jc w:val="center"/>
              <w:ind w:right="744"/>
              <w:spacing w:after="0"/>
              <w:rPr>
                <w:sz w:val="20"/>
                <w:szCs w:val="20"/>
                <w:color w:val="auto"/>
              </w:rPr>
            </w:pPr>
            <w:r>
              <w:rPr>
                <w:rFonts w:ascii="Arial" w:cs="Arial" w:eastAsia="Arial" w:hAnsi="Arial"/>
                <w:sz w:val="15"/>
                <w:szCs w:val="15"/>
                <w:color w:val="auto"/>
                <w:w w:val="90"/>
              </w:rPr>
              <w:t>Germany</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100%</w:t>
            </w:r>
          </w:p>
        </w:tc>
      </w:tr>
      <w:tr>
        <w:trPr>
          <w:trHeight w:val="217"/>
        </w:trPr>
        <w:tc>
          <w:tcPr>
            <w:tcW w:w="1620" w:type="dxa"/>
            <w:vAlign w:val="bottom"/>
          </w:tcPr>
          <w:p>
            <w:pPr>
              <w:jc w:val="center"/>
              <w:ind w:right="744"/>
              <w:spacing w:after="0" w:line="217" w:lineRule="exact"/>
              <w:rPr>
                <w:sz w:val="20"/>
                <w:szCs w:val="20"/>
                <w:color w:val="auto"/>
              </w:rPr>
            </w:pPr>
            <w:r>
              <w:rPr>
                <w:rFonts w:ascii="Arial" w:cs="Arial" w:eastAsia="Arial" w:hAnsi="Arial"/>
                <w:sz w:val="15"/>
                <w:szCs w:val="15"/>
                <w:color w:val="auto"/>
                <w:w w:val="85"/>
              </w:rPr>
              <w:t>Singapore</w:t>
            </w:r>
            <w:r>
              <w:rPr>
                <w:rFonts w:ascii="Arial" w:cs="Arial" w:eastAsia="Arial" w:hAnsi="Arial"/>
                <w:sz w:val="25"/>
                <w:szCs w:val="25"/>
                <w:color w:val="auto"/>
                <w:w w:val="85"/>
                <w:vertAlign w:val="superscript"/>
              </w:rPr>
              <w:t>(2)</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60%</w:t>
            </w:r>
          </w:p>
        </w:tc>
      </w:tr>
      <w:tr>
        <w:trPr>
          <w:trHeight w:val="333"/>
        </w:trPr>
        <w:tc>
          <w:tcPr>
            <w:tcW w:w="1620" w:type="dxa"/>
            <w:vAlign w:val="bottom"/>
          </w:tcPr>
          <w:p>
            <w:pPr>
              <w:jc w:val="center"/>
              <w:ind w:right="724"/>
              <w:spacing w:after="0"/>
              <w:rPr>
                <w:sz w:val="20"/>
                <w:szCs w:val="20"/>
                <w:color w:val="auto"/>
              </w:rPr>
            </w:pPr>
            <w:r>
              <w:rPr>
                <w:rFonts w:ascii="Arial" w:cs="Arial" w:eastAsia="Arial" w:hAnsi="Arial"/>
                <w:sz w:val="15"/>
                <w:szCs w:val="15"/>
                <w:color w:val="auto"/>
                <w:w w:val="87"/>
              </w:rPr>
              <w:t>Vietnam</w:t>
            </w:r>
            <w:r>
              <w:rPr>
                <w:rFonts w:ascii="Arial" w:cs="Arial" w:eastAsia="Arial" w:hAnsi="Arial"/>
                <w:sz w:val="25"/>
                <w:szCs w:val="25"/>
                <w:color w:val="auto"/>
                <w:w w:val="87"/>
                <w:vertAlign w:val="superscript"/>
              </w:rPr>
              <w:t>(2)</w:t>
            </w:r>
          </w:p>
        </w:tc>
        <w:tc>
          <w:tcPr>
            <w:tcW w:w="1160" w:type="dxa"/>
            <w:vAlign w:val="bottom"/>
          </w:tcPr>
          <w:p>
            <w:pPr>
              <w:jc w:val="center"/>
              <w:ind w:left="724"/>
              <w:spacing w:after="0"/>
              <w:rPr>
                <w:sz w:val="20"/>
                <w:szCs w:val="20"/>
                <w:color w:val="auto"/>
              </w:rPr>
            </w:pPr>
            <w:r>
              <w:rPr>
                <w:rFonts w:ascii="Arial" w:cs="Arial" w:eastAsia="Arial" w:hAnsi="Arial"/>
                <w:sz w:val="15"/>
                <w:szCs w:val="15"/>
                <w:color w:val="auto"/>
                <w:w w:val="93"/>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-1177290</wp:posOffset>
            </wp:positionV>
            <wp:extent cx="7153275" cy="116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-944880</wp:posOffset>
            </wp:positionV>
            <wp:extent cx="7153275" cy="116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-712470</wp:posOffset>
            </wp:positionV>
            <wp:extent cx="7153275" cy="116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-457835</wp:posOffset>
            </wp:positionV>
            <wp:extent cx="7153275" cy="116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11620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-203835</wp:posOffset>
            </wp:positionV>
            <wp:extent cx="7153275" cy="13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13779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6760" w:space="720"/>
            <w:col w:w="3740"/>
          </w:cols>
          <w:pgMar w:left="320" w:top="794" w:right="359" w:bottom="1440" w:gutter="0" w:footer="0" w:header="0"/>
          <w:type w:val="continuous"/>
        </w:sectPr>
      </w:pPr>
    </w:p>
    <w:p>
      <w:pPr>
        <w:ind w:left="860" w:hanging="434"/>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Natur Tec Lanka (Pyt) Ltd. is 100% owned by Natur-Tec India Private Limited and, therefore, indirectly owned by NTIC.</w:t>
      </w:r>
    </w:p>
    <w:p>
      <w:pPr>
        <w:spacing w:after="0" w:line="21" w:lineRule="exact"/>
        <w:rPr>
          <w:rFonts w:ascii="Arial" w:cs="Arial" w:eastAsia="Arial" w:hAnsi="Arial"/>
          <w:sz w:val="15"/>
          <w:szCs w:val="15"/>
          <w:color w:val="auto"/>
        </w:rPr>
      </w:pPr>
    </w:p>
    <w:p>
      <w:pPr>
        <w:ind w:left="860" w:hanging="434"/>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Zerust Singapore Pte Ltd and Zerust Vietnam Co. Ltd are 100% owned by NTI Asean LLC and, therefore, indirectly owned by NTIC.</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results of these subsidiaries are fully consolidated in NTIC’s consolidated financial statements.</w:t>
      </w:r>
    </w:p>
    <w:p>
      <w:pPr>
        <w:spacing w:after="0" w:line="193" w:lineRule="exact"/>
        <w:rPr>
          <w:sz w:val="20"/>
          <w:szCs w:val="20"/>
          <w:color w:val="auto"/>
        </w:rPr>
      </w:pPr>
    </w:p>
    <w:p>
      <w:pPr>
        <w:ind w:right="300"/>
        <w:spacing w:after="0" w:line="274" w:lineRule="auto"/>
        <w:rPr>
          <w:sz w:val="20"/>
          <w:szCs w:val="20"/>
          <w:color w:val="auto"/>
        </w:rPr>
      </w:pPr>
      <w:r>
        <w:rPr>
          <w:rFonts w:ascii="Arial" w:cs="Arial" w:eastAsia="Arial" w:hAnsi="Arial"/>
          <w:sz w:val="15"/>
          <w:szCs w:val="15"/>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resin compounds. NTIC has historically funded its investments in joint ventures with cash generated from operations.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type w:val="continuous"/>
        </w:sectPr>
      </w:pPr>
    </w:p>
    <w:bookmarkStart w:id="24" w:name="page25"/>
    <w:bookmarkEnd w:id="24"/>
    <w:p>
      <w:pPr>
        <w:ind w:left="9" w:right="300"/>
        <w:spacing w:after="0" w:line="284" w:lineRule="auto"/>
        <w:rPr>
          <w:sz w:val="20"/>
          <w:szCs w:val="20"/>
          <w:color w:val="auto"/>
        </w:rPr>
      </w:pPr>
      <w:r>
        <w:rPr>
          <w:rFonts w:ascii="Arial" w:cs="Arial" w:eastAsia="Arial" w:hAnsi="Arial"/>
          <w:sz w:val="15"/>
          <w:szCs w:val="15"/>
          <w:color w:val="auto"/>
        </w:rPr>
        <w:t>The following table sets forth a list of NTIC’s operating joint ventures as of May 31, 2020, the country in which the joint venture is organized, and NTIC’s ownership percentage in each joint venture:</w:t>
      </w:r>
    </w:p>
    <w:p>
      <w:pPr>
        <w:spacing w:after="0" w:line="137"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6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5"/>
                <w:szCs w:val="15"/>
                <w:b w:val="1"/>
                <w:bCs w:val="1"/>
                <w:color w:val="auto"/>
              </w:rPr>
              <w:t>NTIC</w:t>
            </w:r>
          </w:p>
        </w:tc>
      </w:tr>
      <w:tr>
        <w:trPr>
          <w:trHeight w:val="209"/>
        </w:trPr>
        <w:tc>
          <w:tcPr>
            <w:tcW w:w="6260" w:type="dxa"/>
            <w:vAlign w:val="bottom"/>
            <w:tcBorders>
              <w:bottom w:val="single" w:sz="8" w:color="auto"/>
            </w:tcBorders>
          </w:tcPr>
          <w:p>
            <w:pPr>
              <w:ind w:left="2780"/>
              <w:spacing w:after="0"/>
              <w:rPr>
                <w:sz w:val="20"/>
                <w:szCs w:val="20"/>
                <w:color w:val="auto"/>
              </w:rPr>
            </w:pPr>
            <w:r>
              <w:rPr>
                <w:rFonts w:ascii="Arial" w:cs="Arial" w:eastAsia="Arial" w:hAnsi="Arial"/>
                <w:sz w:val="15"/>
                <w:szCs w:val="15"/>
                <w:b w:val="1"/>
                <w:bCs w:val="1"/>
                <w:color w:val="auto"/>
              </w:rPr>
              <w:t>Joint Venture Name</w:t>
            </w:r>
          </w:p>
        </w:tc>
        <w:tc>
          <w:tcPr>
            <w:tcW w:w="2600" w:type="dxa"/>
            <w:vAlign w:val="bottom"/>
            <w:tcBorders>
              <w:bottom w:val="single" w:sz="8" w:color="auto"/>
            </w:tcBorders>
          </w:tcPr>
          <w:p>
            <w:pPr>
              <w:jc w:val="center"/>
              <w:ind w:left="564"/>
              <w:spacing w:after="0"/>
              <w:rPr>
                <w:sz w:val="20"/>
                <w:szCs w:val="20"/>
                <w:color w:val="auto"/>
              </w:rPr>
            </w:pPr>
            <w:r>
              <w:rPr>
                <w:rFonts w:ascii="Arial" w:cs="Arial" w:eastAsia="Arial" w:hAnsi="Arial"/>
                <w:sz w:val="15"/>
                <w:szCs w:val="15"/>
                <w:b w:val="1"/>
                <w:bCs w:val="1"/>
                <w:color w:val="auto"/>
                <w:w w:val="97"/>
              </w:rPr>
              <w:t>Country</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Percent (%) Ownership</w:t>
            </w:r>
          </w:p>
        </w:tc>
      </w:tr>
      <w:tr>
        <w:trPr>
          <w:trHeight w:val="174"/>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TAIYONIC LTD.</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87"/>
              </w:rPr>
              <w:t>Japan</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tcPr>
          <w:p>
            <w:pPr>
              <w:spacing w:after="0"/>
              <w:rPr>
                <w:sz w:val="20"/>
                <w:szCs w:val="20"/>
                <w:color w:val="auto"/>
              </w:rPr>
            </w:pPr>
            <w:r>
              <w:rPr>
                <w:rFonts w:ascii="Arial" w:cs="Arial" w:eastAsia="Arial" w:hAnsi="Arial"/>
                <w:sz w:val="15"/>
                <w:szCs w:val="15"/>
                <w:color w:val="auto"/>
              </w:rPr>
              <w:t>ACOBAL SAS</w:t>
            </w:r>
          </w:p>
        </w:tc>
        <w:tc>
          <w:tcPr>
            <w:tcW w:w="2600" w:type="dxa"/>
            <w:vAlign w:val="bottom"/>
          </w:tcPr>
          <w:p>
            <w:pPr>
              <w:jc w:val="center"/>
              <w:ind w:left="584"/>
              <w:spacing w:after="0"/>
              <w:rPr>
                <w:sz w:val="20"/>
                <w:szCs w:val="20"/>
                <w:color w:val="auto"/>
              </w:rPr>
            </w:pPr>
            <w:r>
              <w:rPr>
                <w:rFonts w:ascii="Arial" w:cs="Arial" w:eastAsia="Arial" w:hAnsi="Arial"/>
                <w:sz w:val="15"/>
                <w:szCs w:val="15"/>
                <w:color w:val="auto"/>
                <w:w w:val="89"/>
              </w:rPr>
              <w:t>France</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EXCOR KORROSIONSSCHUTZ – TECHNOLOGIEN UND PRODUKTE GMBH</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0"/>
              </w:rPr>
              <w:t>Germany</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tcPr>
          <w:p>
            <w:pPr>
              <w:spacing w:after="0"/>
              <w:rPr>
                <w:sz w:val="20"/>
                <w:szCs w:val="20"/>
                <w:color w:val="auto"/>
              </w:rPr>
            </w:pPr>
            <w:r>
              <w:rPr>
                <w:rFonts w:ascii="Arial" w:cs="Arial" w:eastAsia="Arial" w:hAnsi="Arial"/>
                <w:sz w:val="15"/>
                <w:szCs w:val="15"/>
                <w:color w:val="auto"/>
              </w:rPr>
              <w:t>ZERUST AB</w:t>
            </w:r>
          </w:p>
        </w:tc>
        <w:tc>
          <w:tcPr>
            <w:tcW w:w="2600" w:type="dxa"/>
            <w:vAlign w:val="bottom"/>
          </w:tcPr>
          <w:p>
            <w:pPr>
              <w:jc w:val="center"/>
              <w:ind w:left="564"/>
              <w:spacing w:after="0"/>
              <w:rPr>
                <w:sz w:val="20"/>
                <w:szCs w:val="20"/>
                <w:color w:val="auto"/>
              </w:rPr>
            </w:pPr>
            <w:r>
              <w:rPr>
                <w:rFonts w:ascii="Arial" w:cs="Arial" w:eastAsia="Arial" w:hAnsi="Arial"/>
                <w:sz w:val="15"/>
                <w:szCs w:val="15"/>
                <w:color w:val="auto"/>
                <w:w w:val="88"/>
              </w:rPr>
              <w:t>Sweden</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MOSTNIC-ZERUST</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87"/>
              </w:rPr>
              <w:t>Russia</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tcPr>
          <w:p>
            <w:pPr>
              <w:spacing w:after="0"/>
              <w:rPr>
                <w:sz w:val="20"/>
                <w:szCs w:val="20"/>
                <w:color w:val="auto"/>
              </w:rPr>
            </w:pPr>
            <w:r>
              <w:rPr>
                <w:rFonts w:ascii="Arial" w:cs="Arial" w:eastAsia="Arial" w:hAnsi="Arial"/>
                <w:sz w:val="15"/>
                <w:szCs w:val="15"/>
                <w:color w:val="auto"/>
              </w:rPr>
              <w:t>ZERUST OY</w:t>
            </w:r>
          </w:p>
        </w:tc>
        <w:tc>
          <w:tcPr>
            <w:tcW w:w="2600" w:type="dxa"/>
            <w:vAlign w:val="bottom"/>
          </w:tcPr>
          <w:p>
            <w:pPr>
              <w:jc w:val="center"/>
              <w:ind w:left="564"/>
              <w:spacing w:after="0"/>
              <w:rPr>
                <w:sz w:val="20"/>
                <w:szCs w:val="20"/>
                <w:color w:val="auto"/>
              </w:rPr>
            </w:pPr>
            <w:r>
              <w:rPr>
                <w:rFonts w:ascii="Arial" w:cs="Arial" w:eastAsia="Arial" w:hAnsi="Arial"/>
                <w:sz w:val="15"/>
                <w:szCs w:val="15"/>
                <w:color w:val="auto"/>
                <w:w w:val="97"/>
              </w:rPr>
              <w:t>Finland</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HARITA-NTI LTD</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8"/>
              </w:rPr>
              <w:t>India</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tcPr>
          <w:p>
            <w:pPr>
              <w:spacing w:after="0"/>
              <w:rPr>
                <w:sz w:val="20"/>
                <w:szCs w:val="20"/>
                <w:color w:val="auto"/>
              </w:rPr>
            </w:pPr>
            <w:r>
              <w:rPr>
                <w:rFonts w:ascii="Arial" w:cs="Arial" w:eastAsia="Arial" w:hAnsi="Arial"/>
                <w:sz w:val="15"/>
                <w:szCs w:val="15"/>
                <w:color w:val="auto"/>
              </w:rPr>
              <w:t>ZERUST (U.K.) LTD.</w:t>
            </w:r>
          </w:p>
        </w:tc>
        <w:tc>
          <w:tcPr>
            <w:tcW w:w="2600" w:type="dxa"/>
            <w:vAlign w:val="bottom"/>
          </w:tcPr>
          <w:p>
            <w:pPr>
              <w:jc w:val="center"/>
              <w:ind w:left="564"/>
              <w:spacing w:after="0"/>
              <w:rPr>
                <w:sz w:val="20"/>
                <w:szCs w:val="20"/>
                <w:color w:val="auto"/>
              </w:rPr>
            </w:pPr>
            <w:r>
              <w:rPr>
                <w:rFonts w:ascii="Arial" w:cs="Arial" w:eastAsia="Arial" w:hAnsi="Arial"/>
                <w:sz w:val="15"/>
                <w:szCs w:val="15"/>
                <w:color w:val="auto"/>
                <w:w w:val="97"/>
              </w:rPr>
              <w:t>United Kingdom</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EXCOR-ZERUST S.R.O.</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1"/>
              </w:rPr>
              <w:t>Czech Republic</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tcPr>
          <w:p>
            <w:pPr>
              <w:spacing w:after="0"/>
              <w:rPr>
                <w:sz w:val="20"/>
                <w:szCs w:val="20"/>
                <w:color w:val="auto"/>
              </w:rPr>
            </w:pPr>
            <w:r>
              <w:rPr>
                <w:rFonts w:ascii="Arial" w:cs="Arial" w:eastAsia="Arial" w:hAnsi="Arial"/>
                <w:sz w:val="15"/>
                <w:szCs w:val="15"/>
                <w:color w:val="auto"/>
              </w:rPr>
              <w:t>EXCOR SP. Z.O.O.</w:t>
            </w:r>
          </w:p>
        </w:tc>
        <w:tc>
          <w:tcPr>
            <w:tcW w:w="2600" w:type="dxa"/>
            <w:vAlign w:val="bottom"/>
          </w:tcPr>
          <w:p>
            <w:pPr>
              <w:jc w:val="center"/>
              <w:ind w:left="584"/>
              <w:spacing w:after="0"/>
              <w:rPr>
                <w:sz w:val="20"/>
                <w:szCs w:val="20"/>
                <w:color w:val="auto"/>
              </w:rPr>
            </w:pPr>
            <w:r>
              <w:rPr>
                <w:rFonts w:ascii="Arial" w:cs="Arial" w:eastAsia="Arial" w:hAnsi="Arial"/>
                <w:sz w:val="15"/>
                <w:szCs w:val="15"/>
                <w:color w:val="auto"/>
                <w:w w:val="89"/>
              </w:rPr>
              <w:t>Poland</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ZERUST A.Ş.</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5"/>
              </w:rPr>
              <w:t>Turkey</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tcPr>
          <w:p>
            <w:pPr>
              <w:spacing w:after="0"/>
              <w:rPr>
                <w:sz w:val="20"/>
                <w:szCs w:val="20"/>
                <w:color w:val="auto"/>
              </w:rPr>
            </w:pPr>
            <w:r>
              <w:rPr>
                <w:rFonts w:ascii="Arial" w:cs="Arial" w:eastAsia="Arial" w:hAnsi="Arial"/>
                <w:sz w:val="15"/>
                <w:szCs w:val="15"/>
                <w:color w:val="auto"/>
              </w:rPr>
              <w:t>ZERUST CONSUMER PRODUCTS, LLC</w:t>
            </w:r>
          </w:p>
        </w:tc>
        <w:tc>
          <w:tcPr>
            <w:tcW w:w="2600" w:type="dxa"/>
            <w:vAlign w:val="bottom"/>
          </w:tcPr>
          <w:p>
            <w:pPr>
              <w:jc w:val="center"/>
              <w:ind w:left="584"/>
              <w:spacing w:after="0"/>
              <w:rPr>
                <w:sz w:val="20"/>
                <w:szCs w:val="20"/>
                <w:color w:val="auto"/>
              </w:rPr>
            </w:pPr>
            <w:r>
              <w:rPr>
                <w:rFonts w:ascii="Arial" w:cs="Arial" w:eastAsia="Arial" w:hAnsi="Arial"/>
                <w:sz w:val="15"/>
                <w:szCs w:val="15"/>
                <w:color w:val="auto"/>
                <w:w w:val="91"/>
              </w:rPr>
              <w:t>United States</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50%</w:t>
            </w:r>
          </w:p>
        </w:tc>
      </w:tr>
      <w:tr>
        <w:trPr>
          <w:trHeight w:val="183"/>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ZERUST – DNEPR</w:t>
            </w:r>
          </w:p>
        </w:tc>
        <w:tc>
          <w:tcPr>
            <w:tcW w:w="260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2"/>
              </w:rPr>
              <w:t>Ukraine</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217"/>
        </w:trPr>
        <w:tc>
          <w:tcPr>
            <w:tcW w:w="6260" w:type="dxa"/>
            <w:vAlign w:val="bottom"/>
          </w:tcPr>
          <w:p>
            <w:pPr>
              <w:spacing w:after="0"/>
              <w:rPr>
                <w:sz w:val="20"/>
                <w:szCs w:val="20"/>
                <w:color w:val="auto"/>
              </w:rPr>
            </w:pPr>
            <w:r>
              <w:rPr>
                <w:rFonts w:ascii="Arial" w:cs="Arial" w:eastAsia="Arial" w:hAnsi="Arial"/>
                <w:sz w:val="15"/>
                <w:szCs w:val="15"/>
                <w:color w:val="auto"/>
              </w:rPr>
              <w:t>KOREA ZERUST CO., LTD.</w:t>
            </w:r>
          </w:p>
        </w:tc>
        <w:tc>
          <w:tcPr>
            <w:tcW w:w="2600" w:type="dxa"/>
            <w:vAlign w:val="bottom"/>
          </w:tcPr>
          <w:p>
            <w:pPr>
              <w:jc w:val="center"/>
              <w:ind w:left="564"/>
              <w:spacing w:after="0" w:line="217" w:lineRule="exact"/>
              <w:rPr>
                <w:sz w:val="20"/>
                <w:szCs w:val="20"/>
                <w:color w:val="auto"/>
              </w:rPr>
            </w:pPr>
            <w:r>
              <w:rPr>
                <w:rFonts w:ascii="Arial" w:cs="Arial" w:eastAsia="Arial" w:hAnsi="Arial"/>
                <w:sz w:val="15"/>
                <w:szCs w:val="15"/>
                <w:color w:val="auto"/>
                <w:w w:val="88"/>
              </w:rPr>
              <w:t>South Korea</w:t>
            </w:r>
            <w:r>
              <w:rPr>
                <w:rFonts w:ascii="Arial" w:cs="Arial" w:eastAsia="Arial" w:hAnsi="Arial"/>
                <w:sz w:val="25"/>
                <w:szCs w:val="25"/>
                <w:color w:val="auto"/>
                <w:w w:val="88"/>
                <w:vertAlign w:val="superscript"/>
              </w:rPr>
              <w:t>(1)</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30%</w:t>
            </w:r>
          </w:p>
        </w:tc>
      </w:tr>
      <w:tr>
        <w:trPr>
          <w:trHeight w:val="217"/>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ZERUST-NIC (TAIWAN) CORP.</w:t>
            </w:r>
          </w:p>
        </w:tc>
        <w:tc>
          <w:tcPr>
            <w:tcW w:w="2600" w:type="dxa"/>
            <w:vAlign w:val="bottom"/>
            <w:shd w:val="clear" w:color="auto" w:fill="CCEEFF"/>
          </w:tcPr>
          <w:p>
            <w:pPr>
              <w:jc w:val="center"/>
              <w:ind w:left="564"/>
              <w:spacing w:after="0" w:line="217" w:lineRule="exact"/>
              <w:rPr>
                <w:sz w:val="20"/>
                <w:szCs w:val="20"/>
                <w:color w:val="auto"/>
              </w:rPr>
            </w:pPr>
            <w:r>
              <w:rPr>
                <w:rFonts w:ascii="Arial" w:cs="Arial" w:eastAsia="Arial" w:hAnsi="Arial"/>
                <w:sz w:val="15"/>
                <w:szCs w:val="15"/>
                <w:color w:val="auto"/>
                <w:w w:val="87"/>
              </w:rPr>
              <w:t>Taiwan</w:t>
            </w:r>
            <w:r>
              <w:rPr>
                <w:rFonts w:ascii="Arial" w:cs="Arial" w:eastAsia="Arial" w:hAnsi="Arial"/>
                <w:sz w:val="25"/>
                <w:szCs w:val="25"/>
                <w:color w:val="auto"/>
                <w:w w:val="87"/>
                <w:vertAlign w:val="superscript"/>
              </w:rPr>
              <w:t>(1)</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30%</w:t>
            </w:r>
          </w:p>
        </w:tc>
      </w:tr>
      <w:tr>
        <w:trPr>
          <w:trHeight w:val="217"/>
        </w:trPr>
        <w:tc>
          <w:tcPr>
            <w:tcW w:w="6260" w:type="dxa"/>
            <w:vAlign w:val="bottom"/>
          </w:tcPr>
          <w:p>
            <w:pPr>
              <w:spacing w:after="0"/>
              <w:rPr>
                <w:sz w:val="20"/>
                <w:szCs w:val="20"/>
                <w:color w:val="auto"/>
              </w:rPr>
            </w:pPr>
            <w:r>
              <w:rPr>
                <w:rFonts w:ascii="Arial" w:cs="Arial" w:eastAsia="Arial" w:hAnsi="Arial"/>
                <w:sz w:val="15"/>
                <w:szCs w:val="15"/>
                <w:color w:val="auto"/>
              </w:rPr>
              <w:t>PT. CHEMINDO – NTIA</w:t>
            </w:r>
          </w:p>
        </w:tc>
        <w:tc>
          <w:tcPr>
            <w:tcW w:w="2600" w:type="dxa"/>
            <w:vAlign w:val="bottom"/>
          </w:tcPr>
          <w:p>
            <w:pPr>
              <w:jc w:val="center"/>
              <w:ind w:left="584"/>
              <w:spacing w:after="0" w:line="217" w:lineRule="exact"/>
              <w:rPr>
                <w:sz w:val="20"/>
                <w:szCs w:val="20"/>
                <w:color w:val="auto"/>
              </w:rPr>
            </w:pPr>
            <w:r>
              <w:rPr>
                <w:rFonts w:ascii="Arial" w:cs="Arial" w:eastAsia="Arial" w:hAnsi="Arial"/>
                <w:sz w:val="15"/>
                <w:szCs w:val="15"/>
                <w:color w:val="auto"/>
                <w:w w:val="86"/>
              </w:rPr>
              <w:t>Indonesia</w:t>
            </w:r>
            <w:r>
              <w:rPr>
                <w:rFonts w:ascii="Arial" w:cs="Arial" w:eastAsia="Arial" w:hAnsi="Arial"/>
                <w:sz w:val="25"/>
                <w:szCs w:val="25"/>
                <w:color w:val="auto"/>
                <w:w w:val="86"/>
                <w:vertAlign w:val="superscript"/>
              </w:rPr>
              <w:t>(1)</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30%</w:t>
            </w:r>
          </w:p>
        </w:tc>
      </w:tr>
      <w:tr>
        <w:trPr>
          <w:trHeight w:val="217"/>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ZERUST SPECIALTY TECH CO. LTD.</w:t>
            </w:r>
          </w:p>
        </w:tc>
        <w:tc>
          <w:tcPr>
            <w:tcW w:w="2600" w:type="dxa"/>
            <w:vAlign w:val="bottom"/>
            <w:shd w:val="clear" w:color="auto" w:fill="CCEEFF"/>
          </w:tcPr>
          <w:p>
            <w:pPr>
              <w:jc w:val="center"/>
              <w:ind w:left="564"/>
              <w:spacing w:after="0" w:line="217" w:lineRule="exact"/>
              <w:rPr>
                <w:sz w:val="20"/>
                <w:szCs w:val="20"/>
                <w:color w:val="auto"/>
              </w:rPr>
            </w:pPr>
            <w:r>
              <w:rPr>
                <w:rFonts w:ascii="Arial" w:cs="Arial" w:eastAsia="Arial" w:hAnsi="Arial"/>
                <w:sz w:val="15"/>
                <w:szCs w:val="15"/>
                <w:color w:val="auto"/>
                <w:w w:val="87"/>
              </w:rPr>
              <w:t>Thailand</w:t>
            </w:r>
            <w:r>
              <w:rPr>
                <w:rFonts w:ascii="Arial" w:cs="Arial" w:eastAsia="Arial" w:hAnsi="Arial"/>
                <w:sz w:val="25"/>
                <w:szCs w:val="25"/>
                <w:color w:val="auto"/>
                <w:w w:val="87"/>
                <w:vertAlign w:val="superscript"/>
              </w:rPr>
              <w:t>(1)</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30%</w:t>
            </w:r>
          </w:p>
        </w:tc>
      </w:tr>
      <w:tr>
        <w:trPr>
          <w:trHeight w:val="217"/>
        </w:trPr>
        <w:tc>
          <w:tcPr>
            <w:tcW w:w="6260" w:type="dxa"/>
            <w:vAlign w:val="bottom"/>
          </w:tcPr>
          <w:p>
            <w:pPr>
              <w:spacing w:after="0"/>
              <w:rPr>
                <w:sz w:val="20"/>
                <w:szCs w:val="20"/>
                <w:color w:val="auto"/>
              </w:rPr>
            </w:pPr>
            <w:r>
              <w:rPr>
                <w:rFonts w:ascii="Arial" w:cs="Arial" w:eastAsia="Arial" w:hAnsi="Arial"/>
                <w:sz w:val="15"/>
                <w:szCs w:val="15"/>
                <w:color w:val="auto"/>
              </w:rPr>
              <w:t>CHONG WAH-NTIA SDN. BHD.</w:t>
            </w:r>
          </w:p>
        </w:tc>
        <w:tc>
          <w:tcPr>
            <w:tcW w:w="2600" w:type="dxa"/>
            <w:vAlign w:val="bottom"/>
          </w:tcPr>
          <w:p>
            <w:pPr>
              <w:jc w:val="center"/>
              <w:ind w:left="564"/>
              <w:spacing w:after="0" w:line="217" w:lineRule="exact"/>
              <w:rPr>
                <w:sz w:val="20"/>
                <w:szCs w:val="20"/>
                <w:color w:val="auto"/>
              </w:rPr>
            </w:pPr>
            <w:r>
              <w:rPr>
                <w:rFonts w:ascii="Arial" w:cs="Arial" w:eastAsia="Arial" w:hAnsi="Arial"/>
                <w:sz w:val="15"/>
                <w:szCs w:val="15"/>
                <w:color w:val="auto"/>
                <w:w w:val="90"/>
              </w:rPr>
              <w:t>Malaysia</w:t>
            </w:r>
            <w:r>
              <w:rPr>
                <w:rFonts w:ascii="Arial" w:cs="Arial" w:eastAsia="Arial" w:hAnsi="Arial"/>
                <w:sz w:val="25"/>
                <w:szCs w:val="25"/>
                <w:color w:val="auto"/>
                <w:w w:val="90"/>
                <w:vertAlign w:val="superscript"/>
              </w:rPr>
              <w:t>(1)</w:t>
            </w:r>
          </w:p>
        </w:tc>
        <w:tc>
          <w:tcPr>
            <w:tcW w:w="2400" w:type="dxa"/>
            <w:vAlign w:val="bottom"/>
          </w:tcPr>
          <w:p>
            <w:pPr>
              <w:jc w:val="center"/>
              <w:spacing w:after="0"/>
              <w:rPr>
                <w:sz w:val="20"/>
                <w:szCs w:val="20"/>
                <w:color w:val="auto"/>
              </w:rPr>
            </w:pPr>
            <w:r>
              <w:rPr>
                <w:rFonts w:ascii="Arial" w:cs="Arial" w:eastAsia="Arial" w:hAnsi="Arial"/>
                <w:sz w:val="15"/>
                <w:szCs w:val="15"/>
                <w:color w:val="auto"/>
                <w:w w:val="93"/>
              </w:rPr>
              <w:t>30%</w:t>
            </w:r>
          </w:p>
        </w:tc>
      </w:tr>
      <w:tr>
        <w:trPr>
          <w:trHeight w:val="217"/>
        </w:trPr>
        <w:tc>
          <w:tcPr>
            <w:tcW w:w="6260" w:type="dxa"/>
            <w:vAlign w:val="bottom"/>
            <w:shd w:val="clear" w:color="auto" w:fill="CCEEFF"/>
          </w:tcPr>
          <w:p>
            <w:pPr>
              <w:spacing w:after="0"/>
              <w:rPr>
                <w:sz w:val="20"/>
                <w:szCs w:val="20"/>
                <w:color w:val="auto"/>
              </w:rPr>
            </w:pPr>
            <w:r>
              <w:rPr>
                <w:rFonts w:ascii="Arial" w:cs="Arial" w:eastAsia="Arial" w:hAnsi="Arial"/>
                <w:sz w:val="15"/>
                <w:szCs w:val="15"/>
                <w:color w:val="auto"/>
              </w:rPr>
              <w:t>NTIA ZERUST PHILIPPINES, INC.</w:t>
            </w:r>
          </w:p>
        </w:tc>
        <w:tc>
          <w:tcPr>
            <w:tcW w:w="2600" w:type="dxa"/>
            <w:vAlign w:val="bottom"/>
            <w:shd w:val="clear" w:color="auto" w:fill="CCEEFF"/>
          </w:tcPr>
          <w:p>
            <w:pPr>
              <w:jc w:val="center"/>
              <w:ind w:left="564"/>
              <w:spacing w:after="0" w:line="217" w:lineRule="exact"/>
              <w:rPr>
                <w:sz w:val="20"/>
                <w:szCs w:val="20"/>
                <w:color w:val="auto"/>
              </w:rPr>
            </w:pPr>
            <w:r>
              <w:rPr>
                <w:rFonts w:ascii="Arial" w:cs="Arial" w:eastAsia="Arial" w:hAnsi="Arial"/>
                <w:sz w:val="15"/>
                <w:szCs w:val="15"/>
                <w:color w:val="auto"/>
                <w:w w:val="90"/>
              </w:rPr>
              <w:t>Philippines</w:t>
            </w:r>
            <w:r>
              <w:rPr>
                <w:rFonts w:ascii="Arial" w:cs="Arial" w:eastAsia="Arial" w:hAnsi="Arial"/>
                <w:sz w:val="25"/>
                <w:szCs w:val="25"/>
                <w:color w:val="auto"/>
                <w:w w:val="90"/>
                <w:vertAlign w:val="superscript"/>
              </w:rPr>
              <w:t>(1)</w:t>
            </w:r>
          </w:p>
        </w:tc>
        <w:tc>
          <w:tcPr>
            <w:tcW w:w="2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78625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6255" cy="6985"/>
                    </a:xfrm>
                    <a:prstGeom prst="rect">
                      <a:avLst/>
                    </a:prstGeom>
                    <a:noFill/>
                  </pic:spPr>
                </pic:pic>
              </a:graphicData>
            </a:graphic>
          </wp:anchor>
        </w:drawing>
      </w:r>
    </w:p>
    <w:p>
      <w:pPr>
        <w:spacing w:after="0" w:line="267" w:lineRule="exact"/>
        <w:rPr>
          <w:sz w:val="20"/>
          <w:szCs w:val="20"/>
          <w:color w:val="auto"/>
        </w:rPr>
      </w:pPr>
    </w:p>
    <w:p>
      <w:pPr>
        <w:ind w:left="449" w:hanging="449"/>
        <w:spacing w:after="0"/>
        <w:tabs>
          <w:tab w:leader="none" w:pos="449"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Indirect ownership interest through NTI Asean.</w:t>
      </w:r>
    </w:p>
    <w:p>
      <w:pPr>
        <w:spacing w:after="0" w:line="193" w:lineRule="exact"/>
        <w:rPr>
          <w:sz w:val="20"/>
          <w:szCs w:val="20"/>
          <w:color w:val="auto"/>
        </w:rPr>
      </w:pPr>
    </w:p>
    <w:p>
      <w:pPr>
        <w:ind w:left="9" w:right="100"/>
        <w:spacing w:after="0" w:line="280" w:lineRule="auto"/>
        <w:rPr>
          <w:sz w:val="20"/>
          <w:szCs w:val="20"/>
          <w:color w:val="auto"/>
        </w:rPr>
      </w:pPr>
      <w:r>
        <w:rPr>
          <w:rFonts w:ascii="Arial" w:cs="Arial" w:eastAsia="Arial" w:hAnsi="Arial"/>
          <w:sz w:val="14"/>
          <w:szCs w:val="14"/>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5"/>
          <w:szCs w:val="15"/>
          <w:color w:val="auto"/>
        </w:rPr>
        <w:t>NTIC accounts for the investments and financial results of its joint ventures in its financial statements utilizing the equity method of accounting.</w:t>
      </w:r>
    </w:p>
    <w:p>
      <w:pPr>
        <w:spacing w:after="0" w:line="193" w:lineRule="exact"/>
        <w:rPr>
          <w:sz w:val="20"/>
          <w:szCs w:val="20"/>
          <w:color w:val="auto"/>
        </w:rPr>
      </w:pPr>
    </w:p>
    <w:p>
      <w:pPr>
        <w:ind w:left="9" w:right="260"/>
        <w:spacing w:after="0" w:line="284" w:lineRule="auto"/>
        <w:rPr>
          <w:sz w:val="20"/>
          <w:szCs w:val="20"/>
          <w:color w:val="auto"/>
        </w:rPr>
      </w:pPr>
      <w:r>
        <w:rPr>
          <w:rFonts w:ascii="Arial" w:cs="Arial" w:eastAsia="Arial" w:hAnsi="Arial"/>
          <w:sz w:val="15"/>
          <w:szCs w:val="15"/>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Impact of the COVID-19 Pandemic</w:t>
      </w:r>
    </w:p>
    <w:p>
      <w:pPr>
        <w:spacing w:after="0" w:line="197" w:lineRule="exact"/>
        <w:rPr>
          <w:sz w:val="20"/>
          <w:szCs w:val="20"/>
          <w:color w:val="auto"/>
        </w:rPr>
      </w:pPr>
    </w:p>
    <w:p>
      <w:pPr>
        <w:ind w:left="9" w:right="120"/>
        <w:spacing w:after="0" w:line="264" w:lineRule="auto"/>
        <w:rPr>
          <w:sz w:val="20"/>
          <w:szCs w:val="20"/>
          <w:color w:val="auto"/>
        </w:rPr>
      </w:pPr>
      <w:r>
        <w:rPr>
          <w:rFonts w:ascii="Arial" w:cs="Arial" w:eastAsia="Arial" w:hAnsi="Arial"/>
          <w:sz w:val="15"/>
          <w:szCs w:val="15"/>
          <w:color w:val="auto"/>
        </w:rPr>
        <w:t>In March 2020, the World Health Organization declared the novel coronavirus (COVID-19) outbreak a global pandemic. The COVID-19 pandemic has negatively impacted the global economy, disrupted global supply chains, created significant volatility and disruption in financial markets and has resulted in an economic slowdown. The outbreak and continuing rapid spread of COVID-19 has resulted in a substantial curtailment of business activities worldwide and is causing weakened economic conditions, both in the United States and abroad.</w:t>
      </w:r>
    </w:p>
    <w:p>
      <w:pPr>
        <w:spacing w:after="0" w:line="33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53275"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792" w:right="319" w:bottom="1440" w:gutter="0" w:footer="0" w:header="0"/>
        </w:sectPr>
      </w:pPr>
    </w:p>
    <w:bookmarkStart w:id="25" w:name="page26"/>
    <w:bookmarkEnd w:id="25"/>
    <w:p>
      <w:pPr>
        <w:ind w:right="200"/>
        <w:spacing w:after="0" w:line="262" w:lineRule="auto"/>
        <w:rPr>
          <w:sz w:val="20"/>
          <w:szCs w:val="20"/>
          <w:color w:val="auto"/>
        </w:rPr>
      </w:pPr>
      <w:r>
        <w:rPr>
          <w:rFonts w:ascii="Arial" w:cs="Arial" w:eastAsia="Arial" w:hAnsi="Arial"/>
          <w:sz w:val="15"/>
          <w:szCs w:val="15"/>
          <w:color w:val="auto"/>
        </w:rPr>
        <w:t>As part of efforts to contain the spread of COVID-19, federal, state, local and foreign governments imposed various restrictions on the conduct of business and travel, some of which remain in place in whole or in part. Government restrictions, such as stay-at-home orders, quarantines and worker absenteeism as a result of COVID-19, have led to a significant number of business closures and slowdowns. These business closures and slowdowns have adversely impacted and will likely continue to adversely impact NTIC directly and have caused some of NTIC’s customers and suppliers to operate at a fraction of their capacities or wholly lock down, which has disrupted and may continue to disrupt NTIC’s sales and production.</w:t>
      </w:r>
    </w:p>
    <w:p>
      <w:pPr>
        <w:spacing w:after="0" w:line="156"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As the events surrounding the COVID-19 pandemic continued to unfold during the third quarter of fiscal 2020,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second and third fiscal quarter of 2020,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third quarter of fiscal 2020,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during the remainder of fiscal 2020.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52"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As a result of the global economic slowdown caused by the COVID-19 pandemic, NTIC began experiencing softened demand. During the third quarter of fiscal 2020, demand significantly decreased, which had a material adverse effect on NTIC’s business, operating results and financial condition. NTIC anticipates decreased global demand for its products and services during the fourth quarter of fiscal 2020 and beyond. Due to the international reach of COVID-19, NTIC’s international joint ventures have also been adversely impacted, which has had and may continue to have a material adverse effect on NTIC’s joint venture operations and equity in income from joint ventures.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26" w:name="page27"/>
    <w:bookmarkEnd w:id="26"/>
    <w:p>
      <w:pPr>
        <w:ind w:right="440"/>
        <w:spacing w:after="0" w:line="284" w:lineRule="auto"/>
        <w:rPr>
          <w:sz w:val="20"/>
          <w:szCs w:val="20"/>
          <w:color w:val="auto"/>
        </w:rPr>
      </w:pPr>
      <w:r>
        <w:rPr>
          <w:rFonts w:ascii="Arial" w:cs="Arial" w:eastAsia="Arial" w:hAnsi="Arial"/>
          <w:sz w:val="15"/>
          <w:szCs w:val="15"/>
          <w:color w:val="auto"/>
        </w:rPr>
        <w:t>The extent to which the COVID-19 pandemic will continue to impact NTIC’s business will likely depend on numerous evolving factors that NTIC may not be able to accurately predict, including:</w:t>
      </w:r>
    </w:p>
    <w:p>
      <w:pPr>
        <w:spacing w:after="0" w:line="141" w:lineRule="exact"/>
        <w:rPr>
          <w:sz w:val="20"/>
          <w:szCs w:val="20"/>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duration and scope of the pandemic;</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governmental, business and individuals’ actions that have been and continue to be taken in response to the pandemic;</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impact of the pandemic on economic activity and actions taken in response;</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effect on NTIC’s customers and demand for its products and services;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NTIC’s ability to continue to manufacture and sell its products and services, including as a result of travel restrictions and people working from home;</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ability of NTIC’s customers to pay for its products and services; and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closures of NTIC’s facilities and the facilities of its customers and suppliers.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Any of these events could materially adversely affect NTIC’s business, operating results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Overview</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NTIC’s management, including its chief executive officer, who is NTIC’s chief operating decision maker, reports and manages NTIC’s operations in two reportable business segments</w:t>
      </w:r>
    </w:p>
    <w:p>
      <w:pPr>
        <w:spacing w:after="0" w:line="44" w:lineRule="exact"/>
        <w:rPr>
          <w:sz w:val="20"/>
          <w:szCs w:val="20"/>
          <w:color w:val="auto"/>
        </w:rPr>
      </w:pPr>
    </w:p>
    <w:p>
      <w:pPr>
        <w:ind w:right="380"/>
        <w:spacing w:after="0" w:line="208" w:lineRule="auto"/>
        <w:rPr>
          <w:sz w:val="20"/>
          <w:szCs w:val="20"/>
          <w:color w:val="auto"/>
        </w:rPr>
      </w:pPr>
      <w:r>
        <w:rPr>
          <w:rFonts w:ascii="Arial" w:cs="Arial" w:eastAsia="Arial" w:hAnsi="Arial"/>
          <w:sz w:val="15"/>
          <w:szCs w:val="15"/>
          <w:color w:val="auto"/>
        </w:rPr>
        <w:t>based on products sold, customer base, and distribution center: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and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All share and per share data have been adjusted for all periods presented to reflect the two-for-one stock split effective June 28, 2019.</w:t>
      </w:r>
    </w:p>
    <w:p>
      <w:pPr>
        <w:spacing w:after="0" w:line="174" w:lineRule="exact"/>
        <w:rPr>
          <w:sz w:val="20"/>
          <w:szCs w:val="20"/>
          <w:color w:val="auto"/>
        </w:rPr>
      </w:pPr>
    </w:p>
    <w:p>
      <w:pPr>
        <w:ind w:right="100"/>
        <w:spacing w:after="0" w:line="329" w:lineRule="auto"/>
        <w:rPr>
          <w:sz w:val="20"/>
          <w:szCs w:val="20"/>
          <w:color w:val="auto"/>
        </w:rPr>
      </w:pPr>
      <w:r>
        <w:rPr>
          <w:rFonts w:ascii="Arial" w:cs="Arial" w:eastAsia="Arial" w:hAnsi="Arial"/>
          <w:sz w:val="13"/>
          <w:szCs w:val="13"/>
          <w:color w:val="auto"/>
        </w:rPr>
        <w:t>NTIC’s consolidated net sales decreased 34.6% and 11.1% during the three and nine months ended May 31, 2020, respectively, compared to the three and nine months ended May 31, 2019. NTIC’s consolidated net sales for the three months ended May 31, 2020 were adversely affected by reduced demand globally as a result of the COVID-19 pandemic. NTIC anticipates that the COVID-19 pandemic will continue to significantly adversely affect NTIC’s consolidated net sales and earnings in the fourth quarter of fiscal 2020 and beyond.</w:t>
      </w:r>
    </w:p>
    <w:p>
      <w:pPr>
        <w:spacing w:after="0" w:line="119"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During the three and nine months ended May 31, 2020, 75.5% and 70.0% of NTIC’s consolidated net sales, respectively, were derived from sales of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and services, which decreased 27.0% and 10.0% to $7,356,781 and $26,322,515, respectively, compared to $10,077,203 and $29,250,772 during the three and nine months ended May 31, 2019,</w:t>
      </w:r>
    </w:p>
    <w:p>
      <w:pPr>
        <w:spacing w:after="0" w:line="245" w:lineRule="auto"/>
        <w:rPr>
          <w:sz w:val="20"/>
          <w:szCs w:val="20"/>
          <w:color w:val="auto"/>
        </w:rPr>
      </w:pPr>
      <w:r>
        <w:rPr>
          <w:rFonts w:ascii="Arial" w:cs="Arial" w:eastAsia="Arial" w:hAnsi="Arial"/>
          <w:sz w:val="13"/>
          <w:szCs w:val="13"/>
          <w:color w:val="auto"/>
        </w:rPr>
        <w:t>respectively. These decreases were due to lower sales to existing customers for products as a result of decreased demand. NTIC has focused its sales efforts of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the nine months ended May 31, 2020 included $2,012,543 of sales made to customers in the oil and gas industry, compared to $2,225,490 for the nine months ended May 31, 2019. Overall demand for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and services depends heavily on the overall health of the markets in which NTIC sells its</w:t>
      </w:r>
    </w:p>
    <w:p>
      <w:pPr>
        <w:spacing w:after="0" w:line="3" w:lineRule="exact"/>
        <w:rPr>
          <w:sz w:val="20"/>
          <w:szCs w:val="20"/>
          <w:color w:val="auto"/>
        </w:rPr>
      </w:pPr>
    </w:p>
    <w:p>
      <w:pPr>
        <w:ind w:right="240"/>
        <w:spacing w:after="0" w:line="231" w:lineRule="auto"/>
        <w:rPr>
          <w:sz w:val="20"/>
          <w:szCs w:val="20"/>
          <w:color w:val="auto"/>
        </w:rPr>
      </w:pPr>
      <w:r>
        <w:rPr>
          <w:rFonts w:ascii="Arial" w:cs="Arial" w:eastAsia="Arial" w:hAnsi="Arial"/>
          <w:sz w:val="15"/>
          <w:szCs w:val="15"/>
          <w:color w:val="auto"/>
        </w:rPr>
        <w:t>products, including the automotive, oil and gas, agriculture, and mining markets in particular. NTIC’s 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for the three months ended May 31, 2020 were adversely affected by reduced demand globally as a result of the COVID-19 pandemic. NTIC anticipates that the COVID-19 pandemic will continue to significantly adversely affect 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in the fourth quarter of fiscal 2020 and beyond.</w:t>
      </w:r>
    </w:p>
    <w:p>
      <w:pPr>
        <w:spacing w:after="0" w:line="71"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During the three and nine months ended May 31, 2020, 24.5% and 30.0% of NTIC’s consolidated net sales, respectively, were derived from sales of 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compared to 32.3% and 30.9% during the three and nine months ended May 31, 2019, respectively. Net sales of 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decreased 50.4% and 13.5% during the three and nine months ended May 31, 2020, respectively, compared to the three and nine months ended May 31, 2019 primarily due to a decrease in finished product sales in North America and finished product sales at NTIC’s majority-owned subsidiary in India, Natur-Tec India Private Limited (Natur-Tec India), and reduced demand globally as a result of the COVID-19 pandemic. NTIC anticipates that the COVID-19 pandemic will continue to significantly adversely affect sales of 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in the fourth quarter of fiscal 2020 and beyond.</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00"/>
          </w:cols>
          <w:pgMar w:left="320" w:top="609" w:right="379" w:bottom="1440" w:gutter="0" w:footer="0" w:header="0"/>
        </w:sectPr>
      </w:pPr>
    </w:p>
    <w:bookmarkStart w:id="27" w:name="page28"/>
    <w:bookmarkEnd w:id="27"/>
    <w:p>
      <w:pPr>
        <w:jc w:val="both"/>
        <w:ind w:right="20"/>
        <w:spacing w:after="0" w:line="274" w:lineRule="auto"/>
        <w:rPr>
          <w:sz w:val="20"/>
          <w:szCs w:val="20"/>
          <w:color w:val="auto"/>
        </w:rPr>
      </w:pPr>
      <w:r>
        <w:rPr>
          <w:rFonts w:ascii="Arial" w:cs="Arial" w:eastAsia="Arial" w:hAnsi="Arial"/>
          <w:sz w:val="15"/>
          <w:szCs w:val="15"/>
          <w:color w:val="auto"/>
        </w:rPr>
        <w:t>Cost of goods sold as a percentage of net sales decreased to 66.7% during the three months ended May 31, 2020, compared to 68.1% during the three months ended May 31, 2019 and decreased to 66.4% during the nine months ended May 31, 2020, compared to 68.3% during the prior fiscal year period, primarily as a result of a decreased percentage of product sales from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that have lower gross margins than NTIC’s traditional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industrial products.</w:t>
      </w:r>
    </w:p>
    <w:p>
      <w:pPr>
        <w:spacing w:after="0" w:line="44"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NTIC’s equity in income from joint ventures decreased 56.8% and 38.1% to $811,787 and $3,466,581 during the three and nine months ended May 31, 2020, respectively, compared to $1,877,410 and $5,596,788 during the three and nine months ended May 31, 2019, respectively. These decreases were primarily due to corresponding decreases in net sales at the joint ventures, which decreased 32.4% and 20.3% to $18,782,233 and $68,531,897 during the three and nine months ended May 31, 2020, respectively, compared to $27,774,112 and $86,003,918 for the three and nine months ended May 31, 2019, respectively. These decreases in net sales of NTIC’s joint ventures were primarily due to lower sales to existing customers for existing products as a result of decreased demand. The decreases in net sales of NTIC’s joint ventures resulted in corresponding decreases in fees for services provided to joint ventures, as such fees are a function of net sales of NTIC’s joint ventures. NTIC anticipates that net sales of its joint ventures will continue to decrease significantly as a result of decreased demand as a result of the COVID-19 pandemic and may continue to have a significant adverse effect on NTIC’s equity in income from its joint ventures.</w:t>
      </w:r>
    </w:p>
    <w:p>
      <w:pPr>
        <w:spacing w:after="0" w:line="134"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NTIC’s total operating expenses decreased 10.2% and increased 0.8% to $5,651,075 and $18,011,443 during the three and nine months ended May 31, 2020, respectively, compared to $6,293,725 and $17,868,928 for the three and nine months ended May 31, 2019, respectively. These changes were due to the decrease in overall operating expenses during the three months ended May 31, 2020 due to the suspension of travel and work from home initiatives as a result of the COVID-19 pandemic.</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NTIC spent $950,127 and $2,918,163 during the three and nine months ended May 31, 2020, respectively, compared to $1,005,045 and $2,804,739 during the three and nine months ended May 31, 2019, respectively, in connection with its research and development activities. NTIC anticipates that it will spend a total of between $3,500,000 and $3,700,000 in fiscal 2020 on research and development activities.</w:t>
      </w:r>
    </w:p>
    <w:p>
      <w:pPr>
        <w:spacing w:after="0" w:line="152"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NTIC incurred a net loss attributable to NTIC of $(965,221), or $(0.11) per diluted common share, for the three months ended May 31, 2020, compared to net income attributable to NTIC of $1,482,149, or $0.16 per diluted common share, for the three months ended May 31, 2019, a decrease of $2,447,370 or $0.27 per diluted share. Net income attributable to NTIC decreased to $427,163, or $0.05 per diluted common share, for the nine months ended May 31, 2020, compared to $4,380,776, or $0.46 per diluted common share, for the nine months ended May 31, 2019, a decrease of $3,953,613 or $0.41 per diluted share. NTIC anticipates that its earnings may continue to be significantly adversely affected by the COVID-19 pandemic in the fourth quarter of fiscal 2020 and beyond and that its quarterly net income or loss will continue to remain subject to significant volatility primarily due to the</w:t>
      </w:r>
    </w:p>
    <w:p>
      <w:pPr>
        <w:ind w:right="100"/>
        <w:spacing w:after="0" w:line="225" w:lineRule="auto"/>
        <w:rPr>
          <w:sz w:val="20"/>
          <w:szCs w:val="20"/>
          <w:color w:val="auto"/>
        </w:rPr>
      </w:pPr>
      <w:r>
        <w:rPr>
          <w:rFonts w:ascii="Arial" w:cs="Arial" w:eastAsia="Arial" w:hAnsi="Arial"/>
          <w:sz w:val="15"/>
          <w:szCs w:val="15"/>
          <w:color w:val="auto"/>
        </w:rPr>
        <w:t>financial performance of its subsidiaries and joint ventures, sales of its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into the oil and gas industry, and sales of its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bioplastics products, which fluctuate more on a quarterly basis than the traditional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business.</w:t>
      </w:r>
    </w:p>
    <w:p>
      <w:pPr>
        <w:spacing w:after="0" w:line="68" w:lineRule="exact"/>
        <w:rPr>
          <w:sz w:val="20"/>
          <w:szCs w:val="20"/>
          <w:color w:val="auto"/>
        </w:rPr>
      </w:pPr>
    </w:p>
    <w:p>
      <w:pPr>
        <w:ind w:right="420"/>
        <w:spacing w:after="0" w:line="364" w:lineRule="auto"/>
        <w:rPr>
          <w:sz w:val="20"/>
          <w:szCs w:val="20"/>
          <w:color w:val="auto"/>
        </w:rPr>
      </w:pPr>
      <w:r>
        <w:rPr>
          <w:rFonts w:ascii="Arial" w:cs="Arial" w:eastAsia="Arial" w:hAnsi="Arial"/>
          <w:sz w:val="13"/>
          <w:szCs w:val="13"/>
          <w:color w:val="auto"/>
        </w:rPr>
        <w:t>NTIC’s working capital, defined as current assets less current liabilities, was $28,135,178 at May 31, 2020, including $5,050,722 in cash and cash equivalents and $5,450,693 in available for sale securities, compared to $25,460,569 at August 31, 2019, including $5,856,758 in cash and cash equivalents and $3,565,258 in available for sale securities.</w:t>
      </w:r>
    </w:p>
    <w:p>
      <w:pPr>
        <w:spacing w:after="0" w:line="95"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On April 23, 2020, the Company announced the temporary suspension of its quarterly cash dividend pending clarity on the COVID-19 crisis. Therefore, the Company did not declare a cash dividend during the quarter ended May 31, 2020. Prior to this suspension, on January 22, 2020, the Company’s Board of Directors declared a cash dividend of $0.065 per share of NTIC’s common stock, payable on February 19, 2020 to stockholders of record on February 5, 2020. On October 22, 2019, the Company’s Board of Directors declared a cash dividend of $0.065 per share of NTIC’s common stock, payable on November 20, 2019 to stockholders of record on November 6, 2019. During fiscal 2019, the Company’s Board of Directors declared four quarterly cash dividends of $0.06 per share each. The length of the Company’s suspension of its quarterly cash dividend is currently unknown, and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00"/>
          </w:cols>
          <w:pgMar w:left="320" w:top="609"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8"/>
        </w:trPr>
        <w:tc>
          <w:tcPr>
            <w:tcW w:w="3940" w:type="dxa"/>
            <w:vAlign w:val="bottom"/>
          </w:tcPr>
          <w:p>
            <w:pPr>
              <w:spacing w:after="0"/>
              <w:rPr>
                <w:sz w:val="20"/>
                <w:szCs w:val="20"/>
                <w:color w:val="auto"/>
              </w:rPr>
            </w:pPr>
            <w:r>
              <w:rPr>
                <w:rFonts w:ascii="Arial" w:cs="Arial" w:eastAsia="Arial" w:hAnsi="Arial"/>
                <w:sz w:val="15"/>
                <w:szCs w:val="15"/>
                <w:b w:val="1"/>
                <w:bCs w:val="1"/>
                <w:color w:val="auto"/>
              </w:rPr>
              <w:t>Results of Operations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66"/>
        </w:trPr>
        <w:tc>
          <w:tcPr>
            <w:tcW w:w="7640" w:type="dxa"/>
            <w:vAlign w:val="bottom"/>
            <w:gridSpan w:val="9"/>
          </w:tcPr>
          <w:p>
            <w:pPr>
              <w:spacing w:after="0"/>
              <w:rPr>
                <w:sz w:val="20"/>
                <w:szCs w:val="20"/>
                <w:color w:val="auto"/>
              </w:rPr>
            </w:pPr>
            <w:r>
              <w:rPr>
                <w:rFonts w:ascii="Arial" w:cs="Arial" w:eastAsia="Arial" w:hAnsi="Arial"/>
                <w:sz w:val="15"/>
                <w:szCs w:val="15"/>
                <w:color w:val="auto"/>
                <w:w w:val="96"/>
              </w:rPr>
              <w:t>The following table sets forth NTIC’s results of operations for the three and nine months ended May 31, 2020 and 2019.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7"/>
        </w:trPr>
        <w:tc>
          <w:tcPr>
            <w:tcW w:w="3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0"/>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rPr>
              <w:t>%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4"/>
              </w:rPr>
              <w:t>%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24"/>
              <w:spacing w:after="0" w:line="160" w:lineRule="exact"/>
              <w:rPr>
                <w:sz w:val="20"/>
                <w:szCs w:val="20"/>
                <w:color w:val="auto"/>
              </w:rPr>
            </w:pPr>
            <w:r>
              <w:rPr>
                <w:rFonts w:ascii="Arial" w:cs="Arial" w:eastAsia="Arial" w:hAnsi="Arial"/>
                <w:sz w:val="15"/>
                <w:szCs w:val="15"/>
                <w:b w:val="1"/>
                <w:bCs w:val="1"/>
                <w:color w:val="auto"/>
                <w:w w:val="95"/>
              </w:rPr>
              <w:t>$</w:t>
            </w:r>
          </w:p>
        </w:tc>
        <w:tc>
          <w:tcPr>
            <w:tcW w:w="1280" w:type="dxa"/>
            <w:vAlign w:val="bottom"/>
            <w:gridSpan w:val="2"/>
          </w:tcPr>
          <w:p>
            <w:pPr>
              <w:jc w:val="center"/>
              <w:ind w:left="24"/>
              <w:spacing w:after="0" w:line="160" w:lineRule="exact"/>
              <w:rPr>
                <w:sz w:val="20"/>
                <w:szCs w:val="20"/>
                <w:color w:val="auto"/>
              </w:rPr>
            </w:pPr>
            <w:r>
              <w:rPr>
                <w:rFonts w:ascii="Arial" w:cs="Arial" w:eastAsia="Arial" w:hAnsi="Arial"/>
                <w:sz w:val="15"/>
                <w:szCs w:val="15"/>
                <w:b w:val="1"/>
                <w:bCs w:val="1"/>
                <w:color w:val="auto"/>
              </w:rPr>
              <w:t>%</w:t>
            </w:r>
          </w:p>
        </w:tc>
      </w:tr>
      <w:tr>
        <w:trPr>
          <w:trHeight w:val="22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May 31, 2020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Net Sales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May 31, 2019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Net 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Change</w:t>
            </w:r>
          </w:p>
        </w:tc>
      </w:tr>
      <w:tr>
        <w:trPr>
          <w:trHeight w:val="166"/>
        </w:trPr>
        <w:tc>
          <w:tcPr>
            <w:tcW w:w="394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Net sales, excluding joint ventures</w:t>
            </w: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9,071,072</w:t>
            </w: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93.1%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13,780,804</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92.5%</w:t>
            </w:r>
          </w:p>
        </w:tc>
        <w:tc>
          <w:tcPr>
            <w:tcW w:w="280" w:type="dxa"/>
            <w:vAlign w:val="bottom"/>
            <w:tcBorders>
              <w:top w:val="single" w:sz="8" w:color="CCEEFF"/>
            </w:tcBorders>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(4,709,732)</w:t>
            </w:r>
          </w:p>
        </w:tc>
        <w:tc>
          <w:tcPr>
            <w:tcW w:w="1280" w:type="dxa"/>
            <w:vAlign w:val="bottom"/>
            <w:tcBorders>
              <w:top w:val="single" w:sz="8" w:color="CCEEFF"/>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(34.2)%</w:t>
            </w:r>
          </w:p>
        </w:tc>
      </w:tr>
      <w:tr>
        <w:trPr>
          <w:trHeight w:val="183"/>
        </w:trPr>
        <w:tc>
          <w:tcPr>
            <w:tcW w:w="3940" w:type="dxa"/>
            <w:vAlign w:val="bottom"/>
          </w:tcPr>
          <w:p>
            <w:pPr>
              <w:spacing w:after="0"/>
              <w:rPr>
                <w:sz w:val="20"/>
                <w:szCs w:val="20"/>
                <w:color w:val="auto"/>
              </w:rPr>
            </w:pPr>
            <w:r>
              <w:rPr>
                <w:rFonts w:ascii="Arial" w:cs="Arial" w:eastAsia="Arial" w:hAnsi="Arial"/>
                <w:sz w:val="15"/>
                <w:szCs w:val="15"/>
                <w:color w:val="auto"/>
              </w:rPr>
              <w:t>Net sales, to joint ventures</w:t>
            </w:r>
          </w:p>
        </w:tc>
        <w:tc>
          <w:tcPr>
            <w:tcW w:w="10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673,751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1,112,313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(438,562)</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(39.4)%</w:t>
            </w:r>
          </w:p>
        </w:tc>
      </w:tr>
      <w:tr>
        <w:trPr>
          <w:trHeight w:val="18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Cost of goods sold</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6,499,102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10,138,353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(3,639,251)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(35.9)%</w:t>
            </w:r>
          </w:p>
        </w:tc>
      </w:tr>
      <w:tr>
        <w:trPr>
          <w:trHeight w:val="183"/>
        </w:trPr>
        <w:tc>
          <w:tcPr>
            <w:tcW w:w="3940" w:type="dxa"/>
            <w:vAlign w:val="bottom"/>
          </w:tcPr>
          <w:p>
            <w:pPr>
              <w:spacing w:after="0"/>
              <w:rPr>
                <w:sz w:val="20"/>
                <w:szCs w:val="20"/>
                <w:color w:val="auto"/>
              </w:rPr>
            </w:pPr>
            <w:r>
              <w:rPr>
                <w:rFonts w:ascii="Arial" w:cs="Arial" w:eastAsia="Arial" w:hAnsi="Arial"/>
                <w:sz w:val="15"/>
                <w:szCs w:val="15"/>
                <w:color w:val="auto"/>
              </w:rPr>
              <w:t>Equity in income from joint ventures</w:t>
            </w:r>
          </w:p>
        </w:tc>
        <w:tc>
          <w:tcPr>
            <w:tcW w:w="10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811,787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1,877,410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(1,065,623)</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(56.8)%</w:t>
            </w:r>
          </w:p>
        </w:tc>
      </w:tr>
      <w:tr>
        <w:trPr>
          <w:trHeight w:val="18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Fees for services provided to joint ventures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876,706</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1,433,823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(557,117)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(38.9)%</w:t>
            </w:r>
          </w:p>
        </w:tc>
      </w:tr>
      <w:tr>
        <w:trPr>
          <w:trHeight w:val="183"/>
        </w:trPr>
        <w:tc>
          <w:tcPr>
            <w:tcW w:w="3940" w:type="dxa"/>
            <w:vAlign w:val="bottom"/>
          </w:tcPr>
          <w:p>
            <w:pPr>
              <w:spacing w:after="0"/>
              <w:rPr>
                <w:sz w:val="20"/>
                <w:szCs w:val="20"/>
                <w:color w:val="auto"/>
              </w:rPr>
            </w:pPr>
            <w:r>
              <w:rPr>
                <w:rFonts w:ascii="Arial" w:cs="Arial" w:eastAsia="Arial" w:hAnsi="Arial"/>
                <w:sz w:val="15"/>
                <w:szCs w:val="15"/>
                <w:color w:val="auto"/>
              </w:rPr>
              <w:t>Selling expenses</w:t>
            </w:r>
          </w:p>
        </w:tc>
        <w:tc>
          <w:tcPr>
            <w:tcW w:w="10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2,487,396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2,761,488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(274,092)</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(9.9)%</w:t>
            </w:r>
          </w:p>
        </w:tc>
      </w:tr>
      <w:tr>
        <w:trPr>
          <w:trHeight w:val="18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 expenses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2,213,552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2,527,192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(313,640)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w:t>
            </w:r>
          </w:p>
        </w:tc>
      </w:tr>
      <w:tr>
        <w:trPr>
          <w:trHeight w:val="194"/>
        </w:trPr>
        <w:tc>
          <w:tcPr>
            <w:tcW w:w="3940" w:type="dxa"/>
            <w:vAlign w:val="bottom"/>
          </w:tcPr>
          <w:p>
            <w:pPr>
              <w:spacing w:after="0"/>
              <w:rPr>
                <w:sz w:val="20"/>
                <w:szCs w:val="20"/>
                <w:color w:val="auto"/>
              </w:rPr>
            </w:pPr>
            <w:r>
              <w:rPr>
                <w:rFonts w:ascii="Arial" w:cs="Arial" w:eastAsia="Arial" w:hAnsi="Arial"/>
                <w:sz w:val="15"/>
                <w:szCs w:val="15"/>
                <w:color w:val="auto"/>
              </w:rPr>
              <w:t>Research and development expenses</w:t>
            </w:r>
          </w:p>
        </w:tc>
        <w:tc>
          <w:tcPr>
            <w:tcW w:w="100" w:type="dxa"/>
            <w:vAlign w:val="bottom"/>
          </w:tcPr>
          <w:p>
            <w:pPr>
              <w:spacing w:after="0"/>
              <w:rPr>
                <w:sz w:val="16"/>
                <w:szCs w:val="16"/>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950,127</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1,005,045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(54,918)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(5.5)%</w:t>
            </w:r>
          </w:p>
        </w:tc>
      </w:tr>
      <w:tr>
        <w:trPr>
          <w:trHeight w:val="367"/>
        </w:trPr>
        <w:tc>
          <w:tcPr>
            <w:tcW w:w="3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0"/>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rPr>
              <w:t>%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4"/>
              </w:rPr>
              <w:t>%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24"/>
              <w:spacing w:after="0" w:line="160" w:lineRule="exact"/>
              <w:rPr>
                <w:sz w:val="20"/>
                <w:szCs w:val="20"/>
                <w:color w:val="auto"/>
              </w:rPr>
            </w:pPr>
            <w:r>
              <w:rPr>
                <w:rFonts w:ascii="Arial" w:cs="Arial" w:eastAsia="Arial" w:hAnsi="Arial"/>
                <w:sz w:val="15"/>
                <w:szCs w:val="15"/>
                <w:b w:val="1"/>
                <w:bCs w:val="1"/>
                <w:color w:val="auto"/>
                <w:w w:val="95"/>
              </w:rPr>
              <w:t>$</w:t>
            </w:r>
          </w:p>
        </w:tc>
        <w:tc>
          <w:tcPr>
            <w:tcW w:w="1280" w:type="dxa"/>
            <w:vAlign w:val="bottom"/>
            <w:gridSpan w:val="2"/>
          </w:tcPr>
          <w:p>
            <w:pPr>
              <w:jc w:val="center"/>
              <w:ind w:left="24"/>
              <w:spacing w:after="0" w:line="160" w:lineRule="exact"/>
              <w:rPr>
                <w:sz w:val="20"/>
                <w:szCs w:val="20"/>
                <w:color w:val="auto"/>
              </w:rPr>
            </w:pPr>
            <w:r>
              <w:rPr>
                <w:rFonts w:ascii="Arial" w:cs="Arial" w:eastAsia="Arial" w:hAnsi="Arial"/>
                <w:sz w:val="15"/>
                <w:szCs w:val="15"/>
                <w:b w:val="1"/>
                <w:bCs w:val="1"/>
                <w:color w:val="auto"/>
              </w:rPr>
              <w:t>%</w:t>
            </w:r>
          </w:p>
        </w:tc>
      </w:tr>
      <w:tr>
        <w:trPr>
          <w:trHeight w:val="22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May 31, 2020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Net Sales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May 31, 2019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Net 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Change</w:t>
            </w:r>
          </w:p>
        </w:tc>
      </w:tr>
      <w:tr>
        <w:trPr>
          <w:trHeight w:val="166"/>
        </w:trPr>
        <w:tc>
          <w:tcPr>
            <w:tcW w:w="394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Net sales, excluding joint ventures</w:t>
            </w: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36,105,009</w:t>
            </w: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96.0%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24"/>
              <w:spacing w:after="0" w:line="166" w:lineRule="exact"/>
              <w:rPr>
                <w:sz w:val="20"/>
                <w:szCs w:val="20"/>
                <w:color w:val="auto"/>
              </w:rPr>
            </w:pPr>
            <w:r>
              <w:rPr>
                <w:rFonts w:ascii="Arial" w:cs="Arial" w:eastAsia="Arial" w:hAnsi="Arial"/>
                <w:sz w:val="15"/>
                <w:szCs w:val="15"/>
                <w:color w:val="auto"/>
              </w:rPr>
              <w:t>39,998,118</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94.6%</w:t>
            </w:r>
          </w:p>
        </w:tc>
        <w:tc>
          <w:tcPr>
            <w:tcW w:w="280" w:type="dxa"/>
            <w:vAlign w:val="bottom"/>
            <w:tcBorders>
              <w:top w:val="single" w:sz="8" w:color="CCEEFF"/>
            </w:tcBorders>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w:t>
            </w:r>
          </w:p>
        </w:tc>
        <w:tc>
          <w:tcPr>
            <w:tcW w:w="920" w:type="dxa"/>
            <w:vAlign w:val="bottom"/>
            <w:tcBorders>
              <w:top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(3,893,109)</w:t>
            </w:r>
          </w:p>
        </w:tc>
        <w:tc>
          <w:tcPr>
            <w:tcW w:w="1280" w:type="dxa"/>
            <w:vAlign w:val="bottom"/>
            <w:tcBorders>
              <w:top w:val="single" w:sz="8" w:color="CCEEFF"/>
            </w:tcBorders>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(9.7)%</w:t>
            </w:r>
          </w:p>
        </w:tc>
      </w:tr>
      <w:tr>
        <w:trPr>
          <w:trHeight w:val="183"/>
        </w:trPr>
        <w:tc>
          <w:tcPr>
            <w:tcW w:w="3940" w:type="dxa"/>
            <w:vAlign w:val="bottom"/>
          </w:tcPr>
          <w:p>
            <w:pPr>
              <w:spacing w:after="0"/>
              <w:rPr>
                <w:sz w:val="20"/>
                <w:szCs w:val="20"/>
                <w:color w:val="auto"/>
              </w:rPr>
            </w:pPr>
            <w:r>
              <w:rPr>
                <w:rFonts w:ascii="Arial" w:cs="Arial" w:eastAsia="Arial" w:hAnsi="Arial"/>
                <w:sz w:val="15"/>
                <w:szCs w:val="15"/>
                <w:color w:val="auto"/>
              </w:rPr>
              <w:t>Net sales, to joint ventures</w:t>
            </w:r>
          </w:p>
        </w:tc>
        <w:tc>
          <w:tcPr>
            <w:tcW w:w="10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1,504,997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2,304,455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(799,458)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(34.7)%</w:t>
            </w:r>
          </w:p>
        </w:tc>
      </w:tr>
      <w:tr>
        <w:trPr>
          <w:trHeight w:val="18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Cost of goods sold</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24,991,487</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28,883,589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(3,892,102)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183"/>
        </w:trPr>
        <w:tc>
          <w:tcPr>
            <w:tcW w:w="3940" w:type="dxa"/>
            <w:vAlign w:val="bottom"/>
          </w:tcPr>
          <w:p>
            <w:pPr>
              <w:spacing w:after="0"/>
              <w:rPr>
                <w:sz w:val="20"/>
                <w:szCs w:val="20"/>
                <w:color w:val="auto"/>
              </w:rPr>
            </w:pPr>
            <w:r>
              <w:rPr>
                <w:rFonts w:ascii="Arial" w:cs="Arial" w:eastAsia="Arial" w:hAnsi="Arial"/>
                <w:sz w:val="15"/>
                <w:szCs w:val="15"/>
                <w:color w:val="auto"/>
              </w:rPr>
              <w:t>Equity in income from joint ventures</w:t>
            </w:r>
          </w:p>
        </w:tc>
        <w:tc>
          <w:tcPr>
            <w:tcW w:w="10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3,466,581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5,596,788</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(2,130,207)</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(38.1)%</w:t>
            </w:r>
          </w:p>
        </w:tc>
      </w:tr>
      <w:tr>
        <w:trPr>
          <w:trHeight w:val="18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Fees for services provided to joint ventures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3,491,244</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4,299,032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(807,788)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(18.8)%</w:t>
            </w:r>
          </w:p>
        </w:tc>
      </w:tr>
      <w:tr>
        <w:trPr>
          <w:trHeight w:val="183"/>
        </w:trPr>
        <w:tc>
          <w:tcPr>
            <w:tcW w:w="3940" w:type="dxa"/>
            <w:vAlign w:val="bottom"/>
          </w:tcPr>
          <w:p>
            <w:pPr>
              <w:spacing w:after="0"/>
              <w:rPr>
                <w:sz w:val="20"/>
                <w:szCs w:val="20"/>
                <w:color w:val="auto"/>
              </w:rPr>
            </w:pPr>
            <w:r>
              <w:rPr>
                <w:rFonts w:ascii="Arial" w:cs="Arial" w:eastAsia="Arial" w:hAnsi="Arial"/>
                <w:sz w:val="15"/>
                <w:szCs w:val="15"/>
                <w:color w:val="auto"/>
              </w:rPr>
              <w:t>Selling expenses</w:t>
            </w:r>
          </w:p>
        </w:tc>
        <w:tc>
          <w:tcPr>
            <w:tcW w:w="10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8,484,928</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8,077,663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407,265</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183"/>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 expenses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6,608,352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6,986,526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(378,174)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194"/>
        </w:trPr>
        <w:tc>
          <w:tcPr>
            <w:tcW w:w="3940" w:type="dxa"/>
            <w:vAlign w:val="bottom"/>
          </w:tcPr>
          <w:p>
            <w:pPr>
              <w:spacing w:after="0"/>
              <w:rPr>
                <w:sz w:val="20"/>
                <w:szCs w:val="20"/>
                <w:color w:val="auto"/>
              </w:rPr>
            </w:pPr>
            <w:r>
              <w:rPr>
                <w:rFonts w:ascii="Arial" w:cs="Arial" w:eastAsia="Arial" w:hAnsi="Arial"/>
                <w:sz w:val="15"/>
                <w:szCs w:val="15"/>
                <w:color w:val="auto"/>
              </w:rPr>
              <w:t>Research and development expenses</w:t>
            </w:r>
          </w:p>
        </w:tc>
        <w:tc>
          <w:tcPr>
            <w:tcW w:w="100" w:type="dxa"/>
            <w:vAlign w:val="bottom"/>
          </w:tcPr>
          <w:p>
            <w:pPr>
              <w:spacing w:after="0"/>
              <w:rPr>
                <w:sz w:val="16"/>
                <w:szCs w:val="16"/>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2,918,163</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2,804,739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113,424</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4.0%</w:t>
            </w:r>
          </w:p>
        </w:tc>
      </w:tr>
    </w:tbl>
    <w:p>
      <w:pPr>
        <w:spacing w:after="0" w:line="162"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i w:val="1"/>
          <w:iCs w:val="1"/>
          <w:color w:val="auto"/>
        </w:rPr>
        <w:t>Net Sales</w:t>
      </w:r>
      <w:r>
        <w:rPr>
          <w:rFonts w:ascii="Arial" w:cs="Arial" w:eastAsia="Arial" w:hAnsi="Arial"/>
          <w:sz w:val="14"/>
          <w:szCs w:val="14"/>
          <w:color w:val="auto"/>
        </w:rPr>
        <w:t>. NTIC’s consolidated net sales decreased 34.6% and 11.1% to $9,744,823 and $37,610,006 during the three and nine months ended May 31, 2020, respectively, compared to</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and nine months ended May 31, 2019. NTIC’s consolidated net sales for the three months ended May 31, 2020 were adversely affected by reduced demand globally as a result of the COVID-19 pandemic. NTIC’s consolidated net sales to unaffiliated customers excluding NTIC’s joint ventures decreased 34.2% and 9.7% to $9,071,072 and $36,105,009 during the three and nine months ended May 31, 2020, respectively, compared to the same respective periods in fiscal 2019. Net sales to joint ventures decreased 39.4% and 34.7% to $673,751 and $1,504,997 during the three and nine months ended May 31, 2020, respectively, compared to the same respective periods in fiscal 2019. These decreases were primarily a result of reduced demand globally as a result of the COVID-19 pandemic. NTIC anticipates that the COVID-19 pandemic will continue to significantly adversely affect sales of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in the fourth quarter of fiscal 2020 and beyond.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The following table sets forth NTIC’s net sales by product segment for the three and nine months ended May 31, 2020 and 2019 by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5"/>
                <w:szCs w:val="15"/>
                <w:b w:val="1"/>
                <w:bCs w:val="1"/>
                <w:color w:val="auto"/>
              </w:rPr>
              <w:t>Nine Months Ended</w:t>
            </w:r>
          </w:p>
        </w:tc>
      </w:tr>
      <w:tr>
        <w:trPr>
          <w:trHeight w:val="186"/>
        </w:trPr>
        <w:tc>
          <w:tcPr>
            <w:tcW w:w="5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May 31,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May 31,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May 31, 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May 31, 2019</w:t>
            </w:r>
          </w:p>
        </w:tc>
      </w:tr>
      <w:tr>
        <w:trPr>
          <w:trHeight w:val="197"/>
        </w:trPr>
        <w:tc>
          <w:tcPr>
            <w:tcW w:w="50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Total ZERUST</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sales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7,356,781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10,077,203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26,322,515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29,250,772</w:t>
            </w:r>
          </w:p>
        </w:tc>
      </w:tr>
      <w:tr>
        <w:trPr>
          <w:trHeight w:val="229"/>
        </w:trPr>
        <w:tc>
          <w:tcPr>
            <w:tcW w:w="5060" w:type="dxa"/>
            <w:vAlign w:val="bottom"/>
            <w:tcBorders>
              <w:bottom w:val="single" w:sz="8" w:color="CCEEFF"/>
            </w:tcBorders>
          </w:tcPr>
          <w:p>
            <w:pPr>
              <w:spacing w:after="0" w:line="228" w:lineRule="exact"/>
              <w:rPr>
                <w:sz w:val="20"/>
                <w:szCs w:val="20"/>
                <w:color w:val="auto"/>
              </w:rPr>
            </w:pPr>
            <w:r>
              <w:rPr>
                <w:rFonts w:ascii="Arial" w:cs="Arial" w:eastAsia="Arial" w:hAnsi="Arial"/>
                <w:sz w:val="15"/>
                <w:szCs w:val="15"/>
                <w:color w:val="auto"/>
              </w:rPr>
              <w:t>Total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sales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2,388,042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4,815,914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11,287,491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13,051,801</w:t>
            </w:r>
          </w:p>
        </w:tc>
      </w:tr>
      <w:tr>
        <w:trPr>
          <w:trHeight w:val="209"/>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net sales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9,744,823</w:t>
            </w: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14,893,117</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37,610,006</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42,302,573</w:t>
            </w: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140"/>
        <w:spacing w:after="0" w:line="224" w:lineRule="auto"/>
        <w:rPr>
          <w:sz w:val="20"/>
          <w:szCs w:val="20"/>
          <w:color w:val="auto"/>
        </w:rPr>
      </w:pPr>
      <w:r>
        <w:rPr>
          <w:rFonts w:ascii="Arial" w:cs="Arial" w:eastAsia="Arial" w:hAnsi="Arial"/>
          <w:sz w:val="15"/>
          <w:szCs w:val="15"/>
          <w:color w:val="auto"/>
        </w:rPr>
        <w:t>During the three and nine months ended May 31, 2020, 75.5% and 70.0% of NTIC’s consolidated net sales, respectively, were derived from 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which decreased 27.0% and 10.0% to $7,356,781 and $26,322,515 during the three and nine months ended May 31, 2020, respectively, compared to $10,077,203 and $29,250,772 during the three and nine months ended May 31, 2019, respectively.</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NTIC has strategically focused its sales efforts for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and services on customers with sizeable corrosion problems in industry sectors that offer sizable growth opportunities, including the oil and gas sector. Overall, demand for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and services depends heavily on the overall health of the market segments to which NTIC sells its products, including the automotive, oil and gas, agriculture, and mining markets in particular. These decreases were primarily a result of reduced demand globally as a result of the</w:t>
      </w:r>
    </w:p>
    <w:p>
      <w:pPr>
        <w:spacing w:after="0" w:line="2" w:lineRule="exact"/>
        <w:rPr>
          <w:sz w:val="20"/>
          <w:szCs w:val="20"/>
          <w:color w:val="auto"/>
        </w:rPr>
      </w:pPr>
    </w:p>
    <w:p>
      <w:pPr>
        <w:ind w:right="200"/>
        <w:spacing w:after="0" w:line="208" w:lineRule="auto"/>
        <w:rPr>
          <w:sz w:val="20"/>
          <w:szCs w:val="20"/>
          <w:color w:val="auto"/>
        </w:rPr>
      </w:pPr>
      <w:r>
        <w:rPr>
          <w:rFonts w:ascii="Arial" w:cs="Arial" w:eastAsia="Arial" w:hAnsi="Arial"/>
          <w:sz w:val="15"/>
          <w:szCs w:val="15"/>
          <w:color w:val="auto"/>
        </w:rPr>
        <w:t>COVID-19 pandemic. NTIC anticipates that the COVID-19 pandemic will continue to significantly adversely affect 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in the fourth quarter of fiscal 2020 and beyond.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NTIC’s net 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for the three and nine months ended May 31, 2020 and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520" w:type="dxa"/>
            <w:vAlign w:val="bottom"/>
            <w:tcBorders>
              <w:bottom w:val="single" w:sz="8" w:color="auto"/>
            </w:tcBorders>
          </w:tcPr>
          <w:p>
            <w:pPr>
              <w:spacing w:after="0"/>
              <w:rPr>
                <w:sz w:val="17"/>
                <w:szCs w:val="17"/>
                <w:color w:val="auto"/>
              </w:rPr>
            </w:pPr>
          </w:p>
        </w:tc>
      </w:tr>
      <w:tr>
        <w:trPr>
          <w:trHeight w:val="160"/>
        </w:trPr>
        <w:tc>
          <w:tcPr>
            <w:tcW w:w="5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404"/>
              <w:spacing w:after="0" w:line="160" w:lineRule="exact"/>
              <w:rPr>
                <w:sz w:val="20"/>
                <w:szCs w:val="20"/>
                <w:color w:val="auto"/>
              </w:rPr>
            </w:pPr>
            <w:r>
              <w:rPr>
                <w:rFonts w:ascii="Arial" w:cs="Arial" w:eastAsia="Arial" w:hAnsi="Arial"/>
                <w:sz w:val="15"/>
                <w:szCs w:val="15"/>
                <w:b w:val="1"/>
                <w:bCs w:val="1"/>
                <w:color w:val="auto"/>
              </w:rPr>
              <w:t>May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64"/>
              <w:spacing w:after="0" w:line="160" w:lineRule="exact"/>
              <w:rPr>
                <w:sz w:val="20"/>
                <w:szCs w:val="20"/>
                <w:color w:val="auto"/>
              </w:rPr>
            </w:pPr>
            <w:r>
              <w:rPr>
                <w:rFonts w:ascii="Arial" w:cs="Arial" w:eastAsia="Arial" w:hAnsi="Arial"/>
                <w:sz w:val="15"/>
                <w:szCs w:val="15"/>
                <w:b w:val="1"/>
                <w:bCs w:val="1"/>
                <w:color w:val="auto"/>
              </w:rPr>
              <w:t>May 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604"/>
              <w:spacing w:after="0" w:line="160"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3"/>
                <w:szCs w:val="13"/>
                <w:color w:val="auto"/>
              </w:rPr>
            </w:pPr>
          </w:p>
        </w:tc>
        <w:tc>
          <w:tcPr>
            <w:tcW w:w="1520" w:type="dxa"/>
            <w:vAlign w:val="bottom"/>
          </w:tcPr>
          <w:p>
            <w:pPr>
              <w:jc w:val="right"/>
              <w:ind w:right="604"/>
              <w:spacing w:after="0" w:line="160" w:lineRule="exact"/>
              <w:rPr>
                <w:sz w:val="20"/>
                <w:szCs w:val="20"/>
                <w:color w:val="auto"/>
              </w:rPr>
            </w:pPr>
            <w:r>
              <w:rPr>
                <w:rFonts w:ascii="Arial" w:cs="Arial" w:eastAsia="Arial" w:hAnsi="Arial"/>
                <w:sz w:val="15"/>
                <w:szCs w:val="15"/>
                <w:b w:val="1"/>
                <w:bCs w:val="1"/>
                <w:color w:val="auto"/>
              </w:rPr>
              <w:t>%</w:t>
            </w:r>
          </w:p>
        </w:tc>
      </w:tr>
      <w:tr>
        <w:trPr>
          <w:trHeight w:val="212"/>
        </w:trPr>
        <w:tc>
          <w:tcPr>
            <w:tcW w:w="5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Change</w:t>
            </w:r>
          </w:p>
        </w:tc>
      </w:tr>
      <w:tr>
        <w:trPr>
          <w:trHeight w:val="206"/>
        </w:trPr>
        <w:tc>
          <w:tcPr>
            <w:tcW w:w="506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industrial net sales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6,258,348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8,244,759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(1,986,411)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r>
      <w:tr>
        <w:trPr>
          <w:trHeight w:val="217"/>
        </w:trPr>
        <w:tc>
          <w:tcPr>
            <w:tcW w:w="5060" w:type="dxa"/>
            <w:vAlign w:val="bottom"/>
          </w:tcPr>
          <w:p>
            <w:pPr>
              <w:spacing w:after="0" w:line="217" w:lineRule="exact"/>
              <w:rPr>
                <w:sz w:val="20"/>
                <w:szCs w:val="20"/>
                <w:color w:val="auto"/>
              </w:rPr>
            </w:pPr>
            <w:r>
              <w:rPr>
                <w:rFonts w:ascii="Arial" w:cs="Arial" w:eastAsia="Arial" w:hAnsi="Arial"/>
                <w:sz w:val="15"/>
                <w:szCs w:val="15"/>
                <w:color w:val="auto"/>
              </w:rPr>
              <w:t>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joint venture net sales</w:t>
            </w:r>
          </w:p>
        </w:tc>
        <w:tc>
          <w:tcPr>
            <w:tcW w:w="28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673,752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950,414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(276,662)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(29.1)%</w:t>
            </w:r>
          </w:p>
        </w:tc>
      </w:tr>
      <w:tr>
        <w:trPr>
          <w:trHeight w:val="229"/>
        </w:trPr>
        <w:tc>
          <w:tcPr>
            <w:tcW w:w="5060" w:type="dxa"/>
            <w:vAlign w:val="bottom"/>
            <w:shd w:val="clear" w:color="auto" w:fill="CCEEFF"/>
          </w:tcPr>
          <w:p>
            <w:pPr>
              <w:spacing w:after="0" w:line="228" w:lineRule="exact"/>
              <w:rPr>
                <w:sz w:val="20"/>
                <w:szCs w:val="20"/>
                <w:color w:val="auto"/>
              </w:rPr>
            </w:pPr>
            <w:r>
              <w:rPr>
                <w:rFonts w:ascii="Arial" w:cs="Arial" w:eastAsia="Arial" w:hAnsi="Arial"/>
                <w:sz w:val="15"/>
                <w:szCs w:val="15"/>
                <w:color w:val="auto"/>
              </w:rPr>
              <w:t>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oil &amp; gas net sales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424,681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882,030</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(457,349)</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w:t>
            </w:r>
          </w:p>
        </w:tc>
      </w:tr>
      <w:tr>
        <w:trPr>
          <w:trHeight w:val="220"/>
        </w:trPr>
        <w:tc>
          <w:tcPr>
            <w:tcW w:w="5060" w:type="dxa"/>
            <w:vAlign w:val="bottom"/>
          </w:tcPr>
          <w:p>
            <w:pPr>
              <w:ind w:left="140"/>
              <w:spacing w:after="0" w:line="220" w:lineRule="exact"/>
              <w:rPr>
                <w:sz w:val="20"/>
                <w:szCs w:val="20"/>
                <w:color w:val="auto"/>
              </w:rPr>
            </w:pPr>
            <w:r>
              <w:rPr>
                <w:rFonts w:ascii="Arial" w:cs="Arial" w:eastAsia="Arial" w:hAnsi="Arial"/>
                <w:sz w:val="15"/>
                <w:szCs w:val="15"/>
                <w:color w:val="auto"/>
              </w:rPr>
              <w:t>Total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net sales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7,356,781</w:t>
            </w: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10,077,203</w:t>
            </w: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(2,720,422)</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60"/>
        </w:trPr>
        <w:tc>
          <w:tcPr>
            <w:tcW w:w="5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404"/>
              <w:spacing w:after="0" w:line="160" w:lineRule="exact"/>
              <w:rPr>
                <w:sz w:val="20"/>
                <w:szCs w:val="20"/>
                <w:color w:val="auto"/>
              </w:rPr>
            </w:pPr>
            <w:r>
              <w:rPr>
                <w:rFonts w:ascii="Arial" w:cs="Arial" w:eastAsia="Arial" w:hAnsi="Arial"/>
                <w:sz w:val="15"/>
                <w:szCs w:val="15"/>
                <w:b w:val="1"/>
                <w:bCs w:val="1"/>
                <w:color w:val="auto"/>
              </w:rPr>
              <w:t>May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64"/>
              <w:spacing w:after="0" w:line="160" w:lineRule="exact"/>
              <w:rPr>
                <w:sz w:val="20"/>
                <w:szCs w:val="20"/>
                <w:color w:val="auto"/>
              </w:rPr>
            </w:pPr>
            <w:r>
              <w:rPr>
                <w:rFonts w:ascii="Arial" w:cs="Arial" w:eastAsia="Arial" w:hAnsi="Arial"/>
                <w:sz w:val="15"/>
                <w:szCs w:val="15"/>
                <w:b w:val="1"/>
                <w:bCs w:val="1"/>
                <w:color w:val="auto"/>
              </w:rPr>
              <w:t>May 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604"/>
              <w:spacing w:after="0" w:line="160" w:lineRule="exact"/>
              <w:rPr>
                <w:sz w:val="20"/>
                <w:szCs w:val="20"/>
                <w:color w:val="auto"/>
              </w:rPr>
            </w:pPr>
            <w:r>
              <w:rPr>
                <w:rFonts w:ascii="Arial" w:cs="Arial" w:eastAsia="Arial" w:hAnsi="Arial"/>
                <w:sz w:val="15"/>
                <w:szCs w:val="15"/>
                <w:b w:val="1"/>
                <w:bCs w:val="1"/>
                <w:color w:val="auto"/>
              </w:rPr>
              <w:t>$</w:t>
            </w:r>
          </w:p>
        </w:tc>
        <w:tc>
          <w:tcPr>
            <w:tcW w:w="1620" w:type="dxa"/>
            <w:vAlign w:val="bottom"/>
            <w:gridSpan w:val="2"/>
          </w:tcPr>
          <w:p>
            <w:pPr>
              <w:jc w:val="right"/>
              <w:ind w:right="604"/>
              <w:spacing w:after="0" w:line="160" w:lineRule="exact"/>
              <w:rPr>
                <w:sz w:val="20"/>
                <w:szCs w:val="20"/>
                <w:color w:val="auto"/>
              </w:rPr>
            </w:pPr>
            <w:r>
              <w:rPr>
                <w:rFonts w:ascii="Arial" w:cs="Arial" w:eastAsia="Arial" w:hAnsi="Arial"/>
                <w:sz w:val="15"/>
                <w:szCs w:val="15"/>
                <w:b w:val="1"/>
                <w:bCs w:val="1"/>
                <w:color w:val="auto"/>
              </w:rPr>
              <w:t>%</w:t>
            </w:r>
          </w:p>
        </w:tc>
      </w:tr>
      <w:tr>
        <w:trPr>
          <w:trHeight w:val="203"/>
        </w:trPr>
        <w:tc>
          <w:tcPr>
            <w:tcW w:w="5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Change</w:t>
            </w:r>
          </w:p>
        </w:tc>
      </w:tr>
      <w:tr>
        <w:trPr>
          <w:trHeight w:val="214"/>
        </w:trPr>
        <w:tc>
          <w:tcPr>
            <w:tcW w:w="5060" w:type="dxa"/>
            <w:vAlign w:val="bottom"/>
            <w:shd w:val="clear" w:color="auto" w:fill="CCEEFF"/>
          </w:tcPr>
          <w:p>
            <w:pPr>
              <w:spacing w:after="0" w:line="214" w:lineRule="exact"/>
              <w:rPr>
                <w:sz w:val="20"/>
                <w:szCs w:val="20"/>
                <w:color w:val="auto"/>
              </w:rPr>
            </w:pPr>
            <w:r>
              <w:rPr>
                <w:rFonts w:ascii="Arial" w:cs="Arial" w:eastAsia="Arial" w:hAnsi="Arial"/>
                <w:sz w:val="15"/>
                <w:szCs w:val="15"/>
                <w:color w:val="auto"/>
              </w:rPr>
              <w:t>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industrial net sales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22,804,975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24,882,727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(2,077,752)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217"/>
        </w:trPr>
        <w:tc>
          <w:tcPr>
            <w:tcW w:w="5060" w:type="dxa"/>
            <w:vAlign w:val="bottom"/>
          </w:tcPr>
          <w:p>
            <w:pPr>
              <w:spacing w:after="0" w:line="217" w:lineRule="exact"/>
              <w:rPr>
                <w:sz w:val="20"/>
                <w:szCs w:val="20"/>
                <w:color w:val="auto"/>
              </w:rPr>
            </w:pPr>
            <w:r>
              <w:rPr>
                <w:rFonts w:ascii="Arial" w:cs="Arial" w:eastAsia="Arial" w:hAnsi="Arial"/>
                <w:sz w:val="15"/>
                <w:szCs w:val="15"/>
                <w:color w:val="auto"/>
              </w:rPr>
              <w:t>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joint venture net sales</w:t>
            </w:r>
          </w:p>
        </w:tc>
        <w:tc>
          <w:tcPr>
            <w:tcW w:w="28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1,504,997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2,142,555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(637,558)</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(29.8)%</w:t>
            </w:r>
          </w:p>
        </w:tc>
      </w:tr>
      <w:tr>
        <w:trPr>
          <w:trHeight w:val="229"/>
        </w:trPr>
        <w:tc>
          <w:tcPr>
            <w:tcW w:w="5060" w:type="dxa"/>
            <w:vAlign w:val="bottom"/>
            <w:shd w:val="clear" w:color="auto" w:fill="CCEEFF"/>
          </w:tcPr>
          <w:p>
            <w:pPr>
              <w:spacing w:after="0" w:line="228" w:lineRule="exact"/>
              <w:rPr>
                <w:sz w:val="20"/>
                <w:szCs w:val="20"/>
                <w:color w:val="auto"/>
              </w:rPr>
            </w:pPr>
            <w:r>
              <w:rPr>
                <w:rFonts w:ascii="Arial" w:cs="Arial" w:eastAsia="Arial" w:hAnsi="Arial"/>
                <w:sz w:val="15"/>
                <w:szCs w:val="15"/>
                <w:color w:val="auto"/>
              </w:rPr>
              <w:t>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oil &amp; gas net sales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2,012,543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2,225,490</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(212,947)</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220"/>
        </w:trPr>
        <w:tc>
          <w:tcPr>
            <w:tcW w:w="5060" w:type="dxa"/>
            <w:vAlign w:val="bottom"/>
          </w:tcPr>
          <w:p>
            <w:pPr>
              <w:ind w:left="140"/>
              <w:spacing w:after="0" w:line="220" w:lineRule="exact"/>
              <w:rPr>
                <w:sz w:val="20"/>
                <w:szCs w:val="20"/>
                <w:color w:val="auto"/>
              </w:rPr>
            </w:pPr>
            <w:r>
              <w:rPr>
                <w:rFonts w:ascii="Arial" w:cs="Arial" w:eastAsia="Arial" w:hAnsi="Arial"/>
                <w:sz w:val="15"/>
                <w:szCs w:val="15"/>
                <w:color w:val="auto"/>
              </w:rPr>
              <w:t>Total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net sales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26,322,515</w:t>
            </w: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29,250,772</w:t>
            </w: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(2,928,257)</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line="189" w:lineRule="auto"/>
        <w:rPr>
          <w:sz w:val="20"/>
          <w:szCs w:val="20"/>
          <w:color w:val="auto"/>
        </w:rPr>
      </w:pPr>
      <w:r>
        <w:rPr>
          <w:rFonts w:ascii="Arial" w:cs="Arial" w:eastAsia="Arial" w:hAnsi="Arial"/>
          <w:sz w:val="14"/>
          <w:szCs w:val="14"/>
          <w:color w:val="auto"/>
        </w:rPr>
        <w:t>NTIC’s total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net sales decreased during the three months and nine months ended May 31, 2020, compared to the prior fiscal year periods, primarily due to an overall decreased demand for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industrial products and services in North America and decreased demand for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oil and gas products and services. NTIC’s sales of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for the three months ended May 31, 2020 were adversely affected by reduced demand globally as a result of the COVID-19 pandemic.</w:t>
      </w:r>
    </w:p>
    <w:p>
      <w:pPr>
        <w:spacing w:after="0" w:line="176"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Demand for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decreased significantly beginning in February 2020 largely as a result of the COVID-19 outbreak in China and will likely have a significant adverse effect on sales of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in the fourth quarter of fiscal 2020 and beyond. Although net sales by NTIC’s wholly owned NTIC China subsidiary decreased 16.3% to $3.1 million for the three months ended May 31, 2020, compared to $3.7 million for the same period last fiscal year, management believes NTIC China sales are beginning to improve to close to pre-pandemic levels due primarily to NTIC’s successful expansion into new non-automotive market segments in China.</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0" w:name="page31"/>
    <w:bookmarkEnd w:id="30"/>
    <w:p>
      <w:pPr>
        <w:ind w:right="120"/>
        <w:spacing w:after="0" w:line="237" w:lineRule="auto"/>
        <w:rPr>
          <w:sz w:val="20"/>
          <w:szCs w:val="20"/>
          <w:color w:val="auto"/>
        </w:rPr>
      </w:pPr>
      <w:r>
        <w:rPr>
          <w:rFonts w:ascii="Arial" w:cs="Arial" w:eastAsia="Arial" w:hAnsi="Arial"/>
          <w:sz w:val="13"/>
          <w:szCs w:val="13"/>
          <w:color w:val="auto"/>
        </w:rPr>
        <w:t>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oil and gas net sales decreased 51.9% during the three months ended March 31, 2020 compared to the same period last fiscal year primarily as a result of the COVID-19 pandemic. The pandemic’s impact on NTIC’s ZERUST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oil and gas business was primarily due to significantly lower oil prices and travel restrictions, which inhibited NTIC’s ability to travel to customer sites in order to install solutions. NTIC expects its oil and gas sales will continue to be impacted for the duration of the pandemic. NTIC also anticipates that its</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During the three and nine months ended May 31, 2020, 24.5% and 30.0% of NTIC’s consolidated net sales, respectively, were derived from sales of Natur-Tec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products, which decreased 50.4% and 13.5% to $2,388,042 and $11,287,491 during the three and nine months ended May 31, 2020, respectively, compared to the three and nine months ended May 31, 2019. These decreases were primarily due to a decrease in finished product sales in North America and finished product sales at NTIC’s majority-owned subsidiary in India, Natur-Tec India Private Limited (Natur-Tec India), and decreased demand globally as a result of the COVID-19 pandemic. The COVID pandemic has adversely impacted demand from across the apparel industry, as well as many large users of bioplastics, including college campuses, stadiums, arenas, restaurants, and corporate office complexes. NTIC currently expects these</w:t>
      </w:r>
    </w:p>
    <w:p>
      <w:pPr>
        <w:spacing w:after="0" w:line="3" w:lineRule="exact"/>
        <w:rPr>
          <w:sz w:val="20"/>
          <w:szCs w:val="20"/>
          <w:color w:val="auto"/>
        </w:rPr>
      </w:pPr>
    </w:p>
    <w:p>
      <w:pPr>
        <w:ind w:right="160"/>
        <w:spacing w:after="0" w:line="208" w:lineRule="auto"/>
        <w:rPr>
          <w:sz w:val="20"/>
          <w:szCs w:val="20"/>
          <w:color w:val="auto"/>
        </w:rPr>
      </w:pPr>
      <w:r>
        <w:rPr>
          <w:rFonts w:ascii="Arial" w:cs="Arial" w:eastAsia="Arial" w:hAnsi="Arial"/>
          <w:sz w:val="15"/>
          <w:szCs w:val="15"/>
          <w:color w:val="auto"/>
        </w:rPr>
        <w:t>customers will be some of the last businesses to re-open, and accordingly, anticipates that the COVID-19 pandemic will continue to significantly adversely affect sales of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in the fourth quarter of fiscal 2020 and beyond.</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4"/>
          <w:szCs w:val="14"/>
          <w:i w:val="1"/>
          <w:iCs w:val="1"/>
          <w:color w:val="auto"/>
        </w:rPr>
        <w:t>Cost of Goods Sold</w:t>
      </w:r>
      <w:r>
        <w:rPr>
          <w:rFonts w:ascii="Arial" w:cs="Arial" w:eastAsia="Arial" w:hAnsi="Arial"/>
          <w:sz w:val="14"/>
          <w:szCs w:val="14"/>
          <w:color w:val="auto"/>
        </w:rPr>
        <w:t>. Cost of goods sold decreased 35.9% and 13.5% for the three and nine months ended May 31, 2020, respectively, compared to the three and nine months ended May</w:t>
      </w:r>
      <w:r>
        <w:rPr>
          <w:rFonts w:ascii="Arial" w:cs="Arial" w:eastAsia="Arial" w:hAnsi="Arial"/>
          <w:sz w:val="14"/>
          <w:szCs w:val="14"/>
          <w:i w:val="1"/>
          <w:iCs w:val="1"/>
          <w:color w:val="auto"/>
        </w:rPr>
        <w:t xml:space="preserve"> </w:t>
      </w:r>
      <w:r>
        <w:rPr>
          <w:rFonts w:ascii="Arial" w:cs="Arial" w:eastAsia="Arial" w:hAnsi="Arial"/>
          <w:sz w:val="14"/>
          <w:szCs w:val="14"/>
          <w:color w:val="auto"/>
        </w:rPr>
        <w:t>31, 2019. Cost of goods sold as a percentage of net sales decreased to 66.7% during the three months ended May 31, 2020, compared to 68.1% during the three months ended May 31, 2019 and 66.4% during the nine months ended May 31, 2020, compared to 68.3% during the nine months ended May 31, 2019. These decreases were due primarily to a decreased percentage of product sales from Natur-Tec® products that have lower gross margins than NTIC’s traditional ZERUST® industrial products.</w:t>
      </w:r>
    </w:p>
    <w:p>
      <w:pPr>
        <w:spacing w:after="0" w:line="13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i w:val="1"/>
          <w:iCs w:val="1"/>
          <w:color w:val="auto"/>
        </w:rPr>
        <w:t xml:space="preserve">Equity in Income from Joint Ventures. </w:t>
      </w:r>
      <w:r>
        <w:rPr>
          <w:rFonts w:ascii="Arial" w:cs="Arial" w:eastAsia="Arial" w:hAnsi="Arial"/>
          <w:sz w:val="14"/>
          <w:szCs w:val="14"/>
          <w:color w:val="auto"/>
        </w:rPr>
        <w:t>NTIC’s equity in income from joint ventures decreased 56.8% and 38.1% to $811,787 and $3,466,581 during the three and nine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May 31, 2020, respectively, compared to $1,877,410 and $5,596,788 during the three and nine months ended May 31, 2019, respectively. These changes were primarily a result of changing profitability of the joint ventures during the respective periods that fluctuate based on net sales. Of the total equity in income from joint ventures, NTIC had equity in income from joint ventures of $2,246,930 attributable to EXCOR during the nine months ended May 31, 2020, compared to $4,094,763 during the nine months ended May 31, 2019. NTIC had equity in income from all other joint ventures of $1,219,651 during the nine months ended May 31, 2020, compared to $1,502,025 during the nine months ended May 31, 2019.</w:t>
      </w:r>
    </w:p>
    <w:p>
      <w:pPr>
        <w:spacing w:after="0" w:line="142" w:lineRule="exact"/>
        <w:rPr>
          <w:sz w:val="20"/>
          <w:szCs w:val="20"/>
          <w:color w:val="auto"/>
        </w:rPr>
      </w:pPr>
    </w:p>
    <w:p>
      <w:pPr>
        <w:ind w:right="40"/>
        <w:spacing w:after="0" w:line="303" w:lineRule="auto"/>
        <w:rPr>
          <w:sz w:val="20"/>
          <w:szCs w:val="20"/>
          <w:color w:val="auto"/>
        </w:rPr>
      </w:pPr>
      <w:r>
        <w:rPr>
          <w:rFonts w:ascii="Arial" w:cs="Arial" w:eastAsia="Arial" w:hAnsi="Arial"/>
          <w:sz w:val="13"/>
          <w:szCs w:val="13"/>
          <w:i w:val="1"/>
          <w:iCs w:val="1"/>
          <w:color w:val="auto"/>
        </w:rPr>
        <w:t xml:space="preserve">Fees for Services Provided to Joint Ventures. </w:t>
      </w:r>
      <w:r>
        <w:rPr>
          <w:rFonts w:ascii="Arial" w:cs="Arial" w:eastAsia="Arial" w:hAnsi="Arial"/>
          <w:sz w:val="13"/>
          <w:szCs w:val="13"/>
          <w:color w:val="auto"/>
        </w:rPr>
        <w:t>NTIC recognized fee income for services provided to joint ventures of $876,706 and $3,491,244 during the three and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May 31, 2020, respectively, compared to $1,433,823 and $4,299,032 during the three and nine months ended May 31, 2019, respectively, representing decreases of 38.9% and 18.8%, respectively. Fee income for services provided to joint ventures is traditionally a function of the sales made by NTIC’s joint ventures. Total net sales of NTIC’s joint ventures decreased 32.4% and 20.3% to $18,782,233 and $68,531,897 during the three and nine months ended May 31, 2020, respectively, compared to $27,774,112 and $86,003,918 for the three and nine months ended May 31, 2019, respectively. Net sales of NTIC’s joint ventures are not included in NTIC’s consolidated financial statements. Of the total fee income for services provided to joint ventures, fees of $620,106 were attributable to EXCOR during the nine months ended May 31, 2020, $643,154 attributable to EXCOR during the nine months ended May 31, 2019. NTIC anticipates that net sales of its joint ventures may continue to decrease significantly as a result of continued decreased demand as a result of the COVID-19 pandemic and is expected to have a significant adverse effect on NTIC’s equity in income from its joint ventures for the fourth quarter of fiscal 2020 and beyond.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ind w:right="20"/>
        <w:spacing w:after="0" w:line="285" w:lineRule="auto"/>
        <w:rPr>
          <w:sz w:val="20"/>
          <w:szCs w:val="20"/>
          <w:color w:val="auto"/>
        </w:rPr>
      </w:pPr>
      <w:r>
        <w:rPr>
          <w:rFonts w:ascii="Arial" w:cs="Arial" w:eastAsia="Arial" w:hAnsi="Arial"/>
          <w:sz w:val="14"/>
          <w:szCs w:val="14"/>
          <w:i w:val="1"/>
          <w:iCs w:val="1"/>
          <w:color w:val="auto"/>
        </w:rPr>
        <w:t>Selling Expenses</w:t>
      </w:r>
      <w:r>
        <w:rPr>
          <w:rFonts w:ascii="Arial" w:cs="Arial" w:eastAsia="Arial" w:hAnsi="Arial"/>
          <w:sz w:val="14"/>
          <w:szCs w:val="14"/>
          <w:color w:val="auto"/>
        </w:rPr>
        <w:t>. NTIC’s selling expenses decreased 9.9% for the three months ended May 31, 2020 compared to the same period in fiscal 2019 due primarily to decreased travel</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and other expenses due to work from home arrangements necessitated by the COVID-19 pandemic. NTIC’s selling expenses increased 5.0% for the nine months ended May 31, 2020 compared to the same period in fiscal 2019 due primarily to increased operating expenses associated with ZERUST® sales efforts, consisting primarily of personnel expenses. Selling expenses as a percentage of net sales increased to 25.5% and 22.6% for the three and nine months ended May 31, 2020, respectively, from 18.5% and 19.1% for the three and nine months ended May 31, 2019, respectively, primarily due to the decrease in net sales as previously described.</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NTIC’s general and administrative expenses decreased 12.4% and 5.4% for the three and nine months ended May 31, 2020,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respective periods in fiscal 2019 primarily due to decreased travel expenses and other expenses due to work from home arrangements necessitated by the COVID-19 pandemic, partially offset by a $170 thousand charge due to a loss on disposal of certain fixed assets and patents. As a percentage of net sales, general and administrative expenses increased to 22.7% and 17.6% for the three and nine months ended May 31, 2020, respectively, from 17.0% and 16.5% for the same respective periods in fiscal 2019. These increases were primarily due to the decrease in net sales as previously described.</w:t>
      </w:r>
    </w:p>
    <w:p>
      <w:pPr>
        <w:spacing w:after="0" w:line="156" w:lineRule="exact"/>
        <w:rPr>
          <w:sz w:val="20"/>
          <w:szCs w:val="20"/>
          <w:color w:val="auto"/>
        </w:rPr>
      </w:pPr>
    </w:p>
    <w:p>
      <w:pPr>
        <w:spacing w:after="0" w:line="329" w:lineRule="auto"/>
        <w:rPr>
          <w:sz w:val="20"/>
          <w:szCs w:val="20"/>
          <w:color w:val="auto"/>
        </w:rPr>
      </w:pPr>
      <w:r>
        <w:rPr>
          <w:rFonts w:ascii="Arial" w:cs="Arial" w:eastAsia="Arial" w:hAnsi="Arial"/>
          <w:sz w:val="13"/>
          <w:szCs w:val="13"/>
          <w:i w:val="1"/>
          <w:iCs w:val="1"/>
          <w:color w:val="auto"/>
        </w:rPr>
        <w:t>Research and Development Expenses</w:t>
      </w:r>
      <w:r>
        <w:rPr>
          <w:rFonts w:ascii="Arial" w:cs="Arial" w:eastAsia="Arial" w:hAnsi="Arial"/>
          <w:sz w:val="13"/>
          <w:szCs w:val="13"/>
          <w:color w:val="auto"/>
        </w:rPr>
        <w:t>. NTIC’s research and development expenses decreased 5.5% for the three months ended May 31, 2020 compared to the same period in fiscal 2019</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decreased travel expenses and other expenses due to work from home arrangements necessitated by the COVID-19 pandemic. NTIC’s research and development expenses increased 4.0% for the nine months ended May 31, 2020 compared to the same period in fiscal 2019 primarily due to a slight increase in spending on personnel.</w:t>
      </w:r>
    </w:p>
    <w:p>
      <w:pPr>
        <w:spacing w:after="0" w:line="117" w:lineRule="exact"/>
        <w:rPr>
          <w:sz w:val="20"/>
          <w:szCs w:val="20"/>
          <w:color w:val="auto"/>
        </w:rPr>
      </w:pPr>
    </w:p>
    <w:p>
      <w:pPr>
        <w:jc w:val="both"/>
        <w:ind w:right="140"/>
        <w:spacing w:after="0" w:line="269" w:lineRule="auto"/>
        <w:rPr>
          <w:sz w:val="20"/>
          <w:szCs w:val="20"/>
          <w:color w:val="auto"/>
        </w:rPr>
      </w:pPr>
      <w:r>
        <w:rPr>
          <w:rFonts w:ascii="Arial" w:cs="Arial" w:eastAsia="Arial" w:hAnsi="Arial"/>
          <w:sz w:val="15"/>
          <w:szCs w:val="15"/>
          <w:i w:val="1"/>
          <w:iCs w:val="1"/>
          <w:color w:val="auto"/>
        </w:rPr>
        <w:t>Interest (Expense) Income</w:t>
      </w:r>
      <w:r>
        <w:rPr>
          <w:rFonts w:ascii="Arial" w:cs="Arial" w:eastAsia="Arial" w:hAnsi="Arial"/>
          <w:sz w:val="15"/>
          <w:szCs w:val="15"/>
          <w:color w:val="auto"/>
        </w:rPr>
        <w:t>. NTIC incurred interest expense of $(73,378) during the three months ended May 31, 2020 compared to interest income of $18,949 during the three ended</w:t>
      </w:r>
      <w:r>
        <w:rPr>
          <w:rFonts w:ascii="Arial" w:cs="Arial" w:eastAsia="Arial" w:hAnsi="Arial"/>
          <w:sz w:val="15"/>
          <w:szCs w:val="15"/>
          <w:i w:val="1"/>
          <w:iCs w:val="1"/>
          <w:color w:val="auto"/>
        </w:rPr>
        <w:t xml:space="preserve"> </w:t>
      </w:r>
      <w:r>
        <w:rPr>
          <w:rFonts w:ascii="Arial" w:cs="Arial" w:eastAsia="Arial" w:hAnsi="Arial"/>
          <w:sz w:val="15"/>
          <w:szCs w:val="15"/>
          <w:color w:val="auto"/>
        </w:rPr>
        <w:t>May 31, 2019. NTIC incurred interest income of $15,881 during the nine months ended May 31, 2020 compared to interest income of $40,666 during the nine months ended May 31, 2019. These changes were due primarily to volatile changes to the invested cash in a conservative bond fund.</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(Loss) Income Before Income Tax Expense</w:t>
      </w:r>
      <w:r>
        <w:rPr>
          <w:rFonts w:ascii="Arial" w:cs="Arial" w:eastAsia="Arial" w:hAnsi="Arial"/>
          <w:sz w:val="15"/>
          <w:szCs w:val="15"/>
          <w:color w:val="auto"/>
        </w:rPr>
        <w:t>. NTIC incurred a loss before income tax expense of $(790,239) for the three months ended May 31, 2020 compared to income before income</w:t>
      </w:r>
      <w:r>
        <w:rPr>
          <w:rFonts w:ascii="Arial" w:cs="Arial" w:eastAsia="Arial" w:hAnsi="Arial"/>
          <w:sz w:val="15"/>
          <w:szCs w:val="15"/>
          <w:i w:val="1"/>
          <w:iCs w:val="1"/>
          <w:color w:val="auto"/>
        </w:rPr>
        <w:t xml:space="preserve"> </w:t>
      </w:r>
      <w:r>
        <w:rPr>
          <w:rFonts w:ascii="Arial" w:cs="Arial" w:eastAsia="Arial" w:hAnsi="Arial"/>
          <w:sz w:val="15"/>
          <w:szCs w:val="15"/>
          <w:color w:val="auto"/>
        </w:rPr>
        <w:t>tax expense of $1,791,221 for the three months ended May 31, 2019. NTIC incurred income before income tax expense of $1,580,782 for the nine months ended May 31, 2020 compared to $5,486,542 for the nine months ended May 31, 2019.</w:t>
      </w:r>
    </w:p>
    <w:p>
      <w:pPr>
        <w:spacing w:after="0" w:line="152"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i w:val="1"/>
          <w:iCs w:val="1"/>
          <w:color w:val="auto"/>
        </w:rPr>
        <w:t>Income Tax Expense</w:t>
      </w:r>
      <w:r>
        <w:rPr>
          <w:rFonts w:ascii="Arial" w:cs="Arial" w:eastAsia="Arial" w:hAnsi="Arial"/>
          <w:sz w:val="15"/>
          <w:szCs w:val="15"/>
          <w:color w:val="auto"/>
        </w:rPr>
        <w:t>. Income tax expense was $142,285 and $869,945 for the three and nine months ended May 31, 2020, respectively, compared to income tax expense of $150,257</w:t>
      </w:r>
      <w:r>
        <w:rPr>
          <w:rFonts w:ascii="Arial" w:cs="Arial" w:eastAsia="Arial" w:hAnsi="Arial"/>
          <w:sz w:val="15"/>
          <w:szCs w:val="15"/>
          <w:i w:val="1"/>
          <w:iCs w:val="1"/>
          <w:color w:val="auto"/>
        </w:rPr>
        <w:t xml:space="preserve"> </w:t>
      </w:r>
      <w:r>
        <w:rPr>
          <w:rFonts w:ascii="Arial" w:cs="Arial" w:eastAsia="Arial" w:hAnsi="Arial"/>
          <w:sz w:val="15"/>
          <w:szCs w:val="15"/>
          <w:color w:val="auto"/>
        </w:rPr>
        <w:t>and $652,331 during the three and nine months ended May 31, 2019, respectively. Income tax expense was calculated based on management’s estimate of NTIC’s annual effective income tax rate. The quarter-over-quarter increase in the Company’s effective income tax rate is primarily due to foreign withholding taxes paid on dividends received from NTIC’s joint ventures during the quarter. Dividends received from NTIC’s joint ventures do not represent a component of income before income tax expense. Therefore, to the extent dividends received from NTIC’s joint ventures exceed estimated amounts, foreign withholding taxes paid on such dividends result in an increase in the effective income tax rate in comparison to prior periods.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5"/>
          <w:szCs w:val="15"/>
          <w:color w:val="auto"/>
        </w:rPr>
        <w:t>NTIC considers the earnings of certain foreign joint ventures to be indefinitely invested outside the United States on the bases of estimates that NTIC’s future domestic cash generation will be sufficient to meet future domestic cash needs. As a result, U.S. income and foreign withholding taxes have not been recognized on the cumulative undistributed earnings of $19,706,983 and $22,178,126 at May 31, 2020 and August 31, 2019, respectively. To the extent undistributed earnings of NTIC’s joint ventures are distributed in the future, they are not expected to result in any material additional income tax liability after the application of foreign tax credits.</w:t>
      </w:r>
    </w:p>
    <w:p>
      <w:pPr>
        <w:spacing w:after="0" w:line="156"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i w:val="1"/>
          <w:iCs w:val="1"/>
          <w:color w:val="auto"/>
        </w:rPr>
        <w:t>Net (Loss) Income Attributable to NTIC</w:t>
      </w:r>
      <w:r>
        <w:rPr>
          <w:rFonts w:ascii="Arial" w:cs="Arial" w:eastAsia="Arial" w:hAnsi="Arial"/>
          <w:sz w:val="14"/>
          <w:szCs w:val="14"/>
          <w:color w:val="auto"/>
        </w:rPr>
        <w:t>. Net loss attributable to NTIC was $(965,221), or $(0.11) per diluted common share, for the three months ended May 31, 2020, compared to net</w:t>
      </w:r>
      <w:r>
        <w:rPr>
          <w:rFonts w:ascii="Arial" w:cs="Arial" w:eastAsia="Arial" w:hAnsi="Arial"/>
          <w:sz w:val="14"/>
          <w:szCs w:val="14"/>
          <w:i w:val="1"/>
          <w:iCs w:val="1"/>
          <w:color w:val="auto"/>
        </w:rPr>
        <w:t xml:space="preserve"> </w:t>
      </w:r>
      <w:r>
        <w:rPr>
          <w:rFonts w:ascii="Arial" w:cs="Arial" w:eastAsia="Arial" w:hAnsi="Arial"/>
          <w:sz w:val="14"/>
          <w:szCs w:val="14"/>
          <w:color w:val="auto"/>
        </w:rPr>
        <w:t>income attributable to NTIC of $1,482,149, or $0.16 per diluted common share, for the three months ended May 31, 2019, a decrease of $(2,447,370), or $0.27 per diluted common share. Net income attributable to NTIC decreased to $427,163, or $0.05 per diluted common share, for the nine months ended May 31, 2020, compared to $4,380,776, or $0.46 per diluted common share, for the nine months ended May 31, 2019, a decrease of $3,953,613, or $0.41 per diluted common share. These decreases were primarily the result of the decreases in income from joint venture operations during the current fiscal year periods compared to the prior fiscal year periods due to the impact of the COVID-19 pandemic.</w:t>
      </w:r>
    </w:p>
    <w:p>
      <w:pPr>
        <w:spacing w:after="0" w:line="142"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color w:val="auto"/>
        </w:rPr>
        <w:t>NTIC anticipates that its earnings will be significantly adversely affected by the COVID-19 pandemic in the fourth quarter of fiscal 2020 and beyond and that its quarterly net income or loss will continue to remain subject to significant volatility primarily due to the financial performance of its subsidiaries and joint ventures, sales of its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into the oil and gas industry, and sales of its Natur-Tec</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bioplastics products, which fluctuate more on a quarterly basis than the traditional ZERUST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business.</w:t>
      </w:r>
    </w:p>
    <w:p>
      <w:pPr>
        <w:spacing w:after="0" w:line="42"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i w:val="1"/>
          <w:iCs w:val="1"/>
          <w:color w:val="auto"/>
        </w:rPr>
        <w:t xml:space="preserve">Other Comprehensive Income - Foreign Currency Translations Adjustment. </w:t>
      </w:r>
      <w:r>
        <w:rPr>
          <w:rFonts w:ascii="Arial" w:cs="Arial" w:eastAsia="Arial" w:hAnsi="Arial"/>
          <w:sz w:val="15"/>
          <w:szCs w:val="15"/>
          <w:color w:val="auto"/>
        </w:rPr>
        <w:t>The changes in the foreign currency translations adjustment were due to the fluctuations of the U.S. dollar</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Euro and other foreign currencies during the three and nine months ended May 31, 2020 compared to the same periods in fiscal 2019.</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7" w:lineRule="exact"/>
        <w:rPr>
          <w:sz w:val="20"/>
          <w:szCs w:val="20"/>
          <w:color w:val="auto"/>
        </w:rPr>
      </w:pPr>
    </w:p>
    <w:p>
      <w:pPr>
        <w:jc w:val="both"/>
        <w:ind w:right="300"/>
        <w:spacing w:after="0" w:line="269" w:lineRule="auto"/>
        <w:rPr>
          <w:sz w:val="20"/>
          <w:szCs w:val="20"/>
          <w:color w:val="auto"/>
        </w:rPr>
      </w:pPr>
      <w:r>
        <w:rPr>
          <w:rFonts w:ascii="Arial" w:cs="Arial" w:eastAsia="Arial" w:hAnsi="Arial"/>
          <w:sz w:val="15"/>
          <w:szCs w:val="15"/>
          <w:i w:val="1"/>
          <w:iCs w:val="1"/>
          <w:color w:val="auto"/>
        </w:rPr>
        <w:t>Sources of Cash and Working Capital</w:t>
      </w:r>
      <w:r>
        <w:rPr>
          <w:rFonts w:ascii="Arial" w:cs="Arial" w:eastAsia="Arial" w:hAnsi="Arial"/>
          <w:sz w:val="15"/>
          <w:szCs w:val="15"/>
          <w:color w:val="auto"/>
        </w:rPr>
        <w:t>. NTIC’s working capital, defined as current assets less current liabilities, was $28,135,178 at May 31, 2020, including $5,050,722 in cash and</w:t>
      </w:r>
      <w:r>
        <w:rPr>
          <w:rFonts w:ascii="Arial" w:cs="Arial" w:eastAsia="Arial" w:hAnsi="Arial"/>
          <w:sz w:val="15"/>
          <w:szCs w:val="15"/>
          <w:i w:val="1"/>
          <w:iCs w:val="1"/>
          <w:color w:val="auto"/>
        </w:rPr>
        <w:t xml:space="preserve"> </w:t>
      </w:r>
      <w:r>
        <w:rPr>
          <w:rFonts w:ascii="Arial" w:cs="Arial" w:eastAsia="Arial" w:hAnsi="Arial"/>
          <w:sz w:val="15"/>
          <w:szCs w:val="15"/>
          <w:color w:val="auto"/>
        </w:rPr>
        <w:t>cash equivalents and $5,450,693 in available for sale securities, compared to $25,460,569 at August 31, 2019, including $5,856,758 in cash and cash equivalents and $3,565,258 in available for sale securities.</w:t>
      </w:r>
    </w:p>
    <w:p>
      <w:pPr>
        <w:spacing w:after="0" w:line="152"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As of May 31, 2020,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December 16, 2019, the Company and PNC Bank extended the maturity date of the line of credit from January 7, 2020 to January 7, 2021.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42"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2020, NTIC was in compliance with all debt covenants.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3" w:name="page34"/>
    <w:bookmarkEnd w:id="33"/>
    <w:p>
      <w:pPr>
        <w:ind w:right="80"/>
        <w:spacing w:after="0" w:line="276" w:lineRule="auto"/>
        <w:rPr>
          <w:sz w:val="20"/>
          <w:szCs w:val="20"/>
          <w:color w:val="auto"/>
        </w:rPr>
      </w:pPr>
      <w:r>
        <w:rPr>
          <w:rFonts w:ascii="Arial" w:cs="Arial" w:eastAsia="Arial" w:hAnsi="Arial"/>
          <w:sz w:val="14"/>
          <w:szCs w:val="14"/>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2020, NTIC expects to continue to invest directly and through its use of working capital in NTIC China, Zerust Mexico, NTI Europe,</w:t>
      </w:r>
    </w:p>
    <w:p>
      <w:pPr>
        <w:spacing w:after="0" w:line="2"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research and development, marketing efforts, resources for the application of its corrosion prevention technology in the oil and gas industry, and its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56" w:lineRule="exact"/>
        <w:rPr>
          <w:sz w:val="20"/>
          <w:szCs w:val="20"/>
          <w:color w:val="auto"/>
        </w:rPr>
      </w:pPr>
    </w:p>
    <w:p>
      <w:pPr>
        <w:spacing w:after="0" w:line="285" w:lineRule="auto"/>
        <w:rPr>
          <w:sz w:val="20"/>
          <w:szCs w:val="20"/>
          <w:color w:val="auto"/>
        </w:rPr>
      </w:pPr>
      <w:r>
        <w:rPr>
          <w:rFonts w:ascii="Arial" w:cs="Arial" w:eastAsia="Arial" w:hAnsi="Arial"/>
          <w:sz w:val="14"/>
          <w:szCs w:val="14"/>
          <w:i w:val="1"/>
          <w:iCs w:val="1"/>
          <w:color w:val="auto"/>
        </w:rPr>
        <w:t>Uses of Cash and Cash Flows</w:t>
      </w:r>
      <w:r>
        <w:rPr>
          <w:rFonts w:ascii="Arial" w:cs="Arial" w:eastAsia="Arial" w:hAnsi="Arial"/>
          <w:sz w:val="14"/>
          <w:szCs w:val="14"/>
          <w:color w:val="auto"/>
        </w:rPr>
        <w:t>. Net cash provided by operating activities during the nine months ended May 31, 2020 was $3,012,533, which resulted principally from NTIC’s net</w:t>
      </w:r>
      <w:r>
        <w:rPr>
          <w:rFonts w:ascii="Arial" w:cs="Arial" w:eastAsia="Arial" w:hAnsi="Arial"/>
          <w:sz w:val="14"/>
          <w:szCs w:val="14"/>
          <w:i w:val="1"/>
          <w:iCs w:val="1"/>
          <w:color w:val="auto"/>
        </w:rPr>
        <w:t xml:space="preserve"> </w:t>
      </w:r>
      <w:r>
        <w:rPr>
          <w:rFonts w:ascii="Arial" w:cs="Arial" w:eastAsia="Arial" w:hAnsi="Arial"/>
          <w:sz w:val="14"/>
          <w:szCs w:val="14"/>
          <w:color w:val="auto"/>
        </w:rPr>
        <w:t>income, dividends received from joint ventures, stock-based compensation, depreciation, amortization, and a decrease in accounts receivable, partially offset by NTIC’s equity in income from joint ventures and an increase in inventory, accrued liabilities and accounts payable. Net cash provided by operating activities during the nine months ended May 31, 2019 was $2,717,391, which resulted principally from NTIC’s net income, dividends received from joint ventures, stock-based compensation, depreciation, amortization, and an increase in accounts payable and accounts receivable, partially offset by NTIC’s equity in income from joint ventures, an increase in inventory and a decrease in accrued liabilities.</w:t>
      </w:r>
    </w:p>
    <w:p>
      <w:pPr>
        <w:spacing w:after="0" w:line="142"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00"/>
          </w:cols>
          <w:pgMar w:left="320" w:top="609" w:right="379" w:bottom="1440" w:gutter="0" w:footer="0" w:header="0"/>
        </w:sectPr>
      </w:pPr>
    </w:p>
    <w:bookmarkStart w:id="34" w:name="page35"/>
    <w:bookmarkEnd w:id="34"/>
    <w:p>
      <w:pPr>
        <w:ind w:right="320"/>
        <w:spacing w:after="0" w:line="284" w:lineRule="auto"/>
        <w:rPr>
          <w:sz w:val="20"/>
          <w:szCs w:val="20"/>
          <w:color w:val="auto"/>
        </w:rPr>
      </w:pPr>
      <w:r>
        <w:rPr>
          <w:rFonts w:ascii="Arial" w:cs="Arial" w:eastAsia="Arial" w:hAnsi="Arial"/>
          <w:sz w:val="15"/>
          <w:szCs w:val="15"/>
          <w:color w:val="auto"/>
        </w:rPr>
        <w:t>NTIC experienced a decrease in trade receivables and an increase in inventory as of May 31, 2020, compared to August 31, 2019. Trade receivables, excluding joint ventures, as of May 31, 2020 decreased $2,234,632, compared to August 31, 2019, primarily related to the timing of collections and the decrease in sales.</w:t>
      </w:r>
    </w:p>
    <w:p>
      <w:pPr>
        <w:spacing w:after="0" w:line="141"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Outstanding trade receivables, excluding joint ventures balances, as of May 31, 2020 increased 9 days to an average of 77 days from balances outstanding from these customers as of August 31, 2019.</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Outstanding trade receivables from joint ventures as of May 31, 2020 increased $32,904, compared to August 31, 2019 primarily due to the timing of payments. Outstanding balances from trade receivables from joint ventures decreased an average of 132 days to an average of 118 days from balances outstanding from these customers, compared to August 31, 2019. The average days outstanding of trade receivables from joint ventures as of May 31, 2020 were primarily due to the receivable balances at NTIC’s joint ventures in South Korea and Thailand.</w:t>
      </w:r>
    </w:p>
    <w:p>
      <w:pPr>
        <w:spacing w:after="0" w:line="156"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Outstanding receivables for services provided to joint ventures as of May 31, 2020 decreased $391,880, compared to August 31, 2019, and the average days to pay increased an average of 11 days to an average of 93 days, compared to August 31, 2019.</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Net cash used in investing activities for the nine months ended May 31, 2020 was $2,337,471, which was primarily the result of proceeds from the sale of available for sale securities, partially offset by the purchase of available for sale securities and the purchase of property and equipment. Net cash used in investing activities for the nine months ended May 31, 2019, was $43,937, which was primarily the result of net proceeds from the sale of available for sale securities, partially offset by additions to property and equipment, and additions to patents.</w:t>
      </w:r>
    </w:p>
    <w:p>
      <w:pPr>
        <w:spacing w:after="0" w:line="156"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Net cash used in financing activities for the nine months ended May 31, 2020 was $1,318,005 which resulted from dividends paid on NTIC common stock and a dividend paid to a non-controlling interest, partially offset by proceeds from NTIC’s employee stock repurchase plan. Net cash used in financing activities for the nine months ended May 31, 2019 was $1,648,602, which resulted from dividends paid on NTIC common stock and a dividend paid to a non-controlling interest, partially offset by an investment by a non-controlling interest and proceeds from NTIC’s employee stock purchase plan.</w:t>
      </w:r>
    </w:p>
    <w:p>
      <w:pPr>
        <w:spacing w:after="0" w:line="156" w:lineRule="exact"/>
        <w:rPr>
          <w:sz w:val="20"/>
          <w:szCs w:val="20"/>
          <w:color w:val="auto"/>
        </w:rPr>
      </w:pPr>
    </w:p>
    <w:p>
      <w:pPr>
        <w:ind w:right="280"/>
        <w:spacing w:after="0" w:line="264" w:lineRule="auto"/>
        <w:rPr>
          <w:sz w:val="20"/>
          <w:szCs w:val="20"/>
          <w:color w:val="auto"/>
        </w:rPr>
      </w:pPr>
      <w:r>
        <w:rPr>
          <w:rFonts w:ascii="Arial" w:cs="Arial" w:eastAsia="Arial" w:hAnsi="Arial"/>
          <w:sz w:val="15"/>
          <w:szCs w:val="15"/>
          <w:i w:val="1"/>
          <w:iCs w:val="1"/>
          <w:color w:val="auto"/>
        </w:rPr>
        <w:t>Share Repurchase Plan</w:t>
      </w:r>
      <w:r>
        <w:rPr>
          <w:rFonts w:ascii="Arial" w:cs="Arial" w:eastAsia="Arial" w:hAnsi="Arial"/>
          <w:sz w:val="15"/>
          <w:szCs w:val="15"/>
          <w:color w:val="auto"/>
        </w:rPr>
        <w:t>. On January 15, 2015, NTIC’s Board of Directors authorized the repurchase of up to $3,000,000 in shares of NTIC common stock through open market</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purchases or unsolicited or solicited privately negotiated transactions. This program has no expiration date but may be terminated by NTIC’s Board of Directors at any time. No repurchases occurred during the nine months ended May 31, 2020. As of May 31, 2020, up to $2,640,548 in shares of NTIC common stock remained available for repurchase under NTIC’s stock repurchase program.</w:t>
      </w:r>
    </w:p>
    <w:p>
      <w:pPr>
        <w:spacing w:after="0" w:line="156"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i w:val="1"/>
          <w:iCs w:val="1"/>
          <w:color w:val="auto"/>
        </w:rPr>
        <w:t>Cash Dividends</w:t>
      </w:r>
      <w:r>
        <w:rPr>
          <w:rFonts w:ascii="Arial" w:cs="Arial" w:eastAsia="Arial" w:hAnsi="Arial"/>
          <w:sz w:val="15"/>
          <w:szCs w:val="15"/>
          <w:color w:val="auto"/>
        </w:rPr>
        <w:t>. During the nine months ended May 31, 2020, the Company’s Board of Directors declared cash dividends on the following dates in the following amounts to holders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 of the Company’s common stock as of the following record dates: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4"/>
              </w:rPr>
              <w:t>Declaration Date</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Amount</w:t>
            </w:r>
          </w:p>
        </w:tc>
        <w:tc>
          <w:tcPr>
            <w:tcW w:w="292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b w:val="1"/>
                <w:bCs w:val="1"/>
                <w:color w:val="auto"/>
                <w:w w:val="92"/>
              </w:rPr>
              <w:t>Record Date</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Payable Date</w:t>
            </w:r>
          </w:p>
        </w:tc>
      </w:tr>
      <w:tr>
        <w:trPr>
          <w:trHeight w:val="174"/>
        </w:trPr>
        <w:tc>
          <w:tcPr>
            <w:tcW w:w="302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October 22, 2019</w:t>
            </w:r>
          </w:p>
        </w:tc>
        <w:tc>
          <w:tcPr>
            <w:tcW w:w="2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$0.065</w:t>
            </w:r>
          </w:p>
        </w:tc>
        <w:tc>
          <w:tcPr>
            <w:tcW w:w="292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92"/>
              </w:rPr>
              <w:t>November 6, 2019</w:t>
            </w:r>
          </w:p>
        </w:tc>
        <w:tc>
          <w:tcPr>
            <w:tcW w:w="2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20, 2019</w:t>
            </w:r>
          </w:p>
        </w:tc>
      </w:tr>
      <w:tr>
        <w:trPr>
          <w:trHeight w:val="194"/>
        </w:trPr>
        <w:tc>
          <w:tcPr>
            <w:tcW w:w="3020" w:type="dxa"/>
            <w:vAlign w:val="bottom"/>
          </w:tcPr>
          <w:p>
            <w:pPr>
              <w:jc w:val="center"/>
              <w:ind w:right="24"/>
              <w:spacing w:after="0"/>
              <w:rPr>
                <w:sz w:val="20"/>
                <w:szCs w:val="20"/>
                <w:color w:val="auto"/>
              </w:rPr>
            </w:pPr>
            <w:r>
              <w:rPr>
                <w:rFonts w:ascii="Arial" w:cs="Arial" w:eastAsia="Arial" w:hAnsi="Arial"/>
                <w:sz w:val="15"/>
                <w:szCs w:val="15"/>
                <w:color w:val="auto"/>
                <w:w w:val="89"/>
              </w:rPr>
              <w:t>January 22, 2020</w:t>
            </w:r>
          </w:p>
        </w:tc>
        <w:tc>
          <w:tcPr>
            <w:tcW w:w="2480" w:type="dxa"/>
            <w:vAlign w:val="bottom"/>
          </w:tcPr>
          <w:p>
            <w:pPr>
              <w:jc w:val="center"/>
              <w:spacing w:after="0"/>
              <w:rPr>
                <w:sz w:val="20"/>
                <w:szCs w:val="20"/>
                <w:color w:val="auto"/>
              </w:rPr>
            </w:pPr>
            <w:r>
              <w:rPr>
                <w:rFonts w:ascii="Arial" w:cs="Arial" w:eastAsia="Arial" w:hAnsi="Arial"/>
                <w:sz w:val="15"/>
                <w:szCs w:val="15"/>
                <w:color w:val="auto"/>
                <w:w w:val="87"/>
              </w:rPr>
              <w:t>$0.065</w:t>
            </w:r>
          </w:p>
        </w:tc>
        <w:tc>
          <w:tcPr>
            <w:tcW w:w="2920" w:type="dxa"/>
            <w:vAlign w:val="bottom"/>
          </w:tcPr>
          <w:p>
            <w:pPr>
              <w:jc w:val="center"/>
              <w:ind w:left="84"/>
              <w:spacing w:after="0"/>
              <w:rPr>
                <w:sz w:val="20"/>
                <w:szCs w:val="20"/>
                <w:color w:val="auto"/>
              </w:rPr>
            </w:pPr>
            <w:r>
              <w:rPr>
                <w:rFonts w:ascii="Arial" w:cs="Arial" w:eastAsia="Arial" w:hAnsi="Arial"/>
                <w:sz w:val="15"/>
                <w:szCs w:val="15"/>
                <w:color w:val="auto"/>
                <w:w w:val="91"/>
              </w:rPr>
              <w:t>February 5, 2020</w:t>
            </w:r>
          </w:p>
        </w:tc>
        <w:tc>
          <w:tcPr>
            <w:tcW w:w="2840" w:type="dxa"/>
            <w:vAlign w:val="bottom"/>
          </w:tcPr>
          <w:p>
            <w:pPr>
              <w:jc w:val="center"/>
              <w:spacing w:after="0"/>
              <w:rPr>
                <w:sz w:val="20"/>
                <w:szCs w:val="20"/>
                <w:color w:val="auto"/>
              </w:rPr>
            </w:pPr>
            <w:r>
              <w:rPr>
                <w:rFonts w:ascii="Arial" w:cs="Arial" w:eastAsia="Arial" w:hAnsi="Arial"/>
                <w:sz w:val="15"/>
                <w:szCs w:val="15"/>
                <w:color w:val="auto"/>
                <w:w w:val="92"/>
              </w:rPr>
              <w:t>February 19, 2020</w:t>
            </w:r>
          </w:p>
        </w:tc>
      </w:tr>
    </w:tbl>
    <w:p>
      <w:pPr>
        <w:spacing w:after="0" w:line="162"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On April 23, 2020, the Company announced the temporary suspension of its quarterly cash dividend pending clarity on the novel strain of coronavirus (COVID-19) crisis. Therefore, the Company did not declare a cash dividend during the quarter ended May 31, 2020.</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During the nine months ended May 31, 2019, the Company’s Board of Directors declared cash dividends on the following dates in the following amounts to holders of record of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Company’s common stock as of the following record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4"/>
              </w:rPr>
              <w:t>Declaration Date</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Amount</w:t>
            </w:r>
          </w:p>
        </w:tc>
        <w:tc>
          <w:tcPr>
            <w:tcW w:w="292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b w:val="1"/>
                <w:bCs w:val="1"/>
                <w:color w:val="auto"/>
                <w:w w:val="92"/>
              </w:rPr>
              <w:t>Record Date</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Payable Date</w:t>
            </w:r>
          </w:p>
        </w:tc>
      </w:tr>
      <w:tr>
        <w:trPr>
          <w:trHeight w:val="174"/>
        </w:trPr>
        <w:tc>
          <w:tcPr>
            <w:tcW w:w="302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3"/>
              </w:rPr>
              <w:t>October 24, 2018</w:t>
            </w:r>
          </w:p>
        </w:tc>
        <w:tc>
          <w:tcPr>
            <w:tcW w:w="2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$0.06</w:t>
            </w:r>
          </w:p>
        </w:tc>
        <w:tc>
          <w:tcPr>
            <w:tcW w:w="292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92"/>
              </w:rPr>
              <w:t>November 7, 2018</w:t>
            </w:r>
          </w:p>
        </w:tc>
        <w:tc>
          <w:tcPr>
            <w:tcW w:w="2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21, 2018</w:t>
            </w:r>
          </w:p>
        </w:tc>
      </w:tr>
      <w:tr>
        <w:trPr>
          <w:trHeight w:val="183"/>
        </w:trPr>
        <w:tc>
          <w:tcPr>
            <w:tcW w:w="3020" w:type="dxa"/>
            <w:vAlign w:val="bottom"/>
          </w:tcPr>
          <w:p>
            <w:pPr>
              <w:jc w:val="center"/>
              <w:ind w:right="24"/>
              <w:spacing w:after="0"/>
              <w:rPr>
                <w:sz w:val="20"/>
                <w:szCs w:val="20"/>
                <w:color w:val="auto"/>
              </w:rPr>
            </w:pPr>
            <w:r>
              <w:rPr>
                <w:rFonts w:ascii="Arial" w:cs="Arial" w:eastAsia="Arial" w:hAnsi="Arial"/>
                <w:sz w:val="15"/>
                <w:szCs w:val="15"/>
                <w:color w:val="auto"/>
                <w:w w:val="89"/>
              </w:rPr>
              <w:t>January 23, 2019</w:t>
            </w:r>
          </w:p>
        </w:tc>
        <w:tc>
          <w:tcPr>
            <w:tcW w:w="2480" w:type="dxa"/>
            <w:vAlign w:val="bottom"/>
          </w:tcPr>
          <w:p>
            <w:pPr>
              <w:jc w:val="center"/>
              <w:spacing w:after="0"/>
              <w:rPr>
                <w:sz w:val="20"/>
                <w:szCs w:val="20"/>
                <w:color w:val="auto"/>
              </w:rPr>
            </w:pPr>
            <w:r>
              <w:rPr>
                <w:rFonts w:ascii="Arial" w:cs="Arial" w:eastAsia="Arial" w:hAnsi="Arial"/>
                <w:sz w:val="15"/>
                <w:szCs w:val="15"/>
                <w:color w:val="auto"/>
                <w:w w:val="95"/>
              </w:rPr>
              <w:t>$0.06</w:t>
            </w:r>
          </w:p>
        </w:tc>
        <w:tc>
          <w:tcPr>
            <w:tcW w:w="2920" w:type="dxa"/>
            <w:vAlign w:val="bottom"/>
          </w:tcPr>
          <w:p>
            <w:pPr>
              <w:jc w:val="center"/>
              <w:ind w:left="84"/>
              <w:spacing w:after="0"/>
              <w:rPr>
                <w:sz w:val="20"/>
                <w:szCs w:val="20"/>
                <w:color w:val="auto"/>
              </w:rPr>
            </w:pPr>
            <w:r>
              <w:rPr>
                <w:rFonts w:ascii="Arial" w:cs="Arial" w:eastAsia="Arial" w:hAnsi="Arial"/>
                <w:sz w:val="15"/>
                <w:szCs w:val="15"/>
                <w:color w:val="auto"/>
                <w:w w:val="91"/>
              </w:rPr>
              <w:t>February 6, 2019</w:t>
            </w:r>
          </w:p>
        </w:tc>
        <w:tc>
          <w:tcPr>
            <w:tcW w:w="2840" w:type="dxa"/>
            <w:vAlign w:val="bottom"/>
          </w:tcPr>
          <w:p>
            <w:pPr>
              <w:jc w:val="center"/>
              <w:spacing w:after="0"/>
              <w:rPr>
                <w:sz w:val="20"/>
                <w:szCs w:val="20"/>
                <w:color w:val="auto"/>
              </w:rPr>
            </w:pPr>
            <w:r>
              <w:rPr>
                <w:rFonts w:ascii="Arial" w:cs="Arial" w:eastAsia="Arial" w:hAnsi="Arial"/>
                <w:sz w:val="15"/>
                <w:szCs w:val="15"/>
                <w:color w:val="auto"/>
                <w:w w:val="92"/>
              </w:rPr>
              <w:t>February 22, 2019</w:t>
            </w:r>
          </w:p>
        </w:tc>
      </w:tr>
      <w:tr>
        <w:trPr>
          <w:trHeight w:val="183"/>
        </w:trPr>
        <w:tc>
          <w:tcPr>
            <w:tcW w:w="3020" w:type="dxa"/>
            <w:vAlign w:val="bottom"/>
            <w:shd w:val="clear" w:color="auto" w:fill="CCEEFF"/>
          </w:tcPr>
          <w:p>
            <w:pPr>
              <w:jc w:val="center"/>
              <w:ind w:right="24"/>
              <w:spacing w:after="0"/>
              <w:rPr>
                <w:sz w:val="20"/>
                <w:szCs w:val="20"/>
                <w:color w:val="auto"/>
              </w:rPr>
            </w:pPr>
            <w:r>
              <w:rPr>
                <w:rFonts w:ascii="Arial" w:cs="Arial" w:eastAsia="Arial" w:hAnsi="Arial"/>
                <w:sz w:val="15"/>
                <w:szCs w:val="15"/>
                <w:color w:val="auto"/>
                <w:w w:val="95"/>
              </w:rPr>
              <w:t>April 25, 2019</w:t>
            </w:r>
          </w:p>
        </w:tc>
        <w:tc>
          <w:tcPr>
            <w:tcW w:w="2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$0.06</w:t>
            </w:r>
          </w:p>
        </w:tc>
        <w:tc>
          <w:tcPr>
            <w:tcW w:w="292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94"/>
              </w:rPr>
              <w:t>May 9, 2019</w:t>
            </w:r>
          </w:p>
        </w:tc>
        <w:tc>
          <w:tcPr>
            <w:tcW w:w="2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May 23, 2019</w:t>
            </w:r>
          </w:p>
        </w:tc>
      </w:tr>
    </w:tbl>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52"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i w:val="1"/>
          <w:iCs w:val="1"/>
          <w:color w:val="auto"/>
        </w:rPr>
        <w:t xml:space="preserve">Stock Split. </w:t>
      </w:r>
      <w:r>
        <w:rPr>
          <w:rFonts w:ascii="Arial" w:cs="Arial" w:eastAsia="Arial" w:hAnsi="Arial"/>
          <w:sz w:val="15"/>
          <w:szCs w:val="15"/>
          <w:color w:val="auto"/>
        </w:rPr>
        <w:t>On June 3, 2019, NTIC’s Board of Directors declared a two-for-one stock split of NTIC’s common stock effected in the form of a 100% share dividend distributed on June</w:t>
      </w:r>
      <w:r>
        <w:rPr>
          <w:rFonts w:ascii="Arial" w:cs="Arial" w:eastAsia="Arial" w:hAnsi="Arial"/>
          <w:sz w:val="15"/>
          <w:szCs w:val="15"/>
          <w:i w:val="1"/>
          <w:iCs w:val="1"/>
          <w:color w:val="auto"/>
        </w:rPr>
        <w:t xml:space="preserve"> </w:t>
      </w:r>
      <w:r>
        <w:rPr>
          <w:rFonts w:ascii="Arial" w:cs="Arial" w:eastAsia="Arial" w:hAnsi="Arial"/>
          <w:sz w:val="15"/>
          <w:szCs w:val="15"/>
          <w:color w:val="auto"/>
        </w:rPr>
        <w:t>28, 2019 to record holders as of June 17, 2019. As a result of this action, approximately 4.5 million shares were issued to stockholders of record as of June 17, 2019. The par value of the common stock remains at $0.02 per share, and, accordingly, approximately $90,900 was transferred from additional paid-in capital to common stock. Net income and dividends declared per share and weighted average shares outstanding presented in this report reflect the 100 percent stock dividend. The two-for-one stock split is reflected in the share amounts in all periods presented in this report.</w:t>
      </w:r>
    </w:p>
    <w:p>
      <w:pPr>
        <w:spacing w:after="0" w:line="156"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i w:val="1"/>
          <w:iCs w:val="1"/>
          <w:color w:val="auto"/>
        </w:rPr>
        <w:t>Capital Expenditures and Commitments</w:t>
      </w:r>
      <w:r>
        <w:rPr>
          <w:rFonts w:ascii="Arial" w:cs="Arial" w:eastAsia="Arial" w:hAnsi="Arial"/>
          <w:sz w:val="15"/>
          <w:szCs w:val="15"/>
          <w:color w:val="auto"/>
        </w:rPr>
        <w:t>. NTIC spent $375,087 on capital expenditures during the nine months ended May 31, 2020, which related primarily to the purchase of new</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NTIC expects to spend an aggregate of approximately $500,000 to $600,000 on capital expenditures during fiscal 2020, which it expects will relate primarily to the purchase of new equipment.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197" w:lineRule="exact"/>
        <w:rPr>
          <w:sz w:val="20"/>
          <w:szCs w:val="20"/>
          <w:color w:val="auto"/>
        </w:rPr>
      </w:pPr>
    </w:p>
    <w:p>
      <w:pPr>
        <w:ind w:right="360"/>
        <w:spacing w:after="0" w:line="284" w:lineRule="auto"/>
        <w:rPr>
          <w:sz w:val="20"/>
          <w:szCs w:val="20"/>
          <w:color w:val="auto"/>
        </w:rPr>
      </w:pPr>
      <w:r>
        <w:rPr>
          <w:rFonts w:ascii="Arial" w:cs="Arial" w:eastAsia="Arial" w:hAnsi="Arial"/>
          <w:sz w:val="15"/>
          <w:szCs w:val="15"/>
          <w:color w:val="auto"/>
        </w:rPr>
        <w:t>There has been no material change to NTIC’s contractual obligations as provided in “</w:t>
      </w:r>
      <w:r>
        <w:rPr>
          <w:rFonts w:ascii="Arial" w:cs="Arial" w:eastAsia="Arial" w:hAnsi="Arial"/>
          <w:sz w:val="15"/>
          <w:szCs w:val="15"/>
          <w:i w:val="1"/>
          <w:iCs w:val="1"/>
          <w:color w:val="auto"/>
        </w:rPr>
        <w:t>Part II. Item 7, 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Operations—Contractual Obligations</w:t>
      </w:r>
      <w:r>
        <w:rPr>
          <w:rFonts w:ascii="Arial" w:cs="Arial" w:eastAsia="Arial" w:hAnsi="Arial"/>
          <w:sz w:val="15"/>
          <w:szCs w:val="15"/>
          <w:color w:val="auto"/>
        </w:rPr>
        <w:t>,” included in NTIC’s annual report on Form 10-K for the fiscal year ended August 31, 2019.</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7" w:lineRule="exact"/>
        <w:rPr>
          <w:sz w:val="20"/>
          <w:szCs w:val="20"/>
          <w:color w:val="auto"/>
        </w:rPr>
      </w:pPr>
    </w:p>
    <w:p>
      <w:pPr>
        <w:jc w:val="both"/>
        <w:ind w:right="60"/>
        <w:spacing w:after="0" w:line="269" w:lineRule="auto"/>
        <w:rPr>
          <w:sz w:val="20"/>
          <w:szCs w:val="20"/>
          <w:color w:val="auto"/>
        </w:rPr>
      </w:pPr>
      <w:r>
        <w:rPr>
          <w:rFonts w:ascii="Arial" w:cs="Arial" w:eastAsia="Arial" w:hAnsi="Arial"/>
          <w:sz w:val="15"/>
          <w:szCs w:val="15"/>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Inflation and Seasonality</w:t>
      </w:r>
    </w:p>
    <w:p>
      <w:pPr>
        <w:spacing w:after="0" w:line="197"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Inflation in the United States and abroad historically has had little effect on NTIC. Although NTIC’s business historically has not been seasonal, NTIC believes there is some seasonality in its business. NTIC believes its net sales in the second fiscal quarter were adversely affected by the long Chinese New Year, which was extended in an effort to combat the spread of COVID-19, the North American holiday season, and overall less corrosion taking place at lower winter temperatures worldwide.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NTIC is exposed to some market risk stemming from changes in foreign currency exchange rates, commodity prices, and interest rates.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6" w:name="page37"/>
    <w:bookmarkEnd w:id="36"/>
    <w:p>
      <w:pPr>
        <w:spacing w:after="0"/>
        <w:rPr>
          <w:sz w:val="20"/>
          <w:szCs w:val="20"/>
          <w:color w:val="auto"/>
        </w:rPr>
      </w:pPr>
      <w:r>
        <w:rPr>
          <w:rFonts w:ascii="Arial" w:cs="Arial" w:eastAsia="Arial" w:hAnsi="Arial"/>
          <w:sz w:val="15"/>
          <w:szCs w:val="15"/>
          <w:color w:val="auto"/>
        </w:rPr>
        <w:t>Some raw materials used in NTIC’s products are exposed to commodity price changes. The primary commodity price exposures are with a variety of plastic resins.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2020, NTIC had no borrowings under the line of credit.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7" w:lineRule="exact"/>
        <w:rPr>
          <w:sz w:val="20"/>
          <w:szCs w:val="20"/>
          <w:color w:val="auto"/>
        </w:rPr>
      </w:pPr>
    </w:p>
    <w:p>
      <w:pPr>
        <w:ind w:right="140"/>
        <w:spacing w:after="0" w:line="321" w:lineRule="auto"/>
        <w:rPr>
          <w:sz w:val="20"/>
          <w:szCs w:val="20"/>
          <w:color w:val="auto"/>
        </w:rPr>
      </w:pPr>
      <w:r>
        <w:rPr>
          <w:rFonts w:ascii="Arial" w:cs="Arial" w:eastAsia="Arial" w:hAnsi="Arial"/>
          <w:sz w:val="14"/>
          <w:szCs w:val="14"/>
          <w:color w:val="auto"/>
        </w:rPr>
        <w:t>There have been no material changes to NTIC’s critical accounting policies and estimates from the information provided in “</w:t>
      </w:r>
      <w:r>
        <w:rPr>
          <w:rFonts w:ascii="Arial" w:cs="Arial" w:eastAsia="Arial" w:hAnsi="Arial"/>
          <w:sz w:val="14"/>
          <w:szCs w:val="14"/>
          <w:i w:val="1"/>
          <w:iCs w:val="1"/>
          <w:color w:val="auto"/>
        </w:rPr>
        <w:t>Part II. Item 7, Management’s Discussion and Analysis of</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Condition and Results of Operations—Critical Accounting Policies</w:t>
      </w:r>
      <w:r>
        <w:rPr>
          <w:rFonts w:ascii="Arial" w:cs="Arial" w:eastAsia="Arial" w:hAnsi="Arial"/>
          <w:sz w:val="14"/>
          <w:szCs w:val="14"/>
          <w:color w:val="auto"/>
        </w:rPr>
        <w:t>” included in NTIC’s annual report on Form 10-K for the fiscal year ended August 31, 2019.</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See Note 2 to NTIC’s consolidated financial statements for a discussion of 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4"/>
          <w:szCs w:val="14"/>
          <w:i w:val="1"/>
          <w:iCs w:val="1"/>
          <w:color w:val="auto"/>
        </w:rPr>
        <w:t>Management’s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of Financial Condition and Results of Operations</w:t>
      </w:r>
      <w:r>
        <w:rPr>
          <w:rFonts w:ascii="Arial" w:cs="Arial" w:eastAsia="Arial" w:hAnsi="Arial"/>
          <w:sz w:val="14"/>
          <w:szCs w:val="14"/>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7" w:name="page38"/>
    <w:bookmarkEnd w:id="37"/>
    <w:p>
      <w:pPr>
        <w:ind w:right="120"/>
        <w:spacing w:after="0" w:line="297" w:lineRule="auto"/>
        <w:rPr>
          <w:sz w:val="20"/>
          <w:szCs w:val="20"/>
          <w:color w:val="auto"/>
        </w:rPr>
      </w:pPr>
      <w:r>
        <w:rPr>
          <w:rFonts w:ascii="Arial" w:cs="Arial" w:eastAsia="Arial" w:hAnsi="Arial"/>
          <w:sz w:val="14"/>
          <w:szCs w:val="14"/>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34" w:lineRule="exact"/>
        <w:rPr>
          <w:sz w:val="20"/>
          <w:szCs w:val="20"/>
          <w:color w:val="auto"/>
        </w:rPr>
      </w:pPr>
    </w:p>
    <w:p>
      <w:pPr>
        <w:ind w:left="540" w:right="180" w:hanging="274"/>
        <w:spacing w:after="0" w:line="284"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the novel strain of coronavirus (COVID-19) on NTIC’s business, operating results and financial condition, including disruption to our customers, suppliers and subcontractors, as well as the global economy and financial markets;</w:t>
      </w:r>
    </w:p>
    <w:p>
      <w:pPr>
        <w:spacing w:after="0" w:line="140"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current worldwide economic conditions and any turmoil and disruption in the global credit and financial markets on NTIC’s business;</w:t>
      </w:r>
    </w:p>
    <w:p>
      <w:pPr>
        <w:spacing w:after="0" w:line="195" w:lineRule="exact"/>
        <w:rPr>
          <w:rFonts w:ascii="Arial" w:cs="Arial" w:eastAsia="Arial" w:hAnsi="Arial"/>
          <w:sz w:val="15"/>
          <w:szCs w:val="15"/>
          <w:color w:val="auto"/>
        </w:rPr>
      </w:pPr>
    </w:p>
    <w:p>
      <w:pPr>
        <w:ind w:left="540" w:right="520" w:hanging="274"/>
        <w:spacing w:after="0" w:line="189" w:lineRule="auto"/>
        <w:tabs>
          <w:tab w:leader="none" w:pos="540" w:val="left"/>
        </w:tabs>
        <w:numPr>
          <w:ilvl w:val="0"/>
          <w:numId w:val="21"/>
        </w:numPr>
        <w:rPr>
          <w:rFonts w:ascii="Arial" w:cs="Arial" w:eastAsia="Arial" w:hAnsi="Arial"/>
          <w:sz w:val="30"/>
          <w:szCs w:val="30"/>
          <w:color w:val="auto"/>
          <w:vertAlign w:val="superscript"/>
        </w:rPr>
      </w:pPr>
      <w:r>
        <w:rPr>
          <w:rFonts w:ascii="Arial" w:cs="Arial" w:eastAsia="Arial" w:hAnsi="Arial"/>
          <w:sz w:val="15"/>
          <w:szCs w:val="15"/>
          <w:color w:val="auto"/>
        </w:rPr>
        <w:t>Variability in NTIC’s sales of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to the oil and gas industry and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NTIC’s equity income of joint ventures, which variability in sales and equity in income from joint ventures, in turn, subject NTIC’s earnings to quarterly fluctuations;</w:t>
      </w:r>
    </w:p>
    <w:p>
      <w:pPr>
        <w:spacing w:after="0" w:line="174" w:lineRule="exact"/>
        <w:rPr>
          <w:rFonts w:ascii="Arial" w:cs="Arial" w:eastAsia="Arial" w:hAnsi="Arial"/>
          <w:sz w:val="30"/>
          <w:szCs w:val="30"/>
          <w:color w:val="auto"/>
          <w:vertAlign w:val="superscript"/>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Risks associated with NTIC’s international operations and exposure to fluctuations in foreign currency exchange rates, import duties, taxes, and tariffs;</w:t>
      </w:r>
    </w:p>
    <w:p>
      <w:pPr>
        <w:spacing w:after="0" w:line="193" w:lineRule="exact"/>
        <w:rPr>
          <w:rFonts w:ascii="Arial" w:cs="Arial" w:eastAsia="Arial" w:hAnsi="Arial"/>
          <w:sz w:val="15"/>
          <w:szCs w:val="15"/>
          <w:color w:val="auto"/>
        </w:rPr>
      </w:pPr>
    </w:p>
    <w:p>
      <w:pPr>
        <w:ind w:left="540" w:right="240" w:hanging="274"/>
        <w:spacing w:after="0" w:line="284"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the United Kingdom’s process to exit the European Union on NTIC’s operating results, including, in particular, future net sales of NTIC’s European and other joint ventures;</w:t>
      </w:r>
    </w:p>
    <w:p>
      <w:pPr>
        <w:spacing w:after="0" w:line="140"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effect of the health of the U.S. automotive industry on NTIC’s business;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NTIC’s dependence on the success of its joint ventures and fees and dividend distributions that NTIC receives from them;</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NTIC’s relationships with its joint ventures and its ability to maintain those relationships, especially in light of anticipated succession planning issues;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Fluctuations in the cost and availability of raw materials, including resins and other commodities;</w:t>
      </w:r>
    </w:p>
    <w:p>
      <w:pPr>
        <w:spacing w:after="0" w:line="193" w:lineRule="exact"/>
        <w:rPr>
          <w:rFonts w:ascii="Arial" w:cs="Arial" w:eastAsia="Arial" w:hAnsi="Arial"/>
          <w:sz w:val="15"/>
          <w:szCs w:val="15"/>
          <w:color w:val="auto"/>
        </w:rPr>
      </w:pPr>
    </w:p>
    <w:p>
      <w:pPr>
        <w:ind w:left="540" w:hanging="274"/>
        <w:spacing w:after="0" w:line="225"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success of and risks associated with NTIC’s emerging new businesses and products and services, including in particular NTIC’s ability and the ability of NTIC’s joint ventures to sell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to the oil and gas industry and Natur-Tec</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the often lengthy and extensive sales process involved in selling such products and services;</w:t>
      </w:r>
    </w:p>
    <w:p>
      <w:pPr>
        <w:spacing w:after="0" w:line="173"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NTIC’s ability to introduce new products and services that respond to changing market conditions and customer demand;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Market acceptance of NTIC’s existing and new products, especially in light of existing and new competitive products;</w:t>
      </w:r>
    </w:p>
    <w:p>
      <w:pPr>
        <w:spacing w:after="0" w:line="195" w:lineRule="exact"/>
        <w:rPr>
          <w:rFonts w:ascii="Arial" w:cs="Arial" w:eastAsia="Arial" w:hAnsi="Arial"/>
          <w:sz w:val="15"/>
          <w:szCs w:val="15"/>
          <w:color w:val="auto"/>
        </w:rPr>
      </w:pPr>
    </w:p>
    <w:p>
      <w:pPr>
        <w:ind w:left="540" w:hanging="274"/>
        <w:spacing w:after="0" w:line="189" w:lineRule="auto"/>
        <w:tabs>
          <w:tab w:leader="none" w:pos="540" w:val="left"/>
        </w:tabs>
        <w:numPr>
          <w:ilvl w:val="0"/>
          <w:numId w:val="21"/>
        </w:numPr>
        <w:rPr>
          <w:rFonts w:ascii="Arial" w:cs="Arial" w:eastAsia="Arial" w:hAnsi="Arial"/>
          <w:sz w:val="30"/>
          <w:szCs w:val="30"/>
          <w:color w:val="auto"/>
          <w:vertAlign w:val="superscript"/>
        </w:rPr>
      </w:pPr>
      <w:r>
        <w:rPr>
          <w:rFonts w:ascii="Arial" w:cs="Arial" w:eastAsia="Arial" w:hAnsi="Arial"/>
          <w:sz w:val="15"/>
          <w:szCs w:val="15"/>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and NTIC’s ability to grow market share and succeed in penetrating other existing and new markets;</w:t>
      </w:r>
    </w:p>
    <w:p>
      <w:pPr>
        <w:spacing w:after="0" w:line="175" w:lineRule="exact"/>
        <w:rPr>
          <w:rFonts w:ascii="Arial" w:cs="Arial" w:eastAsia="Arial" w:hAnsi="Arial"/>
          <w:sz w:val="30"/>
          <w:szCs w:val="30"/>
          <w:color w:val="auto"/>
          <w:vertAlign w:val="superscript"/>
        </w:rPr>
      </w:pPr>
    </w:p>
    <w:p>
      <w:pPr>
        <w:ind w:left="540" w:right="240" w:hanging="274"/>
        <w:spacing w:after="0" w:line="189" w:lineRule="auto"/>
        <w:tabs>
          <w:tab w:leader="none" w:pos="540" w:val="left"/>
        </w:tabs>
        <w:numPr>
          <w:ilvl w:val="0"/>
          <w:numId w:val="21"/>
        </w:numPr>
        <w:rPr>
          <w:rFonts w:ascii="Arial" w:cs="Arial" w:eastAsia="Arial" w:hAnsi="Arial"/>
          <w:sz w:val="30"/>
          <w:szCs w:val="30"/>
          <w:color w:val="auto"/>
          <w:vertAlign w:val="superscript"/>
        </w:rPr>
      </w:pPr>
      <w:r>
        <w:rPr>
          <w:rFonts w:ascii="Arial" w:cs="Arial" w:eastAsia="Arial" w:hAnsi="Arial"/>
          <w:sz w:val="15"/>
          <w:szCs w:val="15"/>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and the effect of such competition on NTIC’s and its joint ventures’ pricing, net sales, and margins;</w:t>
      </w:r>
    </w:p>
    <w:p>
      <w:pPr>
        <w:spacing w:after="0" w:line="174" w:lineRule="exact"/>
        <w:rPr>
          <w:rFonts w:ascii="Arial" w:cs="Arial" w:eastAsia="Arial" w:hAnsi="Arial"/>
          <w:sz w:val="30"/>
          <w:szCs w:val="30"/>
          <w:color w:val="auto"/>
          <w:vertAlign w:val="superscript"/>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NTIC’s reliance upon and its relationships with its distributors, independent sales representatives, and joint ventures;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NTIC’s reliance upon suppliers;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38" w:name="page39"/>
    <w:bookmarkEnd w:id="38"/>
    <w:p>
      <w:pPr>
        <w:ind w:left="540" w:hanging="274"/>
        <w:spacing w:after="0"/>
        <w:tabs>
          <w:tab w:leader="none" w:pos="540" w:val="left"/>
        </w:tabs>
        <w:numPr>
          <w:ilvl w:val="0"/>
          <w:numId w:val="22"/>
        </w:numPr>
        <w:rPr>
          <w:rFonts w:ascii="Arial" w:cs="Arial" w:eastAsia="Arial" w:hAnsi="Arial"/>
          <w:sz w:val="30"/>
          <w:szCs w:val="30"/>
          <w:color w:val="auto"/>
          <w:vertAlign w:val="superscript"/>
        </w:rPr>
      </w:pPr>
      <w:r>
        <w:rPr>
          <w:rFonts w:ascii="Arial" w:cs="Arial" w:eastAsia="Arial" w:hAnsi="Arial"/>
          <w:sz w:val="15"/>
          <w:szCs w:val="15"/>
          <w:color w:val="auto"/>
        </w:rPr>
        <w:t>Oil prices, which may affect sales of NTIC’s ZERUST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products and services to the oil and gas industry;</w:t>
      </w:r>
    </w:p>
    <w:p>
      <w:pPr>
        <w:spacing w:after="0" w:line="67" w:lineRule="exact"/>
        <w:rPr>
          <w:rFonts w:ascii="Arial" w:cs="Arial" w:eastAsia="Arial" w:hAnsi="Arial"/>
          <w:sz w:val="30"/>
          <w:szCs w:val="30"/>
          <w:color w:val="auto"/>
          <w:vertAlign w:val="superscript"/>
        </w:rPr>
      </w:pPr>
    </w:p>
    <w:p>
      <w:pPr>
        <w:ind w:left="540" w:right="200" w:hanging="274"/>
        <w:spacing w:after="0" w:line="28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0" w:lineRule="exact"/>
        <w:rPr>
          <w:rFonts w:ascii="Arial" w:cs="Arial" w:eastAsia="Arial" w:hAnsi="Arial"/>
          <w:sz w:val="15"/>
          <w:szCs w:val="15"/>
          <w:color w:val="auto"/>
        </w:rPr>
      </w:pPr>
    </w:p>
    <w:p>
      <w:pPr>
        <w:ind w:left="540" w:right="180" w:hanging="274"/>
        <w:spacing w:after="0" w:line="28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costs and effects of complying with laws and regulations and changes in tax, fiscal, government, and other regulatory policies, including rules relating to environmental, health, and safety matters;</w:t>
      </w:r>
    </w:p>
    <w:p>
      <w:pPr>
        <w:spacing w:after="0" w:line="140"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Unforeseen product quality or other problems in the development, production, and usage of new and existing products;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Unforeseen production expenses incurred in connection with new customers and new products;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Loss of or changes in executive management or key employees;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Ability of management to manage around unplanned events;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Pending and future litigation;</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NTIC’s reliance on its intellectual property rights and the absence of infringement of the intellectual property rights of others;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NTIC’s ability to maintain effective internal control over financial reporting, especially in light of its joint venture arrangements;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applicable laws or regulations and NTIC’s failure to comply with applicable laws, rules, and regulations;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generally accepted accounting principles and the effect of new accounting pronouncements;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Fluctuations in NTIC’s effective tax rate, including from the Tax Cuts and Jobs Act;</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effect of extreme weather conditions on NTIC’s operating results; and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NTIC’s reliance upon its management information systems.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2019, under the heading “</w:t>
      </w:r>
      <w:r>
        <w:rPr>
          <w:rFonts w:ascii="Arial" w:cs="Arial" w:eastAsia="Arial" w:hAnsi="Arial"/>
          <w:sz w:val="15"/>
          <w:szCs w:val="15"/>
          <w:i w:val="1"/>
          <w:iCs w:val="1"/>
          <w:color w:val="auto"/>
        </w:rPr>
        <w:t>Part I. Item 1A. Risk Factors</w:t>
      </w:r>
      <w:r>
        <w:rPr>
          <w:rFonts w:ascii="Arial" w:cs="Arial" w:eastAsia="Arial" w:hAnsi="Arial"/>
          <w:sz w:val="15"/>
          <w:szCs w:val="15"/>
          <w:color w:val="auto"/>
        </w:rPr>
        <w:t>.”</w:t>
      </w:r>
    </w:p>
    <w:p>
      <w:pPr>
        <w:spacing w:after="0" w:line="15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39" w:name="page40"/>
    <w:bookmarkEnd w:id="39"/>
    <w:p>
      <w:pPr>
        <w:spacing w:after="0"/>
        <w:tabs>
          <w:tab w:leader="none" w:pos="10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NTIC is exposed to some market risk stemming from changes in foreign currency exchange rates, commodity prices, and interest rates.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Some raw materials used in NTIC’s products are exposed to commodity price changes. The primary commodity price exposures are with a variety of plastic resins.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2020, NTIC had no borrowings under the line of credit.</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9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97" w:lineRule="exact"/>
        <w:rPr>
          <w:sz w:val="20"/>
          <w:szCs w:val="20"/>
          <w:color w:val="auto"/>
        </w:rPr>
      </w:pPr>
    </w:p>
    <w:p>
      <w:pPr>
        <w:ind w:right="340"/>
        <w:spacing w:after="0" w:line="284" w:lineRule="auto"/>
        <w:rPr>
          <w:sz w:val="20"/>
          <w:szCs w:val="20"/>
          <w:color w:val="auto"/>
        </w:rPr>
      </w:pPr>
      <w:r>
        <w:rPr>
          <w:rFonts w:ascii="Arial" w:cs="Arial" w:eastAsia="Arial" w:hAnsi="Arial"/>
          <w:sz w:val="15"/>
          <w:szCs w:val="15"/>
          <w:color w:val="auto"/>
        </w:rPr>
        <w:t>There was no change in NTIC’s internal control over financial reporting that occurred during the quarter ended May 31, 2020 that has materially affected or is reasonably likely to materially affect NTIC’s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97" w:lineRule="exact"/>
        <w:rPr>
          <w:sz w:val="20"/>
          <w:szCs w:val="20"/>
          <w:color w:val="auto"/>
        </w:rPr>
      </w:pPr>
    </w:p>
    <w:p>
      <w:pPr>
        <w:ind w:right="180"/>
        <w:spacing w:after="0" w:line="317" w:lineRule="auto"/>
        <w:rPr>
          <w:sz w:val="20"/>
          <w:szCs w:val="20"/>
          <w:color w:val="auto"/>
        </w:rPr>
      </w:pPr>
      <w:r>
        <w:rPr>
          <w:rFonts w:ascii="Arial" w:cs="Arial" w:eastAsia="Arial" w:hAnsi="Arial"/>
          <w:sz w:val="13"/>
          <w:szCs w:val="13"/>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Mr. Xu Hui have engaged in self-dealing, usurped business opportunities, and received economic benefits that were required to go to Tianjin Zerust. As of May 31, 2020, NTIC is not able to reasonably estimate the amount of any recovery to NTI Asean, if any.</w:t>
      </w:r>
    </w:p>
    <w:p>
      <w:pPr>
        <w:spacing w:after="0" w:line="121"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Although Item 1A is inapplicable to NTIC as a smaller reporting company, NTIC hereby discloses the following additional risk to NTIC’s risk factors described in its annual report 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Form 10-K for the fiscal year ended August 31, 2019:</w:t>
      </w:r>
    </w:p>
    <w:p>
      <w:pPr>
        <w:spacing w:after="0" w:line="183" w:lineRule="exact"/>
        <w:rPr>
          <w:sz w:val="20"/>
          <w:szCs w:val="20"/>
          <w:color w:val="auto"/>
        </w:rPr>
      </w:pPr>
    </w:p>
    <w:p>
      <w:pPr>
        <w:ind w:right="260"/>
        <w:spacing w:after="0" w:line="284" w:lineRule="auto"/>
        <w:rPr>
          <w:sz w:val="20"/>
          <w:szCs w:val="20"/>
          <w:color w:val="auto"/>
        </w:rPr>
      </w:pPr>
      <w:r>
        <w:rPr>
          <w:rFonts w:ascii="Arial" w:cs="Arial" w:eastAsia="Arial" w:hAnsi="Arial"/>
          <w:sz w:val="15"/>
          <w:szCs w:val="15"/>
          <w:b w:val="1"/>
          <w:bCs w:val="1"/>
          <w:i w:val="1"/>
          <w:iCs w:val="1"/>
          <w:color w:val="auto"/>
        </w:rPr>
        <w:t>The outbreak and continuing rapid spread of a novel strain of the coronavirus (COVID-19) has already adversely impacted and will likely continue to adversely impact NTIC’s business, operating results and financial condition.</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outbreak and continuing rapid spread of COVID-19 has resulted in a substantial curtailment of business activities worldwide and is causing weakened economic conditions, both in the United States and many countries abroad. As part of intensifying efforts to contain the spread of COVID-19, a growing number of state, local and foreign governments have imposed various restrictions on the conduct of business and travel. Government restrictions, such as stay-at-home orders, quarantines and worker absenteeism as a result of COVID-19 have led to a significant number of business closures and slowdowns. These business closures and slowdowns have already adversely impacted and will likely continue to adversely impact NTIC directly, as well as cause its customers and suppliers to slow or stop production, which will likely significantly disrupt NTIC’s sales, production and supply chain. For example, as a result of the COVID-19 outbreak in China in December 2019, NTIC experienced decreased demand for its products and services in China and other places in Asia during the three months ended February 29, 2020. The operations at NTIC China were suspended on January 18, 2020 and did not resume until February 28, 2020. In addition, NTIC’s location in India was under mandated governmental shutdown until April 15, 2020. NTIC anticipates significantly decreased global demand for its products and services during third quarter of fiscal 2020 and beyond. This significantly decreased demand will likely have a material adverse effect on NTIC’s business, operating results and financial condition beginning with third quarter of fiscal 2020. Due to the international reach of COVID-19, NTIC anticipates that its international joint ventures will also be adversely impacted by the causes listed above, as well as other local issues that may arise, which will likely have a material adverse effect on NTIC’s joint venture operations and equity in income from joint ventures in the third quarter of fiscal 2020 and beyond. It is currently not possible to predict the precise potential impact, as well as the extent of any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41" w:name="page42"/>
    <w:bookmarkEnd w:id="41"/>
    <w:p>
      <w:pPr>
        <w:ind w:left="9"/>
        <w:spacing w:after="0"/>
        <w:rPr>
          <w:sz w:val="20"/>
          <w:szCs w:val="20"/>
          <w:color w:val="auto"/>
        </w:rPr>
      </w:pPr>
      <w:r>
        <w:rPr>
          <w:rFonts w:ascii="Arial" w:cs="Arial" w:eastAsia="Arial" w:hAnsi="Arial"/>
          <w:sz w:val="14"/>
          <w:szCs w:val="14"/>
          <w:color w:val="auto"/>
        </w:rPr>
        <w:t>The extent to which the COVID-19 pandemic impacts NTIC’s business will likely depend on numerous evolving factors that NTIC may not be able to accurately predict, including:</w:t>
      </w:r>
    </w:p>
    <w:p>
      <w:pPr>
        <w:spacing w:after="0" w:line="205" w:lineRule="exact"/>
        <w:rPr>
          <w:sz w:val="20"/>
          <w:szCs w:val="20"/>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duration and scope of the pandemic;</w:t>
      </w:r>
    </w:p>
    <w:p>
      <w:pPr>
        <w:spacing w:after="0" w:line="193" w:lineRule="exact"/>
        <w:rPr>
          <w:rFonts w:ascii="Arial" w:cs="Arial" w:eastAsia="Arial" w:hAnsi="Arial"/>
          <w:sz w:val="15"/>
          <w:szCs w:val="15"/>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governmental, business and individuals’ actions that have been and continue to be taken in response to the pandemic;</w:t>
      </w:r>
    </w:p>
    <w:p>
      <w:pPr>
        <w:spacing w:after="0" w:line="193" w:lineRule="exact"/>
        <w:rPr>
          <w:rFonts w:ascii="Arial" w:cs="Arial" w:eastAsia="Arial" w:hAnsi="Arial"/>
          <w:sz w:val="15"/>
          <w:szCs w:val="15"/>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impact of the pandemic on economic activity and actions taken in response;</w:t>
      </w:r>
    </w:p>
    <w:p>
      <w:pPr>
        <w:spacing w:after="0" w:line="193" w:lineRule="exact"/>
        <w:rPr>
          <w:rFonts w:ascii="Arial" w:cs="Arial" w:eastAsia="Arial" w:hAnsi="Arial"/>
          <w:sz w:val="15"/>
          <w:szCs w:val="15"/>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effect on NTIC’s customers and demand for its products and services;</w:t>
      </w:r>
    </w:p>
    <w:p>
      <w:pPr>
        <w:spacing w:after="0" w:line="193" w:lineRule="exact"/>
        <w:rPr>
          <w:rFonts w:ascii="Arial" w:cs="Arial" w:eastAsia="Arial" w:hAnsi="Arial"/>
          <w:sz w:val="15"/>
          <w:szCs w:val="15"/>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NTIC’s ability to continue to manufacture and sell its products and services, including as a result of travel restrictions and people working from home;</w:t>
      </w:r>
    </w:p>
    <w:p>
      <w:pPr>
        <w:spacing w:after="0" w:line="193" w:lineRule="exact"/>
        <w:rPr>
          <w:rFonts w:ascii="Arial" w:cs="Arial" w:eastAsia="Arial" w:hAnsi="Arial"/>
          <w:sz w:val="15"/>
          <w:szCs w:val="15"/>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ability of NTIC’s customers to pay for its products and services; and</w:t>
      </w:r>
    </w:p>
    <w:p>
      <w:pPr>
        <w:spacing w:after="0" w:line="193" w:lineRule="exact"/>
        <w:rPr>
          <w:rFonts w:ascii="Arial" w:cs="Arial" w:eastAsia="Arial" w:hAnsi="Arial"/>
          <w:sz w:val="15"/>
          <w:szCs w:val="15"/>
          <w:color w:val="auto"/>
        </w:rPr>
      </w:pPr>
    </w:p>
    <w:p>
      <w:pPr>
        <w:ind w:left="549" w:hanging="274"/>
        <w:spacing w:after="0"/>
        <w:tabs>
          <w:tab w:leader="none" w:pos="5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any closures of NTIC’s facilities and the facilities of its customers and suppliers.</w:t>
      </w:r>
    </w:p>
    <w:p>
      <w:pPr>
        <w:spacing w:after="0" w:line="193" w:lineRule="exact"/>
        <w:rPr>
          <w:sz w:val="20"/>
          <w:szCs w:val="20"/>
          <w:color w:val="auto"/>
        </w:rPr>
      </w:pPr>
    </w:p>
    <w:p>
      <w:pPr>
        <w:ind w:left="9" w:right="200"/>
        <w:spacing w:after="0" w:line="284" w:lineRule="auto"/>
        <w:rPr>
          <w:sz w:val="20"/>
          <w:szCs w:val="20"/>
          <w:color w:val="auto"/>
        </w:rPr>
      </w:pPr>
      <w:r>
        <w:rPr>
          <w:rFonts w:ascii="Arial" w:cs="Arial" w:eastAsia="Arial" w:hAnsi="Arial"/>
          <w:sz w:val="15"/>
          <w:szCs w:val="15"/>
          <w:color w:val="auto"/>
        </w:rPr>
        <w:t>Any of these events could materially adversely affect NTIC’s business, operating results and financial condition. In addition, the COVID-19 pandemic has already adversely affected and could continue to adversely affect NTIC’s stock price.</w:t>
      </w:r>
    </w:p>
    <w:p>
      <w:pPr>
        <w:spacing w:after="0" w:line="137"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Recent Sales of Unregistered Equity Securities</w:t>
      </w:r>
    </w:p>
    <w:p>
      <w:pPr>
        <w:spacing w:after="0" w:line="197" w:lineRule="exact"/>
        <w:rPr>
          <w:sz w:val="20"/>
          <w:szCs w:val="20"/>
          <w:color w:val="auto"/>
        </w:rPr>
      </w:pPr>
    </w:p>
    <w:p>
      <w:pPr>
        <w:ind w:left="9" w:right="40"/>
        <w:spacing w:after="0" w:line="284" w:lineRule="auto"/>
        <w:rPr>
          <w:sz w:val="20"/>
          <w:szCs w:val="20"/>
          <w:color w:val="auto"/>
        </w:rPr>
      </w:pPr>
      <w:r>
        <w:rPr>
          <w:rFonts w:ascii="Arial" w:cs="Arial" w:eastAsia="Arial" w:hAnsi="Arial"/>
          <w:sz w:val="15"/>
          <w:szCs w:val="15"/>
          <w:color w:val="auto"/>
        </w:rPr>
        <w:t>During the three months ended May 31, 2020, NTIC did not issue any shares of its common stock or other equity securities of NTIC that were not registered under the Securities Act of 1933, as amended.</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table shows NTIC’s third quarter of fiscal 2020 stock repurchase activity.</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2300" w:type="dxa"/>
            <w:vAlign w:val="bottom"/>
          </w:tcPr>
          <w:p>
            <w:pPr>
              <w:jc w:val="center"/>
              <w:ind w:left="264"/>
              <w:spacing w:after="0"/>
              <w:rPr>
                <w:sz w:val="20"/>
                <w:szCs w:val="20"/>
                <w:color w:val="auto"/>
              </w:rPr>
            </w:pPr>
            <w:r>
              <w:rPr>
                <w:rFonts w:ascii="Arial" w:cs="Arial" w:eastAsia="Arial" w:hAnsi="Arial"/>
                <w:sz w:val="15"/>
                <w:szCs w:val="15"/>
                <w:b w:val="1"/>
                <w:bCs w:val="1"/>
                <w:color w:val="auto"/>
                <w:w w:val="93"/>
              </w:rPr>
              <w:t>Total Number of</w:t>
            </w:r>
          </w:p>
        </w:tc>
        <w:tc>
          <w:tcPr>
            <w:tcW w:w="2060" w:type="dxa"/>
            <w:vAlign w:val="bottom"/>
          </w:tcPr>
          <w:p>
            <w:pPr>
              <w:jc w:val="right"/>
              <w:ind w:right="164"/>
              <w:spacing w:after="0"/>
              <w:rPr>
                <w:sz w:val="20"/>
                <w:szCs w:val="20"/>
                <w:color w:val="auto"/>
              </w:rPr>
            </w:pPr>
            <w:r>
              <w:rPr>
                <w:rFonts w:ascii="Arial" w:cs="Arial" w:eastAsia="Arial" w:hAnsi="Arial"/>
                <w:sz w:val="15"/>
                <w:szCs w:val="15"/>
                <w:b w:val="1"/>
                <w:bCs w:val="1"/>
                <w:color w:val="auto"/>
              </w:rPr>
              <w:t>Average Price Paid Per</w:t>
            </w: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 Shares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7"/>
              </w:rPr>
              <w:t>Maximum Number of</w:t>
            </w:r>
          </w:p>
        </w:tc>
      </w:tr>
      <w:tr>
        <w:trPr>
          <w:trHeight w:val="183"/>
        </w:trPr>
        <w:tc>
          <w:tcPr>
            <w:tcW w:w="3060" w:type="dxa"/>
            <w:vAlign w:val="bottom"/>
          </w:tcPr>
          <w:p>
            <w:pPr>
              <w:spacing w:after="0"/>
              <w:rPr>
                <w:sz w:val="15"/>
                <w:szCs w:val="15"/>
                <w:color w:val="auto"/>
              </w:rPr>
            </w:pPr>
          </w:p>
        </w:tc>
        <w:tc>
          <w:tcPr>
            <w:tcW w:w="2300" w:type="dxa"/>
            <w:vAlign w:val="bottom"/>
          </w:tcPr>
          <w:p>
            <w:pPr>
              <w:jc w:val="center"/>
              <w:ind w:left="264"/>
              <w:spacing w:after="0"/>
              <w:rPr>
                <w:sz w:val="20"/>
                <w:szCs w:val="20"/>
                <w:color w:val="auto"/>
              </w:rPr>
            </w:pPr>
            <w:r>
              <w:rPr>
                <w:rFonts w:ascii="Arial" w:cs="Arial" w:eastAsia="Arial" w:hAnsi="Arial"/>
                <w:sz w:val="15"/>
                <w:szCs w:val="15"/>
                <w:b w:val="1"/>
                <w:bCs w:val="1"/>
                <w:color w:val="auto"/>
                <w:w w:val="87"/>
              </w:rPr>
              <w:t>Shares</w:t>
            </w:r>
          </w:p>
        </w:tc>
        <w:tc>
          <w:tcPr>
            <w:tcW w:w="2060" w:type="dxa"/>
            <w:vAlign w:val="bottom"/>
          </w:tcPr>
          <w:p>
            <w:pPr>
              <w:jc w:val="right"/>
              <w:ind w:right="424"/>
              <w:spacing w:after="0"/>
              <w:rPr>
                <w:sz w:val="20"/>
                <w:szCs w:val="20"/>
                <w:color w:val="auto"/>
              </w:rPr>
            </w:pPr>
            <w:r>
              <w:rPr>
                <w:rFonts w:ascii="Arial" w:cs="Arial" w:eastAsia="Arial" w:hAnsi="Arial"/>
                <w:sz w:val="15"/>
                <w:szCs w:val="15"/>
                <w:b w:val="1"/>
                <w:bCs w:val="1"/>
                <w:color w:val="auto"/>
              </w:rPr>
              <w:t>Share (or Unit)</w:t>
            </w: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91"/>
              </w:rPr>
              <w:t>(or Units) Purchased As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1"/>
              </w:rPr>
              <w:t>Shares (or Units) that</w:t>
            </w:r>
          </w:p>
        </w:tc>
      </w:tr>
      <w:tr>
        <w:trPr>
          <w:trHeight w:val="183"/>
        </w:trPr>
        <w:tc>
          <w:tcPr>
            <w:tcW w:w="306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2300" w:type="dxa"/>
            <w:vAlign w:val="bottom"/>
          </w:tcPr>
          <w:p>
            <w:pPr>
              <w:jc w:val="center"/>
              <w:ind w:left="264"/>
              <w:spacing w:after="0"/>
              <w:rPr>
                <w:sz w:val="20"/>
                <w:szCs w:val="20"/>
                <w:color w:val="auto"/>
              </w:rPr>
            </w:pPr>
            <w:r>
              <w:rPr>
                <w:rFonts w:ascii="Arial" w:cs="Arial" w:eastAsia="Arial" w:hAnsi="Arial"/>
                <w:sz w:val="15"/>
                <w:szCs w:val="15"/>
                <w:b w:val="1"/>
                <w:bCs w:val="1"/>
                <w:color w:val="auto"/>
                <w:w w:val="92"/>
              </w:rPr>
              <w:t>(or Units) Purchased</w:t>
            </w:r>
          </w:p>
        </w:tc>
        <w:tc>
          <w:tcPr>
            <w:tcW w:w="2060" w:type="dxa"/>
            <w:vAlign w:val="bottom"/>
          </w:tcPr>
          <w:p>
            <w:pPr>
              <w:spacing w:after="0"/>
              <w:rPr>
                <w:sz w:val="15"/>
                <w:szCs w:val="15"/>
                <w:color w:val="auto"/>
              </w:rPr>
            </w:pPr>
          </w:p>
        </w:tc>
        <w:tc>
          <w:tcPr>
            <w:tcW w:w="1980" w:type="dxa"/>
            <w:vAlign w:val="bottom"/>
          </w:tcPr>
          <w:p>
            <w:pPr>
              <w:jc w:val="center"/>
              <w:ind w:left="4"/>
              <w:spacing w:after="0"/>
              <w:rPr>
                <w:sz w:val="20"/>
                <w:szCs w:val="20"/>
                <w:color w:val="auto"/>
              </w:rPr>
            </w:pPr>
            <w:r>
              <w:rPr>
                <w:rFonts w:ascii="Arial" w:cs="Arial" w:eastAsia="Arial" w:hAnsi="Arial"/>
                <w:sz w:val="15"/>
                <w:szCs w:val="15"/>
                <w:b w:val="1"/>
                <w:bCs w:val="1"/>
                <w:color w:val="auto"/>
                <w:w w:val="93"/>
              </w:rPr>
              <w:t>Part of Publicly</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1"/>
              </w:rPr>
              <w:t>May Yet Be Purchased</w:t>
            </w:r>
          </w:p>
        </w:tc>
      </w:tr>
      <w:tr>
        <w:trPr>
          <w:trHeight w:val="183"/>
        </w:trPr>
        <w:tc>
          <w:tcPr>
            <w:tcW w:w="3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5"/>
                <w:szCs w:val="15"/>
                <w:b w:val="1"/>
                <w:bCs w:val="1"/>
                <w:color w:val="auto"/>
                <w:w w:val="90"/>
              </w:rPr>
              <w:t>Announced Plans or</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2"/>
              </w:rPr>
              <w:t>Under the Plans or</w:t>
            </w:r>
          </w:p>
        </w:tc>
      </w:tr>
      <w:tr>
        <w:trPr>
          <w:trHeight w:val="198"/>
        </w:trPr>
        <w:tc>
          <w:tcPr>
            <w:tcW w:w="30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Programs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Programs</w:t>
            </w: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March 1, 2020 through March 31, 2020</w:t>
            </w:r>
          </w:p>
        </w:tc>
        <w:tc>
          <w:tcPr>
            <w:tcW w:w="23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rPr>
              <w:t>0</w:t>
            </w:r>
          </w:p>
        </w:tc>
        <w:tc>
          <w:tcPr>
            <w:tcW w:w="206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$0</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0</w:t>
            </w:r>
          </w:p>
        </w:tc>
        <w:tc>
          <w:tcPr>
            <w:tcW w:w="1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w:t>
            </w:r>
          </w:p>
        </w:tc>
      </w:tr>
      <w:tr>
        <w:trPr>
          <w:trHeight w:val="183"/>
        </w:trPr>
        <w:tc>
          <w:tcPr>
            <w:tcW w:w="3060" w:type="dxa"/>
            <w:vAlign w:val="bottom"/>
          </w:tcPr>
          <w:p>
            <w:pPr>
              <w:spacing w:after="0"/>
              <w:rPr>
                <w:sz w:val="20"/>
                <w:szCs w:val="20"/>
                <w:color w:val="auto"/>
              </w:rPr>
            </w:pPr>
            <w:r>
              <w:rPr>
                <w:rFonts w:ascii="Arial" w:cs="Arial" w:eastAsia="Arial" w:hAnsi="Arial"/>
                <w:sz w:val="15"/>
                <w:szCs w:val="15"/>
                <w:color w:val="auto"/>
              </w:rPr>
              <w:t>April 1, 2020 through April 30, 2020</w:t>
            </w:r>
          </w:p>
        </w:tc>
        <w:tc>
          <w:tcPr>
            <w:tcW w:w="2300" w:type="dxa"/>
            <w:vAlign w:val="bottom"/>
          </w:tcPr>
          <w:p>
            <w:pPr>
              <w:jc w:val="right"/>
              <w:ind w:right="744"/>
              <w:spacing w:after="0"/>
              <w:rPr>
                <w:sz w:val="20"/>
                <w:szCs w:val="20"/>
                <w:color w:val="auto"/>
              </w:rPr>
            </w:pPr>
            <w:r>
              <w:rPr>
                <w:rFonts w:ascii="Arial" w:cs="Arial" w:eastAsia="Arial" w:hAnsi="Arial"/>
                <w:sz w:val="15"/>
                <w:szCs w:val="15"/>
                <w:color w:val="auto"/>
              </w:rPr>
              <w:t>0</w:t>
            </w:r>
          </w:p>
        </w:tc>
        <w:tc>
          <w:tcPr>
            <w:tcW w:w="2060" w:type="dxa"/>
            <w:vAlign w:val="bottom"/>
          </w:tcPr>
          <w:p>
            <w:pPr>
              <w:jc w:val="right"/>
              <w:ind w:right="784"/>
              <w:spacing w:after="0"/>
              <w:rPr>
                <w:sz w:val="20"/>
                <w:szCs w:val="20"/>
                <w:color w:val="auto"/>
              </w:rPr>
            </w:pPr>
            <w:r>
              <w:rPr>
                <w:rFonts w:ascii="Arial" w:cs="Arial" w:eastAsia="Arial" w:hAnsi="Arial"/>
                <w:sz w:val="15"/>
                <w:szCs w:val="15"/>
                <w:color w:val="auto"/>
              </w:rPr>
              <w:t>$0</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860" w:type="dxa"/>
            <w:vAlign w:val="bottom"/>
          </w:tcPr>
          <w:p>
            <w:pPr>
              <w:jc w:val="center"/>
              <w:spacing w:after="0"/>
              <w:rPr>
                <w:sz w:val="20"/>
                <w:szCs w:val="20"/>
                <w:color w:val="auto"/>
              </w:rPr>
            </w:pPr>
            <w:r>
              <w:rPr>
                <w:rFonts w:ascii="Arial" w:cs="Arial" w:eastAsia="Arial" w:hAnsi="Arial"/>
                <w:sz w:val="15"/>
                <w:szCs w:val="15"/>
                <w:color w:val="auto"/>
                <w:w w:val="97"/>
              </w:rPr>
              <w:t>(1)</w:t>
            </w:r>
          </w:p>
        </w:tc>
      </w:tr>
      <w:tr>
        <w:trPr>
          <w:trHeight w:val="183"/>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May 1, 2020 through May 31, 2020</w:t>
            </w:r>
          </w:p>
        </w:tc>
        <w:tc>
          <w:tcPr>
            <w:tcW w:w="23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rPr>
              <w:t>0</w:t>
            </w:r>
          </w:p>
        </w:tc>
        <w:tc>
          <w:tcPr>
            <w:tcW w:w="206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rPr>
              <w:t>$0</w:t>
            </w:r>
          </w:p>
        </w:tc>
        <w:tc>
          <w:tcPr>
            <w:tcW w:w="1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0</w:t>
            </w:r>
          </w:p>
        </w:tc>
        <w:tc>
          <w:tcPr>
            <w:tcW w:w="1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w:t>
            </w:r>
          </w:p>
        </w:tc>
      </w:tr>
      <w:tr>
        <w:trPr>
          <w:trHeight w:val="194"/>
        </w:trPr>
        <w:tc>
          <w:tcPr>
            <w:tcW w:w="3060" w:type="dxa"/>
            <w:vAlign w:val="bottom"/>
          </w:tcPr>
          <w:p>
            <w:pPr>
              <w:spacing w:after="0"/>
              <w:rPr>
                <w:sz w:val="20"/>
                <w:szCs w:val="20"/>
                <w:color w:val="auto"/>
              </w:rPr>
            </w:pPr>
            <w:r>
              <w:rPr>
                <w:rFonts w:ascii="Arial" w:cs="Arial" w:eastAsia="Arial" w:hAnsi="Arial"/>
                <w:sz w:val="15"/>
                <w:szCs w:val="15"/>
                <w:color w:val="auto"/>
              </w:rPr>
              <w:t>Total</w:t>
            </w:r>
          </w:p>
        </w:tc>
        <w:tc>
          <w:tcPr>
            <w:tcW w:w="2300" w:type="dxa"/>
            <w:vAlign w:val="bottom"/>
          </w:tcPr>
          <w:p>
            <w:pPr>
              <w:jc w:val="right"/>
              <w:ind w:right="744"/>
              <w:spacing w:after="0"/>
              <w:rPr>
                <w:sz w:val="20"/>
                <w:szCs w:val="20"/>
                <w:color w:val="auto"/>
              </w:rPr>
            </w:pPr>
            <w:r>
              <w:rPr>
                <w:rFonts w:ascii="Arial" w:cs="Arial" w:eastAsia="Arial" w:hAnsi="Arial"/>
                <w:sz w:val="15"/>
                <w:szCs w:val="15"/>
                <w:color w:val="auto"/>
              </w:rPr>
              <w:t>0</w:t>
            </w:r>
          </w:p>
        </w:tc>
        <w:tc>
          <w:tcPr>
            <w:tcW w:w="2060" w:type="dxa"/>
            <w:vAlign w:val="bottom"/>
          </w:tcPr>
          <w:p>
            <w:pPr>
              <w:jc w:val="right"/>
              <w:ind w:right="784"/>
              <w:spacing w:after="0"/>
              <w:rPr>
                <w:sz w:val="20"/>
                <w:szCs w:val="20"/>
                <w:color w:val="auto"/>
              </w:rPr>
            </w:pPr>
            <w:r>
              <w:rPr>
                <w:rFonts w:ascii="Arial" w:cs="Arial" w:eastAsia="Arial" w:hAnsi="Arial"/>
                <w:sz w:val="15"/>
                <w:szCs w:val="15"/>
                <w:color w:val="auto"/>
              </w:rPr>
              <w:t>$0</w:t>
            </w:r>
          </w:p>
        </w:tc>
        <w:tc>
          <w:tcPr>
            <w:tcW w:w="198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860" w:type="dxa"/>
            <w:vAlign w:val="bottom"/>
          </w:tcPr>
          <w:p>
            <w:pPr>
              <w:jc w:val="center"/>
              <w:spacing w:after="0"/>
              <w:rPr>
                <w:sz w:val="20"/>
                <w:szCs w:val="20"/>
                <w:color w:val="auto"/>
              </w:rPr>
            </w:pPr>
            <w:r>
              <w:rPr>
                <w:rFonts w:ascii="Arial" w:cs="Arial" w:eastAsia="Arial" w:hAnsi="Arial"/>
                <w:sz w:val="15"/>
                <w:szCs w:val="15"/>
                <w:color w:val="auto"/>
                <w:w w:val="98"/>
              </w:rPr>
              <w:t>(1)(2)</w:t>
            </w:r>
          </w:p>
        </w:tc>
      </w:tr>
    </w:tbl>
    <w:p>
      <w:pPr>
        <w:spacing w:after="0" w:line="162" w:lineRule="exact"/>
        <w:rPr>
          <w:sz w:val="20"/>
          <w:szCs w:val="20"/>
          <w:color w:val="auto"/>
        </w:rPr>
      </w:pPr>
    </w:p>
    <w:p>
      <w:pPr>
        <w:ind w:left="549" w:right="720" w:hanging="549"/>
        <w:spacing w:after="0" w:line="321" w:lineRule="auto"/>
        <w:tabs>
          <w:tab w:leader="none" w:pos="549"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18" w:lineRule="exact"/>
        <w:rPr>
          <w:rFonts w:ascii="Arial" w:cs="Arial" w:eastAsia="Arial" w:hAnsi="Arial"/>
          <w:sz w:val="14"/>
          <w:szCs w:val="14"/>
          <w:color w:val="auto"/>
        </w:rPr>
      </w:pPr>
    </w:p>
    <w:p>
      <w:pPr>
        <w:ind w:left="549" w:hanging="549"/>
        <w:spacing w:after="0"/>
        <w:tabs>
          <w:tab w:leader="none" w:pos="5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of May 31, 2020, up to $2,640,548 in shares of NTIC common stock remained available for repurchase under NTIC’s stock repurchase program.</w:t>
      </w: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3275"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609" w:right="319" w:bottom="1440" w:gutter="0" w:footer="0" w:header="0"/>
        </w:sectPr>
      </w:pPr>
    </w:p>
    <w:bookmarkStart w:id="42" w:name="page43"/>
    <w:bookmarkEnd w:id="42"/>
    <w:p>
      <w:pPr>
        <w:spacing w:after="0"/>
        <w:tabs>
          <w:tab w:leader="none" w:pos="10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exhibits are being filed or furnished with this quarterly report on Form 10-Q:</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Exhibit No.</w:t>
            </w:r>
          </w:p>
        </w:tc>
        <w:tc>
          <w:tcPr>
            <w:tcW w:w="6780" w:type="dxa"/>
            <w:vAlign w:val="bottom"/>
            <w:tcBorders>
              <w:bottom w:val="single" w:sz="8" w:color="auto"/>
            </w:tcBorders>
            <w:gridSpan w:val="6"/>
          </w:tcPr>
          <w:p>
            <w:pPr>
              <w:ind w:left="2680"/>
              <w:spacing w:after="0"/>
              <w:rPr>
                <w:sz w:val="20"/>
                <w:szCs w:val="20"/>
                <w:color w:val="auto"/>
              </w:rPr>
            </w:pPr>
            <w:r>
              <w:rPr>
                <w:rFonts w:ascii="Arial" w:cs="Arial" w:eastAsia="Arial" w:hAnsi="Arial"/>
                <w:sz w:val="15"/>
                <w:szCs w:val="15"/>
                <w:b w:val="1"/>
                <w:bCs w:val="1"/>
                <w:color w:val="auto"/>
              </w:rPr>
              <w:t>Description</w:t>
            </w:r>
          </w:p>
        </w:tc>
        <w:tc>
          <w:tcPr>
            <w:tcW w:w="3480" w:type="dxa"/>
            <w:vAlign w:val="bottom"/>
            <w:tcBorders>
              <w:bottom w:val="single" w:sz="8" w:color="auto"/>
            </w:tcBorders>
          </w:tcPr>
          <w:p>
            <w:pPr>
              <w:jc w:val="center"/>
              <w:ind w:right="624"/>
              <w:spacing w:after="0"/>
              <w:rPr>
                <w:sz w:val="20"/>
                <w:szCs w:val="20"/>
                <w:color w:val="auto"/>
              </w:rPr>
            </w:pPr>
            <w:r>
              <w:rPr>
                <w:rFonts w:ascii="Arial" w:cs="Arial" w:eastAsia="Arial" w:hAnsi="Arial"/>
                <w:sz w:val="15"/>
                <w:szCs w:val="15"/>
                <w:b w:val="1"/>
                <w:bCs w:val="1"/>
                <w:color w:val="auto"/>
                <w:w w:val="94"/>
              </w:rPr>
              <w:t>Method of Filing</w:t>
            </w:r>
          </w:p>
        </w:tc>
      </w:tr>
      <w:tr>
        <w:trPr>
          <w:trHeight w:val="140"/>
        </w:trPr>
        <w:tc>
          <w:tcPr>
            <w:tcW w:w="1000" w:type="dxa"/>
            <w:vAlign w:val="bottom"/>
          </w:tcPr>
          <w:p>
            <w:pPr>
              <w:jc w:val="center"/>
              <w:spacing w:after="0" w:line="140" w:lineRule="exact"/>
              <w:rPr>
                <w:rFonts w:ascii="Arial" w:cs="Arial" w:eastAsia="Arial" w:hAnsi="Arial"/>
                <w:sz w:val="15"/>
                <w:szCs w:val="15"/>
                <w:u w:val="single" w:color="auto"/>
                <w:color w:val="0000EE"/>
                <w:w w:val="95"/>
              </w:rPr>
            </w:pPr>
            <w:hyperlink w:anchor="page45">
              <w:r>
                <w:rPr>
                  <w:rFonts w:ascii="Arial" w:cs="Arial" w:eastAsia="Arial" w:hAnsi="Arial"/>
                  <w:sz w:val="15"/>
                  <w:szCs w:val="15"/>
                  <w:u w:val="single" w:color="auto"/>
                  <w:color w:val="0000EE"/>
                  <w:w w:val="95"/>
                </w:rPr>
                <w:t>31.1</w:t>
              </w:r>
            </w:hyperlink>
          </w:p>
        </w:tc>
        <w:tc>
          <w:tcPr>
            <w:tcW w:w="5940" w:type="dxa"/>
            <w:vAlign w:val="bottom"/>
            <w:tcBorders>
              <w:bottom w:val="single" w:sz="8" w:color="0000EE"/>
            </w:tcBorders>
            <w:gridSpan w:val="4"/>
          </w:tcPr>
          <w:p>
            <w:pPr>
              <w:spacing w:after="0" w:line="140" w:lineRule="exact"/>
              <w:rPr>
                <w:rFonts w:ascii="Arial" w:cs="Arial" w:eastAsia="Arial" w:hAnsi="Arial"/>
                <w:sz w:val="15"/>
                <w:szCs w:val="15"/>
                <w:color w:val="0000EE"/>
                <w:w w:val="93"/>
              </w:rPr>
            </w:pPr>
            <w:hyperlink w:anchor="page45">
              <w:r>
                <w:rPr>
                  <w:rFonts w:ascii="Arial" w:cs="Arial" w:eastAsia="Arial" w:hAnsi="Arial"/>
                  <w:sz w:val="15"/>
                  <w:szCs w:val="15"/>
                  <w:color w:val="0000EE"/>
                  <w:w w:val="93"/>
                </w:rPr>
                <w:t>Certification of Chief Executive Officer Pursuant to Exchange Act Rules 13a-14(a)/15d-14(a), as</w:t>
              </w:r>
            </w:hyperlink>
          </w:p>
        </w:tc>
        <w:tc>
          <w:tcPr>
            <w:tcW w:w="840" w:type="dxa"/>
            <w:vAlign w:val="bottom"/>
            <w:gridSpan w:val="2"/>
          </w:tcPr>
          <w:p>
            <w:pPr>
              <w:spacing w:after="0"/>
              <w:rPr>
                <w:sz w:val="12"/>
                <w:szCs w:val="12"/>
                <w:color w:val="auto"/>
              </w:rPr>
            </w:pPr>
          </w:p>
        </w:tc>
        <w:tc>
          <w:tcPr>
            <w:tcW w:w="3480" w:type="dxa"/>
            <w:vAlign w:val="bottom"/>
          </w:tcPr>
          <w:p>
            <w:pPr>
              <w:jc w:val="center"/>
              <w:ind w:right="604"/>
              <w:spacing w:after="0" w:line="140" w:lineRule="exact"/>
              <w:rPr>
                <w:sz w:val="20"/>
                <w:szCs w:val="20"/>
                <w:color w:val="auto"/>
              </w:rPr>
            </w:pPr>
            <w:r>
              <w:rPr>
                <w:rFonts w:ascii="Arial" w:cs="Arial" w:eastAsia="Arial" w:hAnsi="Arial"/>
                <w:sz w:val="15"/>
                <w:szCs w:val="15"/>
                <w:color w:val="auto"/>
                <w:w w:val="94"/>
              </w:rPr>
              <w:t>Filed herewith</w:t>
            </w:r>
          </w:p>
        </w:tc>
      </w:tr>
      <w:tr>
        <w:trPr>
          <w:trHeight w:val="163"/>
        </w:trPr>
        <w:tc>
          <w:tcPr>
            <w:tcW w:w="1000" w:type="dxa"/>
            <w:vAlign w:val="bottom"/>
          </w:tcPr>
          <w:p>
            <w:pPr>
              <w:spacing w:after="0"/>
              <w:rPr>
                <w:sz w:val="14"/>
                <w:szCs w:val="14"/>
                <w:color w:val="auto"/>
              </w:rPr>
            </w:pPr>
          </w:p>
        </w:tc>
        <w:tc>
          <w:tcPr>
            <w:tcW w:w="4200" w:type="dxa"/>
            <w:vAlign w:val="bottom"/>
            <w:tcBorders>
              <w:bottom w:val="single" w:sz="8" w:color="0000EE"/>
            </w:tcBorders>
            <w:gridSpan w:val="2"/>
          </w:tcPr>
          <w:p>
            <w:pPr>
              <w:spacing w:after="0" w:line="163" w:lineRule="exact"/>
              <w:rPr>
                <w:rFonts w:ascii="Arial" w:cs="Arial" w:eastAsia="Arial" w:hAnsi="Arial"/>
                <w:sz w:val="15"/>
                <w:szCs w:val="15"/>
                <w:color w:val="0000EE"/>
                <w:w w:val="92"/>
              </w:rPr>
            </w:pPr>
            <w:hyperlink w:anchor="page45">
              <w:r>
                <w:rPr>
                  <w:rFonts w:ascii="Arial" w:cs="Arial" w:eastAsia="Arial" w:hAnsi="Arial"/>
                  <w:sz w:val="15"/>
                  <w:szCs w:val="15"/>
                  <w:color w:val="0000EE"/>
                  <w:w w:val="92"/>
                </w:rPr>
                <w:t>Adopted Pursuant to Section 302 of the Sarbanes-Oxley Act of 2002</w:t>
              </w:r>
            </w:hyperlink>
          </w:p>
        </w:tc>
        <w:tc>
          <w:tcPr>
            <w:tcW w:w="2580" w:type="dxa"/>
            <w:vAlign w:val="bottom"/>
            <w:gridSpan w:val="4"/>
          </w:tcPr>
          <w:p>
            <w:pPr>
              <w:spacing w:after="0"/>
              <w:rPr>
                <w:sz w:val="14"/>
                <w:szCs w:val="14"/>
                <w:color w:val="auto"/>
              </w:rPr>
            </w:pPr>
          </w:p>
        </w:tc>
        <w:tc>
          <w:tcPr>
            <w:tcW w:w="3480" w:type="dxa"/>
            <w:vAlign w:val="bottom"/>
          </w:tcPr>
          <w:p>
            <w:pPr>
              <w:spacing w:after="0"/>
              <w:rPr>
                <w:sz w:val="14"/>
                <w:szCs w:val="14"/>
                <w:color w:val="auto"/>
              </w:rPr>
            </w:pPr>
          </w:p>
        </w:tc>
      </w:tr>
      <w:tr>
        <w:trPr>
          <w:trHeight w:val="346"/>
        </w:trPr>
        <w:tc>
          <w:tcPr>
            <w:tcW w:w="1000" w:type="dxa"/>
            <w:vAlign w:val="bottom"/>
          </w:tcPr>
          <w:p>
            <w:pPr>
              <w:jc w:val="center"/>
              <w:spacing w:after="0"/>
              <w:rPr>
                <w:rFonts w:ascii="Arial" w:cs="Arial" w:eastAsia="Arial" w:hAnsi="Arial"/>
                <w:sz w:val="15"/>
                <w:szCs w:val="15"/>
                <w:u w:val="single" w:color="auto"/>
                <w:color w:val="0000EE"/>
                <w:w w:val="95"/>
              </w:rPr>
            </w:pPr>
            <w:hyperlink w:anchor="page46">
              <w:r>
                <w:rPr>
                  <w:rFonts w:ascii="Arial" w:cs="Arial" w:eastAsia="Arial" w:hAnsi="Arial"/>
                  <w:sz w:val="15"/>
                  <w:szCs w:val="15"/>
                  <w:u w:val="single" w:color="auto"/>
                  <w:color w:val="0000EE"/>
                  <w:w w:val="95"/>
                </w:rPr>
                <w:t>31.2</w:t>
              </w:r>
            </w:hyperlink>
          </w:p>
        </w:tc>
        <w:tc>
          <w:tcPr>
            <w:tcW w:w="5900" w:type="dxa"/>
            <w:vAlign w:val="bottom"/>
            <w:tcBorders>
              <w:bottom w:val="single" w:sz="8" w:color="0000EE"/>
            </w:tcBorders>
            <w:gridSpan w:val="3"/>
          </w:tcPr>
          <w:p>
            <w:pPr>
              <w:spacing w:after="0"/>
              <w:rPr>
                <w:rFonts w:ascii="Arial" w:cs="Arial" w:eastAsia="Arial" w:hAnsi="Arial"/>
                <w:sz w:val="15"/>
                <w:szCs w:val="15"/>
                <w:color w:val="0000EE"/>
                <w:w w:val="93"/>
              </w:rPr>
            </w:pPr>
            <w:hyperlink w:anchor="page46">
              <w:r>
                <w:rPr>
                  <w:rFonts w:ascii="Arial" w:cs="Arial" w:eastAsia="Arial" w:hAnsi="Arial"/>
                  <w:sz w:val="15"/>
                  <w:szCs w:val="15"/>
                  <w:color w:val="0000EE"/>
                  <w:w w:val="93"/>
                </w:rPr>
                <w:t>Certification of Chief Financial Officer Pursuant to Exchange Act Rules 13a-14(a)/15d-14(a), as</w:t>
              </w:r>
            </w:hyperlink>
          </w:p>
        </w:tc>
        <w:tc>
          <w:tcPr>
            <w:tcW w:w="880" w:type="dxa"/>
            <w:vAlign w:val="bottom"/>
            <w:gridSpan w:val="3"/>
          </w:tcPr>
          <w:p>
            <w:pPr>
              <w:spacing w:after="0"/>
              <w:rPr>
                <w:sz w:val="24"/>
                <w:szCs w:val="24"/>
                <w:color w:val="auto"/>
              </w:rPr>
            </w:pPr>
          </w:p>
        </w:tc>
        <w:tc>
          <w:tcPr>
            <w:tcW w:w="3480" w:type="dxa"/>
            <w:vAlign w:val="bottom"/>
          </w:tcPr>
          <w:p>
            <w:pPr>
              <w:jc w:val="center"/>
              <w:ind w:right="604"/>
              <w:spacing w:after="0"/>
              <w:rPr>
                <w:sz w:val="20"/>
                <w:szCs w:val="20"/>
                <w:color w:val="auto"/>
              </w:rPr>
            </w:pPr>
            <w:r>
              <w:rPr>
                <w:rFonts w:ascii="Arial" w:cs="Arial" w:eastAsia="Arial" w:hAnsi="Arial"/>
                <w:sz w:val="15"/>
                <w:szCs w:val="15"/>
                <w:color w:val="auto"/>
                <w:w w:val="94"/>
              </w:rPr>
              <w:t>Filed herewith</w:t>
            </w:r>
          </w:p>
        </w:tc>
      </w:tr>
      <w:tr>
        <w:trPr>
          <w:trHeight w:val="163"/>
        </w:trPr>
        <w:tc>
          <w:tcPr>
            <w:tcW w:w="1000" w:type="dxa"/>
            <w:vAlign w:val="bottom"/>
          </w:tcPr>
          <w:p>
            <w:pPr>
              <w:spacing w:after="0"/>
              <w:rPr>
                <w:sz w:val="14"/>
                <w:szCs w:val="14"/>
                <w:color w:val="auto"/>
              </w:rPr>
            </w:pPr>
          </w:p>
        </w:tc>
        <w:tc>
          <w:tcPr>
            <w:tcW w:w="4200" w:type="dxa"/>
            <w:vAlign w:val="bottom"/>
            <w:tcBorders>
              <w:bottom w:val="single" w:sz="8" w:color="0000EE"/>
            </w:tcBorders>
            <w:gridSpan w:val="2"/>
          </w:tcPr>
          <w:p>
            <w:pPr>
              <w:spacing w:after="0" w:line="163" w:lineRule="exact"/>
              <w:rPr>
                <w:rFonts w:ascii="Arial" w:cs="Arial" w:eastAsia="Arial" w:hAnsi="Arial"/>
                <w:sz w:val="15"/>
                <w:szCs w:val="15"/>
                <w:color w:val="0000EE"/>
                <w:w w:val="92"/>
              </w:rPr>
            </w:pPr>
            <w:hyperlink w:anchor="page46">
              <w:r>
                <w:rPr>
                  <w:rFonts w:ascii="Arial" w:cs="Arial" w:eastAsia="Arial" w:hAnsi="Arial"/>
                  <w:sz w:val="15"/>
                  <w:szCs w:val="15"/>
                  <w:color w:val="0000EE"/>
                  <w:w w:val="92"/>
                </w:rPr>
                <w:t>Adopted Pursuant to Section 302 of the Sarbanes-Oxley Act of 2002</w:t>
              </w:r>
            </w:hyperlink>
          </w:p>
        </w:tc>
        <w:tc>
          <w:tcPr>
            <w:tcW w:w="2580" w:type="dxa"/>
            <w:vAlign w:val="bottom"/>
            <w:gridSpan w:val="4"/>
          </w:tcPr>
          <w:p>
            <w:pPr>
              <w:spacing w:after="0"/>
              <w:rPr>
                <w:sz w:val="14"/>
                <w:szCs w:val="14"/>
                <w:color w:val="auto"/>
              </w:rPr>
            </w:pPr>
          </w:p>
        </w:tc>
        <w:tc>
          <w:tcPr>
            <w:tcW w:w="3480" w:type="dxa"/>
            <w:vAlign w:val="bottom"/>
          </w:tcPr>
          <w:p>
            <w:pPr>
              <w:spacing w:after="0"/>
              <w:rPr>
                <w:sz w:val="14"/>
                <w:szCs w:val="14"/>
                <w:color w:val="auto"/>
              </w:rPr>
            </w:pPr>
          </w:p>
        </w:tc>
      </w:tr>
      <w:tr>
        <w:trPr>
          <w:trHeight w:val="346"/>
        </w:trPr>
        <w:tc>
          <w:tcPr>
            <w:tcW w:w="1000" w:type="dxa"/>
            <w:vAlign w:val="bottom"/>
          </w:tcPr>
          <w:p>
            <w:pPr>
              <w:jc w:val="center"/>
              <w:spacing w:after="0"/>
              <w:rPr>
                <w:rFonts w:ascii="Arial" w:cs="Arial" w:eastAsia="Arial" w:hAnsi="Arial"/>
                <w:sz w:val="15"/>
                <w:szCs w:val="15"/>
                <w:u w:val="single" w:color="auto"/>
                <w:color w:val="0000EE"/>
                <w:w w:val="95"/>
              </w:rPr>
            </w:pPr>
            <w:hyperlink w:anchor="page47">
              <w:r>
                <w:rPr>
                  <w:rFonts w:ascii="Arial" w:cs="Arial" w:eastAsia="Arial" w:hAnsi="Arial"/>
                  <w:sz w:val="15"/>
                  <w:szCs w:val="15"/>
                  <w:u w:val="single" w:color="auto"/>
                  <w:color w:val="0000EE"/>
                  <w:w w:val="95"/>
                </w:rPr>
                <w:t>32.1</w:t>
              </w:r>
            </w:hyperlink>
          </w:p>
        </w:tc>
        <w:tc>
          <w:tcPr>
            <w:tcW w:w="6780" w:type="dxa"/>
            <w:vAlign w:val="bottom"/>
            <w:gridSpan w:val="6"/>
          </w:tcPr>
          <w:p>
            <w:pPr>
              <w:spacing w:after="0"/>
              <w:rPr>
                <w:rFonts w:ascii="Arial" w:cs="Arial" w:eastAsia="Arial" w:hAnsi="Arial"/>
                <w:sz w:val="15"/>
                <w:szCs w:val="15"/>
                <w:color w:val="0000EE"/>
              </w:rPr>
            </w:pPr>
            <w:hyperlink w:anchor="page47">
              <w:r>
                <w:rPr>
                  <w:rFonts w:ascii="Arial" w:cs="Arial" w:eastAsia="Arial" w:hAnsi="Arial"/>
                  <w:sz w:val="15"/>
                  <w:szCs w:val="15"/>
                  <w:color w:val="0000EE"/>
                </w:rPr>
                <w:t>Certification of Chief Executive Officer Pursuant to 18 U.S.C. Section 1350, as Adopted Pursuant</w:t>
              </w:r>
            </w:hyperlink>
          </w:p>
        </w:tc>
        <w:tc>
          <w:tcPr>
            <w:tcW w:w="3480" w:type="dxa"/>
            <w:vAlign w:val="bottom"/>
          </w:tcPr>
          <w:p>
            <w:pPr>
              <w:jc w:val="center"/>
              <w:ind w:right="624"/>
              <w:spacing w:after="0"/>
              <w:rPr>
                <w:sz w:val="20"/>
                <w:szCs w:val="20"/>
                <w:color w:val="auto"/>
              </w:rPr>
            </w:pPr>
            <w:r>
              <w:rPr>
                <w:rFonts w:ascii="Arial" w:cs="Arial" w:eastAsia="Arial" w:hAnsi="Arial"/>
                <w:sz w:val="15"/>
                <w:szCs w:val="15"/>
                <w:color w:val="auto"/>
                <w:w w:val="92"/>
              </w:rPr>
              <w:t>Furnished herewith</w:t>
            </w:r>
          </w:p>
        </w:tc>
      </w:tr>
      <w:tr>
        <w:trPr>
          <w:trHeight w:val="163"/>
        </w:trPr>
        <w:tc>
          <w:tcPr>
            <w:tcW w:w="1000" w:type="dxa"/>
            <w:vAlign w:val="bottom"/>
          </w:tcPr>
          <w:p>
            <w:pPr>
              <w:spacing w:after="0"/>
              <w:rPr>
                <w:sz w:val="14"/>
                <w:szCs w:val="14"/>
                <w:color w:val="auto"/>
              </w:rPr>
            </w:pPr>
          </w:p>
        </w:tc>
        <w:tc>
          <w:tcPr>
            <w:tcW w:w="306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92"/>
              </w:rPr>
            </w:pPr>
            <w:hyperlink w:anchor="page47">
              <w:r>
                <w:rPr>
                  <w:rFonts w:ascii="Arial" w:cs="Arial" w:eastAsia="Arial" w:hAnsi="Arial"/>
                  <w:sz w:val="15"/>
                  <w:szCs w:val="15"/>
                  <w:color w:val="0000EE"/>
                  <w:w w:val="92"/>
                </w:rPr>
                <w:t>to Section 906 of the Sarbanes-Oxley Act of 2002</w:t>
              </w:r>
            </w:hyperlink>
          </w:p>
        </w:tc>
        <w:tc>
          <w:tcPr>
            <w:tcW w:w="2920" w:type="dxa"/>
            <w:vAlign w:val="bottom"/>
            <w:tcBorders>
              <w:top w:val="single" w:sz="8" w:color="0000EE"/>
            </w:tcBorders>
            <w:gridSpan w:val="4"/>
          </w:tcPr>
          <w:p>
            <w:pPr>
              <w:spacing w:after="0"/>
              <w:rPr>
                <w:sz w:val="14"/>
                <w:szCs w:val="14"/>
                <w:color w:val="auto"/>
              </w:rPr>
            </w:pPr>
          </w:p>
        </w:tc>
        <w:tc>
          <w:tcPr>
            <w:tcW w:w="8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346"/>
        </w:trPr>
        <w:tc>
          <w:tcPr>
            <w:tcW w:w="1000" w:type="dxa"/>
            <w:vAlign w:val="bottom"/>
          </w:tcPr>
          <w:p>
            <w:pPr>
              <w:jc w:val="center"/>
              <w:spacing w:after="0"/>
              <w:rPr>
                <w:rFonts w:ascii="Arial" w:cs="Arial" w:eastAsia="Arial" w:hAnsi="Arial"/>
                <w:sz w:val="15"/>
                <w:szCs w:val="15"/>
                <w:u w:val="single" w:color="auto"/>
                <w:color w:val="0000EE"/>
                <w:w w:val="95"/>
              </w:rPr>
            </w:pPr>
            <w:hyperlink w:anchor="page48">
              <w:r>
                <w:rPr>
                  <w:rFonts w:ascii="Arial" w:cs="Arial" w:eastAsia="Arial" w:hAnsi="Arial"/>
                  <w:sz w:val="15"/>
                  <w:szCs w:val="15"/>
                  <w:u w:val="single" w:color="auto"/>
                  <w:color w:val="0000EE"/>
                  <w:w w:val="95"/>
                </w:rPr>
                <w:t>32.2</w:t>
              </w:r>
            </w:hyperlink>
          </w:p>
        </w:tc>
        <w:tc>
          <w:tcPr>
            <w:tcW w:w="6780" w:type="dxa"/>
            <w:vAlign w:val="bottom"/>
            <w:gridSpan w:val="6"/>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Certification of Chief Financial Officer Pursuant to 18 U.S.C. Section 1350, as Adopted Pursuant</w:t>
              </w:r>
            </w:hyperlink>
          </w:p>
        </w:tc>
        <w:tc>
          <w:tcPr>
            <w:tcW w:w="3480" w:type="dxa"/>
            <w:vAlign w:val="bottom"/>
          </w:tcPr>
          <w:p>
            <w:pPr>
              <w:jc w:val="center"/>
              <w:ind w:right="624"/>
              <w:spacing w:after="0"/>
              <w:rPr>
                <w:sz w:val="20"/>
                <w:szCs w:val="20"/>
                <w:color w:val="auto"/>
              </w:rPr>
            </w:pPr>
            <w:r>
              <w:rPr>
                <w:rFonts w:ascii="Arial" w:cs="Arial" w:eastAsia="Arial" w:hAnsi="Arial"/>
                <w:sz w:val="15"/>
                <w:szCs w:val="15"/>
                <w:color w:val="auto"/>
                <w:w w:val="92"/>
              </w:rPr>
              <w:t>Furnished herewith</w:t>
            </w:r>
          </w:p>
        </w:tc>
      </w:tr>
      <w:tr>
        <w:trPr>
          <w:trHeight w:val="163"/>
        </w:trPr>
        <w:tc>
          <w:tcPr>
            <w:tcW w:w="1000" w:type="dxa"/>
            <w:vAlign w:val="bottom"/>
          </w:tcPr>
          <w:p>
            <w:pPr>
              <w:spacing w:after="0"/>
              <w:rPr>
                <w:sz w:val="14"/>
                <w:szCs w:val="14"/>
                <w:color w:val="auto"/>
              </w:rPr>
            </w:pPr>
          </w:p>
        </w:tc>
        <w:tc>
          <w:tcPr>
            <w:tcW w:w="306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w w:val="92"/>
              </w:rPr>
            </w:pPr>
            <w:hyperlink w:anchor="page48">
              <w:r>
                <w:rPr>
                  <w:rFonts w:ascii="Arial" w:cs="Arial" w:eastAsia="Arial" w:hAnsi="Arial"/>
                  <w:sz w:val="15"/>
                  <w:szCs w:val="15"/>
                  <w:color w:val="0000EE"/>
                  <w:w w:val="92"/>
                </w:rPr>
                <w:t>to Section 906 of the Sarbanes-Oxley Act of 2002</w:t>
              </w:r>
            </w:hyperlink>
          </w:p>
        </w:tc>
        <w:tc>
          <w:tcPr>
            <w:tcW w:w="2880" w:type="dxa"/>
            <w:vAlign w:val="bottom"/>
            <w:tcBorders>
              <w:top w:val="single" w:sz="8" w:color="0000EE"/>
            </w:tcBorders>
            <w:gridSpan w:val="3"/>
          </w:tcPr>
          <w:p>
            <w:pPr>
              <w:spacing w:after="0"/>
              <w:rPr>
                <w:sz w:val="14"/>
                <w:szCs w:val="14"/>
                <w:color w:val="auto"/>
              </w:rPr>
            </w:pPr>
          </w:p>
        </w:tc>
        <w:tc>
          <w:tcPr>
            <w:tcW w:w="840" w:type="dxa"/>
            <w:vAlign w:val="bottom"/>
            <w:gridSpan w:val="2"/>
          </w:tcPr>
          <w:p>
            <w:pPr>
              <w:spacing w:after="0"/>
              <w:rPr>
                <w:sz w:val="14"/>
                <w:szCs w:val="14"/>
                <w:color w:val="auto"/>
              </w:rPr>
            </w:pPr>
          </w:p>
        </w:tc>
        <w:tc>
          <w:tcPr>
            <w:tcW w:w="3480" w:type="dxa"/>
            <w:vAlign w:val="bottom"/>
          </w:tcPr>
          <w:p>
            <w:pPr>
              <w:spacing w:after="0"/>
              <w:rPr>
                <w:sz w:val="14"/>
                <w:szCs w:val="14"/>
                <w:color w:val="auto"/>
              </w:rPr>
            </w:pPr>
          </w:p>
        </w:tc>
      </w:tr>
      <w:tr>
        <w:trPr>
          <w:trHeight w:val="37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101</w:t>
            </w:r>
          </w:p>
        </w:tc>
        <w:tc>
          <w:tcPr>
            <w:tcW w:w="6780" w:type="dxa"/>
            <w:vAlign w:val="bottom"/>
            <w:gridSpan w:val="6"/>
          </w:tcPr>
          <w:p>
            <w:pPr>
              <w:spacing w:after="0"/>
              <w:rPr>
                <w:sz w:val="20"/>
                <w:szCs w:val="20"/>
                <w:color w:val="auto"/>
              </w:rPr>
            </w:pPr>
            <w:r>
              <w:rPr>
                <w:rFonts w:ascii="Arial" w:cs="Arial" w:eastAsia="Arial" w:hAnsi="Arial"/>
                <w:sz w:val="15"/>
                <w:szCs w:val="15"/>
                <w:color w:val="auto"/>
              </w:rPr>
              <w:t>The following materials from NTIC’s Quarterly Report on Form 10-Q for the fiscal quarter ended</w:t>
            </w:r>
          </w:p>
        </w:tc>
        <w:tc>
          <w:tcPr>
            <w:tcW w:w="3480" w:type="dxa"/>
            <w:vAlign w:val="bottom"/>
          </w:tcPr>
          <w:p>
            <w:pPr>
              <w:jc w:val="center"/>
              <w:ind w:right="604"/>
              <w:spacing w:after="0"/>
              <w:rPr>
                <w:sz w:val="20"/>
                <w:szCs w:val="20"/>
                <w:color w:val="auto"/>
              </w:rPr>
            </w:pPr>
            <w:r>
              <w:rPr>
                <w:rFonts w:ascii="Arial" w:cs="Arial" w:eastAsia="Arial" w:hAnsi="Arial"/>
                <w:sz w:val="15"/>
                <w:szCs w:val="15"/>
                <w:color w:val="auto"/>
                <w:w w:val="94"/>
              </w:rPr>
              <w:t>Filed herewith</w:t>
            </w:r>
          </w:p>
        </w:tc>
      </w:tr>
      <w:tr>
        <w:trPr>
          <w:trHeight w:val="183"/>
        </w:trPr>
        <w:tc>
          <w:tcPr>
            <w:tcW w:w="1000" w:type="dxa"/>
            <w:vAlign w:val="bottom"/>
          </w:tcPr>
          <w:p>
            <w:pPr>
              <w:spacing w:after="0"/>
              <w:rPr>
                <w:sz w:val="15"/>
                <w:szCs w:val="15"/>
                <w:color w:val="auto"/>
              </w:rPr>
            </w:pPr>
          </w:p>
        </w:tc>
        <w:tc>
          <w:tcPr>
            <w:tcW w:w="6780" w:type="dxa"/>
            <w:vAlign w:val="bottom"/>
            <w:gridSpan w:val="6"/>
          </w:tcPr>
          <w:p>
            <w:pPr>
              <w:spacing w:after="0"/>
              <w:rPr>
                <w:sz w:val="20"/>
                <w:szCs w:val="20"/>
                <w:color w:val="auto"/>
              </w:rPr>
            </w:pPr>
            <w:r>
              <w:rPr>
                <w:rFonts w:ascii="Arial" w:cs="Arial" w:eastAsia="Arial" w:hAnsi="Arial"/>
                <w:sz w:val="15"/>
                <w:szCs w:val="15"/>
                <w:color w:val="auto"/>
              </w:rPr>
              <w:t>May 31, 2020, formatted in XBRL (Extensible Business Reporting Language): (i) the unaudited</w:t>
            </w:r>
          </w:p>
        </w:tc>
        <w:tc>
          <w:tcPr>
            <w:tcW w:w="3480" w:type="dxa"/>
            <w:vAlign w:val="bottom"/>
          </w:tcPr>
          <w:p>
            <w:pPr>
              <w:spacing w:after="0"/>
              <w:rPr>
                <w:sz w:val="15"/>
                <w:szCs w:val="15"/>
                <w:color w:val="auto"/>
              </w:rPr>
            </w:pPr>
          </w:p>
        </w:tc>
      </w:tr>
      <w:tr>
        <w:trPr>
          <w:trHeight w:val="194"/>
        </w:trPr>
        <w:tc>
          <w:tcPr>
            <w:tcW w:w="1000" w:type="dxa"/>
            <w:vAlign w:val="bottom"/>
          </w:tcPr>
          <w:p>
            <w:pPr>
              <w:spacing w:after="0"/>
              <w:rPr>
                <w:sz w:val="16"/>
                <w:szCs w:val="16"/>
                <w:color w:val="auto"/>
              </w:rPr>
            </w:pPr>
          </w:p>
        </w:tc>
        <w:tc>
          <w:tcPr>
            <w:tcW w:w="6780" w:type="dxa"/>
            <w:vAlign w:val="bottom"/>
            <w:gridSpan w:val="6"/>
          </w:tcPr>
          <w:p>
            <w:pPr>
              <w:spacing w:after="0"/>
              <w:rPr>
                <w:sz w:val="20"/>
                <w:szCs w:val="20"/>
                <w:color w:val="auto"/>
              </w:rPr>
            </w:pPr>
            <w:r>
              <w:rPr>
                <w:rFonts w:ascii="Arial" w:cs="Arial" w:eastAsia="Arial" w:hAnsi="Arial"/>
                <w:sz w:val="15"/>
                <w:szCs w:val="15"/>
                <w:color w:val="auto"/>
              </w:rPr>
              <w:t>Consolidated Balance Sheets, (ii) the unaudited Consolidated Statements of Operations, (iii) the</w:t>
            </w:r>
          </w:p>
        </w:tc>
        <w:tc>
          <w:tcPr>
            <w:tcW w:w="3480" w:type="dxa"/>
            <w:vAlign w:val="bottom"/>
          </w:tcPr>
          <w:p>
            <w:pPr>
              <w:spacing w:after="0"/>
              <w:rPr>
                <w:sz w:val="16"/>
                <w:szCs w:val="16"/>
                <w:color w:val="auto"/>
              </w:rPr>
            </w:pPr>
          </w:p>
        </w:tc>
      </w:tr>
    </w:tbl>
    <w:p>
      <w:pPr>
        <w:ind w:left="1000" w:right="4260"/>
        <w:spacing w:after="0" w:line="261" w:lineRule="auto"/>
        <w:rPr>
          <w:sz w:val="20"/>
          <w:szCs w:val="20"/>
          <w:color w:val="auto"/>
        </w:rPr>
      </w:pPr>
      <w:r>
        <w:rPr>
          <w:rFonts w:ascii="Arial" w:cs="Arial" w:eastAsia="Arial" w:hAnsi="Arial"/>
          <w:sz w:val="15"/>
          <w:szCs w:val="15"/>
          <w:color w:val="auto"/>
        </w:rPr>
        <w:t>unaudited Consolidated Statements of Comprehensive Income, (iv) the unaudited Consolidated Statements of Equity, (v) the unaudited Consolidated Statements of Cash Flows, and (vi) Notes to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275"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5"/>
          <w:szCs w:val="15"/>
          <w:b w:val="1"/>
          <w:bCs w:val="1"/>
          <w:color w:val="auto"/>
        </w:rPr>
        <w:t>SIGNATURES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8" w:lineRule="exact"/>
        <w:rPr>
          <w:sz w:val="20"/>
          <w:szCs w:val="20"/>
          <w:color w:val="auto"/>
        </w:rPr>
      </w:pPr>
    </w:p>
    <w:p>
      <w:pPr>
        <w:ind w:left="5400"/>
        <w:spacing w:after="0"/>
        <w:rPr>
          <w:sz w:val="20"/>
          <w:szCs w:val="20"/>
          <w:color w:val="auto"/>
        </w:rPr>
      </w:pPr>
      <w:r>
        <w:rPr>
          <w:rFonts w:ascii="Arial" w:cs="Arial" w:eastAsia="Arial" w:hAnsi="Arial"/>
          <w:sz w:val="15"/>
          <w:szCs w:val="15"/>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53275" cy="1336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133604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8"/>
        </w:trPr>
        <w:tc>
          <w:tcPr>
            <w:tcW w:w="5400" w:type="dxa"/>
            <w:vAlign w:val="bottom"/>
          </w:tcPr>
          <w:p>
            <w:pPr>
              <w:spacing w:after="0"/>
              <w:rPr>
                <w:sz w:val="24"/>
                <w:szCs w:val="24"/>
                <w:color w:val="auto"/>
              </w:rPr>
            </w:pPr>
          </w:p>
        </w:tc>
        <w:tc>
          <w:tcPr>
            <w:tcW w:w="5860" w:type="dxa"/>
            <w:vAlign w:val="bottom"/>
            <w:tcBorders>
              <w:bottom w:val="single" w:sz="8" w:color="auto"/>
            </w:tcBorders>
            <w:shd w:val="clear" w:color="auto" w:fill="CCEEFF"/>
          </w:tcPr>
          <w:p>
            <w:pPr>
              <w:spacing w:after="0"/>
              <w:rPr>
                <w:sz w:val="24"/>
                <w:szCs w:val="24"/>
                <w:color w:val="auto"/>
              </w:rPr>
            </w:pPr>
          </w:p>
        </w:tc>
      </w:tr>
      <w:tr>
        <w:trPr>
          <w:trHeight w:val="174"/>
        </w:trPr>
        <w:tc>
          <w:tcPr>
            <w:tcW w:w="5400" w:type="dxa"/>
            <w:vAlign w:val="bottom"/>
          </w:tcPr>
          <w:p>
            <w:pPr>
              <w:spacing w:after="0"/>
              <w:rPr>
                <w:sz w:val="20"/>
                <w:szCs w:val="20"/>
                <w:color w:val="auto"/>
              </w:rPr>
            </w:pPr>
            <w:r>
              <w:rPr>
                <w:rFonts w:ascii="Arial" w:cs="Arial" w:eastAsia="Arial" w:hAnsi="Arial"/>
                <w:sz w:val="15"/>
                <w:szCs w:val="15"/>
                <w:color w:val="auto"/>
              </w:rPr>
              <w:t>Date: July 9, 2020</w:t>
            </w:r>
          </w:p>
        </w:tc>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Matthew C. Wolsfeld, CPA</w:t>
            </w:r>
          </w:p>
        </w:tc>
      </w:tr>
      <w:tr>
        <w:trPr>
          <w:trHeight w:val="184"/>
        </w:trPr>
        <w:tc>
          <w:tcPr>
            <w:tcW w:w="540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5"/>
                <w:szCs w:val="15"/>
                <w:color w:val="auto"/>
              </w:rPr>
              <w:t>Chief Financial Officer</w:t>
            </w:r>
          </w:p>
        </w:tc>
      </w:tr>
    </w:tbl>
    <w:p>
      <w:pPr>
        <w:ind w:left="5400"/>
        <w:spacing w:after="0"/>
        <w:rPr>
          <w:sz w:val="20"/>
          <w:szCs w:val="20"/>
          <w:color w:val="auto"/>
        </w:rPr>
      </w:pPr>
      <w:r>
        <w:rPr>
          <w:rFonts w:ascii="Arial" w:cs="Arial" w:eastAsia="Arial" w:hAnsi="Arial"/>
          <w:sz w:val="15"/>
          <w:szCs w:val="15"/>
          <w:color w:val="auto"/>
        </w:rPr>
        <w:t>(Principal Financial and Accounting Officer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Duly Authorized to Sign on Behalf of the Registrant)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53275"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971"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color w:val="auto"/>
        </w:rPr>
        <w:t>Exhibit 31.1</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CERTIFICATION PURSUANT TO SECTION 302(a) OF THE SARBANES-OXLEY ACT OF 2002</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I, G. Patrick Lynch, certify that:</w:t>
      </w:r>
    </w:p>
    <w:p>
      <w:pPr>
        <w:spacing w:after="0" w:line="193" w:lineRule="exact"/>
        <w:rPr>
          <w:sz w:val="20"/>
          <w:szCs w:val="20"/>
          <w:color w:val="auto"/>
        </w:rPr>
      </w:pPr>
    </w:p>
    <w:p>
      <w:pPr>
        <w:ind w:left="429" w:hanging="429"/>
        <w:spacing w:after="0"/>
        <w:tabs>
          <w:tab w:leader="none" w:pos="429" w:val="left"/>
        </w:tabs>
        <w:numPr>
          <w:ilvl w:val="0"/>
          <w:numId w:val="2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Northern Technologies International Corporation;</w:t>
      </w:r>
    </w:p>
    <w:p>
      <w:pPr>
        <w:spacing w:after="0" w:line="193" w:lineRule="exact"/>
        <w:rPr>
          <w:rFonts w:ascii="Arial" w:cs="Arial" w:eastAsia="Arial" w:hAnsi="Arial"/>
          <w:sz w:val="15"/>
          <w:szCs w:val="15"/>
          <w:color w:val="auto"/>
        </w:rPr>
      </w:pPr>
    </w:p>
    <w:p>
      <w:pPr>
        <w:ind w:left="429" w:right="20" w:hanging="429"/>
        <w:spacing w:after="0" w:line="284" w:lineRule="auto"/>
        <w:tabs>
          <w:tab w:leader="none" w:pos="429"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5"/>
          <w:szCs w:val="15"/>
          <w:color w:val="auto"/>
        </w:rPr>
      </w:pPr>
    </w:p>
    <w:p>
      <w:pPr>
        <w:ind w:left="429" w:right="120" w:hanging="429"/>
        <w:spacing w:after="0" w:line="284" w:lineRule="auto"/>
        <w:tabs>
          <w:tab w:leader="none" w:pos="429"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5"/>
          <w:szCs w:val="15"/>
          <w:color w:val="auto"/>
        </w:rPr>
      </w:pPr>
    </w:p>
    <w:p>
      <w:pPr>
        <w:ind w:left="429" w:right="60" w:hanging="429"/>
        <w:spacing w:after="0" w:line="321" w:lineRule="auto"/>
        <w:tabs>
          <w:tab w:leader="none" w:pos="429"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Arial" w:cs="Arial" w:eastAsia="Arial" w:hAnsi="Arial"/>
          <w:sz w:val="14"/>
          <w:szCs w:val="14"/>
          <w:color w:val="auto"/>
        </w:rPr>
      </w:pPr>
    </w:p>
    <w:p>
      <w:pPr>
        <w:ind w:left="409" w:right="340" w:firstLine="3"/>
        <w:spacing w:after="0" w:line="269" w:lineRule="auto"/>
        <w:tabs>
          <w:tab w:leader="none" w:pos="845" w:val="left"/>
        </w:tabs>
        <w:numPr>
          <w:ilvl w:val="1"/>
          <w:numId w:val="2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5"/>
          <w:szCs w:val="15"/>
          <w:color w:val="auto"/>
        </w:rPr>
      </w:pPr>
    </w:p>
    <w:p>
      <w:pPr>
        <w:ind w:left="409" w:right="440" w:firstLine="3"/>
        <w:spacing w:after="0" w:line="269" w:lineRule="auto"/>
        <w:tabs>
          <w:tab w:leader="none" w:pos="853" w:val="left"/>
        </w:tabs>
        <w:numPr>
          <w:ilvl w:val="1"/>
          <w:numId w:val="2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5"/>
          <w:szCs w:val="15"/>
          <w:color w:val="auto"/>
        </w:rPr>
      </w:pPr>
    </w:p>
    <w:p>
      <w:pPr>
        <w:ind w:left="409" w:right="320" w:firstLine="3"/>
        <w:spacing w:after="0" w:line="284" w:lineRule="auto"/>
        <w:tabs>
          <w:tab w:leader="none" w:pos="845"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ind w:left="409" w:right="440" w:firstLine="3"/>
        <w:spacing w:after="0" w:line="269" w:lineRule="auto"/>
        <w:tabs>
          <w:tab w:leader="none" w:pos="853" w:val="left"/>
        </w:tabs>
        <w:numPr>
          <w:ilvl w:val="1"/>
          <w:numId w:val="2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5"/>
          <w:szCs w:val="15"/>
          <w:color w:val="auto"/>
        </w:rPr>
      </w:pPr>
    </w:p>
    <w:p>
      <w:pPr>
        <w:ind w:left="429" w:right="200" w:hanging="429"/>
        <w:spacing w:after="0" w:line="284" w:lineRule="auto"/>
        <w:tabs>
          <w:tab w:leader="none" w:pos="429"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ind w:left="409" w:right="160" w:firstLine="3"/>
        <w:spacing w:after="0" w:line="284" w:lineRule="auto"/>
        <w:tabs>
          <w:tab w:leader="none" w:pos="836" w:val="left"/>
        </w:tabs>
        <w:numPr>
          <w:ilvl w:val="1"/>
          <w:numId w:val="2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5"/>
          <w:szCs w:val="15"/>
          <w:color w:val="auto"/>
        </w:rPr>
      </w:pPr>
    </w:p>
    <w:p>
      <w:pPr>
        <w:ind w:left="849" w:hanging="432"/>
        <w:spacing w:after="0"/>
        <w:tabs>
          <w:tab w:leader="none" w:pos="849" w:val="left"/>
        </w:tabs>
        <w:numPr>
          <w:ilvl w:val="1"/>
          <w:numId w:val="2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137160</wp:posOffset>
            </wp:positionV>
            <wp:extent cx="2301875" cy="399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0187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
        <w:spacing w:after="0"/>
        <w:rPr>
          <w:sz w:val="20"/>
          <w:szCs w:val="20"/>
          <w:color w:val="auto"/>
        </w:rPr>
      </w:pPr>
      <w:r>
        <w:rPr>
          <w:rFonts w:ascii="Arial" w:cs="Arial" w:eastAsia="Arial" w:hAnsi="Arial"/>
          <w:sz w:val="15"/>
          <w:szCs w:val="15"/>
          <w:color w:val="auto"/>
        </w:rPr>
        <w:t>Date: July 9, 2020</w:t>
      </w:r>
    </w:p>
    <w:p>
      <w:pPr>
        <w:spacing w:after="0" w:line="21" w:lineRule="exact"/>
        <w:rPr>
          <w:sz w:val="20"/>
          <w:szCs w:val="20"/>
          <w:color w:val="auto"/>
        </w:rPr>
      </w:pPr>
    </w:p>
    <w:p>
      <w:pPr>
        <w:ind w:left="3469"/>
        <w:spacing w:after="0"/>
        <w:rPr>
          <w:sz w:val="20"/>
          <w:szCs w:val="20"/>
          <w:color w:val="auto"/>
        </w:rPr>
      </w:pPr>
      <w:r>
        <w:rPr>
          <w:rFonts w:ascii="Arial" w:cs="Arial" w:eastAsia="Arial" w:hAnsi="Arial"/>
          <w:sz w:val="15"/>
          <w:szCs w:val="15"/>
          <w:color w:val="auto"/>
        </w:rPr>
        <w:t>G. Patrick Lynch</w:t>
      </w:r>
    </w:p>
    <w:p>
      <w:pPr>
        <w:spacing w:after="0" w:line="11" w:lineRule="exact"/>
        <w:rPr>
          <w:sz w:val="20"/>
          <w:szCs w:val="20"/>
          <w:color w:val="auto"/>
        </w:rPr>
      </w:pPr>
    </w:p>
    <w:p>
      <w:pPr>
        <w:ind w:left="3469"/>
        <w:spacing w:after="0"/>
        <w:rPr>
          <w:sz w:val="20"/>
          <w:szCs w:val="20"/>
          <w:color w:val="auto"/>
        </w:rPr>
      </w:pPr>
      <w:r>
        <w:rPr>
          <w:rFonts w:ascii="Arial" w:cs="Arial" w:eastAsia="Arial" w:hAnsi="Arial"/>
          <w:sz w:val="15"/>
          <w:szCs w:val="15"/>
          <w:color w:val="auto"/>
        </w:rPr>
        <w:t>President and Chief Executive Officer</w:t>
      </w:r>
    </w:p>
    <w:p>
      <w:pPr>
        <w:spacing w:after="0" w:line="11" w:lineRule="exact"/>
        <w:rPr>
          <w:sz w:val="20"/>
          <w:szCs w:val="20"/>
          <w:color w:val="auto"/>
        </w:rPr>
      </w:pPr>
    </w:p>
    <w:p>
      <w:pPr>
        <w:ind w:left="3469"/>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53275"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9"/>
          </w:cols>
          <w:pgMar w:left="311" w:top="125"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color w:val="auto"/>
        </w:rPr>
        <w:t>Exhibit 31.2</w:t>
      </w:r>
    </w:p>
    <w:p>
      <w:pPr>
        <w:spacing w:after="0" w:line="19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CERTIFICATION PURSUANT TO SECTION 302(a) OF THE SARBANES-OXLEY ACT OF 2002</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5"/>
          <w:szCs w:val="15"/>
          <w:color w:val="auto"/>
        </w:rPr>
        <w:t>I, Matthew C. Wolsfeld, certify that:</w:t>
      </w:r>
    </w:p>
    <w:p>
      <w:pPr>
        <w:spacing w:after="0" w:line="193" w:lineRule="exact"/>
        <w:rPr>
          <w:sz w:val="20"/>
          <w:szCs w:val="20"/>
          <w:color w:val="auto"/>
        </w:rPr>
      </w:pPr>
    </w:p>
    <w:p>
      <w:pPr>
        <w:ind w:left="429" w:hanging="429"/>
        <w:spacing w:after="0"/>
        <w:tabs>
          <w:tab w:leader="none" w:pos="429" w:val="left"/>
        </w:tabs>
        <w:numPr>
          <w:ilvl w:val="0"/>
          <w:numId w:val="2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Northern Technologies International Corporation;</w:t>
      </w:r>
    </w:p>
    <w:p>
      <w:pPr>
        <w:spacing w:after="0" w:line="193" w:lineRule="exact"/>
        <w:rPr>
          <w:rFonts w:ascii="Arial" w:cs="Arial" w:eastAsia="Arial" w:hAnsi="Arial"/>
          <w:sz w:val="15"/>
          <w:szCs w:val="15"/>
          <w:color w:val="auto"/>
        </w:rPr>
      </w:pPr>
    </w:p>
    <w:p>
      <w:pPr>
        <w:ind w:left="429" w:right="20" w:hanging="429"/>
        <w:spacing w:after="0" w:line="284" w:lineRule="auto"/>
        <w:tabs>
          <w:tab w:leader="none" w:pos="429"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5"/>
          <w:szCs w:val="15"/>
          <w:color w:val="auto"/>
        </w:rPr>
      </w:pPr>
    </w:p>
    <w:p>
      <w:pPr>
        <w:ind w:left="429" w:right="120" w:hanging="429"/>
        <w:spacing w:after="0" w:line="284" w:lineRule="auto"/>
        <w:tabs>
          <w:tab w:leader="none" w:pos="429"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5"/>
          <w:szCs w:val="15"/>
          <w:color w:val="auto"/>
        </w:rPr>
      </w:pPr>
    </w:p>
    <w:p>
      <w:pPr>
        <w:ind w:left="429" w:right="60" w:hanging="429"/>
        <w:spacing w:after="0" w:line="321" w:lineRule="auto"/>
        <w:tabs>
          <w:tab w:leader="none" w:pos="4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Arial" w:cs="Arial" w:eastAsia="Arial" w:hAnsi="Arial"/>
          <w:sz w:val="14"/>
          <w:szCs w:val="14"/>
          <w:color w:val="auto"/>
        </w:rPr>
      </w:pPr>
    </w:p>
    <w:p>
      <w:pPr>
        <w:ind w:left="489" w:right="280" w:hanging="8"/>
        <w:spacing w:after="0" w:line="269" w:lineRule="auto"/>
        <w:tabs>
          <w:tab w:leader="none" w:pos="925" w:val="left"/>
        </w:tabs>
        <w:numPr>
          <w:ilvl w:val="1"/>
          <w:numId w:val="2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5"/>
          <w:szCs w:val="15"/>
          <w:color w:val="auto"/>
        </w:rPr>
      </w:pPr>
    </w:p>
    <w:p>
      <w:pPr>
        <w:ind w:left="489" w:right="380" w:hanging="8"/>
        <w:spacing w:after="0" w:line="269" w:lineRule="auto"/>
        <w:tabs>
          <w:tab w:leader="none" w:pos="933" w:val="left"/>
        </w:tabs>
        <w:numPr>
          <w:ilvl w:val="1"/>
          <w:numId w:val="2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5"/>
          <w:szCs w:val="15"/>
          <w:color w:val="auto"/>
        </w:rPr>
      </w:pPr>
    </w:p>
    <w:p>
      <w:pPr>
        <w:ind w:left="489" w:right="260" w:hanging="8"/>
        <w:spacing w:after="0" w:line="284" w:lineRule="auto"/>
        <w:tabs>
          <w:tab w:leader="none" w:pos="925"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ind w:left="489" w:right="360" w:hanging="8"/>
        <w:spacing w:after="0" w:line="269" w:lineRule="auto"/>
        <w:tabs>
          <w:tab w:leader="none" w:pos="933" w:val="left"/>
        </w:tabs>
        <w:numPr>
          <w:ilvl w:val="1"/>
          <w:numId w:val="2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5"/>
          <w:szCs w:val="15"/>
          <w:color w:val="auto"/>
        </w:rPr>
      </w:pPr>
    </w:p>
    <w:p>
      <w:pPr>
        <w:ind w:left="429" w:right="200" w:hanging="429"/>
        <w:spacing w:after="0" w:line="284" w:lineRule="auto"/>
        <w:tabs>
          <w:tab w:leader="none" w:pos="429"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ind w:left="489" w:right="80" w:hanging="8"/>
        <w:spacing w:after="0" w:line="284" w:lineRule="auto"/>
        <w:tabs>
          <w:tab w:leader="none" w:pos="916" w:val="left"/>
        </w:tabs>
        <w:numPr>
          <w:ilvl w:val="1"/>
          <w:numId w:val="2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5"/>
          <w:szCs w:val="15"/>
          <w:color w:val="auto"/>
        </w:rPr>
      </w:pPr>
    </w:p>
    <w:p>
      <w:pPr>
        <w:ind w:left="909" w:hanging="428"/>
        <w:spacing w:after="0"/>
        <w:tabs>
          <w:tab w:leader="none" w:pos="909" w:val="left"/>
        </w:tabs>
        <w:numPr>
          <w:ilvl w:val="1"/>
          <w:numId w:val="2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137160</wp:posOffset>
            </wp:positionV>
            <wp:extent cx="2062480" cy="6318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2480"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2120" w:type="dxa"/>
            <w:vAlign w:val="bottom"/>
          </w:tcPr>
          <w:p>
            <w:pPr>
              <w:spacing w:after="0"/>
              <w:rPr>
                <w:sz w:val="20"/>
                <w:szCs w:val="20"/>
                <w:color w:val="auto"/>
              </w:rPr>
            </w:pPr>
            <w:r>
              <w:rPr>
                <w:rFonts w:ascii="Arial" w:cs="Arial" w:eastAsia="Arial" w:hAnsi="Arial"/>
                <w:sz w:val="15"/>
                <w:szCs w:val="15"/>
                <w:color w:val="auto"/>
              </w:rPr>
              <w:t>Date: July 9, 2020</w:t>
            </w:r>
          </w:p>
        </w:tc>
        <w:tc>
          <w:tcPr>
            <w:tcW w:w="9140" w:type="dxa"/>
            <w:vAlign w:val="bottom"/>
          </w:tcPr>
          <w:p>
            <w:pPr>
              <w:ind w:left="1000"/>
              <w:spacing w:after="0"/>
              <w:rPr>
                <w:sz w:val="20"/>
                <w:szCs w:val="20"/>
                <w:color w:val="auto"/>
              </w:rPr>
            </w:pPr>
            <w:r>
              <w:rPr>
                <w:rFonts w:ascii="Arial" w:cs="Arial" w:eastAsia="Arial" w:hAnsi="Arial"/>
                <w:sz w:val="15"/>
                <w:szCs w:val="15"/>
                <w:color w:val="auto"/>
              </w:rPr>
              <w:t>Matthew C. Wolsfeld, CPA</w:t>
            </w:r>
          </w:p>
        </w:tc>
      </w:tr>
      <w:tr>
        <w:trPr>
          <w:trHeight w:val="183"/>
        </w:trPr>
        <w:tc>
          <w:tcPr>
            <w:tcW w:w="2120" w:type="dxa"/>
            <w:vAlign w:val="bottom"/>
          </w:tcPr>
          <w:p>
            <w:pPr>
              <w:spacing w:after="0"/>
              <w:rPr>
                <w:sz w:val="15"/>
                <w:szCs w:val="15"/>
                <w:color w:val="auto"/>
              </w:rPr>
            </w:pPr>
          </w:p>
        </w:tc>
        <w:tc>
          <w:tcPr>
            <w:tcW w:w="9140" w:type="dxa"/>
            <w:vAlign w:val="bottom"/>
          </w:tcPr>
          <w:p>
            <w:pPr>
              <w:ind w:left="1000"/>
              <w:spacing w:after="0"/>
              <w:rPr>
                <w:sz w:val="20"/>
                <w:szCs w:val="20"/>
                <w:color w:val="auto"/>
              </w:rPr>
            </w:pPr>
            <w:r>
              <w:rPr>
                <w:rFonts w:ascii="Arial" w:cs="Arial" w:eastAsia="Arial" w:hAnsi="Arial"/>
                <w:sz w:val="15"/>
                <w:szCs w:val="15"/>
                <w:color w:val="auto"/>
              </w:rPr>
              <w:t>Chief Financial Officer and Corporate Secretary</w:t>
            </w:r>
          </w:p>
        </w:tc>
      </w:tr>
      <w:tr>
        <w:trPr>
          <w:trHeight w:val="194"/>
        </w:trPr>
        <w:tc>
          <w:tcPr>
            <w:tcW w:w="2120" w:type="dxa"/>
            <w:vAlign w:val="bottom"/>
          </w:tcPr>
          <w:p>
            <w:pPr>
              <w:spacing w:after="0"/>
              <w:rPr>
                <w:sz w:val="16"/>
                <w:szCs w:val="16"/>
                <w:color w:val="auto"/>
              </w:rPr>
            </w:pPr>
          </w:p>
        </w:tc>
        <w:tc>
          <w:tcPr>
            <w:tcW w:w="9140" w:type="dxa"/>
            <w:vAlign w:val="bottom"/>
          </w:tcPr>
          <w:p>
            <w:pPr>
              <w:ind w:left="1000"/>
              <w:spacing w:after="0"/>
              <w:rPr>
                <w:sz w:val="20"/>
                <w:szCs w:val="20"/>
                <w:color w:val="auto"/>
              </w:rPr>
            </w:pPr>
            <w:r>
              <w:rPr>
                <w:rFonts w:ascii="Arial" w:cs="Arial" w:eastAsia="Arial" w:hAnsi="Arial"/>
                <w:sz w:val="15"/>
                <w:szCs w:val="15"/>
                <w:color w:val="auto"/>
              </w:rPr>
              <w:t>(principal financial officer)</w:t>
            </w:r>
          </w:p>
        </w:tc>
      </w:tr>
      <w:tr>
        <w:trPr>
          <w:trHeight w:val="266"/>
        </w:trPr>
        <w:tc>
          <w:tcPr>
            <w:tcW w:w="2120" w:type="dxa"/>
            <w:vAlign w:val="bottom"/>
            <w:tcBorders>
              <w:bottom w:val="single" w:sz="8" w:color="auto"/>
            </w:tcBorders>
          </w:tcPr>
          <w:p>
            <w:pPr>
              <w:spacing w:after="0"/>
              <w:rPr>
                <w:sz w:val="23"/>
                <w:szCs w:val="23"/>
                <w:color w:val="auto"/>
              </w:rPr>
            </w:pPr>
          </w:p>
        </w:tc>
        <w:tc>
          <w:tcPr>
            <w:tcW w:w="9140" w:type="dxa"/>
            <w:vAlign w:val="bottom"/>
            <w:tcBorders>
              <w:bottom w:val="single" w:sz="8" w:color="auto"/>
            </w:tcBorders>
          </w:tcPr>
          <w:p>
            <w:pPr>
              <w:spacing w:after="0"/>
              <w:rPr>
                <w:sz w:val="23"/>
                <w:szCs w:val="23"/>
                <w:color w:val="auto"/>
              </w:rPr>
            </w:pPr>
          </w:p>
        </w:tc>
      </w:tr>
    </w:tbl>
    <w:p>
      <w:pPr>
        <w:sectPr>
          <w:pgSz w:w="11900" w:h="16838" w:orient="portrait"/>
          <w:cols w:equalWidth="0" w:num="1">
            <w:col w:w="11269"/>
          </w:cols>
          <w:pgMar w:left="311" w:top="125"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b w:val="1"/>
          <w:bCs w:val="1"/>
          <w:color w:val="auto"/>
        </w:rPr>
        <w:t>Exhibit 32.1</w:t>
      </w:r>
    </w:p>
    <w:p>
      <w:pPr>
        <w:spacing w:after="0" w:line="368" w:lineRule="exact"/>
        <w:rPr>
          <w:sz w:val="20"/>
          <w:szCs w:val="20"/>
          <w:color w:val="auto"/>
        </w:rPr>
      </w:pPr>
    </w:p>
    <w:p>
      <w:pPr>
        <w:jc w:val="center"/>
        <w:ind w:right="20"/>
        <w:spacing w:after="0" w:line="273"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36" w:lineRule="exact"/>
        <w:rPr>
          <w:sz w:val="20"/>
          <w:szCs w:val="20"/>
          <w:color w:val="auto"/>
        </w:rPr>
      </w:pPr>
    </w:p>
    <w:p>
      <w:pPr>
        <w:jc w:val="both"/>
        <w:ind w:right="400"/>
        <w:spacing w:after="0" w:line="269" w:lineRule="auto"/>
        <w:rPr>
          <w:sz w:val="20"/>
          <w:szCs w:val="20"/>
          <w:color w:val="auto"/>
        </w:rPr>
      </w:pPr>
      <w:r>
        <w:rPr>
          <w:rFonts w:ascii="Arial" w:cs="Arial" w:eastAsia="Arial" w:hAnsi="Arial"/>
          <w:sz w:val="15"/>
          <w:szCs w:val="15"/>
          <w:color w:val="auto"/>
        </w:rPr>
        <w:t>In connection with the Quarterly Report of Northern Technologies International Corporation (the “Company”) on Form 10-Q for the period ended May 31, 2020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52" w:lineRule="exact"/>
        <w:rPr>
          <w:sz w:val="20"/>
          <w:szCs w:val="20"/>
          <w:color w:val="auto"/>
        </w:rPr>
      </w:pPr>
    </w:p>
    <w:p>
      <w:pPr>
        <w:ind w:left="1340" w:hanging="800"/>
        <w:spacing w:after="0"/>
        <w:tabs>
          <w:tab w:leader="none" w:pos="13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3" w:lineRule="exact"/>
        <w:rPr>
          <w:rFonts w:ascii="Arial" w:cs="Arial" w:eastAsia="Arial" w:hAnsi="Arial"/>
          <w:sz w:val="15"/>
          <w:szCs w:val="15"/>
          <w:color w:val="auto"/>
        </w:rPr>
      </w:pPr>
    </w:p>
    <w:p>
      <w:pPr>
        <w:ind w:left="1340" w:hanging="800"/>
        <w:spacing w:after="0"/>
        <w:tabs>
          <w:tab w:leader="none" w:pos="1340" w:val="left"/>
        </w:tabs>
        <w:numPr>
          <w:ilvl w:val="1"/>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2301875" cy="399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01875" cy="3994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(principal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Circle Pines, Minnesota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53275"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b w:val="1"/>
          <w:bCs w:val="1"/>
          <w:color w:val="auto"/>
        </w:rPr>
        <w:t>Exhibit 32.2</w:t>
      </w:r>
    </w:p>
    <w:p>
      <w:pPr>
        <w:spacing w:after="0" w:line="368" w:lineRule="exact"/>
        <w:rPr>
          <w:sz w:val="20"/>
          <w:szCs w:val="20"/>
          <w:color w:val="auto"/>
        </w:rPr>
      </w:pPr>
    </w:p>
    <w:p>
      <w:pPr>
        <w:jc w:val="center"/>
        <w:ind w:right="20"/>
        <w:spacing w:after="0" w:line="273"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36" w:lineRule="exact"/>
        <w:rPr>
          <w:sz w:val="20"/>
          <w:szCs w:val="20"/>
          <w:color w:val="auto"/>
        </w:rPr>
      </w:pPr>
    </w:p>
    <w:p>
      <w:pPr>
        <w:ind w:right="160"/>
        <w:spacing w:after="0" w:line="297" w:lineRule="auto"/>
        <w:rPr>
          <w:sz w:val="20"/>
          <w:szCs w:val="20"/>
          <w:color w:val="auto"/>
        </w:rPr>
      </w:pPr>
      <w:r>
        <w:rPr>
          <w:rFonts w:ascii="Arial" w:cs="Arial" w:eastAsia="Arial" w:hAnsi="Arial"/>
          <w:sz w:val="14"/>
          <w:szCs w:val="14"/>
          <w:color w:val="auto"/>
        </w:rPr>
        <w:t>In connection with the Quarterly Report of Northern Technologies International Corporation (the “Company”) on Form 10-Q for the period ended May 31, 2020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34" w:lineRule="exact"/>
        <w:rPr>
          <w:sz w:val="20"/>
          <w:szCs w:val="20"/>
          <w:color w:val="auto"/>
        </w:rPr>
      </w:pPr>
    </w:p>
    <w:p>
      <w:pPr>
        <w:ind w:left="1340" w:hanging="800"/>
        <w:spacing w:after="0"/>
        <w:tabs>
          <w:tab w:leader="none" w:pos="1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3" w:lineRule="exact"/>
        <w:rPr>
          <w:rFonts w:ascii="Arial" w:cs="Arial" w:eastAsia="Arial" w:hAnsi="Arial"/>
          <w:sz w:val="15"/>
          <w:szCs w:val="15"/>
          <w:color w:val="auto"/>
        </w:rPr>
      </w:pPr>
    </w:p>
    <w:p>
      <w:pPr>
        <w:ind w:left="1340" w:hanging="800"/>
        <w:spacing w:after="0"/>
        <w:tabs>
          <w:tab w:leader="none" w:pos="1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062480" cy="631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62480"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Matthew C. Wolsfeld, CPA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 and Corporate Secretary (principal financial officer and principal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accounting officer)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Circle Pines, Minnesota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53275"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36195"/>
                    </a:xfrm>
                    <a:prstGeom prst="rect">
                      <a:avLst/>
                    </a:prstGeom>
                    <a:noFill/>
                  </pic:spPr>
                </pic:pic>
              </a:graphicData>
            </a:graphic>
          </wp:anchor>
        </w:drawing>
      </w:r>
    </w:p>
    <w:sectPr>
      <w:pgSz w:w="11900" w:h="16838" w:orient="portrait"/>
      <w:cols w:equalWidth="0" w:num="1">
        <w:col w:w="11260"/>
      </w:cols>
      <w:pgMar w:left="32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3"/>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upperLetter"/>
      <w:start w:val="1"/>
    </w:lvl>
    <w:lvl w:ilvl="1">
      <w:lvlJc w:val="left"/>
      <w:lvlText w:val="(%2)"/>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2020-07-09T15:09:01Z</dcterms:created>
  <dcterms:modified xsi:type="dcterms:W3CDTF">2020-07-09T15:09:01Z</dcterms:modified>
</cp:coreProperties>
</file>