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00" w:right="100" w:hanging="454"/>
        <w:spacing w:after="0" w:line="256"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May 31, 2010</w:t>
      </w:r>
    </w:p>
    <w:p>
      <w:pPr>
        <w:spacing w:after="0" w:line="216" w:lineRule="exact"/>
        <w:rPr>
          <w:sz w:val="24"/>
          <w:szCs w:val="24"/>
          <w:color w:val="auto"/>
        </w:rPr>
      </w:pPr>
    </w:p>
    <w:p>
      <w:pPr>
        <w:ind w:left="800" w:right="80" w:hanging="454"/>
        <w:spacing w:after="0" w:line="256" w:lineRule="auto"/>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00"/>
        <w:spacing w:after="0"/>
        <w:tabs>
          <w:tab w:leader="none" w:pos="6780" w:val="left"/>
          <w:tab w:leader="none" w:pos="7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233" w:right="27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2">
            <w:col w:w="6860" w:space="720"/>
            <w:col w:w="380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15, 2010, 4,253,321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31, 2010</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385"/>
        </w:trPr>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69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2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May 31, 2010 (unaudited) and August 31, 2009</w:t>
              </w:r>
            </w:hyperlink>
          </w:p>
        </w:tc>
        <w:tc>
          <w:tcPr>
            <w:tcW w:w="33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(unaudited) for the Three and Nine Months Ended May 31, 2010 and 2009</w:t>
              </w:r>
            </w:hyperlink>
          </w:p>
        </w:tc>
        <w:tc>
          <w:tcPr>
            <w:tcW w:w="10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(unaudited) for the Nine Months Ended May 31, 2010 and 2009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00" w:type="dxa"/>
            <w:vAlign w:val="bottom"/>
            <w:tcBorders>
              <w:top w:val="single" w:sz="8" w:color="0000EE"/>
            </w:tcBorders>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18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Item 2.</w:t>
              </w:r>
            </w:hyperlink>
          </w:p>
        </w:tc>
        <w:tc>
          <w:tcPr>
            <w:tcW w:w="6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100" w:type="dxa"/>
            <w:vAlign w:val="bottom"/>
            <w:tcBorders>
              <w:bottom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286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62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Controls and Procedures</w:t>
              </w:r>
            </w:hyperlink>
          </w:p>
        </w:tc>
        <w:tc>
          <w:tcPr>
            <w:tcW w:w="754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72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Legal Proceedings</w:t>
              </w:r>
            </w:hyperlink>
          </w:p>
        </w:tc>
        <w:tc>
          <w:tcPr>
            <w:tcW w:w="680" w:type="dxa"/>
            <w:vAlign w:val="bottom"/>
            <w:tcBorders>
              <w:top w:val="single" w:sz="8" w:color="0000EE"/>
            </w:tcBorders>
            <w:gridSpan w:val="4"/>
          </w:tcPr>
          <w:p>
            <w:pPr>
              <w:spacing w:after="0"/>
              <w:rPr>
                <w:sz w:val="24"/>
                <w:szCs w:val="24"/>
                <w:color w:val="auto"/>
              </w:rPr>
            </w:pPr>
          </w:p>
        </w:tc>
        <w:tc>
          <w:tcPr>
            <w:tcW w:w="73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4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496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14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600" w:type="dxa"/>
            <w:vAlign w:val="bottom"/>
            <w:tcBorders>
              <w:top w:val="single" w:sz="8" w:color="0000EE"/>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[Removed and Reserved]</w:t>
              </w:r>
            </w:hyperlink>
          </w:p>
        </w:tc>
        <w:tc>
          <w:tcPr>
            <w:tcW w:w="480" w:type="dxa"/>
            <w:vAlign w:val="bottom"/>
            <w:tcBorders>
              <w:top w:val="single" w:sz="8" w:color="0000EE"/>
            </w:tcBorders>
            <w:gridSpan w:val="2"/>
          </w:tcPr>
          <w:p>
            <w:pPr>
              <w:spacing w:after="0"/>
              <w:rPr>
                <w:sz w:val="24"/>
                <w:szCs w:val="24"/>
                <w:color w:val="auto"/>
              </w:rPr>
            </w:pPr>
          </w:p>
        </w:tc>
        <w:tc>
          <w:tcPr>
            <w:tcW w:w="70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5.</w:t>
              </w:r>
            </w:hyperlink>
          </w:p>
        </w:tc>
        <w:tc>
          <w:tcPr>
            <w:tcW w:w="6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6.</w:t>
              </w:r>
            </w:hyperlink>
          </w:p>
        </w:tc>
        <w:tc>
          <w:tcPr>
            <w:tcW w:w="6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00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SIGNATURE PAGE</w:t>
              </w:r>
            </w:hyperlink>
          </w:p>
        </w:tc>
        <w:tc>
          <w:tcPr>
            <w:tcW w:w="9100" w:type="dxa"/>
            <w:vAlign w:val="bottom"/>
            <w:gridSpan w:val="2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0700" w:type="dxa"/>
            <w:vAlign w:val="bottom"/>
            <w:gridSpan w:val="2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EXHIBIT INDEX</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31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Northern Technologies Holding Company, LLC and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MAY 31, 2010 (UNAUDITED)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AND AUGUST 31, 2009 (AUDITED)</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7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700" w:type="dxa"/>
            <w:vAlign w:val="bottom"/>
            <w:tcBorders>
              <w:bottom w:val="single" w:sz="8" w:color="CCEEFF"/>
            </w:tcBorders>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7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1,103,620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138,885</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6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w w:val="93"/>
              </w:rPr>
              <w:t>Trade excluding joint ventures, less allowance for doubtful accounts of $79,000 at May 31, 2010 and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00" w:type="dxa"/>
            <w:vAlign w:val="bottom"/>
            <w:shd w:val="clear" w:color="auto" w:fill="CCEEFF"/>
          </w:tcPr>
          <w:p>
            <w:pPr>
              <w:spacing w:after="0"/>
              <w:rPr>
                <w:sz w:val="20"/>
                <w:szCs w:val="20"/>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31, 2009</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1,731,936</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1,373,802</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Trade joint ventures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1,350,696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662,954</w:t>
            </w: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1,311,939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1,760,602</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401,992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173,038</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2,955,044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2,002,622</w:t>
            </w:r>
          </w:p>
        </w:tc>
      </w:tr>
    </w:tbl>
    <w:p>
      <w:pPr>
        <w:sectPr>
          <w:pgSz w:w="11900" w:h="16870" w:orient="portrait"/>
          <w:cols w:equalWidth="0" w:num="1">
            <w:col w:w="11420"/>
          </w:cols>
          <w:pgMar w:left="240" w:top="118"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186,428</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9,260,555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3,484,050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3,542,169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14,960,391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1,336,700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Industrial patents and trademarks,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932,424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17,410,134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16,471,862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30,154,739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note payable (Note 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1,153,953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1,089,952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841,378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Deferred joint venture royalties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3,724,468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$0.02 par value per share; authorized 10,000,000 shares; issued and outstanding</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4,253,321 and 3,756,596, respectively</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85,066</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9,059,451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17,062,278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26,430,271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22,741,803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30,154,739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2010 AND 2009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May 31, 2010</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May 31, 2009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May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2,559,467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1,555,065</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7,164,784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5,855,536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1,660,294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3,237,198</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8,825,078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6,678,748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2,172,902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995,672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5,771,045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1,064,296</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3,054,033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(loss) of joint ventures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2,909,120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1,140,295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821,810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3,441,563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2,760,379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2,651,829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6,350,683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Selling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819,572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591,559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2,004,094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869,183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2,628,447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Expenses incurred in support of joint ventures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208,444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224,887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682,828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960,780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2,526,478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Loss on impairment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2,857,979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2,070,739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7,841,847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858,146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1,562,869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(2,443,639)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(23,867)</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(73,637)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(102,271)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841,968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(594,679)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1,515,314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(2,516,484)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(110,000)</w:t>
            </w: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(219,000)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951,698</w:t>
            </w:r>
          </w:p>
        </w:tc>
        <w:tc>
          <w:tcPr>
            <w:tcW w:w="300" w:type="dxa"/>
            <w:vAlign w:val="bottom"/>
          </w:tcPr>
          <w:p>
            <w:pPr>
              <w:spacing w:after="0"/>
              <w:rPr>
                <w:sz w:val="22"/>
                <w:szCs w:val="22"/>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(638,679)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1,734,314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(2,139,484)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0.22</w:t>
            </w:r>
          </w:p>
        </w:tc>
        <w:tc>
          <w:tcPr>
            <w:tcW w:w="300" w:type="dxa"/>
            <w:vAlign w:val="bottom"/>
            <w:vMerge w:val="continue"/>
          </w:tcPr>
          <w:p>
            <w:pPr>
              <w:spacing w:after="0"/>
              <w:rPr>
                <w:sz w:val="20"/>
                <w:szCs w:val="20"/>
                <w:color w:val="auto"/>
              </w:rPr>
            </w:pP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(0.17)</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0.41</w:t>
            </w:r>
          </w:p>
        </w:tc>
        <w:tc>
          <w:tcPr>
            <w:tcW w:w="28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4,244,086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3,754,596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4,213,465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4,299,855</w:t>
            </w: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3,754,596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4,252,735</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3,746,977</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300" w:type="dxa"/>
            <w:vAlign w:val="bottom"/>
            <w:gridSpan w:val="8"/>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 MAY 31, 2010 AND 2009</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May 31, 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1,734,314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(2,139,484)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141,315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284,041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294,852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Loss on asset impairment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Minority interest expense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income (loss) from joint ventures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(2,909,120)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520"/>
              <w:spacing w:after="0"/>
              <w:rPr>
                <w:sz w:val="20"/>
                <w:szCs w:val="20"/>
                <w:color w:val="auto"/>
              </w:rPr>
            </w:pPr>
            <w:r>
              <w:rPr>
                <w:rFonts w:ascii="Arial" w:cs="Arial" w:eastAsia="Arial" w:hAnsi="Arial"/>
                <w:sz w:val="18"/>
                <w:szCs w:val="18"/>
                <w:color w:val="auto"/>
              </w:rPr>
              <w:t>Change in current assets and liabilities: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100"/>
              <w:spacing w:after="0"/>
              <w:rPr>
                <w:sz w:val="20"/>
                <w:szCs w:val="20"/>
                <w:color w:val="auto"/>
              </w:rPr>
            </w:pPr>
            <w:r>
              <w:rPr>
                <w:rFonts w:ascii="Arial" w:cs="Arial" w:eastAsia="Arial" w:hAnsi="Arial"/>
                <w:sz w:val="18"/>
                <w:szCs w:val="18"/>
                <w:color w:val="auto"/>
              </w:rPr>
              <w:t>Trade excluding joint ventures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(358,134)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769,768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Trade joint ventures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(569,824)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100"/>
              <w:spacing w:after="0"/>
              <w:rPr>
                <w:sz w:val="20"/>
                <w:szCs w:val="20"/>
                <w:color w:val="auto"/>
              </w:rPr>
            </w:pPr>
            <w:r>
              <w:rPr>
                <w:rFonts w:ascii="Arial" w:cs="Arial" w:eastAsia="Arial" w:hAnsi="Arial"/>
                <w:sz w:val="18"/>
                <w:szCs w:val="18"/>
                <w:color w:val="auto"/>
              </w:rPr>
              <w:t>Fees for services provided to joint ventures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448,663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1,444,249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8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(952,422)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431,237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8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459,589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(962,099)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626,784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7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(1,253,606)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(1,561,467)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joint ventures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Dividends received from joint ventures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441,548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2,289,888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(225,922)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Additions to industrial patents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(160,486)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1,418,472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Bank overdrafts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(852,284)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borrowings made on line of credit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Repayment of note payable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(26,020)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3,195,613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Stock options exercised</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63,765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2,193,283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4"/>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964,735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(118,821)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1,103,620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-7513955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-7513955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2010 and the results of their operations for the three and nine months ended May 31, 2010 and May 31, 2009 and their cash flows for the nine months ended May 31, 2010 and May 31, 2009, in conformity with accounting principles generally accepted in the United States of America (“U.S. GAAP”).</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 The Company has reclassified various line items in the statements of operations to better provide the results of its joint ventures, as well as its North American operations. These reclassifications changed the Company’s operating income (loss), but did not impact its net income (loss) or net income (loss) per common share.</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2009 and the revised consolidated statements of operations for the fiscal year ended August 31, 2009 and 2008 contained in Exhibit 99.1 to this report. These consolidated financial statements also should be read in conjunction with the “Management’s Discussion and Analysis of Financial Condition and Results of Operations” section appearing in this report.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results for the three and nine months ended May 31, 2010 are not necessarily indicative of the results that may be expected for the full fiscal year ending August 31, 2010.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47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INVENTORIES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31, 2010</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2009</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1,325,966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Finished goods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1,629,078</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1,054,945</w:t>
            </w:r>
          </w:p>
        </w:tc>
        <w:tc>
          <w:tcPr>
            <w:tcW w:w="10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2,955,044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440" w:type="dxa"/>
            <w:vAlign w:val="bottom"/>
            <w:gridSpan w:val="3"/>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4840" w:type="dxa"/>
            <w:vAlign w:val="bottom"/>
            <w:gridSpan w:val="4"/>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80" w:type="dxa"/>
            <w:vAlign w:val="bottom"/>
          </w:tcPr>
          <w:p>
            <w:pPr>
              <w:jc w:val="right"/>
              <w:ind w:right="157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gridSpan w:val="2"/>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r>
        <w:trPr>
          <w:trHeight w:val="523"/>
        </w:trPr>
        <w:tc>
          <w:tcPr>
            <w:tcW w:w="48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5"/>
        </w:trPr>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31, 2010</w:t>
            </w:r>
          </w:p>
        </w:tc>
        <w:tc>
          <w:tcPr>
            <w:tcW w:w="140" w:type="dxa"/>
            <w:vAlign w:val="bottom"/>
          </w:tcPr>
          <w:p>
            <w:pPr>
              <w:spacing w:after="0"/>
              <w:rPr>
                <w:sz w:val="24"/>
                <w:szCs w:val="24"/>
                <w:color w:val="auto"/>
              </w:rPr>
            </w:pPr>
          </w:p>
        </w:tc>
        <w:tc>
          <w:tcPr>
            <w:tcW w:w="2240" w:type="dxa"/>
            <w:vAlign w:val="bottom"/>
            <w:gridSpan w:val="3"/>
          </w:tcPr>
          <w:p>
            <w:pPr>
              <w:ind w:left="40"/>
              <w:spacing w:after="0"/>
              <w:rPr>
                <w:sz w:val="20"/>
                <w:szCs w:val="20"/>
                <w:color w:val="auto"/>
              </w:rPr>
            </w:pPr>
            <w:r>
              <w:rPr>
                <w:rFonts w:ascii="Arial" w:cs="Arial" w:eastAsia="Arial" w:hAnsi="Arial"/>
                <w:sz w:val="14"/>
                <w:szCs w:val="14"/>
                <w:b w:val="1"/>
                <w:bCs w:val="1"/>
                <w:color w:val="auto"/>
              </w:rPr>
              <w:t>August 31, 2009</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3,099,185</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3,083,598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1,796,375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1,641,878</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5,205,925</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5,035,841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(1,721,875)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(1,493,672)</w:t>
            </w:r>
          </w:p>
        </w:tc>
        <w:tc>
          <w:tcPr>
            <w:tcW w:w="92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3,484,050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3,542,169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-1493520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-1493520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31, 2010</w:t>
            </w: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August 31, 2009</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1,590,839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(658,415)</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(542,287)</w:t>
            </w:r>
          </w:p>
        </w:tc>
      </w:tr>
      <w:tr>
        <w:trPr>
          <w:trHeight w:val="210"/>
        </w:trPr>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Patent and trademark costs are amortized over seven years once a patent or trademark is filed and approved. Amortization expense related to patents and trademarks was $38,984 and $33,290 for the three months ended May 31, 2010 and 2009, respectively, and $116,128 and $106,391 for the nine months ended May 31, 2010 and May 31, 2009, respectively. Amortization expense is estimated to approximate $160,000 in each of the next five fiscal years.</w:t>
      </w:r>
    </w:p>
    <w:p>
      <w:pPr>
        <w:spacing w:after="0" w:line="14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w:t>
      </w:r>
    </w:p>
    <w:p>
      <w:pPr>
        <w:sectPr>
          <w:pgSz w:w="11900" w:h="16838" w:orient="portrait"/>
          <w:cols w:equalWidth="0" w:num="1">
            <w:col w:w="11460"/>
          </w:cols>
          <w:pgMar w:left="240" w:top="125" w:right="199" w:bottom="0" w:gutter="0" w:footer="0" w:header="0"/>
        </w:sectPr>
      </w:pPr>
    </w:p>
    <w:bookmarkStart w:id="5" w:name="page6"/>
    <w:bookmarkEnd w:id="5"/>
    <w:p>
      <w:pPr>
        <w:spacing w:after="0" w:line="1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subsequently been adjusted to approximate U.S. GAAP in all material respects. All material profits recorded on sales from the Company to its joint ventures have been eliminated for financial reporting purposes.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(“Germany”), the Company’s joint venture holding company in the Association of Southeast Asian Nations, or ASEAN, region, NTI ASEAN, LLC (“ASEAN”), and all of the Company’s other joint ventures,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615"/>
              <w:spacing w:after="0"/>
              <w:rPr>
                <w:sz w:val="20"/>
                <w:szCs w:val="20"/>
                <w:color w:val="auto"/>
              </w:rPr>
            </w:pPr>
            <w:r>
              <w:rPr>
                <w:rFonts w:ascii="Arial" w:cs="Arial" w:eastAsia="Arial" w:hAnsi="Arial"/>
                <w:sz w:val="14"/>
                <w:szCs w:val="14"/>
                <w:b w:val="1"/>
                <w:bCs w:val="1"/>
                <w:color w:val="auto"/>
                <w:w w:val="95"/>
              </w:rPr>
              <w:t>May 31, 2010</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46,904,472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13,730,225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11,723,269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21,450,978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53,060,653</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16,176,823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11,995,041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24,888,789</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16,097,277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3,998,499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10,066,979</w:t>
            </w: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4,424,241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860,200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3,564,041</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32,539,135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14,145,024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7,136,342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11,257,769</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ventures’ equity</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14,960,391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7,072,512</w:t>
            </w:r>
          </w:p>
        </w:tc>
        <w:tc>
          <w:tcPr>
            <w:tcW w:w="14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2,518,180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5,369,771</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48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615"/>
              <w:spacing w:after="0"/>
              <w:rPr>
                <w:sz w:val="20"/>
                <w:szCs w:val="20"/>
                <w:color w:val="auto"/>
              </w:rPr>
            </w:pPr>
            <w:r>
              <w:rPr>
                <w:rFonts w:ascii="Arial" w:cs="Arial" w:eastAsia="Arial" w:hAnsi="Arial"/>
                <w:sz w:val="14"/>
                <w:szCs w:val="14"/>
                <w:b w:val="1"/>
                <w:bCs w:val="1"/>
                <w:color w:val="auto"/>
                <w:w w:val="91"/>
              </w:rPr>
              <w:t>August 31, 2009</w:t>
            </w: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43,863,290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15,304,713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9,619,391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18,939,186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50,224,882</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18,291,291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9,752,084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22,181,507</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17,260,943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3,458,446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9,187,957</w:t>
            </w: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2,325,943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97,433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2,228,510</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30,637,996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13,676,750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6,196,206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10,765,040</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ventures’ equity</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14,064,122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6,838,375</w:t>
            </w:r>
          </w:p>
        </w:tc>
        <w:tc>
          <w:tcPr>
            <w:tcW w:w="14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3,098,103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4,127,644</w:t>
            </w: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5"/>
              </w:rPr>
              <w:t>Nine Months Ended May 31, 2010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62,294,519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18,042,624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10,350,856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33,901,039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30,852,120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9,981,373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5,307,801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15,562,945</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5,664,630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1,113,340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1,521,928</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Northern Technologies International Corporation’s share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2,909,120</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1,505,024</w:t>
            </w:r>
          </w:p>
        </w:tc>
        <w:tc>
          <w:tcPr>
            <w:tcW w:w="14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677,175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726,921</w:t>
            </w: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5"/>
              </w:rPr>
              <w:t>Nine Months Ended May 31, 2009</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46,628,644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14,824,466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6,635,907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25,168,271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21,551,740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7,026,016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3,211,362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11,314,362</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753,462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584,842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(328,613)</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Northern Technologies International Corporation’s share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650,900</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381,877</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264,763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-3749040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-3749040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statements of operation on the line “Expenses incurred in support of joint ventures”. The expenses include items such as employee compensation and benefit expenses, travel expense and consulting expense.</w:t>
      </w:r>
    </w:p>
    <w:p>
      <w:pPr>
        <w:spacing w:after="0" w:line="12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has a demand line of credit of $2,300,000 with National City Bank (the “Bank”) with $0 and $963,000 outstanding as of May 31, 2010 and 2009, respectively. Advances made under the demand line of credit are made at the sole discretion of the Bank and are due and payable on demand. Outstanding amounts under the demand line of credit bear interest at an annual rate based on LIBOR plus 2.25%. As of May 31, 2010, the interest rate was 3.33% and the weighted average rate was 3.31% for the nine months ended May 31, 2010. As of May 31, 2009, the interest rate was 2.57% and the weighted average rate was 3.26% for the nine months ended May 31, 2009. Interest is payable in arrears on the 15th day of each month and on demand.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purchase of its corporate headquarters, in September 2006, the Company obtained a term loan with a principal amount of $1,275,000 that matures on May 1, 2011, bears interest at a fixed rate of 8.01% and is payable in 59 monthly payments equal to approximately $10,776 (inclusive of principal and interest). All of the remaining unpaid principal and accrued interest is due and payable on the maturity date, unless the Bank demands payment earlier due to a covenant breach by the Company as discussed in more detail below. The term loan is secured by a first lien on the Company’s Circle Pines facility pursuant to a Mortgage dated as of May 3, 2006 between Northern Technologies Holding Company LLC and the Bank and is guaranteed by the Company.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Under the note governing the term loan (the “Note”), the Company is subject to a minimum debt service coverage ratio of 1.0:1.0. At August 31, 2009, November 30, 2009, February 28, 2010 and May 31, 2010, the Company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failed to meet this financial covenant. Although the Bank subsequently waived the covenant violation as of August 31, 2009, the Company has not sought and has not obtained a waiver of any subsequent covenant violations from the Bank. As a result, an event of default occurred under the Note and the Bank has the right in its discretion, by giving written notice to the Company, to declare the full amount outstanding under the Note immediately due and payable in full. The Company has no intention to obtain a waiver for the event of default or desire to renegotiate or refinance the term loan. The Company has not</w:t>
      </w:r>
    </w:p>
    <w:p>
      <w:pPr>
        <w:sectPr>
          <w:pgSz w:w="11900" w:h="16945" w:orient="portrait"/>
          <w:cols w:equalWidth="0" w:num="1">
            <w:col w:w="11460"/>
          </w:cols>
          <w:pgMar w:left="240" w:top="125" w:right="199" w:bottom="0" w:gutter="0" w:footer="0" w:header="0"/>
        </w:sectPr>
      </w:pPr>
    </w:p>
    <w:bookmarkStart w:id="6" w:name="page7"/>
    <w:bookmarkEnd w:id="6"/>
    <w:p>
      <w:pPr>
        <w:jc w:val="both"/>
        <w:ind w:right="360"/>
        <w:spacing w:after="0" w:line="286" w:lineRule="auto"/>
        <w:rPr>
          <w:sz w:val="20"/>
          <w:szCs w:val="20"/>
          <w:color w:val="auto"/>
        </w:rPr>
      </w:pPr>
      <w:r>
        <w:rPr>
          <w:rFonts w:ascii="Arial" w:cs="Arial" w:eastAsia="Arial" w:hAnsi="Arial"/>
          <w:sz w:val="17"/>
          <w:szCs w:val="17"/>
          <w:color w:val="auto"/>
        </w:rPr>
        <w:t>received any notice from the Bank regarding the Bank’s intent to call the loan. In the event the Bank declares the Note immediately due and payable, the Company intends to pay off the Note in full with the Company’s existing cash and cash equivalents. The Company has classified all amounts outstanding under the Note as a current liability on its consolidated balance sheets as of May 31, 2010 and August 31, 2009.</w:t>
      </w:r>
    </w:p>
    <w:p>
      <w:pPr>
        <w:spacing w:after="0" w:line="16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May 31, 2010, the Company did not purchase or retire any shares of its common stock. The following stock options to purchase shares of common stock were exercised during the nine months ended May 31, 2010:</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820" w:type="dxa"/>
            <w:vAlign w:val="bottom"/>
            <w:gridSpan w:val="2"/>
          </w:tcPr>
          <w:p>
            <w:pPr>
              <w:ind w:left="700"/>
              <w:spacing w:after="0"/>
              <w:rPr>
                <w:sz w:val="20"/>
                <w:szCs w:val="20"/>
                <w:color w:val="auto"/>
              </w:rPr>
            </w:pPr>
            <w:r>
              <w:rPr>
                <w:rFonts w:ascii="Arial" w:cs="Arial" w:eastAsia="Arial" w:hAnsi="Arial"/>
                <w:sz w:val="14"/>
                <w:szCs w:val="14"/>
                <w:b w:val="1"/>
                <w:bCs w:val="1"/>
                <w:color w:val="auto"/>
              </w:rPr>
              <w:t>Options Exercised</w:t>
            </w:r>
          </w:p>
        </w:tc>
        <w:tc>
          <w:tcPr>
            <w:tcW w:w="420" w:type="dxa"/>
            <w:vAlign w:val="bottom"/>
          </w:tcPr>
          <w:p>
            <w:pPr>
              <w:spacing w:after="0"/>
              <w:rPr>
                <w:sz w:val="14"/>
                <w:szCs w:val="14"/>
                <w:color w:val="auto"/>
              </w:rPr>
            </w:pPr>
          </w:p>
        </w:tc>
        <w:tc>
          <w:tcPr>
            <w:tcW w:w="20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r>
      <w:tr>
        <w:trPr>
          <w:trHeight w:val="216"/>
        </w:trPr>
        <w:tc>
          <w:tcPr>
            <w:tcW w:w="2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r>
    </w:tbl>
    <w:p>
      <w:pPr>
        <w:spacing w:after="0" w:line="202"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2007 Stock Incentive Plan to purchase an aggregate of 128,333 shares of its common stock to various employees and directors during the nine months ended May 31, 2010. The weighted average per share exercise price of the stock options is $7.92, which is equal to the fair market value of the Company’s common stock on the date of grant.</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sold an aggregate of 5,225 shares of its common stock to various employees at a weighted average purchase price of $7.07 per share under the Northern Technologies International Corporation Employee Stock Purchase Plan, resulting in gross proceeds to the Company of $36,925, during the nine months ended May 31, 2010.</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nine months ended May 31, 2009, the Company did not purchase or retire any shares of its common stock and no stock options to purchase shares of the Company’s common stock were exercised or granted. The Company granted stock bonuses under the Northern Technologies International Corporation 2007 Stock Incentive Plan for an aggregate of 21,513 shares of its common stock to various employees during the nine months ended May 31, 2009. The fair value of the shares of the Company’s common stock as of the date of grant of the stock bonuses was $226,961, based on the closing sale price of a share of the Company’s common stock on that date. The Company sold an aggregate of 3,626 shares of its common stock to various employees at a weighted average purchase price of $6.47 per share under the Northern Technologies International Corporation Employee Stock Purchase Plan, resulting in gross proceeds to the Company of $23,465, during the nine months ended May 31, 2009.</w:t>
      </w:r>
    </w:p>
    <w:p>
      <w:pPr>
        <w:spacing w:after="0" w:line="17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income (loss)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May 31, 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May 31, 2009</w:t>
            </w:r>
          </w:p>
        </w:tc>
        <w:tc>
          <w:tcPr>
            <w:tcW w:w="10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951,968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1,734,314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(loss) income – foreign currency</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(1,379,530)</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1,202,403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(1,483,466)</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(584,657)</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(427,562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563,724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(2,724,141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Basic net income (loss) per common share is computed by dividing net income (loss) by the weighted average number of common shares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Diluted net income (loss) per share assumes the exercise of stock options using the treasury stock method, if dilutive.</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Options to purchase shares of common stock of 39,000 were excluded from the computation of common share equivalents for both the three and nine months ended May 31, 2010, as stock option exercise prices were greater than market price of a share of common stock. All outstanding options to purchase shares of common stock were excluded from the computation of common share equivalents for the three and nine months ended May 31, 2009, as the Company reported losses for those periods.</w:t>
      </w:r>
    </w:p>
    <w:p>
      <w:pPr>
        <w:spacing w:after="0" w:line="183"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(the “2007 Plan”) and the Northern Technologies International Corporation Employee Stock Purchase Plan (the “ESPP”). The Compensation Committee of the Board of Directors administers both of the plans.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2007 Plan replaced the Northern Technologies International Corporation 2000 Stock Incentive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ectPr>
          <w:pgSz w:w="11900" w:h="16838" w:orient="portrait"/>
          <w:cols w:equalWidth="0" w:num="1">
            <w:col w:w="11420"/>
          </w:cols>
          <w:pgMar w:left="240" w:top="125" w:right="239" w:bottom="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granted options to purchase 124,333 and 30,000 shares of its common stock during the nine months ended May 31, 2010 and 2009, respectively. The fair value of option grants is determined at date of grant, using the Black-Scholes option pricing model with the assumptions listed below. Based on these valuations, the Company recognized compensation expense of $141,315 and $75,000 during the nine months ended May 31, 2010 and 2009, respectively, related to the options that vested during such time period. The stock-based expense recorded reduced after-tax net income per share by $0.03 and $0.02 for the nine months ended May 31, 2010 and 2009, respectively.</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2010, the total compensation cost for non-vested options not yet recognized in the Company’s statements of operations was $309,519 net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estimated forfeitures. Additional stock-based compensation expense of $47,105 is expected through the remainder of fiscal year 2010, and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$150,820 and $111,594 is expected to be recognized during fiscal 2011 and 2012, respectively. Future option grants will impact the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0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May 31, 2010</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May 31, 2009</w:t>
            </w:r>
          </w:p>
        </w:tc>
        <w:tc>
          <w:tcPr>
            <w:tcW w:w="16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0.00%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48.3%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 years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2.34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options granted during the nine months ended May 31, 2010 and 2009 was $2.99 and $4.78, respectively.</w:t>
      </w:r>
    </w:p>
    <w:p>
      <w:pPr>
        <w:spacing w:after="0" w:line="221"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nine months ended May 31, 2010 and May 31,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May 31, 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May 31, 2009</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May 31, 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May 31, 2009</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Outside the U.S.A. to:</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Joint ventures in which the Company is a shareholder directly</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indirectly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r>
      <w:tr>
        <w:trPr>
          <w:trHeight w:val="216"/>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Fees for services provided to joint ventures by geographic location for the three and nine months ended May 31, 2010 and May 31, 2009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May 31, 2009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May 31, 2009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240,625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761,723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913,500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Japan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219,783</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129,725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662,195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516,944</w:t>
            </w:r>
          </w:p>
        </w:tc>
        <w:tc>
          <w:tcPr>
            <w:tcW w:w="4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141,137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441,945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110,207</w:t>
            </w:r>
          </w:p>
        </w:tc>
        <w:tc>
          <w:tcPr>
            <w:tcW w:w="4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France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126,702</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83,934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363,095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262,789</w:t>
            </w:r>
          </w:p>
        </w:tc>
        <w:tc>
          <w:tcPr>
            <w:tcW w:w="4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97,747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299,905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373,213</w:t>
            </w:r>
          </w:p>
        </w:tc>
        <w:tc>
          <w:tcPr>
            <w:tcW w:w="4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Sweden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102,437</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8,306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288,510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168,357</w:t>
            </w:r>
          </w:p>
        </w:tc>
        <w:tc>
          <w:tcPr>
            <w:tcW w:w="4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211,092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142,132</w:t>
            </w:r>
          </w:p>
        </w:tc>
        <w:tc>
          <w:tcPr>
            <w:tcW w:w="4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139,129</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84,670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413,098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273,237</w:t>
            </w:r>
          </w:p>
        </w:tc>
        <w:tc>
          <w:tcPr>
            <w:tcW w:w="440" w:type="dxa"/>
            <w:vAlign w:val="bottom"/>
          </w:tcPr>
          <w:p>
            <w:pPr>
              <w:spacing w:after="0"/>
              <w:rPr>
                <w:sz w:val="18"/>
                <w:szCs w:val="18"/>
                <w:color w:val="auto"/>
              </w:rPr>
            </w:pPr>
          </w:p>
        </w:tc>
      </w:tr>
      <w:tr>
        <w:trPr>
          <w:trHeight w:val="210"/>
        </w:trPr>
        <w:tc>
          <w:tcPr>
            <w:tcW w:w="29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1,140,295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3,441,563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2,760,379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432"/>
        </w:trPr>
        <w:tc>
          <w:tcPr>
            <w:tcW w:w="2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292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Fees for services provided to joint ventures by geographic location are based on the location of the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2010 and 2009 by segment:</w:t>
      </w:r>
    </w:p>
    <w:p>
      <w:pPr>
        <w:spacing w:after="0" w:line="217" w:lineRule="exact"/>
        <w:rPr>
          <w:sz w:val="20"/>
          <w:szCs w:val="20"/>
          <w:color w:val="auto"/>
        </w:rPr>
      </w:pPr>
    </w:p>
    <w:tbl>
      <w:tblPr>
        <w:tblLayout w:type="fixed"/>
        <w:tblInd w:w="5000" w:type="dxa"/>
        <w:tblCellMar>
          <w:top w:w="0" w:type="dxa"/>
          <w:left w:w="0" w:type="dxa"/>
          <w:bottom w:w="0" w:type="dxa"/>
          <w:right w:w="0" w:type="dxa"/>
        </w:tblCellMar>
      </w:tblPr>
      <w:tr>
        <w:trPr>
          <w:trHeight w:val="171"/>
        </w:trPr>
        <w:tc>
          <w:tcPr>
            <w:tcW w:w="3320" w:type="dxa"/>
            <w:vAlign w:val="bottom"/>
            <w:gridSpan w:val="3"/>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3000" w:type="dxa"/>
            <w:vAlign w:val="bottom"/>
            <w:gridSpan w:val="2"/>
          </w:tcPr>
          <w:p>
            <w:pPr>
              <w:ind w:left="880"/>
              <w:spacing w:after="0"/>
              <w:rPr>
                <w:sz w:val="20"/>
                <w:szCs w:val="20"/>
                <w:color w:val="auto"/>
              </w:rPr>
            </w:pPr>
            <w:r>
              <w:rPr>
                <w:rFonts w:ascii="Arial" w:cs="Arial" w:eastAsia="Arial" w:hAnsi="Arial"/>
                <w:sz w:val="14"/>
                <w:szCs w:val="14"/>
                <w:b w:val="1"/>
                <w:bCs w:val="1"/>
                <w:color w:val="auto"/>
              </w:rPr>
              <w:t>Nine Months Ended</w:t>
            </w:r>
          </w:p>
        </w:tc>
      </w:tr>
      <w:tr>
        <w:trPr>
          <w:trHeight w:val="157"/>
        </w:trPr>
        <w:tc>
          <w:tcPr>
            <w:tcW w:w="1520" w:type="dxa"/>
            <w:vAlign w:val="bottom"/>
            <w:tcBorders>
              <w:top w:val="single" w:sz="8" w:color="auto"/>
            </w:tcBorders>
          </w:tcPr>
          <w:p>
            <w:pPr>
              <w:ind w:left="280"/>
              <w:spacing w:after="0" w:line="157" w:lineRule="exact"/>
              <w:rPr>
                <w:sz w:val="20"/>
                <w:szCs w:val="20"/>
                <w:color w:val="auto"/>
              </w:rPr>
            </w:pPr>
            <w:r>
              <w:rPr>
                <w:rFonts w:ascii="Arial" w:cs="Arial" w:eastAsia="Arial" w:hAnsi="Arial"/>
                <w:sz w:val="14"/>
                <w:szCs w:val="14"/>
                <w:b w:val="1"/>
                <w:bCs w:val="1"/>
                <w:color w:val="auto"/>
              </w:rPr>
              <w:t>May 31, 2010</w:t>
            </w:r>
          </w:p>
        </w:tc>
        <w:tc>
          <w:tcPr>
            <w:tcW w:w="1520" w:type="dxa"/>
            <w:vAlign w:val="bottom"/>
            <w:tcBorders>
              <w:top w:val="single" w:sz="8" w:color="auto"/>
            </w:tcBorders>
          </w:tcPr>
          <w:p>
            <w:pPr>
              <w:ind w:left="420"/>
              <w:spacing w:after="0" w:line="157" w:lineRule="exact"/>
              <w:rPr>
                <w:sz w:val="20"/>
                <w:szCs w:val="20"/>
                <w:color w:val="auto"/>
              </w:rPr>
            </w:pPr>
            <w:r>
              <w:rPr>
                <w:rFonts w:ascii="Arial" w:cs="Arial" w:eastAsia="Arial" w:hAnsi="Arial"/>
                <w:sz w:val="14"/>
                <w:szCs w:val="14"/>
                <w:b w:val="1"/>
                <w:bCs w:val="1"/>
                <w:color w:val="auto"/>
              </w:rPr>
              <w:t>May 31, 2009</w:t>
            </w:r>
          </w:p>
        </w:tc>
        <w:tc>
          <w:tcPr>
            <w:tcW w:w="280" w:type="dxa"/>
            <w:vAlign w:val="bottom"/>
          </w:tcPr>
          <w:p>
            <w:pPr>
              <w:spacing w:after="0"/>
              <w:rPr>
                <w:sz w:val="13"/>
                <w:szCs w:val="13"/>
                <w:color w:val="auto"/>
              </w:rPr>
            </w:pPr>
          </w:p>
        </w:tc>
        <w:tc>
          <w:tcPr>
            <w:tcW w:w="1500" w:type="dxa"/>
            <w:vAlign w:val="bottom"/>
            <w:tcBorders>
              <w:top w:val="single" w:sz="8" w:color="auto"/>
            </w:tcBorders>
          </w:tcPr>
          <w:p>
            <w:pPr>
              <w:ind w:left="280"/>
              <w:spacing w:after="0" w:line="157" w:lineRule="exact"/>
              <w:rPr>
                <w:sz w:val="20"/>
                <w:szCs w:val="20"/>
                <w:color w:val="auto"/>
              </w:rPr>
            </w:pPr>
            <w:r>
              <w:rPr>
                <w:rFonts w:ascii="Arial" w:cs="Arial" w:eastAsia="Arial" w:hAnsi="Arial"/>
                <w:sz w:val="14"/>
                <w:szCs w:val="14"/>
                <w:b w:val="1"/>
                <w:bCs w:val="1"/>
                <w:color w:val="auto"/>
              </w:rPr>
              <w:t>May 31, 2010</w:t>
            </w:r>
          </w:p>
        </w:tc>
        <w:tc>
          <w:tcPr>
            <w:tcW w:w="1500" w:type="dxa"/>
            <w:vAlign w:val="bottom"/>
            <w:tcBorders>
              <w:top w:val="single" w:sz="8" w:color="auto"/>
            </w:tcBorders>
          </w:tcPr>
          <w:p>
            <w:pPr>
              <w:ind w:left="400"/>
              <w:spacing w:after="0" w:line="157" w:lineRule="exact"/>
              <w:rPr>
                <w:sz w:val="20"/>
                <w:szCs w:val="20"/>
                <w:color w:val="auto"/>
              </w:rPr>
            </w:pPr>
            <w:r>
              <w:rPr>
                <w:rFonts w:ascii="Arial" w:cs="Arial" w:eastAsia="Arial" w:hAnsi="Arial"/>
                <w:sz w:val="14"/>
                <w:szCs w:val="14"/>
                <w:b w:val="1"/>
                <w:bCs w:val="1"/>
                <w:color w:val="auto"/>
              </w:rPr>
              <w:t>May 31,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4980" w:val="left"/>
          <w:tab w:leader="none" w:pos="5620" w:val="left"/>
          <w:tab w:leader="none" w:pos="6640" w:val="left"/>
          <w:tab w:leader="none" w:pos="7300" w:val="left"/>
          <w:tab w:leader="none" w:pos="8300" w:val="left"/>
          <w:tab w:leader="none" w:pos="8940" w:val="left"/>
          <w:tab w:leader="none" w:pos="9940" w:val="left"/>
          <w:tab w:leader="none" w:pos="10580" w:val="left"/>
        </w:tabs>
        <w:rPr>
          <w:sz w:val="20"/>
          <w:szCs w:val="20"/>
          <w:color w:val="auto"/>
        </w:rPr>
      </w:pPr>
      <w:r>
        <w:rPr>
          <w:rFonts w:ascii="Arial" w:cs="Arial" w:eastAsia="Arial" w:hAnsi="Arial"/>
          <w:sz w:val="18"/>
          <w:szCs w:val="18"/>
          <w:color w:val="auto"/>
        </w:rPr>
        <w:t>ZERUST® net 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3,072,038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1,646,715</w:t>
        <w:tab/>
        <w:t>$</w:t>
      </w:r>
      <w:r>
        <w:rPr>
          <w:sz w:val="20"/>
          <w:szCs w:val="20"/>
          <w:color w:val="auto"/>
        </w:rPr>
        <w:tab/>
      </w:r>
      <w:r>
        <w:rPr>
          <w:rFonts w:ascii="Arial" w:cs="Arial" w:eastAsia="Arial" w:hAnsi="Arial"/>
          <w:sz w:val="18"/>
          <w:szCs w:val="18"/>
          <w:color w:val="auto"/>
        </w:rPr>
        <w:t>8,485,046</w:t>
        <w:tab/>
        <w:t>$</w:t>
      </w:r>
      <w:r>
        <w:rPr>
          <w:sz w:val="20"/>
          <w:szCs w:val="20"/>
          <w:color w:val="auto"/>
        </w:rPr>
        <w:tab/>
      </w:r>
      <w:r>
        <w:rPr>
          <w:rFonts w:ascii="Arial" w:cs="Arial" w:eastAsia="Arial" w:hAnsi="Arial"/>
          <w:sz w:val="16"/>
          <w:szCs w:val="16"/>
          <w:color w:val="auto"/>
        </w:rPr>
        <w:t>6,159,096</w:t>
      </w:r>
    </w:p>
    <w:p>
      <w:pPr>
        <w:sectPr>
          <w:pgSz w:w="11900" w:h="16838" w:orient="portrait"/>
          <w:cols w:equalWidth="0" w:num="1">
            <w:col w:w="11460"/>
          </w:cols>
          <w:pgMar w:left="240" w:top="125" w:right="199" w:bottom="0" w:gutter="0" w:footer="0" w:header="0"/>
          <w:type w:val="continuous"/>
        </w:sectPr>
      </w:pPr>
    </w:p>
    <w:bookmarkStart w:id="8" w:name="page9"/>
    <w:bookmarkEnd w:id="8"/>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Natur-Tec™ net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165,160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14,029</w:t>
            </w: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340,032</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499,037</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20,615</w:t>
            </w:r>
          </w:p>
        </w:tc>
      </w:tr>
      <w:tr>
        <w:trPr>
          <w:trHeight w:val="224"/>
        </w:trPr>
        <w:tc>
          <w:tcPr>
            <w:tcW w:w="500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3,237,198</w:t>
            </w:r>
          </w:p>
        </w:tc>
        <w:tc>
          <w:tcPr>
            <w:tcW w:w="3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1,673,634</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8,825,078</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6,678,748</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2010 and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May 31,</w:t>
            </w:r>
          </w:p>
        </w:tc>
        <w:tc>
          <w:tcPr>
            <w:tcW w:w="1320" w:type="dxa"/>
            <w:vAlign w:val="bottom"/>
            <w:gridSpan w:val="3"/>
          </w:tcPr>
          <w:p>
            <w:pPr>
              <w:jc w:val="center"/>
              <w:ind w:right="388"/>
              <w:spacing w:after="0" w:line="119" w:lineRule="exact"/>
              <w:rPr>
                <w:sz w:val="20"/>
                <w:szCs w:val="20"/>
                <w:color w:val="auto"/>
              </w:rPr>
            </w:pPr>
            <w:r>
              <w:rPr>
                <w:rFonts w:ascii="Arial" w:cs="Arial" w:eastAsia="Arial" w:hAnsi="Arial"/>
                <w:sz w:val="13"/>
                <w:szCs w:val="13"/>
                <w:b w:val="1"/>
                <w:bCs w:val="1"/>
                <w:color w:val="auto"/>
              </w:rPr>
              <w:t>% of</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w:t>
            </w:r>
          </w:p>
        </w:tc>
        <w:tc>
          <w:tcPr>
            <w:tcW w:w="1280" w:type="dxa"/>
            <w:vAlign w:val="bottom"/>
            <w:gridSpan w:val="3"/>
          </w:tcPr>
          <w:p>
            <w:pPr>
              <w:jc w:val="center"/>
              <w:ind w:right="388"/>
              <w:spacing w:after="0" w:line="119" w:lineRule="exact"/>
              <w:rPr>
                <w:sz w:val="20"/>
                <w:szCs w:val="20"/>
                <w:color w:val="auto"/>
              </w:rPr>
            </w:pPr>
            <w:r>
              <w:rPr>
                <w:rFonts w:ascii="Arial" w:cs="Arial" w:eastAsia="Arial" w:hAnsi="Arial"/>
                <w:sz w:val="13"/>
                <w:szCs w:val="13"/>
                <w:b w:val="1"/>
                <w:bCs w:val="1"/>
                <w:color w:val="auto"/>
              </w:rPr>
              <w:t>% of</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4"/>
              </w:rPr>
              <w:t>Product</w:t>
            </w:r>
          </w:p>
        </w:tc>
        <w:tc>
          <w:tcPr>
            <w:tcW w:w="1040" w:type="dxa"/>
            <w:vAlign w:val="bottom"/>
            <w:gridSpan w:val="2"/>
            <w:vMerge w:val="continue"/>
          </w:tcPr>
          <w:p>
            <w:pPr>
              <w:spacing w:after="0"/>
              <w:rPr>
                <w:sz w:val="12"/>
                <w:szCs w:val="12"/>
                <w:color w:val="auto"/>
              </w:rPr>
            </w:pPr>
          </w:p>
        </w:tc>
        <w:tc>
          <w:tcPr>
            <w:tcW w:w="132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4"/>
              </w:rPr>
              <w:t>Product</w:t>
            </w:r>
          </w:p>
        </w:tc>
        <w:tc>
          <w:tcPr>
            <w:tcW w:w="1040" w:type="dxa"/>
            <w:vAlign w:val="bottom"/>
            <w:gridSpan w:val="2"/>
            <w:vMerge w:val="continue"/>
          </w:tcPr>
          <w:p>
            <w:pPr>
              <w:spacing w:after="0"/>
              <w:rPr>
                <w:sz w:val="12"/>
                <w:szCs w:val="12"/>
                <w:color w:val="auto"/>
              </w:rPr>
            </w:pPr>
          </w:p>
        </w:tc>
        <w:tc>
          <w:tcPr>
            <w:tcW w:w="1280" w:type="dxa"/>
            <w:vAlign w:val="bottom"/>
            <w:gridSpan w:val="3"/>
          </w:tcPr>
          <w:p>
            <w:pPr>
              <w:jc w:val="center"/>
              <w:ind w:right="368"/>
              <w:spacing w:after="0" w:line="149" w:lineRule="exact"/>
              <w:rPr>
                <w:sz w:val="20"/>
                <w:szCs w:val="20"/>
                <w:color w:val="auto"/>
              </w:rPr>
            </w:pPr>
            <w:r>
              <w:rPr>
                <w:rFonts w:ascii="Arial" w:cs="Arial" w:eastAsia="Arial" w:hAnsi="Arial"/>
                <w:sz w:val="14"/>
                <w:szCs w:val="14"/>
                <w:b w:val="1"/>
                <w:bCs w:val="1"/>
                <w:color w:val="auto"/>
                <w:w w:val="90"/>
              </w:rPr>
              <w:t>Product</w:t>
            </w: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32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0"/>
              </w:rPr>
              <w:t>Sales*</w:t>
            </w: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32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0"/>
              </w:rPr>
              <w:t>Sales*</w:t>
            </w: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8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0"/>
              </w:rPr>
              <w:t>Sales*</w:t>
            </w: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w:t>
            </w:r>
          </w:p>
        </w:tc>
        <w:tc>
          <w:tcPr>
            <w:tcW w:w="0" w:type="dxa"/>
            <w:vAlign w:val="bottom"/>
          </w:tcPr>
          <w:p>
            <w:pPr>
              <w:spacing w:after="0"/>
              <w:rPr>
                <w:sz w:val="1"/>
                <w:szCs w:val="1"/>
                <w:color w:val="auto"/>
              </w:rPr>
            </w:pPr>
          </w:p>
        </w:tc>
      </w:tr>
      <w:tr>
        <w:trPr>
          <w:trHeight w:val="129"/>
        </w:trPr>
        <w:tc>
          <w:tcPr>
            <w:tcW w:w="1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Direct cost of goods sold</w:t>
            </w: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80"/>
              <w:spacing w:after="0" w:line="149" w:lineRule="exact"/>
              <w:rPr>
                <w:sz w:val="20"/>
                <w:szCs w:val="20"/>
                <w:color w:val="auto"/>
              </w:rPr>
            </w:pPr>
            <w:r>
              <w:rPr>
                <w:rFonts w:ascii="Arial" w:cs="Arial" w:eastAsia="Arial" w:hAnsi="Arial"/>
                <w:sz w:val="14"/>
                <w:szCs w:val="14"/>
                <w:color w:val="auto"/>
              </w:rPr>
              <w:t>ZERUST®</w:t>
            </w:r>
          </w:p>
        </w:tc>
        <w:tc>
          <w:tcPr>
            <w:tcW w:w="5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1,682,795</w:t>
            </w:r>
          </w:p>
        </w:tc>
        <w:tc>
          <w:tcPr>
            <w:tcW w:w="13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54.8%   $</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828,933</w:t>
            </w:r>
          </w:p>
        </w:tc>
        <w:tc>
          <w:tcPr>
            <w:tcW w:w="13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50.3%   $</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4,585,073</w:t>
            </w:r>
          </w:p>
        </w:tc>
        <w:tc>
          <w:tcPr>
            <w:tcW w:w="220" w:type="dxa"/>
            <w:vAlign w:val="bottom"/>
          </w:tcPr>
          <w:p>
            <w:pPr>
              <w:spacing w:after="0"/>
              <w:rPr>
                <w:sz w:val="12"/>
                <w:szCs w:val="12"/>
                <w:color w:val="auto"/>
              </w:rPr>
            </w:pPr>
          </w:p>
        </w:tc>
        <w:tc>
          <w:tcPr>
            <w:tcW w:w="12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54.0%  $</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3,341,166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Natur-Tec™</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111,541</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7,944</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230,488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425,178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49"/>
        </w:trPr>
        <w:tc>
          <w:tcPr>
            <w:tcW w:w="1880" w:type="dxa"/>
            <w:vAlign w:val="bottom"/>
          </w:tcPr>
          <w:p>
            <w:pPr>
              <w:ind w:left="180"/>
              <w:spacing w:after="0" w:line="149" w:lineRule="exact"/>
              <w:rPr>
                <w:sz w:val="20"/>
                <w:szCs w:val="20"/>
                <w:color w:val="auto"/>
              </w:rPr>
            </w:pPr>
            <w:r>
              <w:rPr>
                <w:rFonts w:ascii="Arial" w:cs="Arial" w:eastAsia="Arial" w:hAnsi="Arial"/>
                <w:sz w:val="14"/>
                <w:szCs w:val="14"/>
                <w:color w:val="auto"/>
              </w:rPr>
              <w:t>React-NTI</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6,490</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50.3%</w:t>
            </w: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10,610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Indirect cost of goods sold</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378,566</w:t>
            </w:r>
          </w:p>
        </w:tc>
        <w:tc>
          <w:tcPr>
            <w:tcW w:w="1320" w:type="dxa"/>
            <w:vAlign w:val="bottom"/>
            <w:gridSpan w:val="3"/>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152,305</w:t>
            </w:r>
          </w:p>
        </w:tc>
        <w:tc>
          <w:tcPr>
            <w:tcW w:w="1320" w:type="dxa"/>
            <w:vAlign w:val="bottom"/>
            <w:gridSpan w:val="3"/>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955,484</w:t>
            </w:r>
          </w:p>
        </w:tc>
        <w:tc>
          <w:tcPr>
            <w:tcW w:w="1280" w:type="dxa"/>
            <w:vAlign w:val="bottom"/>
            <w:gridSpan w:val="3"/>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667,121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2,172,902</w:t>
            </w:r>
          </w:p>
        </w:tc>
        <w:tc>
          <w:tcPr>
            <w:tcW w:w="2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995,672</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5,771,045</w:t>
            </w: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4,444,075</w:t>
            </w: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right="600" w:firstLine="8"/>
        <w:spacing w:after="0" w:line="277" w:lineRule="auto"/>
        <w:tabs>
          <w:tab w:leader="none" w:pos="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77"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May 31, 2010 and August 31, 2009, the Company deferred amounts received of $186,365 and $145,562, respectively, in other accrued liabilities, as the Company had not yet performed under the obligations of the contracts.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expenses all costs related to product research and development as incurred. The Company incurred $2,526,478 and $2,222,576 of expense during the nine months ended May 31, 2010 and 2009, respectively, in connection with its research and development activities. These costs related to product research and development are the net amount after being reduced by reimbursements related to the awarding of the multiple research and development contracts of $400,094 and $0 for the nine months ended May 31, 2010 and 2009, respectively.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fees are accounted for in the “Research and Development Expenses” section of the consolidated statements of operations.</w:t>
      </w:r>
    </w:p>
    <w:p>
      <w:pPr>
        <w:spacing w:after="0" w:line="221"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48" w:lineRule="exact"/>
        <w:rPr>
          <w:rFonts w:ascii="Arial" w:cs="Arial" w:eastAsia="Arial" w:hAnsi="Arial"/>
          <w:sz w:val="16"/>
          <w:szCs w:val="16"/>
          <w:color w:val="auto"/>
        </w:rPr>
      </w:pPr>
    </w:p>
    <w:p>
      <w:pPr>
        <w:ind w:left="980" w:right="120" w:hanging="324"/>
        <w:spacing w:after="0" w:line="277"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jc w:val="both"/>
        <w:ind w:left="980" w:right="140" w:hanging="324"/>
        <w:spacing w:after="0" w:line="264"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$571,044 for management bonuses for fiscal 2010 accrued at May 31, 2010. There was no management bonuses for fiscal 2009 accrued as of May 31, 2009.</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The Company has guaranteed up to $329,082 of Omni-Northern Ltd.’s $1,903,571 mortgage obligation with National City Bank, Cleveland, Ohio. The building is fully leased at present.</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w:t>
      </w:r>
    </w:p>
    <w:p>
      <w:pPr>
        <w:sectPr>
          <w:pgSz w:w="11900" w:h="16894" w:orient="portrait"/>
          <w:cols w:equalWidth="0" w:num="1">
            <w:col w:w="11420"/>
          </w:cols>
          <w:pgMar w:left="240" w:top="125" w:right="239" w:bottom="0" w:gutter="0" w:footer="0" w:header="0"/>
        </w:sectPr>
      </w:pPr>
    </w:p>
    <w:bookmarkStart w:id="9" w:name="page10"/>
    <w:bookmarkEnd w:id="9"/>
    <w:p>
      <w:pPr>
        <w:ind w:right="180"/>
        <w:spacing w:after="0" w:line="271" w:lineRule="auto"/>
        <w:rPr>
          <w:sz w:val="20"/>
          <w:szCs w:val="20"/>
          <w:color w:val="auto"/>
        </w:rPr>
      </w:pPr>
      <w:r>
        <w:rPr>
          <w:rFonts w:ascii="Arial" w:cs="Arial" w:eastAsia="Arial" w:hAnsi="Arial"/>
          <w:sz w:val="17"/>
          <w:szCs w:val="17"/>
          <w:color w:val="auto"/>
        </w:rPr>
        <w:t>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mediation. A mediation session was held on December 4, 2008, and the parties continued to negotiate through the mediator thereafter without any final agreement by either party. Because the mediation and negotiation process did not result in a final settlement, there can be no permanent assurance at the present time that the matter will not result in a material adverse effect on the Company’s business, financial condition or results of operations at some point in the future, however, at this point in time the Company has not recorded any loss accruals related to this matter.</w:t>
      </w:r>
    </w:p>
    <w:p>
      <w:pPr>
        <w:spacing w:after="0" w:line="17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NTIC develops and markets proprietary environmentally beneficial products and technical services in over 55 countries either directly or via a network of joint ventures and independent distributors. NTIC’s primary business is corrosion prevention. From this base, NTIC has expanded into three new business areas that have started recently to generate revenue (1) corrosion prevention technologies specifically designed for the oil and gas industry, which NTIC sells both directly as well as through joint ventures and independent agents; (2) a proprietary portfolio of bio-plastic compounds and finished products marketed under the Natur-Tec® brand, which NTIC sells directly as well as through distributors and independent agents; and (3) technology and equipment that converts waste plastic into diesel, gasoline and heavy fractions, which is exclusively licensed and sold in North America and Asia through NTIC’s joint venture Polymer Energy, LLC.</w:t>
      </w: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NTIC has been selling its proprietary ZERUST®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technical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on capital assets used in the petroleum and process chemical industry and is initially targeting the sale of these new ZERUST® products to the oil and gas industry sector. During fiscal 2009, NTIC announced the signing of a multi-year contract between NTIC’s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has also started aimed at field trials of certain pipeline protection technologies. NTIC also is pursuing opportunities to market its ZERUST® corrosion prevention technology to other potential customers in the oil and gas industry across several countries through NTIC’s joint venture partners and other strategic partners. NTIC believes the sale of its ZERUST® products to customers in the oil and gas industry will involve a long sales cycle, likely including a one- to two-year trial period with each customer and a slow integration process thereafter.</w:t>
      </w:r>
    </w:p>
    <w:p>
      <w:pPr>
        <w:spacing w:after="0" w:line="173"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In addition to ZERUST® products and services, NTIC develops and markets a portfolio of bio-based and/or biodegradable (compostable) polymer resin compounds and finished products under the Natur-Tec® brand. These products are intended to reduce NTIC’s customers’ carbon footprint and provide environmentally sound disposal options. Natur-Tec® bio-based and biodegradable plastics are manufactured using NTIC’s patented and/or proprietary technologies and are intended to replace conventional petroleum-based plastics. The Natur-Tec®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81" w:gutter="0" w:footer="0" w:header="0"/>
        </w:sectPr>
      </w:pPr>
    </w:p>
    <w:bookmarkStart w:id="10" w:name="page11"/>
    <w:bookmarkEnd w:id="10"/>
    <w:p>
      <w:pPr>
        <w:ind w:right="400"/>
        <w:spacing w:after="0" w:line="264" w:lineRule="auto"/>
        <w:rPr>
          <w:sz w:val="20"/>
          <w:szCs w:val="20"/>
          <w:color w:val="auto"/>
        </w:rPr>
      </w:pPr>
      <w:r>
        <w:rPr>
          <w:rFonts w:ascii="Arial" w:cs="Arial" w:eastAsia="Arial" w:hAnsi="Arial"/>
          <w:sz w:val="18"/>
          <w:szCs w:val="18"/>
          <w:color w:val="auto"/>
        </w:rPr>
        <w:t>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NTIC’s Polymer Energy LLC joint venture markets and sells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easily scalable capacity. The crude output is high-grade and can be further processed in a refinery or used as an input for co-generation of electricity.</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participates in 27 active joint venture arrangements in North America, South America, Europe, Asia and the Middle East. Each of these joint ventures generally manufactures and markets finished products in the geographic territory to which it is assigned. While most of NTIC’s joint ventures currently exclusively sell rust and corrosion inhibiting packaging and products to industrial customers, NTIC also has joint ventures that manufacture, market and sell corrosion prevention solutions for the oil and gas industry and Polymer Energy™ equipment that converts waste plastic into diesel, gasoline and heavy fractions. The profits of NTIC’s joint ventures are shared by the respective joint venture owners in accordance with their respective ownership percentages. NTIC typically owns 50% of its joint venture entities. NTIC does not control the decisions of its joint venture entities regarding whether to pay dividends or how much to pay in dividends in any given year. NTIC funds its joint venture investments with cash generated from operations. NTIC does not consolidate the results of its joint ventures, other than its former joint venture React-NTIC LLC. Nonetheless, 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NTIC’s consolidated net sales increased 93.4% and 32.1% during the three and nine months ended May 31, 2010 compared to the three and nine months ended May 31, 2009, respectively. These increases were primarily a result of increased sales of ZERUST® rust and corrosion inhibiting packaging products and services to customers in North America and sales to NTIC’s joint ventures. During the nine months ended May 31, 2010, 96.1% of NTIC’s consolidated net sales were derived from sales of ZERUST® products and services, which increased 37.8% to $8,485,046 during the nine months ended May 31, 2010 compared to $6,159,096 during the nine months ended May 31, 2009 due to increased demand primarily as a result of the economic recovery of the domestic manufacturing sector and the addition of new customers. NTIC has focused its sales efforts of ZERUST® products and services by strategically targeting customers with specific corrosion issues in new market areas, including oil and gas industry and other industrial sectors that offer sizable growth opportunities. Overall demand for ZERUST® products and services depends heavily on the overall health of the markets in which it sells its products.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nine months ended May 31, 2010, $340,033, or 3.9%, of NTIC’s consolidated net sales were derived from sales of Natur-Tec® products compared to 7.5% during the nine months ended May 31, 2009. Net sales of Natur-Tec® products increased 1077.3% and decreased 31.9% during the three and nine months ended May 31, 2010 compared to the three and nine months ended May 31, 2009, respectively. The increase in the three-month comparison was primarily due to the addition of new Natur-Tec® distributors on the West Coast of the United States and the decrease in the nine-month comparison was due to several large stocking orders of Natur-Tec® products that occurred early in 2009 that were not repeat orders. NTIC is continuing to fortify and expand its West Coast distribution network in California, while expanding its industrial distribution reach to geographical “green” hotspots such as Oregon, Washington, Minnesota and New England. Additionally, NTIC is targeting key national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regional retailers utilizing independent sales agents. Demand for the Natur-Tec® products depends primarily on the market acceptance and the extent of NTIC’s distribution network.</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Cost of goods sold as a percentage of net sales decreased to 65.4% for the nine months ended May 31, 2010 compared to 66.5% for the nine months ended May 31, 2009 primarily as a result of decreased raw material costs for ZERUST® products and higher sales volumes during the most recent period.</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NTIC recognized a 24.7% increase in fees for services provided to joint ventures during the nine months ended May 31, 2010. NTIC’s equity in income of joint ventures increased 346.9% to $2,909,120 during the nine months ended May 31, 2010 compared to $650,900 during the nine months ended May 31, 2009. Both of these increases were primarily a result of a 33.6% increase in total net sales of NTIC’s joint ventures during the nine months ended May 31, 2010 compared to the same prior year period. The increase in total net sales of NTIC’s joint ventures was primarily a result of the economic recovery of the international manufacturing sector that the NTIC joint venture network serves.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NTIC’s total operating expenses increased 38.0% during the three months ended May 31, 2010 compared to the three months ended May 31, 2009 primarily as a result of increased sales efforts in both the ZERUST® and the Natur-Tec® markets and increased general and administrative costs due to increased employee count to pre-recession levels.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expenses all costs related to product research and development as incurred. NTIC incurred $2,526,478 and $2,222,576 of expense during the nine months ended May 31, 2010 and 2009, respectively, in connection with its research and development activities. These costs related to product research and development and represent the net amount after being reduced by reimbursements related to the awarding of the multiple research and development contracts of $400,094 and $0 for the nine months ended May 31, 2010 and 2009, respectively. NTIC anticipates that it will spend between $3,000,000 and $3,500,000 in total during fiscal 2010 on research and development activities related to its new technologies. The net fees are accounted for in the “Expenses incurred in support of joint ventures” section of NTIC’s consolidated statements of operations.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was $1,734,314, or $0.41 per diluted common share, for the nine months ended May 31, 2010 compared to a net loss of $(2,139,484), or $(0.57) per diluted common share, for the nine months ended May 31, 2009. The net loss for the nine months ended May 31, 2009 included a $554,000 loss on impairment relating to NTIC’s React-NTI joint venture.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NTIC’s working capital was $5,536,087 at May 31, 2010, including $1,103,620 in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00"/>
          </w:cols>
          <w:pgMar w:left="240" w:top="125" w:right="259" w:bottom="104" w:gutter="0" w:footer="0" w:header="0"/>
        </w:sectPr>
      </w:pPr>
    </w:p>
    <w:bookmarkStart w:id="11" w:name="page12"/>
    <w:bookmarkEnd w:id="11"/>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NTIC does not consolidate the results of its joint ventures, other than its former joint venture React-NTIC LLC. The following table sets forth NTIC’s results of operations for the three months ended May 31, 2010 and May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May 31, 2010</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May 31, 2009</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1,555,065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1,004,402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sales, to joint ventures</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677,731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118,569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559,162</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2,172,902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995,672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Equity in income of joint ventures</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1,511,534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(6,838)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1,518,372</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1,140,295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821,810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819,572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591,559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228,013</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869,183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599,012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4"/>
                <w:szCs w:val="2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May 31, 2010</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May 31, 2009</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Expenses incurred in support of joint ventures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960,780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655,281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305,499</w:t>
            </w: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-1099820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-1099820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nine months ended May 31, 2010 and May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Nine Months</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May 31, 2010</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May 31, 2009</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7,164,784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5,855,536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1,660,294</w:t>
            </w: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823,212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837,082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5,771,045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4,444,075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1,326,970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2,909,120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650,900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2,258,220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3,441,563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2,760,379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681,184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2,004,094</w:t>
            </w: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1,975,387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28,707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2,628,447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2,184,974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443,473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682,828</w:t>
            </w: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1,152,654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(469,826)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2,526,478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2,222,576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303,902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Loss on impairment</w:t>
            </w:r>
          </w:p>
        </w:tc>
        <w:tc>
          <w:tcPr>
            <w:tcW w:w="12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554,000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(554,000)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93.4% and 32.1% to $3,237,198 and $8,825,078 during the three and nine months ended May 31, 2010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and nine months ended May 31, 2009, respectively. NTIC’s consolidated net sales to unaffiliated customers excluding NTIC’s joint ventures increased 64.6% and 22.4% to $2,559,467 and $7,164,784, during the three and nine months ended May 31, 2010 compared to the same prior year periods. These increases were due to increases in demand primarily as a result of the economic recovery of the domestic manufacturing sector and the addition of new customers. Net sales to joint increased 471.6% and 101.7% to $677,731 and $1,660,294 during the three and nine months ended May 31, 2010 compared to the three and nine months ended May 31, 2009, respectively. These increases were due to increases in demand primarily as a result of the economic recovery of the international manufacturing sector.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additional detail regarding NTIC’s net sales by product category for the three months ended May 31, 2010 and May 31, 2009: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May 31, 2010</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May 31, 2009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3,072,038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1,425,324</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Natur-Tec® net sales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165,160</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14,029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151,131</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(12,890)</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3,237,198</w:t>
            </w:r>
          </w:p>
        </w:tc>
        <w:tc>
          <w:tcPr>
            <w:tcW w:w="3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1,673,634</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1,563,564</w:t>
            </w:r>
          </w:p>
        </w:tc>
        <w:tc>
          <w:tcPr>
            <w:tcW w:w="280" w:type="dxa"/>
            <w:vAlign w:val="bottom"/>
            <w:vMerge w:val="continue"/>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additional detail regarding NTIC’s net sales by product category for the nine months ended May 31, 2010 and May 31, 2009: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14"/>
                <w:szCs w:val="14"/>
                <w:color w:val="auto"/>
              </w:rPr>
            </w:pPr>
          </w:p>
        </w:tc>
        <w:tc>
          <w:tcPr>
            <w:tcW w:w="110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May 31, 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May 31, 2009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CCEEFF"/>
            </w:tcBorders>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8,485,046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6,159,096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2,325,950</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Natur-Tec® net sales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340,033</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499,037</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(159,004)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20,615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8,825,078</w:t>
            </w:r>
          </w:p>
        </w:tc>
        <w:tc>
          <w:tcPr>
            <w:tcW w:w="2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6,678,748</w:t>
            </w:r>
          </w:p>
        </w:tc>
        <w:tc>
          <w:tcPr>
            <w:tcW w:w="3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2,146,330</w:t>
            </w:r>
          </w:p>
        </w:tc>
        <w:tc>
          <w:tcPr>
            <w:tcW w:w="280" w:type="dxa"/>
            <w:vAlign w:val="bottom"/>
            <w:vMerge w:val="continue"/>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Net sales of ZERUST® products and services increased 86.6% and 37.8% to $3,072,039 and $8,485,046 during the three and nine months ended May 31, 2010, respectively, compared to $1,646,715 and $6,159,096 during the three and nine months ended May 31, 2009. These increases were due to increased demand primarily as a result of the economic recovery of the domestic manufacturing sector and the addition of new customers.</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sales of Natur-Tec® products and services increased 1077% to $165,160 during the three months ended May 31, 2010, compared to $14,029 during the three months ended May 31, 2009. Net sales of Natur-Tec® products and services decreased 31.9% to $340,033 during the nine months ended May 31, 2010</w:t>
      </w:r>
    </w:p>
    <w:p>
      <w:pPr>
        <w:sectPr>
          <w:pgSz w:w="11900" w:h="16921" w:orient="portrait"/>
          <w:cols w:equalWidth="0" w:num="1">
            <w:col w:w="11460"/>
          </w:cols>
          <w:pgMar w:left="240" w:top="125" w:right="199" w:bottom="0" w:gutter="0" w:footer="0" w:header="0"/>
        </w:sectPr>
      </w:pPr>
    </w:p>
    <w:bookmarkStart w:id="12" w:name="page13"/>
    <w:bookmarkEnd w:id="12"/>
    <w:p>
      <w:pPr>
        <w:spacing w:after="0" w:line="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compared to $499,037 during the nine months ended May 31, 2009. The increase in the three-month comparison was primarily due to the addition of new distributors on the West Coast. The decrease in the nine-month comparison was due to several large stocking orders of Natur-Tec® products that occurred early in 2009 that were not repeat orders.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118.2% and 29.9% for the three and nine months ended May 31, 2010, respectively,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periods in fiscal 2009 primarily as a result of increased net sales as described above. Cost of sales as a percentage of net sales increased to 67.1% for the three months ended May 31, 2010 compared to 59.5% for the three months ended May 31, 2009 as a result of the fluctuations in raw material prices of the ZERUST® products. Cost of sales as a percentage of net sales decreased slightly to 65.4% for the three months ended May 31, 2010 compared to 66.5% for the three months ended May 31, 2009.</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NTIC receives fees for services provided to joint ventures based primarily on the net sales of the individual joint ventures. The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provided to joint ventures are determined based on either a flat fee or a percentage of sales depending on local laws and tax regulations. With respect to its German joint venture, NTIC recognizes an agreed upon quarterly fee for such services. With respect to its ASEAN joint venture holding company, NTIC does not receive a fee for such services, but rather receives a bi-annual dividend based on available cash. NITC recognizes equity income from its joint ventures based on the overall profitability of the entity. Traditionally, a portion of the equity income recorded in a given fiscal year is paid to the owners of the entity during the following fiscal year. The payment of a dividend by a entity is determined by a joint vote of the owners and is not at the sole discretion of NTIC.</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 had equity in income (loss) of joint ventures of $1,511,534 and $2,909,120 during the three and nine months ended May 31, 2010, respectively, compared to equity in (loss) income of joint ventures of $(6,838) and $650,900 during the three and nine months ended May 31, 2009, respectively. The increases in equity in income were due to increased profitability of NTIC’s joint ventures primarily resulting from increased sales and cost control measures put in place during the last fiscal year, many of which remained in place during the most recent periods. Of the total equity in income (loss) of joint ventures, NTIC had equity in income of joint ventures of $773,572 and $1,505,024 attributable to its joint venture in Germany and $257,851 and $677,175 attributable to its ASEAN joint venture holding company during the three and nine months ended May 31, 2010, respectively. NTIC had equity in income of all other joint ventures of $480,111 and $726,921 during the three and nine months ended May 31, 2010, respectively.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recognized fees for services provided to joint ventures of $1,140,295 and $3,441,563 during the three and nine months ended May 31, 2010, respectively, compared to $821,810 and $2,760,379 during the three and nine months ended May 31, 2009, respectively, representing an increase of 38.8% and 24.7%, respectively. The increase in fees for services provided to joint ventures was due primarily to the increase in net sales of NTIC’s joint ventures to $22,440,448 and $62,214,519 in the three and nine months ended May 31, 2010, respectively, compared to $14,151,960 and $46,628,644 in the three and nine months ended May 31, 2009, respectively, representing an increase of 58.6% and 33.6%, respectively. Sales of NTIC’s joint ventures are not included in NTIC’s product sales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are not combined with NTIC’s sales in NTIC’s consolidated financial statements or in any description of NTIC’s products sales.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increased 38.5% for the three months ended May 31, 2010 compared to the same period in fiscal 2009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 salary and benefits of $98,000; (ii) lab testing related expenses of $38,000 and (iii) travel expenses of $28,000, partially offset by a decrease in consulting expenses of $19,000. NTIC’s selling expenses increased 1.5% for the nine months ended May 31, 2010 compared the same period in fiscal 2009. Selling expenses as a percentage of net sales decreased to 25.3% and 22.7% during the three and nine months ended May 31, 2010, respectively, from 34.5% and 28.8% during the same respective periods in fiscal 2009, due to the increase in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45.1% for the three months ended May 31, 2010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fiscal 2009 due to increases in (i) auditing and tax expense of $45,000; (ii) stock option expense of $15,000; and (iii) salaries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of $140,000. NTIC’s general and administrative expenses increased 20.3% for the nine months ended May 31, 2010 compared to the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2009 due to increases in (i) auditing and tax expense of $55,000; (ii) stock option expense of $40,000; and (iii) salaries and related benefits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As a percentage of net sales, general and administrative expenses decreased to 26.9% and 29.8% for the three and nine months ended May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respectively, from 35.8% and 32.7% for the same respective periods in fiscal 2009, primarily as a result of fixed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spread over increased net sales and NTIC’s cost reduction efforts during the third quarter of fiscal 2009, many of which had remained in place during the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2010.</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Expenses Incurred in Support of Joint Ventures. </w:t>
      </w:r>
      <w:r>
        <w:rPr>
          <w:rFonts w:ascii="Arial" w:cs="Arial" w:eastAsia="Arial" w:hAnsi="Arial"/>
          <w:sz w:val="17"/>
          <w:szCs w:val="17"/>
          <w:color w:val="auto"/>
        </w:rPr>
        <w:t>The support and services that NTIC provides to its joint ventures include consulting, travel,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services to existing joint ventures, legal fees incurred in the establishment of new joint ventures, registration and promotion and legal defense of worldwide trademarks, and legal fees incurred in connection with the filing of patent applications. NTIC incurred expenses in support of its joint ventures of $208,444 and $682,828 during the three and nine months ended May 31, 2010, respectively, compared to $224,887 and $1,152,654 during the three and nine months ended May 31, 2009, respectively, representing a decrease of 7.3% and 40.8%, respectively. The decrease for the three-month comparison was due to a decrease in lab supplies and testing of $24,000. The decrease for the nine-month comparison was due to decreases in (i) consulting expenses of $197,000; (ii) legal expenses of $120,000; and (iii) lab supplies and testing of $87,000.</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the spring or fall of 2011. There was no additional deferred income recorded within other accrued liabilities during the three and nine months ended May 31, 2010 related to this future conference since $288,000 had been accrued over the past three fiscal years, which represents the amount that NTIC expects to spend every three years to hold the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r>
        <w:rPr>
          <w:rFonts w:ascii="Arial" w:cs="Arial" w:eastAsia="Arial" w:hAnsi="Arial"/>
          <w:sz w:val="16"/>
          <w:szCs w:val="16"/>
          <w:b w:val="1"/>
          <w:bCs w:val="1"/>
          <w:color w:val="auto"/>
        </w:rPr>
        <w: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NTIC’s research and development expenses increased 46.6% for the three months ended May 31, 2010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fiscal 2009 due to increases in (i) salary and benefits of $175,000; (ii) lab testing related expenses of $59,000; (iii) consulting expenses of $58,000; and (iv) travel expenses of $24,000, partially offset by grants received of $130,000. NTIC’s research and development expenses increased 13.7% for the nine months ended May 31, 2010 compared the same period in fiscal 2009 due to increases</w:t>
      </w:r>
    </w:p>
    <w:p>
      <w:pPr>
        <w:sectPr>
          <w:pgSz w:w="11900" w:h="16845" w:orient="portrait"/>
          <w:cols w:equalWidth="0" w:num="1">
            <w:col w:w="11420"/>
          </w:cols>
          <w:pgMar w:left="240" w:top="125"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(i) salary and benefits of $405,000; (ii) lab testing related expenses of $159,000; (iii) consulting expenses of $138,000; and (iv) travel expenses of $54,000, partially offset by grants received of $400,000.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NTIC’s incurred a loss on impairment of $554,000 during the nine ended May 31, 2009 relating to React-NTI.</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$864 and $5,607 during the three and nine months ended May 31, 2010,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$6,509 and $7,828 during the same respective periods in fiscal 2009 primarily due to the decreased cash balances earning interest during the most recent periods.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$23,867 and $73,637 during the three and nine months ended May 31, 2010,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$27,933 and $102,271 during the same respective periods in fiscal 2009 primarily due to lower average outstanding debt levels during the most recent periods.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Income (Loss) Before Income Tax Expense</w:t>
      </w:r>
      <w:r>
        <w:rPr>
          <w:rFonts w:ascii="Arial" w:cs="Arial" w:eastAsia="Arial" w:hAnsi="Arial"/>
          <w:sz w:val="16"/>
          <w:szCs w:val="16"/>
          <w:color w:val="auto"/>
        </w:rPr>
        <w:t>. Income before income tax expense was $841,968 and $1,515,314 for the three and nine months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2010, respectively, compared loss before income tax expense of $(594,679) and $(2,516,484) for the same respective periods in fiscal 2009.</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Income tax benefit was $(110,000) and $(219,000) during the three and nine months ended May 31, 2010,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$44,000 and income tax benefit of $(377,000) in the same respective periods in fiscal 2009. Income tax expense was calculated based on management’s estimate of NTIC’s annual effective income tax rate. NTIC’s annual effective income tax rate during the three and nine months ended May 31, 2010 and 2009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determined based on all available evidence, including historical data and projections of future results, that it is more likely than not that all of its deferred tax assets, except for its foreign tax credit carryforward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2010, NTIC’s working capital was $5,536,087, including $1,103,620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$2,727,737, including $138,885 in cash and cash equivalents, as of August 31, 2009.</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September 2009, NTIC completed a $3,552,000 registered direct offering in which NTIC sold an aggregate of 480,000 shares of its common stock to institutional investors at a purchase price of $7.40 per share, resulting in net proceeds of $3,195,613, after deducting placement agent fees and expenses and NTIC’s offering expenses. All of the shares were offered pursuant to an effective shelf registration statement.</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NTIC has a $2,300,000 demand line of credit with National City Bank, with no amounts outstanding as of May 31, 2010. Advances made under the demand line of credit are made at the sole discretion of National City Bank and are due and payable on demand. Outstanding amounts under the demand line of credit bear interest at an annual rate based on LIBOR plus 2.25%. As of May 31, 2010, the interest rate was 3.33%. Interest is payable in arrears on the 15th day of each month and on demand.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September 2006, NTIC purchased the real estate and 40,000 square feet building in which its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unless the bank demands payment earlier due to a covenant breach by NTIC as discussed in more detail below. The loan is secured by a first lien on the real estate and building.</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note governing the term loan, NTIC is subject to a minimum debt service coverage ratio of 1.0:1.0. At August 31, 2009, November 30, 2009, February 28, 2010 and May 31, 2010, NTIC failed to meet this financial covenant. Although the bank subsequently waived the covenant violation as of August 31, 2009, NTIC has not sought or obtained a waiver of any subsequent covenant violations from the bank. As a result, an event of default occurred under the note and the bank has the right in its discretion, by giving written notice to NTIC, to declare the full amount outstanding under the note immediately due and payable in full. NTIC has no intention to obtain a waiver for the event of default or desire to renegotiate or refinance the term loan. NTIC has not received any notice from the bank regarding the bank’s intent to call the loan. In the event the bank declares the note immediately due and payable, NTIC intends to pay off the note in full with existing cash and cash equivalents. NTIC has classified all amounts outstanding under the note as a current liability on its consolidated balance sheets as of May 31, 2010 and August 31, 2009.</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2010,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demand line of credit or raising additional financing through the issuance of debt or equity securities. There is no</w:t>
      </w:r>
    </w:p>
    <w:p>
      <w:pPr>
        <w:sectPr>
          <w:pgSz w:w="11900" w:h="16838" w:orient="portrait"/>
          <w:cols w:equalWidth="0" w:num="1">
            <w:col w:w="11400"/>
          </w:cols>
          <w:pgMar w:left="240" w:top="341" w:right="259" w:bottom="0" w:gutter="0" w:footer="0" w:header="0"/>
        </w:sectPr>
      </w:pPr>
    </w:p>
    <w:bookmarkStart w:id="14" w:name="page15"/>
    <w:bookmarkEnd w:id="14"/>
    <w:p>
      <w:pPr>
        <w:spacing w:after="0" w:line="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assurance that any financing transaction will be available on terms acceptable to NTIC or at all, or that any financing transaction will not be dilutive to NTIC’s current stockholders.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NTIC traditionally has used the cash generated from its North American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for the nine months ended May 31, 2010 was $1,609,993, which resulted principally from</w:t>
      </w:r>
      <w:r>
        <w:rPr>
          <w:rFonts w:ascii="Arial" w:cs="Arial" w:eastAsia="Arial" w:hAnsi="Arial"/>
          <w:sz w:val="16"/>
          <w:szCs w:val="16"/>
          <w:i w:val="1"/>
          <w:iCs w:val="1"/>
          <w:color w:val="auto"/>
        </w:rPr>
        <w:t xml:space="preserve"> </w:t>
      </w:r>
      <w:r>
        <w:rPr>
          <w:rFonts w:ascii="Arial" w:cs="Arial" w:eastAsia="Arial" w:hAnsi="Arial"/>
          <w:sz w:val="16"/>
          <w:szCs w:val="16"/>
          <w:color w:val="auto"/>
        </w:rPr>
        <w:t>NTIC’s equity in loss from joint ventures and decreases in inventories and trade receivables, partially offset by NTIC’s net income, expensing of stock options vested, depreciation and amortization expense, and increases in fees for services provided to joint ventures and accrued liabilities. Net cash used in operating activities for the nine months ended May 31, 2009 was $1,561,466, which resulted principally from NTIC’s net loss, equity in loss of joint ventures, increases in joint venture trade receivables, income tax receivables, prepaid expenses and decreases in accounts payable and accrued liabilities, partially offset by decreases in trade receivables excluding joint ventures and inventories, the loss on the impairment of assets and depreciation expense.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is 30 days and for trade receivables from its joint ventures is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fees for services provided to joint ventures is 90 days. NTIC records receivables for fees for services provided to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NTIC experienced an increase in receivables and inventory as of May 31, 2010 compared to August 31, 2009 due to the increase in net sales during the most recent period and requests from customers to stock more products to shorten lead times and meet customer demand. Trade receivables excluding joint ventures as of May 31, 2010 increased $358,134 compared to August 31, 2009, primarily related to the increase in NTIC’s net sales during the 90 days then ended as compared to the prior year 90 day period. Outstanding trade receivables excluding joint ventures balances as of May 31, 2010 decreased 24 days to an average of 62 days from balances outstanding from these customers as of August 31, 2009. Outstanding trade receivables from joint ventures as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May 31, 2010 increased $687,742 compared to August 31, 2009, primarily due to the corresponding increase in net sales, which also resulted in an increase of outstanding balances from trade receivables from joint ventures as of May 31, 2010 of 41 days to an average of 183 days from balances outstanding from these customers as of August 31, 2009. The significant average days outstanding of trade receivables from joint ventures as of May 31, 2010 was primarily due to the current receivable balance at NTIC’s joint venture in India. NTIC has made separate arrangements for payments on product that NTIC’s joint venture in India has purchased from NTIC until the product is sold. Outstanding fees for services provided to joint ventures as of May 31, 2010 decreased $448,663 as compared to August 31, 2009, primarily resulting from collections of past due fees. This payment, in conjunction with higher fees for the nine months ended May 31, 2010 compared to the nine months ended May 31, 2009 resulted in a decrease of 156 days of fees receivable outstanding as of May 31, 2010 to an average of 106 days as compared to August 31, 2009.</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investing activities for the nine months ended May 31, 2010 was $25,059 which was comprised of dividends received from joint ventures, partially offset by investments in joint ventures, patents and additions to property and equipment. Net cash provided by investing activities for the nine months ended May 31, 2009 was $1,418,472, which was comprised of dividends received from joint ventures, decrease in other assets, partially offset by additions to property and equipment and investments in patents.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cash provided by financing activities for the nine months ended May 31, 2010 was $2,549,670, which resulted primarily from the issuance of common stock and, to a lesser extent, proceeds from NTIC’s employee stock purchase plan and option exercises, partially offset by repayments to the demand line of credit and principal payments on the bank loan for NTIC’s corporate headquarters buildings. Net cash provided by financing activities for the nine months ended May 31, 2009 was $24,147, which resulted primarily from bank overdrafts and principal payments on the bank loan for NTIC’s corporate headquarters building, partially offset by borrowings made under the demand line of credit.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May 31, 2010,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ectPr>
          <w:pgSz w:w="11900" w:h="16934" w:orient="portrait"/>
          <w:cols w:equalWidth="0" w:num="1">
            <w:col w:w="11420"/>
          </w:cols>
          <w:pgMar w:left="240" w:top="125" w:right="239" w:bottom="0" w:gutter="0" w:footer="0" w:header="0"/>
        </w:sectPr>
      </w:pPr>
    </w:p>
    <w:bookmarkStart w:id="15" w:name="page16"/>
    <w:bookmarkEnd w:id="15"/>
    <w:p>
      <w:pPr>
        <w:ind w:right="160"/>
        <w:spacing w:after="0" w:line="259"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May 31, 2010, NTIC had no borrowings under its $2,300,000 demand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Investments in Joint Ventures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Northern Technologies Holding Company, LLC and React-NTI LLC. NTIC’s consolidated financial statements do not include the accounts of any of its joint ventures.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If the operating results of a joint venture do not meet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$14,960,391 as of May 31, 2010 and $14,329,122 as of August 31, 2009, respectively. NTIC’s investments in its joint venture in Germany and its ASEAN joint venture holding company were $7,072,512 and $2,518,180, respectively, as of May 31, 2010 and $6,838,375 and $3,098,103, respectively, as of August 31,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pacing w:after="0" w:line="18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With respect to recording revenue related to fees for services provided to joint ventures, NTIC recognizes revenue related to support of joint ventures when earned, amounts are determinable and collectability is reasonably assured. The support and services NTIC provides its joint ventures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Although this support and these services are continuously occurring, contractual obligation of payment by NTIC’s joint ventures related to administrative services does not occur until the joint ventures ship product from their facilities, as noted above.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ectPr>
          <w:pgSz w:w="11900" w:h="16838" w:orient="portrait"/>
          <w:cols w:equalWidth="0" w:num="1">
            <w:col w:w="11400"/>
          </w:cols>
          <w:pgMar w:left="240" w:top="341" w:right="259" w:bottom="0" w:gutter="0" w:footer="0" w:header="0"/>
        </w:sectPr>
      </w:pPr>
    </w:p>
    <w:bookmarkStart w:id="16" w:name="page17"/>
    <w:bookmarkEnd w:id="16"/>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 industrial corrosion inhibiting packaging products functional. Receivables for fees for services provided to joint ventures are contractually based on a percentage of the sales of the joint ventures and are intended to compensate NTIC for services NTIC provides to its joint ventures as, including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$79,000 at May 31, 2010 and August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Investments in Joint Ventures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NTIC reviews the overall performance its joint ventures on an annual basis as of August 31 as a part of its fiscal year end analysis. The quarterly operating results of each joint venture and a comparison to historical operating results, accrual for fees for services provided to joint ventures and impairment are evaluated upon receipt of quarterly operating results from the entity. If operating results do not meet financial performance expectations, an additional evaluation is performed on the joint venture. In addition, non-periodic assessments of impairment may occur between annual evaluation periods if cash remittances are less than accrued balances, joint venture management requests capital or other events occur suggesting an other than temporary decline in value.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functional currency of each international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4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conducts all foreign transactions based on the U.S. dollar, except for its investments in various foreign joint ventures. Since NTIC’s investments in its joint ventures are accounted for using the equity method, any changes in foreign currency exchange rates would be reflected as a foreign currency translation adjustment and would not change the equity in income of joint ventures reflected in NTIC’s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recognizes compensation cost relating to share-based payment transactions, including grants of employee stock options in its financial statements. That cost will be measured based on the fair value of the equity or liability instruments issued. NTIC measures the cost of employee services received in exchange for stock options based on the grant-date fair value of the award, and recognizes the cost over the period the employee is required to provide services for the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w:t>
      </w:r>
    </w:p>
    <w:p>
      <w:pPr>
        <w:sectPr>
          <w:pgSz w:w="11900" w:h="16945" w:orient="portrait"/>
          <w:cols w:equalWidth="0" w:num="1">
            <w:col w:w="11400"/>
          </w:cols>
          <w:pgMar w:left="240" w:top="125" w:right="259" w:bottom="0" w:gutter="0" w:footer="0" w:header="0"/>
        </w:sectPr>
      </w:pPr>
    </w:p>
    <w:bookmarkStart w:id="17" w:name="page18"/>
    <w:bookmarkEnd w:id="17"/>
    <w:p>
      <w:pPr>
        <w:ind w:right="40"/>
        <w:spacing w:after="0" w:line="254" w:lineRule="auto"/>
        <w:rPr>
          <w:sz w:val="20"/>
          <w:szCs w:val="20"/>
          <w:color w:val="auto"/>
        </w:rPr>
      </w:pPr>
      <w:r>
        <w:rPr>
          <w:rFonts w:ascii="Arial" w:cs="Arial" w:eastAsia="Arial" w:hAnsi="Arial"/>
          <w:sz w:val="18"/>
          <w:szCs w:val="18"/>
          <w:color w:val="auto"/>
        </w:rPr>
        <w:t>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These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5620" w:right="1720" w:hanging="4964"/>
        <w:spacing w:after="0" w:line="528" w:lineRule="auto"/>
        <w:tabs>
          <w:tab w:leader="none" w:pos="9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hanging="324"/>
        <w:spacing w:after="0" w:line="277" w:lineRule="auto"/>
        <w:tabs>
          <w:tab w:leader="none" w:pos="9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980" w:right="1040" w:hanging="324"/>
        <w:spacing w:after="0" w:line="277" w:lineRule="auto"/>
        <w:tabs>
          <w:tab w:leader="none" w:pos="9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complying with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2009 under the heading “Part I. Item 1A. Risk Factors.”</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we may consider immaterial or do not anticipate at this time. Although we believe that the expectations reflected in our forward-looking statements are reasonable, we do not know whether our expectations will prove correct. Our expectations reflected in our forward-looking statements can be affected by inaccurate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assumptions we might make or by known or unknown uncertainties and factors, including those described above. The risks and uncertainties described above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annual reports on Form 10-K, quarterly reports on Form 10-Q and current reports on Form 8-K we file with or furnish to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2010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NTIC’s legal proceedings in Note 13 of its consolidated financial statements included within this report is incorporated herein by reference.</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May 31, 2010,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2010, NTIC did not purchase any shares of its common stock or other equity securities of NTIC.</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[REMOVED AND RESERVED]</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ectPr>
          <w:pgSz w:w="11900" w:h="16838" w:orient="portrait"/>
          <w:cols w:equalWidth="0" w:num="1">
            <w:col w:w="11400"/>
          </w:cols>
          <w:pgMar w:left="240" w:top="125" w:right="259" w:bottom="0" w:gutter="0" w:footer="0" w:header="0"/>
        </w:sectPr>
      </w:pPr>
    </w:p>
    <w:bookmarkStart w:id="19" w:name="page20"/>
    <w:bookmarkEnd w:id="19"/>
    <w:p>
      <w:pPr>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(filed herewith)</w:t>
      </w:r>
    </w:p>
    <w:p>
      <w:pPr>
        <w:spacing w:after="0" w:line="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(filed herewith)</w:t>
      </w:r>
    </w:p>
    <w:p>
      <w:pPr>
        <w:spacing w:after="0" w:line="9" w:lineRule="exact"/>
        <w:rPr>
          <w:sz w:val="20"/>
          <w:szCs w:val="20"/>
          <w:color w:val="auto"/>
        </w:rPr>
      </w:pPr>
    </w:p>
    <w:p>
      <w:pPr>
        <w:ind w:left="1160" w:right="180" w:hanging="859"/>
        <w:spacing w:after="0" w:line="250" w:lineRule="auto"/>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 (furnished herewith)</w:t>
      </w:r>
    </w:p>
    <w:p>
      <w:pPr>
        <w:spacing w:after="0" w:line="1"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 (furnished herewith)</w:t>
      </w:r>
    </w:p>
    <w:p>
      <w:pPr>
        <w:spacing w:after="0" w:line="9" w:lineRule="exact"/>
        <w:rPr>
          <w:sz w:val="20"/>
          <w:szCs w:val="20"/>
          <w:color w:val="auto"/>
        </w:rPr>
      </w:pPr>
    </w:p>
    <w:p>
      <w:pPr>
        <w:ind w:left="1160" w:right="400" w:hanging="859"/>
        <w:spacing w:after="0" w:line="261" w:lineRule="auto"/>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Revised Consolidated Statements of Operations of Northern Technologies International Corporation and Subsidiaries for the Fiscal Years ended August 31, 2009 and 2008 (filed herewith)</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8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286510" cy="70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65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5"/>
          </w:tcPr>
          <w:p>
            <w:pPr>
              <w:spacing w:after="0"/>
              <w:rPr>
                <w:sz w:val="20"/>
                <w:szCs w:val="20"/>
                <w:color w:val="auto"/>
              </w:rPr>
            </w:pPr>
            <w:r>
              <w:rPr>
                <w:rFonts w:ascii="Arial" w:cs="Arial" w:eastAsia="Arial" w:hAnsi="Arial"/>
                <w:sz w:val="18"/>
                <w:szCs w:val="18"/>
                <w:color w:val="auto"/>
              </w:rPr>
              <w:t>Date: July 15, 2010</w:t>
            </w:r>
          </w:p>
        </w:tc>
        <w:tc>
          <w:tcPr>
            <w:tcW w:w="1940" w:type="dxa"/>
            <w:vAlign w:val="bottom"/>
          </w:tcPr>
          <w:p>
            <w:pPr>
              <w:spacing w:after="0"/>
              <w:rPr>
                <w:sz w:val="18"/>
                <w:szCs w:val="18"/>
                <w:color w:val="auto"/>
              </w:rPr>
            </w:pPr>
          </w:p>
        </w:tc>
        <w:tc>
          <w:tcPr>
            <w:tcW w:w="3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C. Wolsfeld, CPA</w:t>
            </w:r>
          </w:p>
        </w:tc>
        <w:tc>
          <w:tcPr>
            <w:tcW w:w="2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5"/>
              </w:rPr>
              <w:t>(Principal Financial and Accounting Officer and Duly Authorized to Sign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Behalf of the Registrant)</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gridSpan w:val="2"/>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8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8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58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9"/>
              </w:rPr>
              <w:t>QUARTERLY REPORT ON FORM 10-Q</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8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EXHIBIT INDEX</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58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580" w:type="dxa"/>
            <w:vAlign w:val="bottom"/>
            <w:gridSpan w:val="3"/>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82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1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1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rPr>
              <w:t>Revised Consolidated Statements of Operations of Northern Technologies International Corporation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rPr>
              <w:t>Subsidiaries for the Fiscal Years ended August 31, 2009 and 2008</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-2833370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-2833370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80" w:hanging="512"/>
        <w:spacing w:after="0" w:line="308"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5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0" w:firstLine="8"/>
        <w:spacing w:after="0" w:line="264" w:lineRule="auto"/>
        <w:tabs>
          <w:tab w:leader="none" w:pos="15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60" w:firstLine="8"/>
        <w:spacing w:after="0" w:line="342" w:lineRule="auto"/>
        <w:tabs>
          <w:tab w:leader="none" w:pos="1550" w:val="left"/>
        </w:tabs>
        <w:numPr>
          <w:ilvl w:val="2"/>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40" w:hanging="512"/>
        <w:spacing w:after="0" w:line="308"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20"/>
        <w:spacing w:after="0" w:line="308" w:lineRule="auto"/>
        <w:tabs>
          <w:tab w:leader="none" w:pos="154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60" w:firstLine="5"/>
        <w:spacing w:after="0" w:line="277" w:lineRule="auto"/>
        <w:tabs>
          <w:tab w:leader="none" w:pos="1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117475</wp:posOffset>
            </wp:positionV>
            <wp:extent cx="173228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2280" cy="21463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2010</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512"/>
        <w:spacing w:after="0" w:line="308" w:lineRule="auto"/>
        <w:tabs>
          <w:tab w:leader="none" w:pos="5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 w:hanging="512"/>
        <w:spacing w:after="0" w:line="264"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60" w:firstLine="8"/>
        <w:spacing w:after="0" w:line="264" w:lineRule="auto"/>
        <w:tabs>
          <w:tab w:leader="none" w:pos="155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80" w:firstLine="8"/>
        <w:spacing w:after="0" w:line="264" w:lineRule="auto"/>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200" w:firstLine="8"/>
        <w:spacing w:after="0" w:line="342" w:lineRule="auto"/>
        <w:tabs>
          <w:tab w:leader="none" w:pos="1550" w:val="left"/>
        </w:tabs>
        <w:numPr>
          <w:ilvl w:val="2"/>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60" w:firstLine="4"/>
        <w:spacing w:after="0" w:line="264" w:lineRule="auto"/>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80" w:hanging="512"/>
        <w:spacing w:after="0" w:line="308" w:lineRule="auto"/>
        <w:tabs>
          <w:tab w:leader="none" w:pos="5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60"/>
        <w:spacing w:after="0" w:line="308" w:lineRule="auto"/>
        <w:tabs>
          <w:tab w:leader="none" w:pos="154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00" w:firstLine="5"/>
        <w:spacing w:after="0" w:line="277"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457960"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9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July 15, 2010</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2010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3627755" cy="454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4546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2010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523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REVISED CONSOLIDATED STATEMENTS OF OPERATIONS OF NORTHERN TECHNOLOGIES INTERNATIONAL CORPORATION AND SUBSIDIARIES FOR THE FISCAL YEARS ENDED AUGUST 31, 2009 AND 2008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Net sales, excluding joint ventures</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7,428,499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10,890,652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 to joint ventures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1,146,809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8,575,308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12,690,752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5,620,668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7,638,690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2,954,640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5,052,062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JOINT VENTURES: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of joint ventures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367,238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3,792,197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Gain on sale of joint venture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172,767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for services provided to joint ventures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3,378,193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5,956,403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3,745,431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9,921,367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2,439,321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2,804,257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3,514,437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incurred in support of joint ventures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1,427,616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2,873,975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3,024,205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2,532,791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impairment</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554,000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10,249,399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12,216,085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OPERATING (LOSS) INCOME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(3,549,328)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2,757,344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6,340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(132,411)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INCOME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25,025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(LOSS) INCOME BEFORE INCOME TAX EXPENSE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(3,646,976)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2,723,956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(302,000)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 INCOME</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(3,344,976)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2,553,956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(0.89)</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3,749,012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3,714,940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3,749,012</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3,757,492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above amounts have been reclassified to conform to the current period presentation. These reclassifications did not have a material impact on the Company’s previously reported consolidated balance sheets or statements of cash flows. The Company has reclassified various line items in the statements of operations to better provide the results of its joint ventures, as well as its North American operations. These reclassifications changed the Company’s operating income (loss), but did not impact its net income (loss) or 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upperLetter"/>
      <w:start w:val="1"/>
    </w:lvl>
    <w:lvl w:ilvl="1">
      <w:lvlJc w:val="left"/>
      <w:lvlText w:val="(%2)"/>
      <w:numFmt w:val="decimal"/>
      <w:start w:val="1"/>
    </w:lvl>
  </w:abstractNum>
  <w:abstractNum w:abstractNumId="20">
    <w:nsid w:val="333AB105"/>
    <w:multiLevelType w:val="hybridMultilevel"/>
    <w:lvl w:ilvl="0">
      <w:lvlJc w:val="left"/>
      <w:lvlText w:val="%1."/>
      <w:numFmt w:val="upperLetter"/>
      <w:start w:val="7"/>
    </w:lvl>
    <w:lvl w:ilvl="1">
      <w:lvlJc w:val="left"/>
      <w:lvlText w:val="%2"/>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2019-12-10T09:37:45Z</dcterms:created>
  <dcterms:modified xsi:type="dcterms:W3CDTF">2019-12-10T09:37:45Z</dcterms:modified>
</cp:coreProperties>
</file>