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30,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78" w:lineRule="exact"/>
        <w:rPr>
          <w:sz w:val="24"/>
          <w:szCs w:val="24"/>
          <w:color w:val="auto"/>
        </w:rPr>
      </w:pPr>
    </w:p>
    <w:p>
      <w:pPr>
        <w:ind w:left="340" w:hanging="332"/>
        <w:spacing w:after="0" w:line="207" w:lineRule="exact"/>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r>
        <w:rPr>
          <w:rFonts w:ascii="MS PGothic" w:cs="MS PGothic" w:eastAsia="MS PGothic" w:hAnsi="MS PGothic"/>
          <w:sz w:val="18"/>
          <w:szCs w:val="18"/>
          <w:color w:val="auto"/>
        </w:rPr>
        <w:t>‐‐</w:t>
      </w:r>
    </w:p>
    <w:p>
      <w:pPr>
        <w:spacing w:after="0" w:line="253" w:lineRule="exact"/>
        <w:rPr>
          <w:rFonts w:ascii="MS PGothic" w:cs="MS PGothic" w:eastAsia="MS PGothic" w:hAnsi="MS PGothic"/>
          <w:sz w:val="18"/>
          <w:szCs w:val="18"/>
          <w:color w:val="auto"/>
        </w:rPr>
      </w:pPr>
    </w:p>
    <w:p>
      <w:pPr>
        <w:ind w:left="28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________________ to __________________</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59"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45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33"/>
        </w:trPr>
        <w:tc>
          <w:tcPr>
            <w:tcW w:w="46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r>
      <w:tr>
        <w:trPr>
          <w:trHeight w:val="209"/>
        </w:trPr>
        <w:tc>
          <w:tcPr>
            <w:tcW w:w="46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6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59" w:right="33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340" w:space="720"/>
            <w:col w:w="5180"/>
          </w:cols>
          <w:pgMar w:left="320" w:top="459" w:right="339" w:bottom="1440" w:gutter="0" w:footer="0" w:header="0"/>
          <w:type w:val="continuous"/>
        </w:sectPr>
      </w:pPr>
    </w:p>
    <w:p>
      <w:pPr>
        <w:spacing w:after="0" w:line="17"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12, 2023, there were 9,366,358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20" w:type="dxa"/>
            <w:vAlign w:val="bottom"/>
            <w:gridSpan w:val="9"/>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FINANCIAL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November 30, 2022 (unaudited) and August 31, 2022</w:t>
            </w:r>
          </w:p>
        </w:tc>
        <w:tc>
          <w:tcPr>
            <w:tcW w:w="2260" w:type="dxa"/>
            <w:vAlign w:val="bottom"/>
            <w:gridSpan w:val="6"/>
          </w:tcPr>
          <w:p>
            <w:pPr>
              <w:spacing w:after="0"/>
              <w:rPr>
                <w:sz w:val="17"/>
                <w:szCs w:val="17"/>
                <w:color w:val="auto"/>
              </w:rPr>
            </w:pP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9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(unaudited) for the Three Months Ended November 30, 2022 and 2021</w:t>
            </w:r>
          </w:p>
        </w:tc>
        <w:tc>
          <w:tcPr>
            <w:tcW w:w="680" w:type="dxa"/>
            <w:vAlign w:val="bottom"/>
            <w:gridSpan w:val="3"/>
          </w:tcPr>
          <w:p>
            <w:pPr>
              <w:spacing w:after="0"/>
              <w:rPr>
                <w:sz w:val="17"/>
                <w:szCs w:val="17"/>
                <w:color w:val="auto"/>
              </w:rPr>
            </w:pP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(unaudited) for the Three Months Ended November 30, 2022</w:t>
            </w:r>
          </w:p>
        </w:tc>
        <w:tc>
          <w:tcPr>
            <w:tcW w:w="9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4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9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40" w:type="dxa"/>
            <w:vAlign w:val="bottom"/>
            <w:gridSpan w:val="18"/>
            <w:vMerge w:val="continue"/>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Equity (unaudited) for the Three Months Ended November 30, 2022 and 2021</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(unaudited) for the Three Months Ended November 30, 2022 and 2021</w:t>
            </w:r>
          </w:p>
        </w:tc>
        <w:tc>
          <w:tcPr>
            <w:tcW w:w="620" w:type="dxa"/>
            <w:vAlign w:val="bottom"/>
            <w:gridSpan w:val="2"/>
          </w:tcPr>
          <w:p>
            <w:pPr>
              <w:spacing w:after="0"/>
              <w:rPr>
                <w:sz w:val="17"/>
                <w:szCs w:val="17"/>
                <w:color w:val="auto"/>
              </w:rPr>
            </w:pP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4000" w:type="dxa"/>
            <w:vAlign w:val="bottom"/>
            <w:gridSpan w:val="6"/>
          </w:tcPr>
          <w:p>
            <w:pPr>
              <w:spacing w:after="0"/>
              <w:rPr>
                <w:sz w:val="17"/>
                <w:szCs w:val="17"/>
                <w:color w:val="auto"/>
              </w:rPr>
            </w:pPr>
          </w:p>
        </w:tc>
        <w:tc>
          <w:tcPr>
            <w:tcW w:w="620" w:type="dxa"/>
            <w:vAlign w:val="bottom"/>
            <w:gridSpan w:val="2"/>
          </w:tcPr>
          <w:p>
            <w:pPr>
              <w:spacing w:after="0"/>
              <w:rPr>
                <w:sz w:val="17"/>
                <w:szCs w:val="17"/>
                <w:color w:val="auto"/>
              </w:rPr>
            </w:pP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6-15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300" w:type="dxa"/>
            <w:vAlign w:val="bottom"/>
            <w:tcBorders>
              <w:left w:val="single" w:sz="8" w:color="0000EE"/>
            </w:tcBorders>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1180" w:type="dxa"/>
            <w:vAlign w:val="bottom"/>
            <w:gridSpan w:val="4"/>
          </w:tcPr>
          <w:p>
            <w:pPr>
              <w:spacing w:after="0"/>
              <w:rPr>
                <w:sz w:val="17"/>
                <w:szCs w:val="17"/>
                <w:color w:val="auto"/>
              </w:rPr>
            </w:pPr>
          </w:p>
        </w:tc>
        <w:tc>
          <w:tcPr>
            <w:tcW w:w="8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subsidiary in India effective as of September 1, 2021,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NOVEMBER 30, 2022 (UNAUDITED) AND</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8"/>
        </w:trPr>
        <w:tc>
          <w:tcPr>
            <w:tcW w:w="7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AUGUST 31, 2022 (AUDITED)</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09"/>
        </w:trPr>
        <w:tc>
          <w:tcPr>
            <w:tcW w:w="7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August 31, 2022</w:t>
            </w:r>
          </w:p>
        </w:tc>
      </w:tr>
      <w:tr>
        <w:trPr>
          <w:trHeight w:val="209"/>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6,066,321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5,333,890</w:t>
            </w:r>
          </w:p>
        </w:tc>
      </w:tr>
      <w:tr>
        <w:trPr>
          <w:trHeight w:val="216"/>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98"/>
        </w:trPr>
        <w:tc>
          <w:tcPr>
            <w:tcW w:w="782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$439,000 as of November</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7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30, 2022 and August 31, 2022</w:t>
            </w:r>
          </w:p>
        </w:tc>
        <w:tc>
          <w:tcPr>
            <w:tcW w:w="4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14,398,185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14,136,930</w:t>
            </w:r>
          </w:p>
        </w:tc>
      </w:tr>
      <w:tr>
        <w:trPr>
          <w:trHeight w:val="216"/>
        </w:trPr>
        <w:tc>
          <w:tcPr>
            <w:tcW w:w="7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593,601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697,861</w:t>
            </w:r>
          </w:p>
        </w:tc>
      </w:tr>
      <w:tr>
        <w:trPr>
          <w:trHeight w:val="21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1,123,478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1,765,117</w:t>
            </w:r>
          </w:p>
        </w:tc>
      </w:tr>
      <w:tr>
        <w:trPr>
          <w:trHeight w:val="216"/>
        </w:trPr>
        <w:tc>
          <w:tcPr>
            <w:tcW w:w="7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15,236,496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16,341,729</w:t>
            </w:r>
          </w:p>
        </w:tc>
      </w:tr>
      <w:tr>
        <w:trPr>
          <w:trHeight w:val="216"/>
        </w:trPr>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2,241,664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1,953,764</w:t>
            </w:r>
          </w:p>
        </w:tc>
      </w:tr>
      <w:tr>
        <w:trPr>
          <w:trHeight w:val="210"/>
        </w:trPr>
        <w:tc>
          <w:tcPr>
            <w:tcW w:w="760" w:type="dxa"/>
            <w:vAlign w:val="bottom"/>
          </w:tcPr>
          <w:p>
            <w:pPr>
              <w:spacing w:after="0"/>
              <w:rPr>
                <w:sz w:val="18"/>
                <w:szCs w:val="18"/>
                <w:color w:val="auto"/>
              </w:rPr>
            </w:pPr>
          </w:p>
        </w:tc>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39,892,066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40,234,881</w:t>
            </w:r>
          </w:p>
        </w:tc>
      </w:tr>
      <w:tr>
        <w:trPr>
          <w:trHeight w:val="209"/>
        </w:trPr>
        <w:tc>
          <w:tcPr>
            <w:tcW w:w="78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12,145,152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12,170,493</w:t>
            </w:r>
          </w:p>
        </w:tc>
      </w:tr>
      <w:tr>
        <w:trPr>
          <w:trHeight w:val="21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20,331,746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21,814,754</w:t>
            </w:r>
          </w:p>
        </w:tc>
      </w:tr>
      <w:tr>
        <w:trPr>
          <w:trHeight w:val="216"/>
        </w:trPr>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6,530,512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6,633,878</w:t>
            </w:r>
          </w:p>
        </w:tc>
      </w:tr>
      <w:tr>
        <w:trPr>
          <w:trHeight w:val="216"/>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4,782,376</w:t>
            </w:r>
          </w:p>
        </w:tc>
      </w:tr>
      <w:tr>
        <w:trPr>
          <w:trHeight w:val="216"/>
        </w:trPr>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440,921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557,571</w:t>
            </w:r>
          </w:p>
        </w:tc>
      </w:tr>
      <w:tr>
        <w:trPr>
          <w:trHeight w:val="209"/>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32,085,555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33,788,579</w:t>
            </w:r>
          </w:p>
        </w:tc>
      </w:tr>
      <w:tr>
        <w:trPr>
          <w:trHeight w:val="250"/>
        </w:trPr>
        <w:tc>
          <w:tcPr>
            <w:tcW w:w="760" w:type="dxa"/>
            <w:vAlign w:val="bottom"/>
            <w:shd w:val="clear" w:color="auto" w:fill="CCEEFF"/>
          </w:tcPr>
          <w:p>
            <w:pPr>
              <w:spacing w:after="0"/>
              <w:rPr>
                <w:sz w:val="21"/>
                <w:szCs w:val="21"/>
                <w:color w:val="auto"/>
              </w:rPr>
            </w:pPr>
          </w:p>
        </w:tc>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84,122,773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86,193,953</w:t>
            </w:r>
          </w:p>
        </w:tc>
      </w:tr>
      <w:tr>
        <w:trPr>
          <w:trHeight w:val="197"/>
        </w:trPr>
        <w:tc>
          <w:tcPr>
            <w:tcW w:w="7820" w:type="dxa"/>
            <w:vAlign w:val="bottom"/>
            <w:tcBorders>
              <w:top w:val="single" w:sz="8" w:color="CCEEFF"/>
            </w:tcBorders>
            <w:gridSpan w:val="2"/>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6,032,918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7,796,494</w:t>
            </w:r>
          </w:p>
        </w:tc>
      </w:tr>
      <w:tr>
        <w:trPr>
          <w:trHeight w:val="216"/>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5,900,000</w:t>
            </w:r>
          </w:p>
        </w:tc>
      </w:tr>
      <w:tr>
        <w:trPr>
          <w:trHeight w:val="216"/>
        </w:trPr>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30,742</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1,601,033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2,297,543</w:t>
            </w:r>
          </w:p>
        </w:tc>
      </w:tr>
      <w:tr>
        <w:trPr>
          <w:trHeight w:val="216"/>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1,069,489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667,292</w:t>
            </w:r>
          </w:p>
        </w:tc>
      </w:tr>
      <w:tr>
        <w:trPr>
          <w:trHeight w:val="216"/>
        </w:trPr>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317,496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373,330</w:t>
            </w:r>
          </w:p>
        </w:tc>
      </w:tr>
      <w:tr>
        <w:trPr>
          <w:trHeight w:val="210"/>
        </w:trPr>
        <w:tc>
          <w:tcPr>
            <w:tcW w:w="760" w:type="dxa"/>
            <w:vAlign w:val="bottom"/>
          </w:tcPr>
          <w:p>
            <w:pPr>
              <w:spacing w:after="0"/>
              <w:rPr>
                <w:sz w:val="18"/>
                <w:szCs w:val="18"/>
                <w:color w:val="auto"/>
              </w:rPr>
            </w:pPr>
          </w:p>
        </w:tc>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14,483,146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17,065,401</w:t>
            </w:r>
          </w:p>
        </w:tc>
      </w:tr>
      <w:tr>
        <w:trPr>
          <w:trHeight w:val="20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1,643,007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1,700,015</w:t>
            </w:r>
          </w:p>
        </w:tc>
      </w:tr>
      <w:tr>
        <w:trPr>
          <w:trHeight w:val="216"/>
        </w:trPr>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less current portion</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184,241</w:t>
            </w:r>
          </w:p>
        </w:tc>
      </w:tr>
      <w:tr>
        <w:trPr>
          <w:trHeight w:val="210"/>
        </w:trPr>
        <w:tc>
          <w:tcPr>
            <w:tcW w:w="760" w:type="dxa"/>
            <w:vAlign w:val="bottom"/>
          </w:tcPr>
          <w:p>
            <w:pPr>
              <w:spacing w:after="0"/>
              <w:rPr>
                <w:sz w:val="18"/>
                <w:szCs w:val="18"/>
                <w:color w:val="auto"/>
              </w:rPr>
            </w:pPr>
          </w:p>
        </w:tc>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1,766,432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1,884,256</w:t>
            </w:r>
          </w:p>
        </w:tc>
      </w:tr>
      <w:tr>
        <w:trPr>
          <w:trHeight w:val="210"/>
        </w:trPr>
        <w:tc>
          <w:tcPr>
            <w:tcW w:w="78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7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 November 30, 2022</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7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and August 31, 2022; issued and outstanding 9,366,358 and 9,232,483, respectively</w:t>
            </w:r>
          </w:p>
        </w:tc>
        <w:tc>
          <w:tcPr>
            <w:tcW w:w="4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184,650</w:t>
            </w:r>
          </w:p>
        </w:tc>
      </w:tr>
      <w:tr>
        <w:trPr>
          <w:trHeight w:val="216"/>
        </w:trPr>
        <w:tc>
          <w:tcPr>
            <w:tcW w:w="7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20,721,235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19,939,131</w:t>
            </w:r>
          </w:p>
        </w:tc>
      </w:tr>
      <w:tr>
        <w:trPr>
          <w:trHeight w:val="216"/>
        </w:trPr>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50,563,210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50,716,613</w:t>
            </w:r>
          </w:p>
        </w:tc>
      </w:tr>
      <w:tr>
        <w:trPr>
          <w:trHeight w:val="216"/>
        </w:trPr>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(7,305,836)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(7,245,132)</w:t>
            </w:r>
          </w:p>
        </w:tc>
      </w:tr>
      <w:tr>
        <w:trPr>
          <w:trHeight w:val="209"/>
        </w:trPr>
        <w:tc>
          <w:tcPr>
            <w:tcW w:w="760" w:type="dxa"/>
            <w:vAlign w:val="bottom"/>
          </w:tcPr>
          <w:p>
            <w:pPr>
              <w:spacing w:after="0"/>
              <w:rPr>
                <w:sz w:val="18"/>
                <w:szCs w:val="18"/>
                <w:color w:val="auto"/>
              </w:rPr>
            </w:pPr>
          </w:p>
        </w:tc>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64,165,936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63,595,262</w:t>
            </w:r>
          </w:p>
        </w:tc>
      </w:tr>
      <w:tr>
        <w:trPr>
          <w:trHeight w:val="216"/>
        </w:trPr>
        <w:tc>
          <w:tcPr>
            <w:tcW w:w="7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3,707,259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3,649,034</w:t>
            </w:r>
          </w:p>
        </w:tc>
      </w:tr>
      <w:tr>
        <w:trPr>
          <w:trHeight w:val="210"/>
        </w:trPr>
        <w:tc>
          <w:tcPr>
            <w:tcW w:w="760" w:type="dxa"/>
            <w:vAlign w:val="bottom"/>
          </w:tcPr>
          <w:p>
            <w:pPr>
              <w:spacing w:after="0"/>
              <w:rPr>
                <w:sz w:val="18"/>
                <w:szCs w:val="18"/>
                <w:color w:val="auto"/>
              </w:rPr>
            </w:pPr>
          </w:p>
        </w:tc>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equity</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67,873,195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67,244,296</w:t>
            </w:r>
          </w:p>
        </w:tc>
      </w:tr>
      <w:tr>
        <w:trPr>
          <w:trHeight w:val="229"/>
        </w:trPr>
        <w:tc>
          <w:tcPr>
            <w:tcW w:w="760" w:type="dxa"/>
            <w:vAlign w:val="bottom"/>
            <w:shd w:val="clear" w:color="auto" w:fill="CCEEFF"/>
          </w:tcPr>
          <w:p>
            <w:pPr>
              <w:spacing w:after="0"/>
              <w:rPr>
                <w:sz w:val="19"/>
                <w:szCs w:val="19"/>
                <w:color w:val="auto"/>
              </w:rPr>
            </w:pPr>
          </w:p>
        </w:tc>
        <w:tc>
          <w:tcPr>
            <w:tcW w:w="7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84,122,773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86,193,953</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 w:name="page5"/>
    <w:bookmarkEnd w:id="4"/>
    <w:p>
      <w:pPr>
        <w:ind w:right="396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MONTHS ENDED NOVEMBER 30, 2022 AND 2021</w:t>
      </w:r>
    </w:p>
    <w:tbl>
      <w:tblPr>
        <w:tblLayout w:type="fixed"/>
        <w:tblInd w:w="0" w:type="dxa"/>
        <w:tblCellMar>
          <w:top w:w="0" w:type="dxa"/>
          <w:left w:w="0" w:type="dxa"/>
          <w:bottom w:w="0" w:type="dxa"/>
          <w:right w:w="0" w:type="dxa"/>
        </w:tblCellMar>
      </w:tblPr>
      <w:tr>
        <w:trPr>
          <w:trHeight w:val="192"/>
        </w:trPr>
        <w:tc>
          <w:tcPr>
            <w:tcW w:w="80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4"/>
          </w:tcPr>
          <w:p>
            <w:pPr>
              <w:jc w:val="right"/>
              <w:ind w:right="770"/>
              <w:spacing w:after="0" w:line="19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18,193,413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13,599,642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12,490,483</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6,353,124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5,702,930</w:t>
            </w:r>
          </w:p>
        </w:tc>
      </w:tr>
      <w:tr>
        <w:trPr>
          <w:trHeight w:val="243"/>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1,374,749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1,181,805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1,258,858</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2,371,209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2,633,607</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3,507,434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3,237,758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3,130,599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2,596,347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1,256,724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1,235,821</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7,894,757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7,069,926</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829,576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1,266,611</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 ON ACQUISITION OF EQUITY METHOD INVESTEE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3,951,550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744,413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5,226,213</w:t>
            </w:r>
          </w:p>
        </w:tc>
      </w:tr>
      <w:tr>
        <w:trPr>
          <w:trHeight w:val="243"/>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110,733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504,380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633,680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4,721,833</w:t>
            </w:r>
          </w:p>
        </w:tc>
      </w:tr>
      <w:tr>
        <w:trPr>
          <w:trHeight w:val="243"/>
        </w:trPr>
        <w:tc>
          <w:tcPr>
            <w:tcW w:w="8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228,074</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502,242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4,493,759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r>
      <w:tr>
        <w:trPr>
          <w:trHeight w:val="197"/>
        </w:trPr>
        <w:tc>
          <w:tcPr>
            <w:tcW w:w="80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0.46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9,317,680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9,199,976</w:t>
            </w:r>
          </w:p>
        </w:tc>
      </w:tr>
      <w:tr>
        <w:trPr>
          <w:trHeight w:val="196"/>
        </w:trPr>
        <w:tc>
          <w:tcPr>
            <w:tcW w:w="80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9,718,931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9,779,770</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ind w:right="396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COMPREHENSIVE INCOME (UNAUDITED) FOR THE THREE MONTHS ENDED NOVEMBER 30, 2022 AND 2021</w:t>
      </w:r>
    </w:p>
    <w:tbl>
      <w:tblPr>
        <w:tblLayout w:type="fixed"/>
        <w:tblInd w:w="0" w:type="dxa"/>
        <w:tblCellMar>
          <w:top w:w="0" w:type="dxa"/>
          <w:left w:w="0" w:type="dxa"/>
          <w:bottom w:w="0" w:type="dxa"/>
          <w:right w:w="0" w:type="dxa"/>
        </w:tblCellMar>
      </w:tblPr>
      <w:tr>
        <w:trPr>
          <w:trHeight w:val="192"/>
        </w:trPr>
        <w:tc>
          <w:tcPr>
            <w:tcW w:w="80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4"/>
          </w:tcPr>
          <w:p>
            <w:pPr>
              <w:jc w:val="right"/>
              <w:ind w:right="770"/>
              <w:spacing w:after="0" w:line="19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633,680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4,721,833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 FOREIGN CURRENCY TRANSLATION ADJUSTMENT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(409,064)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579,763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4,312,769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(156,065)</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4,468,834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9,184,811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183,696</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$18,736,268</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$46,973,092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(3,525,030)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3,382,555</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$65,750,581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138,880</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139,200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38,479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38,532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232,883</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232,883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by non-controlling 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(643,121)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4,493,759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228,074</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4,721,833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(337,055)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(409,064)</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9,203,446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184,069</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19,146,510</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50,823,730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(3,862,085)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3,338,620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$69,630,844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9,232,483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$19,939,131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$50,716,613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(7,245,132)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3,649,034</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$67,244,296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2,605</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413,958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416,563</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38,624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38,696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329,522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329,522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by non-controlling 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502,242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131,438</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633,680</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6,787</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30, 2022</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9,336,357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20,721,235</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50,563,210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(7,305,836)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3,707,259</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$67,873,195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 w:name="page8"/>
    <w:bookmarkEnd w:id="7"/>
    <w:p>
      <w:pPr>
        <w:ind w:right="396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THREE MONTHS ENDED NOVEMBER 30, 2022 AND 2021</w:t>
      </w:r>
    </w:p>
    <w:tbl>
      <w:tblPr>
        <w:tblLayout w:type="fixed"/>
        <w:tblInd w:w="0" w:type="dxa"/>
        <w:tblCellMar>
          <w:top w:w="0" w:type="dxa"/>
          <w:left w:w="0" w:type="dxa"/>
          <w:bottom w:w="0" w:type="dxa"/>
          <w:right w:w="0" w:type="dxa"/>
        </w:tblCellMar>
      </w:tblPr>
      <w:tr>
        <w:trPr>
          <w:trHeight w:val="192"/>
        </w:trPr>
        <w:tc>
          <w:tcPr>
            <w:tcW w:w="75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280" w:type="dxa"/>
            <w:vAlign w:val="bottom"/>
            <w:tcBorders>
              <w:top w:val="single" w:sz="8" w:color="auto"/>
              <w:bottom w:val="single" w:sz="8" w:color="auto"/>
            </w:tcBorders>
            <w:gridSpan w:val="4"/>
          </w:tcPr>
          <w:p>
            <w:pPr>
              <w:jc w:val="right"/>
              <w:ind w:right="870"/>
              <w:spacing w:after="0" w:line="19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633,680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4,721,833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232,883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262,876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215,306</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119,894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Remeasurement gain on acquisition of equity method investee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(3,951,550)</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(1,374,749)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3,042,688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5,042,271</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126,852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(308,325)</w:t>
            </w:r>
          </w:p>
        </w:tc>
        <w:tc>
          <w:tcPr>
            <w:tcW w:w="0" w:type="dxa"/>
            <w:vAlign w:val="bottom"/>
          </w:tcPr>
          <w:p>
            <w:pPr>
              <w:spacing w:after="0"/>
              <w:rPr>
                <w:sz w:val="1"/>
                <w:szCs w:val="1"/>
                <w:color w:val="auto"/>
              </w:rPr>
            </w:pPr>
          </w:p>
        </w:tc>
      </w:tr>
      <w:tr>
        <w:trPr>
          <w:trHeight w:val="216"/>
        </w:trPr>
        <w:tc>
          <w:tcPr>
            <w:tcW w:w="7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Trade, joint ventures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304,258</w:t>
            </w:r>
          </w:p>
        </w:tc>
        <w:tc>
          <w:tcPr>
            <w:tcW w:w="0" w:type="dxa"/>
            <w:vAlign w:val="bottom"/>
          </w:tcPr>
          <w:p>
            <w:pPr>
              <w:spacing w:after="0"/>
              <w:rPr>
                <w:sz w:val="1"/>
                <w:szCs w:val="1"/>
                <w:color w:val="auto"/>
              </w:rPr>
            </w:pPr>
          </w:p>
        </w:tc>
      </w:tr>
      <w:tr>
        <w:trPr>
          <w:trHeight w:val="216"/>
        </w:trPr>
        <w:tc>
          <w:tcPr>
            <w:tcW w:w="7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(119,978)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948,661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516,283</w:t>
            </w:r>
          </w:p>
        </w:tc>
        <w:tc>
          <w:tcPr>
            <w:tcW w:w="0" w:type="dxa"/>
            <w:vAlign w:val="bottom"/>
          </w:tcPr>
          <w:p>
            <w:pPr>
              <w:spacing w:after="0"/>
              <w:rPr>
                <w:sz w:val="1"/>
                <w:szCs w:val="1"/>
                <w:color w:val="auto"/>
              </w:rPr>
            </w:pPr>
          </w:p>
        </w:tc>
      </w:tr>
      <w:tr>
        <w:trPr>
          <w:trHeight w:val="216"/>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(418,888)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98,545</w:t>
            </w:r>
          </w:p>
        </w:tc>
        <w:tc>
          <w:tcPr>
            <w:tcW w:w="0" w:type="dxa"/>
            <w:vAlign w:val="bottom"/>
          </w:tcPr>
          <w:p>
            <w:pPr>
              <w:spacing w:after="0"/>
              <w:rPr>
                <w:sz w:val="1"/>
                <w:szCs w:val="1"/>
                <w:color w:val="auto"/>
              </w:rPr>
            </w:pPr>
          </w:p>
        </w:tc>
      </w:tr>
      <w:tr>
        <w:trPr>
          <w:trHeight w:val="216"/>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(102,074)</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(254,442)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(1,617,099)</w:t>
            </w:r>
          </w:p>
        </w:tc>
        <w:tc>
          <w:tcPr>
            <w:tcW w:w="0" w:type="dxa"/>
            <w:vAlign w:val="bottom"/>
          </w:tcPr>
          <w:p>
            <w:pPr>
              <w:spacing w:after="0"/>
              <w:rPr>
                <w:sz w:val="1"/>
                <w:szCs w:val="1"/>
                <w:color w:val="auto"/>
              </w:rPr>
            </w:pPr>
          </w:p>
        </w:tc>
      </w:tr>
      <w:tr>
        <w:trPr>
          <w:trHeight w:val="209"/>
        </w:trPr>
        <w:tc>
          <w:tcPr>
            <w:tcW w:w="7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2,002,543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3,319,024</w:t>
            </w: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Zerust India business, net of cash acquired</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(5,062,003)</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(315,390)</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patents</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(52,197)</w:t>
            </w:r>
          </w:p>
        </w:tc>
        <w:tc>
          <w:tcPr>
            <w:tcW w:w="0" w:type="dxa"/>
            <w:vAlign w:val="bottom"/>
          </w:tcPr>
          <w:p>
            <w:pPr>
              <w:spacing w:after="0"/>
              <w:rPr>
                <w:sz w:val="1"/>
                <w:szCs w:val="1"/>
                <w:color w:val="auto"/>
              </w:rPr>
            </w:pPr>
          </w:p>
        </w:tc>
      </w:tr>
      <w:tr>
        <w:trPr>
          <w:trHeight w:val="210"/>
        </w:trPr>
        <w:tc>
          <w:tcPr>
            <w:tcW w:w="7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(453,539)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(5,429,590)</w:t>
            </w: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proceeds from line of credit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(643,121)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416,563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139,200</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38,696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38,532</w:t>
            </w:r>
          </w:p>
        </w:tc>
        <w:tc>
          <w:tcPr>
            <w:tcW w:w="0" w:type="dxa"/>
            <w:vAlign w:val="bottom"/>
          </w:tcPr>
          <w:p>
            <w:pPr>
              <w:spacing w:after="0"/>
              <w:rPr>
                <w:sz w:val="1"/>
                <w:szCs w:val="1"/>
                <w:color w:val="auto"/>
              </w:rPr>
            </w:pPr>
          </w:p>
        </w:tc>
      </w:tr>
      <w:tr>
        <w:trPr>
          <w:trHeight w:val="210"/>
        </w:trPr>
        <w:tc>
          <w:tcPr>
            <w:tcW w:w="7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(730,386)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1,834,611</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642,879</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732,431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366,924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5,333,890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7,680,641</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6,066,321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8,047,565</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ind w:right="392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2022 and August 31, 2022 and the results of the Company’s operations for the three months ended November 30, 2022 and 2021, the changes in stockholders’ equity for the three months ended November 30, 2022 and 2021 and the Company’s cash flows for the three months ended November 30, 2022 and 2021, in conformity with accounting principles generally accepted in the United States of America (U.S. GAAP).</w:t>
      </w:r>
    </w:p>
    <w:p>
      <w:pPr>
        <w:spacing w:after="0" w:line="183" w:lineRule="exact"/>
        <w:rPr>
          <w:sz w:val="20"/>
          <w:szCs w:val="20"/>
          <w:color w:val="auto"/>
        </w:rPr>
      </w:pPr>
    </w:p>
    <w:p>
      <w:pPr>
        <w:ind w:right="64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2022. These consolidated financial statements also should be read in conjunction with the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section appearing in this report.</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November 30, 2022 are not necessarily indicative of the results that may be expected for the full fiscal year ending August 31, 2023.</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a result of the novel coronavirus (COVID-19) pandemic and related government mandated restrictions on the Company’s business, as well as the businesses of its joint ventures, customers and suppliers, disruption to the Company’s business and the manufacture and sale of its products and services continued to occur during the first quarter of fiscal 2023 and may continue during the remainder of fiscal 2023. In the first quarter of fiscal 2023, the Company continued to be impacted by shipping issues, including increased costs, supply chain issues, including longer lead times, and raw material cost increases.</w:t>
      </w:r>
    </w:p>
    <w:p>
      <w:pPr>
        <w:spacing w:after="0" w:line="200" w:lineRule="exact"/>
        <w:rPr>
          <w:sz w:val="20"/>
          <w:szCs w:val="20"/>
          <w:color w:val="auto"/>
        </w:rPr>
      </w:pPr>
    </w:p>
    <w:p>
      <w:pPr>
        <w:spacing w:after="0" w:line="222" w:lineRule="exact"/>
        <w:rPr>
          <w:sz w:val="20"/>
          <w:szCs w:val="20"/>
          <w:color w:val="auto"/>
        </w:rPr>
      </w:pPr>
    </w:p>
    <w:p>
      <w:pPr>
        <w:ind w:left="980" w:hanging="972"/>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which revises guidance for the accounting for credit losses on financial instruments within its scope, and in November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 w:name="page10"/>
    <w:bookmarkEnd w:id="9"/>
    <w:p>
      <w:pPr>
        <w:ind w:left="980" w:hanging="972"/>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November 30, 2022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r>
      <w:tr>
        <w:trPr>
          <w:trHeight w:val="209"/>
        </w:trPr>
        <w:tc>
          <w:tcPr>
            <w:tcW w:w="5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26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5,340,632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6,496,656</w:t>
            </w: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9,895,864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9,845,073</w:t>
            </w:r>
          </w:p>
        </w:tc>
      </w:tr>
      <w:tr>
        <w:trPr>
          <w:trHeight w:val="230"/>
        </w:trPr>
        <w:tc>
          <w:tcPr>
            <w:tcW w:w="580" w:type="dxa"/>
            <w:vAlign w:val="bottom"/>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15,236,496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16,341,729</w:t>
            </w:r>
          </w:p>
        </w:tc>
      </w:tr>
      <w:tr>
        <w:trPr>
          <w:trHeight w:val="20"/>
        </w:trPr>
        <w:tc>
          <w:tcPr>
            <w:tcW w:w="58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20"/>
                <w:szCs w:val="20"/>
                <w:color w:val="auto"/>
              </w:rPr>
            </w:pPr>
          </w:p>
        </w:tc>
        <w:tc>
          <w:tcPr>
            <w:tcW w:w="42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3"/>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November 30, 2022</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August 31, 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14,927,540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14,778,759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5,749,249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5,643,320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20,987,154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20,732,444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(8,842,002)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(8,561,951)</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12,145,152</w:t>
            </w:r>
          </w:p>
        </w:tc>
        <w:tc>
          <w:tcPr>
            <w:tcW w:w="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12,170,493</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line="20" w:lineRule="exact"/>
              <w:rPr>
                <w:sz w:val="1"/>
                <w:szCs w:val="1"/>
                <w:color w:val="auto"/>
              </w:rPr>
            </w:pPr>
          </w:p>
        </w:tc>
        <w:tc>
          <w:tcPr>
            <w:tcW w:w="42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As of November 30,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3,270,100</w:t>
            </w:r>
          </w:p>
        </w:tc>
        <w:tc>
          <w:tcPr>
            <w:tcW w:w="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(2,557,670)</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712,430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5,818,082</w:t>
            </w: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9,617,100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(3,086,588)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6,530,512</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As of August 31,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3,225,655</w:t>
            </w:r>
          </w:p>
        </w:tc>
        <w:tc>
          <w:tcPr>
            <w:tcW w:w="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(2,515,644)</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710,011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5,923,867</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9,572,655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(2,938,777)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6,633,878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$147,811 and $119,894 for the three months ended November 30, 2022 and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31, 2022, future amortization expense related to intangible assets for each of the next five years and thereafter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4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613,000</w:t>
            </w:r>
          </w:p>
        </w:tc>
        <w:tc>
          <w:tcPr>
            <w:tcW w:w="16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613,000</w:t>
            </w:r>
          </w:p>
        </w:tc>
        <w:tc>
          <w:tcPr>
            <w:tcW w:w="16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613,000</w:t>
            </w:r>
          </w:p>
        </w:tc>
        <w:tc>
          <w:tcPr>
            <w:tcW w:w="16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613,000</w:t>
            </w:r>
          </w:p>
        </w:tc>
        <w:tc>
          <w:tcPr>
            <w:tcW w:w="16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613,000</w:t>
            </w:r>
          </w:p>
        </w:tc>
        <w:tc>
          <w:tcPr>
            <w:tcW w:w="16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3,465,512</w:t>
            </w:r>
          </w:p>
        </w:tc>
        <w:tc>
          <w:tcPr>
            <w:tcW w:w="1680" w:type="dxa"/>
            <w:vAlign w:val="bottom"/>
          </w:tcPr>
          <w:p>
            <w:pPr>
              <w:spacing w:after="0"/>
              <w:rPr>
                <w:sz w:val="18"/>
                <w:szCs w:val="18"/>
                <w:color w:val="auto"/>
              </w:rPr>
            </w:pPr>
          </w:p>
        </w:tc>
      </w:tr>
      <w:tr>
        <w:trPr>
          <w:trHeight w:val="250"/>
        </w:trPr>
        <w:tc>
          <w:tcPr>
            <w:tcW w:w="3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6,530,512</w:t>
            </w:r>
          </w:p>
        </w:tc>
        <w:tc>
          <w:tcPr>
            <w:tcW w:w="1680" w:type="dxa"/>
            <w:vAlign w:val="bottom"/>
          </w:tcPr>
          <w:p>
            <w:pPr>
              <w:spacing w:after="0"/>
              <w:rPr>
                <w:sz w:val="21"/>
                <w:szCs w:val="21"/>
                <w:color w:val="auto"/>
              </w:rPr>
            </w:pPr>
          </w:p>
        </w:tc>
      </w:tr>
      <w:tr>
        <w:trPr>
          <w:trHeight w:val="412"/>
        </w:trPr>
        <w:tc>
          <w:tcPr>
            <w:tcW w:w="3480" w:type="dxa"/>
            <w:vAlign w:val="bottom"/>
            <w:tcBorders>
              <w:top w:val="single" w:sz="8" w:color="CCEEFF"/>
            </w:tcBorders>
          </w:tcPr>
          <w:p>
            <w:pPr>
              <w:spacing w:after="0"/>
              <w:rPr>
                <w:sz w:val="24"/>
                <w:szCs w:val="24"/>
                <w:color w:val="auto"/>
              </w:rPr>
            </w:pPr>
          </w:p>
        </w:tc>
        <w:tc>
          <w:tcPr>
            <w:tcW w:w="44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348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 w:name="page11"/>
    <w:bookmarkEnd w:id="10"/>
    <w:p>
      <w:pPr>
        <w:ind w:left="980" w:hanging="972"/>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November 30, 2022</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50,644,203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23,082,855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27,561,348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54,232,523</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25,102,700</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29,129,823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12,684,139</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2,848,920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9,835,219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354,984</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354,984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41,193,400</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22,253,780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18,939,620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20,331,746</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11,126,892</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9,204,854</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19,303,110</w:t>
            </w: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11,095,987</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8,207,123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November 30, 2022</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24,730,289</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10,145,921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14,584,368</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9,693,568</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4,720,042</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4,973,526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2,646,908</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1,742,287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904,621</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1,189,400</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871,144</w:t>
            </w:r>
          </w:p>
        </w:tc>
        <w:tc>
          <w:tcPr>
            <w:tcW w:w="3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318,260</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3,042,688</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2,459,500</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583,188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2022</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52,428,831</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26,047,914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26,380,917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55,854,457</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27,932,532</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27,921,925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10,981,833</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2,943,895</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8,037,938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1,138,980</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1,138,980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43,733,644</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24,988,637</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18,745,007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21,814,754</w:t>
            </w:r>
          </w:p>
        </w:tc>
        <w:tc>
          <w:tcPr>
            <w:tcW w:w="4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12,494,320</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9,320,434</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21,256,923</w:t>
            </w: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12,463,415</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8,793,508</w:t>
            </w:r>
          </w:p>
        </w:tc>
      </w:tr>
      <w:tr>
        <w:trPr>
          <w:trHeight w:val="432"/>
        </w:trPr>
        <w:tc>
          <w:tcPr>
            <w:tcW w:w="60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November 30, 2021</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27,022,995</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11,300,228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15,722,767</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11,032,959</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5,468,986</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5,563,973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2,777,605</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1,821,547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956,058</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1,374,749</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910,773</w:t>
            </w:r>
          </w:p>
        </w:tc>
        <w:tc>
          <w:tcPr>
            <w:tcW w:w="3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463,976</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5,042,271</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4,255,200</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787,071</w:t>
            </w:r>
          </w:p>
        </w:tc>
      </w:tr>
    </w:tbl>
    <w:p>
      <w:pPr>
        <w:spacing w:after="0" w:line="200" w:lineRule="exact"/>
        <w:rPr>
          <w:sz w:val="20"/>
          <w:szCs w:val="20"/>
          <w:color w:val="auto"/>
        </w:rPr>
      </w:pPr>
    </w:p>
    <w:p>
      <w:pPr>
        <w:spacing w:after="0" w:line="237" w:lineRule="exact"/>
        <w:rPr>
          <w:sz w:val="20"/>
          <w:szCs w:val="20"/>
          <w:color w:val="auto"/>
        </w:rPr>
      </w:pPr>
    </w:p>
    <w:p>
      <w:pPr>
        <w:ind w:left="980" w:hanging="972"/>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had a revolving line of credit with a bank of $7,000,000 as of November 30, 2022. The line of credit had a maturity date of January 7, 2023 and bore interest at an annual rate equal to the daily Bloomberg Short-Term Bank Yield (BSBY) Index plus 250 basis points (2.50%).</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Borrowings of $5,450,000 and $5,900,000 were outstanding under the line of credit as of November 30, 2022 and August 31, 2022, respectively. The average interest rate was 5.80% and 2.57% during the three months ended November 30, 2022 and 2021.</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obligations of the Company under the loan agreement were secured by a lien on all of the Company’s personal property, excepting certain liens. The loan agreement contained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As of November 30, 2022, the Company was in compliance with all debt covenants.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November 30, 2022 and August 31, 2022, the Company did not have any letters of credit outstanding with respect to the letter of credit sub-facility available under the revolving line of credit with the bank.</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January 6, 2023, the Company entered into a Credit Agreement with JPMorgan Chase Bank, N.A., which provides the Company with a senior secured revolving line of credit of up to $10.0 million, which includes a $5.0 million sublimit for standby letters of credit. In connection with the execution of the new Credit Agreement, the prior loan agreement was terminated. See Note 16 entitled “Subsequent Event.”</w:t>
      </w:r>
    </w:p>
    <w:p>
      <w:pPr>
        <w:spacing w:after="0" w:line="200" w:lineRule="exact"/>
        <w:rPr>
          <w:sz w:val="20"/>
          <w:szCs w:val="20"/>
          <w:color w:val="auto"/>
        </w:rPr>
      </w:pPr>
    </w:p>
    <w:p>
      <w:pPr>
        <w:spacing w:after="0" w:line="215" w:lineRule="exact"/>
        <w:rPr>
          <w:sz w:val="20"/>
          <w:szCs w:val="20"/>
          <w:color w:val="auto"/>
        </w:rPr>
      </w:pPr>
    </w:p>
    <w:p>
      <w:pPr>
        <w:ind w:left="980" w:hanging="972"/>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October 20, 2022, the Company’s Board of Directors declared a cash dividend of $0.07 per share of the Company’s common stock, payable on November 16, 2022 to stockholders of record on November 3, 2022. On October 20, 2021, the Company’s Board of Directors declared a cash dividend of $0.07 per share of the Company’s common stock, payable on November 17, 2021 to stockholders of record on November 3,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November 30, 2022 and 2021, the Company repurchased no shares of its common stock.</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issued 3,620 and 2,636 shares of common stock on September 1, 2022 and 2021, respectively, under the Northern Technologies International Corporation Employee Stock Purchase Plan (the ESPP). The ESPP is compensatory for financial reporting purposes. As of November 30, 2022, 65,600 shares of common stock remained available for sale under the ESPP.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980" w:hanging="972"/>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months ended November 30, 2022 and 2021:</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0" w:type="dxa"/>
            <w:vAlign w:val="bottom"/>
          </w:tcPr>
          <w:p>
            <w:pPr>
              <w:spacing w:after="0"/>
              <w:rPr>
                <w:sz w:val="1"/>
                <w:szCs w:val="1"/>
                <w:color w:val="auto"/>
              </w:rPr>
            </w:pPr>
          </w:p>
        </w:tc>
      </w:t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502,242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4,493,759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9,317,680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401,251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579,794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9,718,931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9,779,770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months ended November 30, 2022 were options outstanding to purchase 305,514 shares of common stock. Excluded from the computation of diluted net income per share for the three months ended November 30, 2021 were options outstanding to purchase 311,061 shares of common stock.</w:t>
      </w:r>
    </w:p>
    <w:p>
      <w:pPr>
        <w:spacing w:after="0" w:line="200" w:lineRule="exact"/>
        <w:rPr>
          <w:sz w:val="20"/>
          <w:szCs w:val="20"/>
          <w:color w:val="auto"/>
        </w:rPr>
      </w:pPr>
    </w:p>
    <w:p>
      <w:pPr>
        <w:spacing w:after="0" w:line="226" w:lineRule="exact"/>
        <w:rPr>
          <w:sz w:val="20"/>
          <w:szCs w:val="20"/>
          <w:color w:val="auto"/>
        </w:rPr>
      </w:pPr>
    </w:p>
    <w:p>
      <w:pPr>
        <w:ind w:left="980" w:hanging="972"/>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 summary of stock option activities under the Northern Technologies International Corporation Amended and Restated 2019 Stock Incentive Plan (the 2019 Plan) and the Northern Technologies International Corporation Amended and Restated 2007 Stock Incentive Plan (the 2007 Plan) is as follows:</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2022</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1,544,727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272,102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November 30, 2022</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1,638,498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three months ended November 30, 2022 and 2021 was $4.85 and $7.29, respectively. The weighted average remaining contractual life of the options outstanding as of November 30, 2022 and 2021 was 6.66 years and 6.41 years, respectively.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13" w:name="page14"/>
    <w:bookmarkEnd w:id="13"/>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t>The Company recognized compensation expense of $329,522 and $232,883 during the three months ended November 30, 2022 and 2021, respectively. As of November 30, 2022, there was $1,999,892 of unrecognized compensation expense. The amount is expected to be recognized over a period of 2.7 years.</w:t>
      </w:r>
    </w:p>
    <w:p>
      <w:pPr>
        <w:spacing w:after="0" w:line="379" w:lineRule="exact"/>
        <w:rPr>
          <w:sz w:val="20"/>
          <w:szCs w:val="20"/>
          <w:color w:val="auto"/>
        </w:rPr>
      </w:pPr>
    </w:p>
    <w:p>
      <w:pPr>
        <w:ind w:left="980" w:hanging="972"/>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almost 50 years and, more recently, has targeted and expanded into the oil and gas industry. The Company also sells a portfolio of bio-based and compostable (fully biodegradable) polymer resins and finished products under the Natur-Tec®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months ended November 30, 2022 and 2021 by segment:</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2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15,370,001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14,423,785</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4,582,765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3,769,628</w:t>
            </w: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18,193,413</w:t>
            </w: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months ended November 30, 2022 and 2021 by segment:</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cost of goods sold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ZERUST®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Natur-Tec®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 cost of goods sold</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Total net cost of goods sold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r>
      <w:tr>
        <w:trPr>
          <w:trHeight w:val="238"/>
        </w:trPr>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40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9,179,254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8,706,667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3,570,673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2,922,098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34"/>
        </w:trPr>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849,715</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861,718</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09"/>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13,599,642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12,490,483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-719455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-445135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-161925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20" w:space="720"/>
            <w:col w:w="5300"/>
          </w:cols>
          <w:pgMar w:left="320" w:top="580" w:right="339" w:bottom="1440" w:gutter="0" w:footer="0" w:header="0"/>
          <w:type w:val="continuous"/>
        </w:sectPr>
      </w:pPr>
    </w:p>
    <w:p>
      <w:pPr>
        <w:ind w:left="660" w:right="12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sales by geographic location for the three months ended November 30, 2022 and 2021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5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7,478,161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6,156,322</w:t>
            </w:r>
          </w:p>
        </w:tc>
      </w:tr>
      <w:tr>
        <w:trPr>
          <w:trHeight w:val="216"/>
        </w:trPr>
        <w:tc>
          <w:tcPr>
            <w:tcW w:w="5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840,439</w:t>
            </w:r>
          </w:p>
        </w:tc>
      </w:tr>
      <w:tr>
        <w:trPr>
          <w:trHeight w:val="216"/>
        </w:trPr>
        <w:tc>
          <w:tcPr>
            <w:tcW w:w="5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Unaffiliated customers</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11,841,140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11,196,652</w:t>
            </w:r>
          </w:p>
        </w:tc>
      </w:tr>
      <w:tr>
        <w:trPr>
          <w:trHeight w:val="229"/>
        </w:trPr>
        <w:tc>
          <w:tcPr>
            <w:tcW w:w="580" w:type="dxa"/>
            <w:vAlign w:val="bottom"/>
          </w:tcPr>
          <w:p>
            <w:pPr>
              <w:spacing w:after="0"/>
              <w:rPr>
                <w:sz w:val="19"/>
                <w:szCs w:val="19"/>
                <w:color w:val="auto"/>
              </w:rPr>
            </w:pPr>
          </w:p>
        </w:tc>
        <w:tc>
          <w:tcPr>
            <w:tcW w:w="6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18,193,413</w:t>
            </w:r>
          </w:p>
        </w:tc>
      </w:tr>
      <w:tr>
        <w:trPr>
          <w:trHeight w:val="20"/>
        </w:trPr>
        <w:tc>
          <w:tcPr>
            <w:tcW w:w="58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months ended November 30, 2022 and 2021 were as follows: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Services</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Provided</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Provided to</w:t>
            </w:r>
          </w:p>
        </w:tc>
        <w:tc>
          <w:tcPr>
            <w:tcW w:w="100" w:type="dxa"/>
            <w:vAlign w:val="bottom"/>
          </w:tcPr>
          <w:p>
            <w:pPr>
              <w:spacing w:after="0"/>
              <w:rPr>
                <w:sz w:val="18"/>
                <w:szCs w:val="18"/>
                <w:color w:val="auto"/>
              </w:rPr>
            </w:pP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Joint</w:t>
            </w:r>
          </w:p>
        </w:tc>
      </w:tr>
      <w:tr>
        <w:trPr>
          <w:trHeight w:val="238"/>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193,828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218,430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176,927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147,920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166,807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109,357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116,295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100,436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108,070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80,173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82,956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87,554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70,098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63,395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62,626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57,691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68,762</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76,951</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1,181,805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1,258,858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960"/>
          </w:cols>
          <w:pgMar w:left="320" w:top="578" w:right="61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20" w:type="dxa"/>
            <w:vAlign w:val="bottom"/>
          </w:tcPr>
          <w:p>
            <w:pPr>
              <w:spacing w:after="0"/>
              <w:rPr>
                <w:sz w:val="20"/>
                <w:szCs w:val="20"/>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2022</w:t>
            </w:r>
          </w:p>
        </w:tc>
      </w:tr>
      <w:tr>
        <w:trPr>
          <w:trHeight w:val="191"/>
        </w:trPr>
        <w:tc>
          <w:tcPr>
            <w:tcW w:w="20" w:type="dxa"/>
            <w:vAlign w:val="bottom"/>
          </w:tcPr>
          <w:p>
            <w:pPr>
              <w:spacing w:after="0"/>
              <w:rPr>
                <w:sz w:val="16"/>
                <w:szCs w:val="16"/>
                <w:color w:val="auto"/>
              </w:rPr>
            </w:pPr>
          </w:p>
        </w:tc>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5,740,401</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5,826,898</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631,835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565,022</w:t>
            </w:r>
          </w:p>
        </w:tc>
      </w:tr>
      <w:tr>
        <w:trPr>
          <w:trHeight w:val="234"/>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5,772,916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5,778,573</w:t>
            </w:r>
          </w:p>
        </w:tc>
      </w:tr>
      <w:tr>
        <w:trPr>
          <w:trHeight w:val="210"/>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12,145,152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12,170,493</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20" w:space="720"/>
            <w:col w:w="3620"/>
          </w:cols>
          <w:pgMar w:left="320" w:top="578" w:right="619" w:bottom="1440" w:gutter="0" w:footer="0" w:header="0"/>
          <w:type w:val="continuous"/>
        </w:sectPr>
      </w:pPr>
    </w:p>
    <w:bookmarkStart w:id="15" w:name="page16"/>
    <w:bookmarkEnd w:id="15"/>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3,746,640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4,057,853</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1,296,217</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4,846,927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4,476,984</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2,513,620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2,206,037</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7,478,161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6,156,322</w:t>
            </w:r>
          </w:p>
        </w:tc>
      </w:tr>
      <w:tr>
        <w:trPr>
          <w:trHeight w:val="210"/>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19,952,766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18,193,413</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980" w:hanging="972"/>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Two joint ventures (consisting of the Company’s joint ventures in Thailand and Japan) accounted for 47.4% of the Company’s trade joint venture receivables as of November 30, 2022, and two joint ventures (consisting of the Company’s joint ventures in South Korea and Japan) accounted for 42.4% of the Company’s trade joint venture receivables as of November 30,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2022,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p>
      <w:pPr>
        <w:ind w:left="980" w:hanging="972"/>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1380" w:type="dxa"/>
            <w:vAlign w:val="bottom"/>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Fair value as</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during the three months ended November 30, 2022 or 2021.</w:t>
      </w:r>
    </w:p>
    <w:p>
      <w:pPr>
        <w:spacing w:after="0" w:line="200" w:lineRule="exact"/>
        <w:rPr>
          <w:sz w:val="20"/>
          <w:szCs w:val="20"/>
          <w:color w:val="auto"/>
        </w:rPr>
      </w:pPr>
    </w:p>
    <w:p>
      <w:pPr>
        <w:spacing w:after="0" w:line="264" w:lineRule="exact"/>
        <w:rPr>
          <w:sz w:val="20"/>
          <w:szCs w:val="20"/>
          <w:color w:val="auto"/>
        </w:rPr>
      </w:pPr>
    </w:p>
    <w:p>
      <w:pPr>
        <w:ind w:left="980" w:hanging="972"/>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5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5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91,331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2,891</w:t>
            </w:r>
          </w:p>
        </w:tc>
      </w:tr>
    </w:tbl>
    <w:p>
      <w:pPr>
        <w:spacing w:after="0" w:line="200" w:lineRule="exact"/>
        <w:rPr>
          <w:sz w:val="20"/>
          <w:szCs w:val="20"/>
          <w:color w:val="auto"/>
        </w:rPr>
      </w:pPr>
    </w:p>
    <w:p>
      <w:pPr>
        <w:spacing w:after="0" w:line="237" w:lineRule="exact"/>
        <w:rPr>
          <w:sz w:val="20"/>
          <w:szCs w:val="20"/>
          <w:color w:val="auto"/>
        </w:rPr>
      </w:pPr>
    </w:p>
    <w:p>
      <w:pPr>
        <w:ind w:left="980" w:hanging="972"/>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November 30, 2022 was $110,733 compared to $504,380 for the three months ended November 30, 2021. The expense was largely due to foreign operations. The Company has federal and state tax credit carry forwards, net operating loss carry forwards and foreign tax carry forwards. The Company has recorded a full valuation allowance against the U.S. deferred tax assets as of November 30, 2022 and August 31, 2022.</w:t>
      </w:r>
    </w:p>
    <w:p>
      <w:pPr>
        <w:spacing w:after="0" w:line="200" w:lineRule="exact"/>
        <w:rPr>
          <w:sz w:val="20"/>
          <w:szCs w:val="20"/>
          <w:color w:val="auto"/>
        </w:rPr>
      </w:pPr>
    </w:p>
    <w:p>
      <w:pPr>
        <w:spacing w:after="0" w:line="219" w:lineRule="exact"/>
        <w:rPr>
          <w:sz w:val="20"/>
          <w:szCs w:val="20"/>
          <w:color w:val="auto"/>
        </w:rPr>
      </w:pPr>
    </w:p>
    <w:p>
      <w:pPr>
        <w:ind w:left="980" w:hanging="972"/>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January 6, 2023, Northern Technologies International Corporation entered into a Credit Agreement (the “Credit Agreement”) with JPMorgan Chase Bank, N.A. (“JPM”), which provides NTIC with a senior secured revolving line of credit (the “Credit Facility”) of up to $10.0 million. The Credit Facility includes a $5.0 million sublimit for standby letters of credit.</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Unless terminated earlier, the Credit Facility will mature on January 6, 2024, and the principal amount thereunder, together with all accrued unpaid interest and other amounts owing thereunder, if any, will be payable in full on such date.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Credit Agreement described above, on January 6, 2023, the Amended and Restated Loan Agreement dated August 31, 2021 between Northern Technologies International Corporation and PNC Bank, National Association was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8" w:name="page19"/>
    <w:bookmarkEnd w:id="1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starting September 1, 2021 its wholly-owned subsidiary in India, HNTI Ltd. (Zerust India),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spacing w:after="0" w:line="272" w:lineRule="auto"/>
        <w:rPr>
          <w:sz w:val="20"/>
          <w:szCs w:val="20"/>
          <w:color w:val="auto"/>
        </w:rPr>
      </w:pPr>
      <w:r>
        <w:rPr>
          <w:rFonts w:ascii="Times New Roman" w:cs="Times New Roman" w:eastAsia="Times New Roman" w:hAnsi="Times New Roman"/>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global supply chains and shipping, created significant volatility and disruption in financial markets and resulted in weakened economic conditions. While as part of efforts to contain the spread of COVID-19, federal, state, local and foreign governments imposed various restrictions on the conduct of business and travel during 2020 and 2021, most of these restrictions have been lifted, except in China where many remained in place as of November 31, 2022. Because of these restrictions, NTIC continued to experience softened demand for its products in China during the first quarter of fiscal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Supply Chain Disruptions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Worldwide supply chain disruptions, which were initially brought about by the impact of the COVID-19 pandemic, have persisted despite the recovery in the global economy and financial markets. These issues continued during the first quarter of fiscal 2023 and, although these issues have shown some improvement, are expected to continue to some degree throughout fiscal 2023. NTIC has experienced longer lead times for raw materials, has been forced to find new suppliers of certain raw materials, and has experienced raw material cost increases compared to prior fiscal quarters. Additionally, NTIC has experienced significantly longer shipping times and significant price increases per shipping container compared to prior fiscal quarters due to ocean freight capacity issues resulting from increased demand for shipping and reduced capacity and equipment. These and other issues resulting from worldwide supply chain disruptions have recently improved but are expected to continue to some degree throughout fiscal 2023 and could continue to have a material adverse effect on NTIC’s business, operating results and financial condition. The precise financial impact and duration, however, cannot be reasonably estimated at this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months ended November 30, 2022 include the following, with increases or decreases in each case as compared to the respective prior fiscal year period:</w:t>
      </w:r>
    </w:p>
    <w:p>
      <w:pPr>
        <w:spacing w:after="0" w:line="162" w:lineRule="exact"/>
        <w:rPr>
          <w:sz w:val="20"/>
          <w:szCs w:val="20"/>
          <w:color w:val="auto"/>
        </w:rPr>
      </w:pPr>
    </w:p>
    <w:p>
      <w:pPr>
        <w:jc w:val="both"/>
        <w:ind w:left="660" w:right="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9.7% during the three months ended November 30, 2022 compared to the three months ended November 30, 2021 primarily as a result of an increase in sales of and demand for both Zerust® and Natur-Tec® products, as well as targeted price increases on certain products.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p>
      <w:pPr>
        <w:ind w:left="328" w:hanging="328"/>
        <w:spacing w:after="0" w:line="258"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November 30, 2022, 77.0% of NTIC’s consolidated net sales were derived from sales of ZERUST® products and services, which increased 6.6% to $15,370,001 compared to $14,423,785 for the three months ended November 30, 2021. This increase was due to increased sales to new and existing customers as a result of increased global demand and targeted price increases on certain of our products. NTIC’s consolidated net sales for the three months ended November 30, 2022 included $1,621,897 of sales made to customers in the oil and gas industry, a 66.9% increase compared to $971,816 for the three months ended November 30, 2021.</w:t>
      </w:r>
    </w:p>
    <w:p>
      <w:pPr>
        <w:spacing w:after="0" w:line="183" w:lineRule="exact"/>
        <w:rPr>
          <w:rFonts w:ascii="Times New Roman" w:cs="Times New Roman" w:eastAsia="Times New Roman" w:hAnsi="Times New Roman"/>
          <w:sz w:val="18"/>
          <w:szCs w:val="18"/>
          <w:color w:val="auto"/>
        </w:rPr>
      </w:pPr>
    </w:p>
    <w:p>
      <w:pPr>
        <w:ind w:left="328" w:right="140" w:hanging="328"/>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Natur-Tec® products increased 21.6% during the three months ended November 30, 2022 compared to the three months ended November 30, 2021 primarily due to an increase in demand of finished product sales in North America and at NTIC’s majority-owned subsidiary in India, Natur-Tec India Private Limited.</w:t>
      </w:r>
    </w:p>
    <w:p>
      <w:pPr>
        <w:spacing w:after="0" w:line="175"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decreased slightly to 68.2% during the three months ended November 30, 2022, compared to 68.7% during the three months ended November 30, 2021 primarily as a result of passing along price increases to customers and increased sales made to customers in the oil and gas industry, which products carry higher margins than our Zerust industrial products.</w:t>
      </w:r>
    </w:p>
    <w:p>
      <w:pPr>
        <w:spacing w:after="0" w:line="175" w:lineRule="exact"/>
        <w:rPr>
          <w:rFonts w:ascii="Times New Roman" w:cs="Times New Roman" w:eastAsia="Times New Roman" w:hAnsi="Times New Roman"/>
          <w:sz w:val="18"/>
          <w:szCs w:val="18"/>
          <w:color w:val="auto"/>
        </w:rPr>
      </w:pPr>
    </w:p>
    <w:p>
      <w:pPr>
        <w:ind w:left="328" w:right="420" w:hanging="328"/>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equity in income from joint ventures decreased 13.5% to $1,189,404 during the three months ended November 30, 2022 compared to $1,374,749 during the three months ended November 30, 2021. This decrease was primarily due to an increase in operating expenses and a decrease in gross margins at the joint ventures.</w:t>
      </w:r>
    </w:p>
    <w:p>
      <w:pPr>
        <w:spacing w:after="0" w:line="175" w:lineRule="exact"/>
        <w:rPr>
          <w:rFonts w:ascii="Times New Roman" w:cs="Times New Roman" w:eastAsia="Times New Roman" w:hAnsi="Times New Roman"/>
          <w:sz w:val="18"/>
          <w:szCs w:val="18"/>
          <w:color w:val="auto"/>
        </w:rPr>
      </w:pPr>
    </w:p>
    <w:p>
      <w:pPr>
        <w:ind w:left="328" w:right="140" w:hanging="328"/>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at the joint ventures decreased 8.5% to $24,730,289 during the three months ended November 30, 2022, compared to $27,022,995 for the three months ended November 30, 2021. This decrease was primarily a result of decreased demand during the three months ended November 30, 2022.</w:t>
      </w:r>
    </w:p>
    <w:p>
      <w:pPr>
        <w:spacing w:after="0" w:line="175" w:lineRule="exact"/>
        <w:rPr>
          <w:rFonts w:ascii="Times New Roman" w:cs="Times New Roman" w:eastAsia="Times New Roman" w:hAnsi="Times New Roman"/>
          <w:sz w:val="18"/>
          <w:szCs w:val="18"/>
          <w:color w:val="auto"/>
        </w:rPr>
      </w:pPr>
    </w:p>
    <w:p>
      <w:pPr>
        <w:ind w:left="328" w:right="200" w:hanging="328"/>
        <w:spacing w:after="0" w:line="261"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11.7% to $7,894,757 during the three months ended November 30, 2022 compared to $7,069,926 for the three months ended November 30, 2021. This increase was primarily due to increased personnel expenses, including benefits and travel, and expenses incurred during the current fiscal year period in connection with the startup of a new indirect, majority owned subsidiary formed to assume the operations of a former joint venture in Taiwan.</w:t>
      </w:r>
    </w:p>
    <w:p>
      <w:pPr>
        <w:spacing w:after="0" w:line="179" w:lineRule="exact"/>
        <w:rPr>
          <w:rFonts w:ascii="Times New Roman" w:cs="Times New Roman" w:eastAsia="Times New Roman" w:hAnsi="Times New Roman"/>
          <w:sz w:val="18"/>
          <w:szCs w:val="18"/>
          <w:color w:val="auto"/>
        </w:rPr>
      </w:pPr>
    </w:p>
    <w:p>
      <w:pPr>
        <w:ind w:left="328" w:right="220" w:hanging="328"/>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NTIC acquired the remaining 50% ownership interest of Zerust India effective September 1, 2021, NTIC recognized a gain of $3,951,550 during the three months ended November 30, 2021, which is included in “Remeasurement gain on acquisition of equity method investee” on NTIC’s consolidated statements of operations.</w:t>
      </w:r>
    </w:p>
    <w:p>
      <w:pPr>
        <w:spacing w:after="0" w:line="175" w:lineRule="exact"/>
        <w:rPr>
          <w:rFonts w:ascii="Times New Roman" w:cs="Times New Roman" w:eastAsia="Times New Roman" w:hAnsi="Times New Roman"/>
          <w:sz w:val="18"/>
          <w:szCs w:val="18"/>
          <w:color w:val="auto"/>
        </w:rPr>
      </w:pPr>
    </w:p>
    <w:p>
      <w:pPr>
        <w:ind w:left="328" w:right="140" w:hanging="328"/>
        <w:spacing w:after="0" w:line="261"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$502,242, or $0.05 per diluted common share, for the three months ended November 30, 2022 compared to net income attributable to NTIC of $4,493,759, or $0.46 per diluted common share, for the three months ended November 30, 2021. Of the net income attributable to NTIC incurred in the three months ended November 30, 2021, $3,951,550 was due to the gain from the Zerust India acquisition.</w:t>
      </w:r>
    </w:p>
    <w:p>
      <w:pPr>
        <w:spacing w:after="0" w:line="1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months ended November 30, 2022 and 2021.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32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7"/>
        </w:trPr>
        <w:tc>
          <w:tcPr>
            <w:tcW w:w="320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2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19,952,766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18,193,413</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1,759,353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13,599,642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12,490,483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1,109,159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1,189,404</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1,374,749</w:t>
            </w:r>
          </w:p>
        </w:tc>
        <w:tc>
          <w:tcPr>
            <w:tcW w:w="1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1,181,805</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1,258,858</w:t>
            </w:r>
          </w:p>
        </w:tc>
        <w:tc>
          <w:tcPr>
            <w:tcW w:w="12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3,507,434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3,237,758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269,676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3,130,599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2,596,347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534,252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1,256,724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1,235,821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20,903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6"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9.7% to $19,952,766 during the three months ended November 30, 2022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2021. This increase was primarily a result of increased demand across all market segments, including oil and gas, as well as targeted price increases on certain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months ended November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4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15,370,001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14,423,785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946,216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4,582,765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3,769,628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813,137</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19,952,766</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18,193,413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1,759,353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19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During the three months ended November 30, 2022, 77.0% of NTIC’s consolidated net sales were derived from sales of ZERUST® products and services, which increased 6.6% to $15,370,001 during the three months ended November 30, 2022 compared to $14,423,785 during the three months ended November 30, 2021. This increase was primarily a result of increased demand in North America, as well as targeted price increases on certain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months ended November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13,114,638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12,611,530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503,108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633,466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840,439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1,621,897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971,816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650,081</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8"/>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15,370,001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14,423,785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946,216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NTIC’s total ZERUST® net sales increased during the three months ended November 30, 2022, compared to the prior fiscal year period, primarily due to increased sales to new and existing customers as a result of increased global demand and targeted price increases on certain products, partially offset by a decrease in joint venture net sales. Overall, demand for ZERUST® products and services depends heavily on the overall health of the markets in which NTIC sells its products, including the automotive, oil and gas, agriculture, and mining markets in particular.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8"/>
          <w:szCs w:val="18"/>
          <w:color w:val="auto"/>
        </w:rPr>
        <w:t>ZERUST® oil and gas net sales increased 66.9% during the three months ended November 30, 2022 compared to the same period last fiscal year primarily as a result of new opportunities with new customers.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three months ended November 30, 2022, 23.0% of NTIC’s consolidated net sales were derived from sales of Natur-Tec® products, compared to 20.7% during the three months ended November 30, 2021. Sales of Natur-Tec® products increased 21.6% to $4,582,765 during the three months ended November 30, 2022 compared to $3,769,628 during the three months ended November 30, 2021 as a result of increased global demand. COVID-19 adversely impacted demand for Natur-Tec® products from across the apparel industry, as well as many large users of bioplastics, including college campuses, stadiums, arenas, restaurants, and corporate office complexes. While NTIC has experienced a recovery in many of these areas to pre-pandemic levels, NTIC still expects some of these customers will be the last businesses to fully re-open and operate at full pre-pandemic capacities.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8.9% for the three months ended November 30, 2022 compared to the three months ended November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primarily as a result of the increase in net sales, as described above, and price increases on raw materials used in NTIC’s products, as well as increased labor and shipping costs. Cost of goods sold as a percentage of net sales decreased slightly to 68.2% for the three months ended November 30, 2022 compared to 68.7% for the three months ended November 30, 2021 primarily as a result of passing along price increases to customers and increased sales made to customers in the oil and gas industry, which products carry higher margins than our Zerust industrial products. Although NTIC has taken certain actions to address inflationary pressures and pass on related cost increases to its customers, we expect some of these inflationary pressures to persist in fiscal 2023. Some improvements from these actions as well as some improvements in gross margin were realized in the three months ended November 30, 2022.</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decreased 13.5% to $1,189,404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2022 compared to $1,374,749 during the three months ended November 30, 2021. This decrease was primarily due to an increase in operating expenses and a decrease in gross margins at the joint ventures. NTIC’s equity in income from joint ventures fluctuates based on net sales and profitability of the joint ventures during the respective periods. Of the total equity in income from joint ventures, NTIC had equity in income from joint ventures of $871,144 attributable to EXCOR during the three months ended November 30, 2022 compared to $910,773 attributable to EXCOR during the three months ended November 30, 2021. NTIC had equity in income from all other joint ventures of $318,260 during the three months ended November 30, 2022, compared to $463,976 during the three months ended November 30, 2021.</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$1,181,805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2022 compared to $1,258,858 during the three months ended November 30, 2021, representing a decrease of 6.1%, or $77,053. Fee income for services provided to joint ventures is traditionally a function of the sales made by NTIC’s joint ventures; however, at various joint ventures, the fee income for services is a fixed amount that does not fluctuate with the change in sales which was experienced by certain joint ventures during the three months ended November 30, 2022. Total net sales of NTIC’s joint ventures decreased to $24,730,289 during the three months ended November 30, 2022 compared to $27,022,995 for the three months ended November 30, 2021, representing a decrease of 8.5%. This decrease was primarily a result of decreased demand during the three months ended November 30, 2022 due in part to geopolitical uncertainty. Net sales of NTIC’s joint ventures are not included in NTIC’s product sales and are not included in NTIC’s consolidated financial statements. Of the total fee income for services provided to joint ventures, fees of $193,828 were attributable to EXCOR during the three months ended November 30, 2022 compared to $218,430 attributable to EXCOR during the three months ended November 30, 2021.</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8.3% for the three months ended November 30, 2022 compared to the same period in fiscal 2022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an increase in travel and personnel expenses during the current fiscal year period compared to the prior fiscal year period. Selling expenses as a percentage of net sales decreased slightly to 17.6% for the three months ended November 30, 2022 compared to 17.8% during the three months ended November 30, 2021 primarily due to the increase in net sales, partially offset by the increased selling expenses, as previously described.</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20.6% for the three months ended November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2022 due primarily to increased professional services and travel and personnel expenses during the current fiscal year period compared to the prior fiscal year period, as well as expenses incurred during the current fiscal year period in connection with the startup of a new indirect, majority owned subsidiary formed to assume the operations of a former joint venture in Taiwan. As a percentage of net sales, general and administrative expenses increased to 15.7% for the three months ended November 30, 2022 from 14.3% for the three months ended November 30, 2021 primarily due to the increase in general and administrative expenses, partially offset by the increase in net sales.</w:t>
      </w:r>
    </w:p>
    <w:p>
      <w:pPr>
        <w:spacing w:after="0" w:line="182"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1.7% for the three months ended November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2022 primarily due to increased personnel and development efforts.</w:t>
      </w:r>
    </w:p>
    <w:p>
      <w:pPr>
        <w:spacing w:after="0" w:line="15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decreased to $6,168 during the three months ended November 30, 2022 compared to $10,943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2021 due primarily to changes in the invested cash balances.</w:t>
      </w:r>
    </w:p>
    <w:p>
      <w:pPr>
        <w:spacing w:after="0" w:line="158"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$91,331 during the three months ended November 30, 2022 compared to $2,891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2021 due primarily to increased outstanding borrowings under the line of credit and increased interest rates, in each case during the current fiscal year period compared to the prior fiscal year period.</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Remeasurement Gain on Acquisition of Equity Method Investee</w:t>
      </w:r>
      <w:r>
        <w:rPr>
          <w:rFonts w:ascii="Times New Roman" w:cs="Times New Roman" w:eastAsia="Times New Roman" w:hAnsi="Times New Roman"/>
          <w:sz w:val="18"/>
          <w:szCs w:val="18"/>
          <w:color w:val="auto"/>
        </w:rPr>
        <w:t>. Authoritative guidance on accounting for business combinations requires that an acquirer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 its previously held equity interest in the acquisition at its acquisition date fair value and recognize the resulting gain or loss in earnings. As such, since NTIC acquired the remaining 50% ownership interest of Zerust India effective September 1, 2021, NTIC recognized a gain of $3,951,550 during the three months ended November 30, 2021. This gain is included in “Remeasurement gain on acquisition of equity method investee” on NTIC’s consolidated statements of operations. There was no comparable such gain during the current fiscal year period.</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$744,413 for the three months ended November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before income tax expense of $5,226,213 for the three months ended November 30, 2021.</w:t>
      </w:r>
    </w:p>
    <w:p>
      <w:pPr>
        <w:spacing w:after="0" w:line="15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$110,733 during the three months ended November 30, 2022 compared to $504,380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2021. Income tax expense was calculated based on management’s estimate of NTIC’s annual effective income tax rate.</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$19,303,110 and $21,256,923 as of November 30, 2022 and August 31, 2022, respectively. To the extent undistributed earnings of NTIC’s joint ventures are distributed in the future, they are not expected to result in any material additional income tax liability after the application of foreign tax credits.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decreased to $502,242, or $0.05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2022 compared to $4,493,759, or $0.46 per diluted common share, for the three months ended November 30, 2021. This decrease was primarily due to the $3,951,550 remeasurement gain on acquisition of equity method investee recognized during the prior fiscal year period, which did not repeat this fiscal year, and to a lesser extent, the increase in operating expenses and cost of goods sold and decrease in joint venture income contribution.</w:t>
      </w:r>
    </w:p>
    <w:p>
      <w:pPr>
        <w:spacing w:after="0" w:line="18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COVID-19,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months ended November 30, 2022 compared to the same period in fiscal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$25,408,920 as of November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$6,066,321 in cash and cash equivalents and $5,590 in available for sale securities, compared to $23,169,480 as of August 31, 2022, including $5,333,890 in cash and cash equivalents and $5,590 in available for sale securities.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January 6, 2023, NTIC entered into a Credit Agreement (the “Credit Agreement”) with JPMorgan Chase Bank, N.A. (“JPM”), which provides NTIC with a senior secured revolving line of credit (the “Credit Facility”) of up to $10.0 million. The Credit Facility includes a $5.0 million sublimit for standby letters of credit. Unless terminated earlier, the Credit Facility will mature on January 6, 2024, and the principal amount thereunder, together with all accrued unpaid interest and other amounts owing thereunder, if any, will be payable in full on such date.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 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 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ind w:right="20"/>
        <w:spacing w:after="0" w:line="252" w:lineRule="auto"/>
        <w:rPr>
          <w:sz w:val="20"/>
          <w:szCs w:val="20"/>
          <w:color w:val="auto"/>
        </w:rPr>
      </w:pPr>
      <w:r>
        <w:rPr>
          <w:rFonts w:ascii="Times New Roman" w:cs="Times New Roman" w:eastAsia="Times New Roman" w:hAnsi="Times New Roman"/>
          <w:sz w:val="18"/>
          <w:szCs w:val="18"/>
          <w:color w:val="auto"/>
        </w:rPr>
        <w:t>As of November 30, 2022, NTIC had a revolving line of credit with PNC Bank of $7,000,000, which was increased from $5,000,000 effective as of May 20, 2022 to allow for financial flexibility, and was scheduled to decrease back to $5,000,000 effective as of August 16, 2022. Subsequently, to maintain future financial flexibility, on August 8, 2022, NTIC and PNC Bank entered into an Amended and Restated Revolving Line of Credit Note and agreed to keep the line of credit at $7,000,000 until its maturity date, January 7, 2023. As of November 30, 2022, $5,450,000 was outstanding under the revolving line of credit, compared to $2,500,000 outstanding as of November 30, 2021. Such outstanding borrowings were used primarily to fund NTIC’s acquisition of the remaining ownership interest of Zerust India. Outstanding advances under the line of credit bear interest at the daily Bloomberg Short-Term Bank Yield Index (BSBY) rate plus 250 basis points (2.50%). The line of credit is scheduled to mature on January 7, 2023. The line of credit is governed under an Amended and Restated Loan Agreement dated August 31, 2021.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November 30, 2022, NTIC was in compliance with all debt covenants under the Amended and Restated Loan Agreement. As of November 30, 2022, NTIC did not have any letters of credit outstanding with respect to the letter of credit sub-facility available under the revolving line of credit with PNC Bank. In connection with the execution of the Credit Agreement described above, on January 6, 2023, loan agreement with PNC Bank was terminated.</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2023, NTIC expects to continue to invest directly and through its use of working capital in Zerust India, NTIC China, Zerust Mexico,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also expects to use some of its capital resources to continue to transition some of its joint ventures as needed or appropriate, which may include additional acquisitions by NTIC of the remaining ownership interests of joint ventures not owned by NTIC, the formation of one or more new subsidiaries to assume the operations of a joint venture, and dissolutions or liquidations of one or more of its joint ventures. Some of these joint venture transitions may materially impact NTIC’s results of operations for a particular reporting period. For example, the formation of a new indirect, majority owned subsidiary of NTIC to assume the operations of a former joint venture increased NTIC’s operating expenses during the three months ended November 30, 2022.</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Uses of Cash and Cash Flows</w:t>
      </w:r>
      <w:r>
        <w:rPr>
          <w:rFonts w:ascii="Times New Roman" w:cs="Times New Roman" w:eastAsia="Times New Roman" w:hAnsi="Times New Roman"/>
          <w:sz w:val="18"/>
          <w:szCs w:val="18"/>
          <w:color w:val="auto"/>
        </w:rPr>
        <w:t>. Net cash provided by operating activities during the three months ended November 30, 2022 was $2,002,543,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principally from dividends received from joint ventures, NTIC’s net income, an increase in inventories, depreciation and amortization expense, and stock-based compensation, partially offset by equity in income from joint ventures and an increase in accounts payable. Net cash provided by operating activities during the three months ended November 30, 2021 was $3,319,024, which resulted principally from NTIC’s net income, dividends received from joint ventures, deferred income tax, depreciation expense, and stock-based compensation, partially offset by the remeasurement gain on acquisition of equity method investee and equity in income from joint ventures.</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NTIC experienced an increase in trade receivables and a decrease in inventory as of November 30, 2022 compared to August 31, 2022. Trade receivables, excluding joint ventures, as of November 30, 2022 increased $261,255 compared to August 31, 2022, primarily related to an increase in sales.</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increased an average of 1 day to an average of 68 days from balances outstanding from these customers as of November 30, 2022 from an average of 67 days as of August 31, 2022.</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November 30, 2022 decreased $104,260 compared to August 31, 2022 primarily due to the timing of payments. Outstanding balances from trade receivables from joint ventures decreased an average of 4 days to an average of 85 days from balances outstanding from these customers as of November 30, 2022 from an average of 89 days as of August 31, 2022. The average days outstanding of trade receivables from joint ventures as of November 30, 2022 were primarily due to the receivables balances at NTIC’s joint ventures in Thailand and Japan.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7" w:name="page28"/>
    <w:bookmarkEnd w:id="27"/>
    <w:p>
      <w:pPr>
        <w:ind w:right="58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November 30, 2022 decreased $641,639 compared to August 31, 2022, and the average days to pay increased an average of 2 days to an average of 87 days from an average of 85 days as of August 31, 2022.</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November 30, 2022 was $453,539, which was primarily the result of the purchases of property and equipment, and investments in patents. Net cash used in investing activities for the three months ended November 30, 2021 was $5,429,590, which was primarily the result of the purchase of the remaining 50% ownership interest in Zerust India, purchases of property and equipment, and investments in patents.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November 30, 2022 was $730,386, which resulted from dividends paid to shareholders, the repayment of borrowings under the line of credit, and dividends received by non-controlling interests, partially offset by proceeds from the exercise of stock options and proceeds from NTIC’s employee stock purchase plan. Net cash provided by financing activities for the three months ended November 30, 2021 was $1,834,611, which resulted from borrowings under the line of credit and proceeds from NTIC’s employee stock purchase plan and the exercise of stock options, partially offset by dividends paid to shareholders and dividends received by non-controlling interests.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the three months ended November 30, 2022. As of November 30, 2022, up to $2,640,548 in shares of NTIC common stock remained available for repurchase under NTIC’s stock repurchase program.</w:t>
      </w:r>
    </w:p>
    <w:p>
      <w:pPr>
        <w:spacing w:after="0" w:line="18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On October 20, 2022, the Company’s Board of Directors declared a cash dividend of $0.07 per share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on November 16, 2022 to stockholders of record on November 3, 2022. On October 20, 2021, the Company’s Board of Directors declared a cash dividend of $0.07 per share of the Company’s common stock, payable on November 17, 2021 to stockholders of record on November 3, 2021.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18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$409,094 on capital expenditures during the three months ended November 30, 2022,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the purchase of new equipment and facility improvements. NTIC expects to spend an aggregate of approximately $1,200,000 to $1,500,000 on capital expenditures during fiscal 2023, which it expects will relate primarily to the purchase of new equipment and facility improvements.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There has been no material change to NTIC’s contractual obligations as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Contractual Obligations</w:t>
      </w:r>
      <w:r>
        <w:rPr>
          <w:rFonts w:ascii="Times New Roman" w:cs="Times New Roman" w:eastAsia="Times New Roman" w:hAnsi="Times New Roman"/>
          <w:sz w:val="18"/>
          <w:szCs w:val="18"/>
          <w:color w:val="auto"/>
        </w:rPr>
        <w:t>,” included in NTIC’s annual report on Form 10-K for the fiscal year ended August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inflation in the United States and abroad historically has had little effect on NTIC, inflationary pressures adversely affected NTIC’s gross margins during the first quarter of fiscal 2023 and are expected to persist into at least the second quarter of fiscal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right="260"/>
        <w:spacing w:after="0" w:line="282" w:lineRule="auto"/>
        <w:rPr>
          <w:sz w:val="20"/>
          <w:szCs w:val="20"/>
          <w:color w:val="auto"/>
        </w:rPr>
      </w:pPr>
      <w:r>
        <w:rPr>
          <w:rFonts w:ascii="Times New Roman" w:cs="Times New Roman" w:eastAsia="Times New Roman" w:hAnsi="Times New Roman"/>
          <w:sz w:val="18"/>
          <w:szCs w:val="18"/>
          <w:color w:val="auto"/>
        </w:rPr>
        <w:t>NTIC believes there is some seasonality in its business. NTIC anticipates its net sales in the second fiscal quarter may be adversely affected by the long Chinese New Year, the North American holiday season and overall less corrosion taking place at lower winter temperatures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revolving line of credit with PNC Bank bear interest at an annual rate based on daily BSBY plus 2.50%. As of November 30, 2022, NTIC had borrowings of $5,450,000 under the line of credit that existed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acquisition of Zerust India on NTIC’s business, operating results and financial condition,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9" w:name="page30"/>
    <w:bookmarkEnd w:id="29"/>
    <w:p>
      <w:pPr>
        <w:ind w:right="8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1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 which will likely continue through fiscal 2023, regardless of the status of COVID-19;</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NTIC’s business, operating results and financial condition, including in particular in China, and disruption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current worldwide economic conditions, inflation, recessionary indications and any turmoil and disruption in the global credit and financial markets on NTIC’s business, including in particular as a result of the ongoing war between Russia and Ukraine, and the effect of the war and the resulting sanctions by U.S. and European governments on commodity price fluctuations, which have decreased our margins and the margins of our joint ventures and resulted in decreased joint venture profitability, which will likely continue during fiscal 2023;</w:t>
      </w:r>
    </w:p>
    <w:p>
      <w:pPr>
        <w:spacing w:after="0" w:line="164" w:lineRule="exact"/>
        <w:rPr>
          <w:rFonts w:ascii="Times New Roman" w:cs="Times New Roman" w:eastAsia="Times New Roman" w:hAnsi="Times New Roman"/>
          <w:sz w:val="17"/>
          <w:szCs w:val="17"/>
          <w:color w:val="auto"/>
        </w:rPr>
      </w:pPr>
    </w:p>
    <w:p>
      <w:pPr>
        <w:ind w:left="980" w:right="32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health of the U.S. automotive industry on NTIC’s business and the evolution of the automotive industry towards electric vehicles;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acquisition of the remaining 50% ownership interest in its Indian joint venture, Zerust India;</w:t>
      </w:r>
    </w:p>
    <w:p>
      <w:pPr>
        <w:spacing w:after="0" w:line="225" w:lineRule="exact"/>
        <w:rPr>
          <w:rFonts w:ascii="Times New Roman" w:cs="Times New Roman" w:eastAsia="Times New Roman" w:hAnsi="Times New Roman"/>
          <w:sz w:val="18"/>
          <w:szCs w:val="18"/>
          <w:color w:val="auto"/>
        </w:rPr>
      </w:pPr>
    </w:p>
    <w:p>
      <w:pPr>
        <w:ind w:left="980" w:right="640" w:hanging="324"/>
        <w:spacing w:after="0" w:line="312"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39" w:lineRule="exact"/>
        <w:rPr>
          <w:rFonts w:ascii="Times New Roman" w:cs="Times New Roman" w:eastAsia="Times New Roman" w:hAnsi="Times New Roman"/>
          <w:sz w:val="17"/>
          <w:szCs w:val="17"/>
          <w:color w:val="auto"/>
        </w:rPr>
      </w:pPr>
    </w:p>
    <w:p>
      <w:pPr>
        <w:ind w:left="980" w:right="3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including supply chain disruptions and weather related impacts;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324" w:right="4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action of Russian military forces in Ukraine;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w:t>
      </w:r>
    </w:p>
    <w:p>
      <w:pPr>
        <w:spacing w:after="0" w:line="225" w:lineRule="exact"/>
        <w:rPr>
          <w:rFonts w:ascii="Times New Roman" w:cs="Times New Roman" w:eastAsia="Times New Roman" w:hAnsi="Times New Roman"/>
          <w:sz w:val="18"/>
          <w:szCs w:val="18"/>
          <w:color w:val="auto"/>
        </w:rPr>
      </w:pPr>
    </w:p>
    <w:p>
      <w:pPr>
        <w:ind w:left="324" w:right="6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324" w:right="34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580" w:right="399" w:bottom="1440" w:gutter="0" w:footer="0" w:header="0"/>
        </w:sectPr>
      </w:pPr>
    </w:p>
    <w:bookmarkStart w:id="31" w:name="page32"/>
    <w:bookmarkEnd w:id="31"/>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2022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8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revolving line of credit with PNC Bank bear interest at an annual rate based on daily BSBY plus 2.50%. As of November 30, 2022, NTIC had borrowings of $5,450,000 under the line of credit that existed as of that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2" w:name="page33"/>
    <w:bookmarkEnd w:id="3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November 30, 2022 that has materially affected or is reasonably likely to materially affect NTIC’s internal control over financial reporting, other than changes implemented to continue integrating Zerust India’s internal controls with NTIC’s internal controls.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3" w:name="page34"/>
    <w:bookmarkEnd w:id="3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II -</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30, 2022,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first quarter of fiscal 2023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320" w:type="dxa"/>
            <w:vAlign w:val="bottom"/>
            <w:tcBorders>
              <w:top w:val="single" w:sz="8" w:color="auto"/>
              <w:left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60"/>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174"/>
        </w:trPr>
        <w:tc>
          <w:tcPr>
            <w:tcW w:w="3320" w:type="dxa"/>
            <w:vAlign w:val="bottom"/>
            <w:tcBorders>
              <w:top w:val="single" w:sz="8" w:color="CCEEFF"/>
              <w:left w:val="single" w:sz="8" w:color="auto"/>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September 1, 2022 through September 30,</w:t>
            </w:r>
          </w:p>
        </w:tc>
        <w:tc>
          <w:tcPr>
            <w:tcW w:w="1900" w:type="dxa"/>
            <w:vAlign w:val="bottom"/>
            <w:tcBorders>
              <w:top w:val="single" w:sz="8" w:color="CCEEFF"/>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top w:val="single" w:sz="8" w:color="CCEEFF"/>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w:t>
            </w:r>
          </w:p>
        </w:tc>
        <w:tc>
          <w:tcPr>
            <w:tcW w:w="2180" w:type="dxa"/>
            <w:vAlign w:val="bottom"/>
            <w:tcBorders>
              <w:top w:val="single" w:sz="8" w:color="CCEEFF"/>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0</w:t>
            </w:r>
          </w:p>
        </w:tc>
        <w:tc>
          <w:tcPr>
            <w:tcW w:w="2060" w:type="dxa"/>
            <w:vAlign w:val="bottom"/>
            <w:tcBorders>
              <w:top w:val="single" w:sz="8" w:color="auto"/>
              <w:right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(1)</w:t>
            </w:r>
          </w:p>
        </w:tc>
      </w:tr>
      <w:tr>
        <w:trPr>
          <w:trHeight w:val="234"/>
        </w:trPr>
        <w:tc>
          <w:tcPr>
            <w:tcW w:w="3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2180" w:type="dxa"/>
            <w:vAlign w:val="bottom"/>
            <w:tcBorders>
              <w:bottom w:val="single" w:sz="8" w:color="auto"/>
              <w:right w:val="single" w:sz="8" w:color="auto"/>
            </w:tcBorders>
            <w:shd w:val="clear" w:color="auto" w:fill="CCEEFF"/>
          </w:tcPr>
          <w:p>
            <w:pPr>
              <w:spacing w:after="0"/>
              <w:rPr>
                <w:sz w:val="20"/>
                <w:szCs w:val="20"/>
                <w:color w:val="auto"/>
              </w:rPr>
            </w:pPr>
          </w:p>
        </w:tc>
        <w:tc>
          <w:tcPr>
            <w:tcW w:w="20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 2022 through October 31, 2022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191"/>
        </w:trPr>
        <w:tc>
          <w:tcPr>
            <w:tcW w:w="332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November 1, 2022 through November 30,</w:t>
            </w:r>
          </w:p>
        </w:tc>
        <w:tc>
          <w:tcPr>
            <w:tcW w:w="190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218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c>
          <w:tcPr>
            <w:tcW w:w="2060" w:type="dxa"/>
            <w:vAlign w:val="bottom"/>
            <w:tcBorders>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(1)</w:t>
            </w:r>
          </w:p>
        </w:tc>
      </w:tr>
      <w:tr>
        <w:trPr>
          <w:trHeight w:val="234"/>
        </w:trPr>
        <w:tc>
          <w:tcPr>
            <w:tcW w:w="3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2180" w:type="dxa"/>
            <w:vAlign w:val="bottom"/>
            <w:tcBorders>
              <w:bottom w:val="single" w:sz="8" w:color="auto"/>
              <w:right w:val="single" w:sz="8" w:color="auto"/>
            </w:tcBorders>
            <w:shd w:val="clear" w:color="auto" w:fill="CCEEFF"/>
          </w:tcPr>
          <w:p>
            <w:pPr>
              <w:spacing w:after="0"/>
              <w:rPr>
                <w:sz w:val="20"/>
                <w:szCs w:val="20"/>
                <w:color w:val="auto"/>
              </w:rPr>
            </w:pPr>
          </w:p>
        </w:tc>
        <w:tc>
          <w:tcPr>
            <w:tcW w:w="20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198" w:lineRule="exact"/>
        <w:rPr>
          <w:sz w:val="20"/>
          <w:szCs w:val="20"/>
          <w:color w:val="auto"/>
        </w:rPr>
      </w:pPr>
    </w:p>
    <w:p>
      <w:pPr>
        <w:ind w:left="660" w:right="28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5"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30, 2022,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January 6, 2023, Northern Technologies International Corporation entered into a Credit Agreement (the “Credit Agreement”) with JPMorgan Chase Bank, N.A. (“JPM”), which provides NTIC with a senior secured revolving line of credit (the “Credit Facility”) of up to $10.0 million. The Credit Facility includes a $5.0 million sublimit for standby letters of credit.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Unless terminated earlier, the Credit Facility will mature on January 6, 2024, and the principal amount thereunder, together with all accrued unpaid interest and other amounts owing thereunder, if any, will be payable in full on such date.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Agreement is a summary of the material terms of such agreement, does not purport to be complete and is qualified in its entirety by reference to the complete terms of the Credit Agreement, which will be filed as an exhibit to NTIC’s quarterly report on Form 10-Q for the quarterly period ended January 31, 2023, and is incorporated herein by reference.</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Credit Agreement described above, on January 6, 2023, the Amended and Restated Loan Agreement dated August 31, 2021 between Northern Technologies International Corporation and PNC Bank, National Association was terminated.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80" w:type="dxa"/>
            <w:vAlign w:val="bottom"/>
            <w:gridSpan w:val="14"/>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1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tc>
      </w:tr>
      <w:tr>
        <w:trPr>
          <w:trHeight w:val="432"/>
        </w:trPr>
        <w:tc>
          <w:tcPr>
            <w:tcW w:w="11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60" w:type="dxa"/>
            <w:vAlign w:val="bottom"/>
          </w:tcPr>
          <w:p>
            <w:pPr>
              <w:jc w:val="center"/>
              <w:ind w:left="190"/>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20" w:type="dxa"/>
            <w:vAlign w:val="bottom"/>
            <w:tcBorders>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Second Amended and Restated Bylaws of Northern Technologies International Corporation, effective November 11, 2022 (Incorporated</w:t>
              </w:r>
            </w:hyperlink>
          </w:p>
        </w:tc>
        <w:tc>
          <w:tcPr>
            <w:tcW w:w="60" w:type="dxa"/>
            <w:vAlign w:val="bottom"/>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2"/>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by reference to Exhibit 3.1 to NTIC’s Current Report on Form 8-K as filed with the Securities and Exchange Commission on November</w:t>
              </w:r>
            </w:hyperlink>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14, 2022 (File No. 001-11038))</w:t>
              </w:r>
            </w:hyperlink>
          </w:p>
        </w:tc>
        <w:tc>
          <w:tcPr>
            <w:tcW w:w="80" w:type="dxa"/>
            <w:vAlign w:val="bottom"/>
            <w:gridSpan w:val="2"/>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86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President and Chief Executive Officer pursuant to SEC Rule 13a-14(a), as adopted pursuant to Section 302 of the</w:t>
            </w: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(filed herewith)</w:t>
            </w:r>
          </w:p>
        </w:tc>
        <w:tc>
          <w:tcPr>
            <w:tcW w:w="580" w:type="dxa"/>
            <w:vAlign w:val="bottom"/>
            <w:gridSpan w:val="6"/>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86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 Rule 13a-14(a), as adopted pursuant to Section 302 of the Sarbanes-Oxley Act</w:t>
            </w:r>
          </w:p>
        </w:tc>
        <w:tc>
          <w:tcPr>
            <w:tcW w:w="14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of 2002 (filed herewith)</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86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President and Chief Executive Officer pursuant to 18 U.S.C. Section 1350, as adopted pursuant to Section 906 of the</w:t>
            </w: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 (furnished herewith)</w:t>
            </w:r>
          </w:p>
        </w:tc>
        <w:tc>
          <w:tcPr>
            <w:tcW w:w="5960" w:type="dxa"/>
            <w:vAlign w:val="bottom"/>
            <w:tcBorders>
              <w:top w:val="single" w:sz="8" w:color="0000EE"/>
            </w:tcBorders>
            <w:gridSpan w:val="2"/>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196"/>
        </w:trPr>
        <w:tc>
          <w:tcPr>
            <w:tcW w:w="860" w:type="dxa"/>
            <w:vAlign w:val="bottom"/>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 Section 906 of the Sarbanes-Oxley</w:t>
            </w:r>
          </w:p>
        </w:tc>
        <w:tc>
          <w:tcPr>
            <w:tcW w:w="20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7500" w:type="dxa"/>
            <w:vAlign w:val="bottom"/>
            <w:gridSpan w:val="9"/>
          </w:tcPr>
          <w:p>
            <w:pPr>
              <w:spacing w:after="0"/>
              <w:rPr>
                <w:sz w:val="17"/>
                <w:szCs w:val="17"/>
                <w:color w:val="auto"/>
              </w:rPr>
            </w:pPr>
          </w:p>
        </w:tc>
      </w:tr>
    </w:tbl>
    <w:p>
      <w:pPr>
        <w:spacing w:after="0" w:line="9" w:lineRule="exact"/>
        <w:rPr>
          <w:sz w:val="20"/>
          <w:szCs w:val="20"/>
          <w:color w:val="auto"/>
        </w:rPr>
      </w:pPr>
    </w:p>
    <w:p>
      <w:pPr>
        <w:ind w:left="1360" w:right="60" w:hanging="920"/>
        <w:spacing w:after="0" w:line="254" w:lineRule="auto"/>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November 30, 2022, formatted in Inline XBRL (Extensible Business Reporting Language): (i) the unaudited Consolidated Balance Sheets, (ii) the unaudited Consolidated Statements of Operations, (iii) the unaudited Consolidated Statements of Comprehensive Income , (iv) the unaudited Consolidated Statements of Equity, (v) the unaudited Consolidated Statements of Cash Flows, and (vi) Notes to Consolidated Financial Statements (filed herewith)</w:t>
      </w:r>
    </w:p>
    <w:p>
      <w:pPr>
        <w:spacing w:after="0" w:line="3" w:lineRule="exact"/>
        <w:rPr>
          <w:sz w:val="20"/>
          <w:szCs w:val="20"/>
          <w:color w:val="auto"/>
        </w:rPr>
      </w:pPr>
    </w:p>
    <w:p>
      <w:pPr>
        <w:ind w:left="1360" w:hanging="920"/>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NORTHERN TECHNOLOGIES INTERNATIONAL CORPORATION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right="3560" w:hanging="5615"/>
        <w:spacing w:after="0" w:line="273" w:lineRule="auto"/>
        <w:tabs>
          <w:tab w:leader="none" w:pos="5600" w:val="left"/>
        </w:tabs>
        <w:rPr>
          <w:sz w:val="20"/>
          <w:szCs w:val="20"/>
          <w:color w:val="auto"/>
        </w:rPr>
      </w:pPr>
      <w:r>
        <w:rPr>
          <w:rFonts w:ascii="Times New Roman" w:cs="Times New Roman" w:eastAsia="Times New Roman" w:hAnsi="Times New Roman"/>
          <w:sz w:val="18"/>
          <w:szCs w:val="18"/>
          <w:color w:val="auto"/>
        </w:rPr>
        <w:t>Date: January 12, 2023</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576"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120" w:hanging="6"/>
        <w:spacing w:after="0" w:line="266" w:lineRule="auto"/>
        <w:tabs>
          <w:tab w:leader="none" w:pos="11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00" w:right="220" w:hanging="6"/>
        <w:spacing w:after="0" w:line="266" w:lineRule="auto"/>
        <w:tabs>
          <w:tab w:leader="none" w:pos="11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440" w:hanging="6"/>
        <w:spacing w:after="0" w:line="282" w:lineRule="auto"/>
        <w:tabs>
          <w:tab w:leader="none" w:pos="11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400" w:hanging="6"/>
        <w:spacing w:after="0" w:line="266" w:lineRule="auto"/>
        <w:tabs>
          <w:tab w:leader="none" w:pos="11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60" w:hanging="6"/>
        <w:spacing w:after="0" w:line="282" w:lineRule="auto"/>
        <w:tabs>
          <w:tab w:leader="none" w:pos="10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500" w:right="340" w:firstLine="12"/>
        <w:spacing w:after="0" w:line="282" w:lineRule="auto"/>
        <w:tabs>
          <w:tab w:leader="none" w:pos="112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12,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40" w:hanging="532"/>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80" w:right="20" w:firstLine="4"/>
        <w:spacing w:after="0" w:line="266" w:lineRule="auto"/>
        <w:tabs>
          <w:tab w:leader="none" w:pos="118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80" w:right="140" w:firstLine="4"/>
        <w:spacing w:after="0" w:line="266" w:lineRule="auto"/>
        <w:tabs>
          <w:tab w:leader="none" w:pos="11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right="360" w:firstLine="4"/>
        <w:spacing w:after="0" w:line="282" w:lineRule="auto"/>
        <w:tabs>
          <w:tab w:leader="none" w:pos="118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80" w:right="320" w:firstLine="4"/>
        <w:spacing w:after="0" w:line="266" w:lineRule="auto"/>
        <w:tabs>
          <w:tab w:leader="none" w:pos="11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right="580" w:firstLine="4"/>
        <w:spacing w:after="0" w:line="282" w:lineRule="auto"/>
        <w:tabs>
          <w:tab w:leader="none" w:pos="11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right="260" w:firstLine="4"/>
        <w:spacing w:after="0" w:line="282" w:lineRule="auto"/>
        <w:tabs>
          <w:tab w:leader="none" w:pos="118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January 12, 2023</w:t>
      </w:r>
      <w:r>
        <w:rPr>
          <w:sz w:val="20"/>
          <w:szCs w:val="20"/>
          <w:color w:val="auto"/>
        </w:rPr>
        <w:tab/>
      </w:r>
      <w:r>
        <w:rPr>
          <w:rFonts w:ascii="Times New Roman" w:cs="Times New Roman" w:eastAsia="Times New Roman" w:hAnsi="Times New Roman"/>
          <w:sz w:val="17"/>
          <w:szCs w:val="17"/>
          <w:color w:val="auto"/>
        </w:rPr>
        <w:t>Matthew C. Wolsfeld, CPA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November 30, 2022,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260" w:hanging="604"/>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300" w:hanging="944"/>
        <w:spacing w:after="0" w:line="282" w:lineRule="auto"/>
        <w:tabs>
          <w:tab w:leader="none" w:pos="1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2023</w:t>
      </w:r>
    </w:p>
    <w:p>
      <w:pPr>
        <w:sectPr>
          <w:pgSz w:w="11900" w:h="16838" w:orient="portrait"/>
          <w:cols w:equalWidth="0" w:num="1">
            <w:col w:w="11240"/>
          </w:cols>
          <w:pgMar w:left="320" w:top="117"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November 30, 2022,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260" w:hanging="604"/>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300" w:hanging="944"/>
        <w:spacing w:after="0" w:line="282" w:lineRule="auto"/>
        <w:tabs>
          <w:tab w:leader="none" w:pos="12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6"/>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2"/>
    </w:lvl>
  </w:abstractNum>
  <w:abstractNum w:abstractNumId="13">
    <w:nsid w:val="721DA317"/>
    <w:multiLevelType w:val="hybridMultilevel"/>
    <w:lvl w:ilvl="0">
      <w:lvlJc w:val="left"/>
      <w:lvlText w:val="%1."/>
      <w:numFmt w:val="decimal"/>
      <w:start w:val="13"/>
    </w:lvl>
  </w:abstractNum>
  <w:abstractNum w:abstractNumId="14">
    <w:nsid w:val="2443A858"/>
    <w:multiLevelType w:val="hybridMultilevel"/>
    <w:lvl w:ilvl="0">
      <w:lvlJc w:val="left"/>
      <w:lvlText w:val="%1."/>
      <w:numFmt w:val="decimal"/>
      <w:start w:val="14"/>
    </w:lvl>
  </w:abstractNum>
  <w:abstractNum w:abstractNumId="15">
    <w:nsid w:val="2D1D5AE9"/>
    <w:multiLevelType w:val="hybridMultilevel"/>
    <w:lvl w:ilvl="0">
      <w:lvlJc w:val="left"/>
      <w:lvlText w:val="%1."/>
      <w:numFmt w:val="decimal"/>
      <w:start w:val="15"/>
    </w:lvl>
  </w:abstractNum>
  <w:abstractNum w:abstractNumId="16">
    <w:nsid w:val="6763845E"/>
    <w:multiLevelType w:val="hybridMultilevel"/>
    <w:lvl w:ilvl="0">
      <w:lvlJc w:val="left"/>
      <w:lvlText w:val="%1."/>
      <w:numFmt w:val="decimal"/>
      <w:start w:val="16"/>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01"/>
    </w:lvl>
  </w:abstractNum>
  <w:abstractNum w:abstractNumId="24">
    <w:nsid w:val="71F32454"/>
    <w:multiLevelType w:val="hybridMultilevel"/>
    <w:lvl w:ilvl="0">
      <w:lvlJc w:val="left"/>
      <w:lvlText w:val="%1"/>
      <w:numFmt w:val="decimal"/>
      <w:start w:val="104"/>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7" Type="http://schemas.openxmlformats.org/officeDocument/2006/relationships/hyperlink" Target="http://www.sec.gov/Archives/edgar/data/875582/000117184322007433/exh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2023-01-12T07:04:22Z</dcterms:created>
  <dcterms:modified xsi:type="dcterms:W3CDTF">2023-01-12T07:04:22Z</dcterms:modified>
</cp:coreProperties>
</file>