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3760" w:right="2040" w:hanging="3752"/>
        <w:spacing w:after="0" w:line="476" w:lineRule="auto"/>
        <w:tabs>
          <w:tab w:leader="none" w:pos="21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November 30, 2018</w:t>
      </w:r>
    </w:p>
    <w:p>
      <w:pPr>
        <w:spacing w:after="0" w:line="30" w:lineRule="exact"/>
        <w:rPr>
          <w:sz w:val="24"/>
          <w:szCs w:val="24"/>
          <w:color w:val="auto"/>
        </w:rPr>
      </w:pPr>
    </w:p>
    <w:p>
      <w:pPr>
        <w:ind w:left="2960" w:right="1900" w:hanging="2952"/>
        <w:spacing w:after="0" w:line="530" w:lineRule="auto"/>
        <w:tabs>
          <w:tab w:leader="none" w:pos="221"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 to 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445" w:right="259" w:bottom="1440" w:gutter="0" w:footer="0" w:header="0"/>
        </w:sectPr>
      </w:pPr>
    </w:p>
    <w:p>
      <w:pPr>
        <w:spacing w:after="0" w:line="20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780" w:space="720"/>
            <w:col w:w="3900"/>
          </w:cols>
          <w:pgMar w:left="240" w:top="445" w:right="259" w:bottom="1440" w:gutter="0" w:footer="0" w:header="0"/>
          <w:type w:val="continuous"/>
        </w:sectPr>
      </w:pP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4201 Woodland Road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P.O. Box 69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0" w:firstLine="324"/>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445" w:right="259" w:bottom="1440" w:gutter="0" w:footer="0" w:header="0"/>
          <w:type w:val="continuous"/>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060" w:space="720"/>
            <w:col w:w="3620"/>
          </w:cols>
          <w:pgMar w:left="240" w:top="445" w:right="259" w:bottom="1440" w:gutter="0" w:footer="0" w:header="0"/>
          <w:type w:val="continuous"/>
        </w:sectPr>
      </w:pPr>
    </w:p>
    <w:p>
      <w:pPr>
        <w:spacing w:after="0" w:line="32"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January 7, 2019, there were 4,542,177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00" w:type="dxa"/>
            <w:vAlign w:val="bottom"/>
            <w:gridSpan w:val="16"/>
          </w:tcPr>
          <w:p>
            <w:pPr>
              <w:jc w:val="center"/>
              <w:ind w:right="1060"/>
              <w:spacing w:after="0"/>
              <w:rPr>
                <w:sz w:val="20"/>
                <w:szCs w:val="20"/>
                <w:color w:val="auto"/>
              </w:rPr>
            </w:pPr>
            <w:r>
              <w:rPr>
                <w:rFonts w:ascii="Arial" w:cs="Arial" w:eastAsia="Arial" w:hAnsi="Arial"/>
                <w:sz w:val="18"/>
                <w:szCs w:val="18"/>
                <w:b w:val="1"/>
                <w:bCs w:val="1"/>
                <w:color w:val="auto"/>
              </w:rPr>
              <w:t>NORTHERN TECHNOLOGIES INTERNATIONAL CORPORATION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80" w:type="dxa"/>
            <w:vAlign w:val="bottom"/>
            <w:gridSpan w:val="9"/>
          </w:tcPr>
          <w:p>
            <w:pPr>
              <w:jc w:val="center"/>
              <w:ind w:right="2400"/>
              <w:spacing w:after="0"/>
              <w:rPr>
                <w:sz w:val="20"/>
                <w:szCs w:val="20"/>
                <w:color w:val="auto"/>
              </w:rPr>
            </w:pPr>
            <w:r>
              <w:rPr>
                <w:rFonts w:ascii="Arial" w:cs="Arial" w:eastAsia="Arial" w:hAnsi="Arial"/>
                <w:sz w:val="18"/>
                <w:szCs w:val="18"/>
                <w:b w:val="1"/>
                <w:bCs w:val="1"/>
                <w:color w:val="auto"/>
                <w:w w:val="99"/>
              </w:rPr>
              <w:t>FORM 10-Q</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80" w:type="dxa"/>
            <w:vAlign w:val="bottom"/>
            <w:gridSpan w:val="9"/>
          </w:tcPr>
          <w:p>
            <w:pPr>
              <w:jc w:val="center"/>
              <w:ind w:right="2380"/>
              <w:spacing w:after="0"/>
              <w:rPr>
                <w:sz w:val="20"/>
                <w:szCs w:val="20"/>
                <w:color w:val="auto"/>
              </w:rPr>
            </w:pPr>
            <w:r>
              <w:rPr>
                <w:rFonts w:ascii="Arial" w:cs="Arial" w:eastAsia="Arial" w:hAnsi="Arial"/>
                <w:sz w:val="18"/>
                <w:szCs w:val="18"/>
                <w:b w:val="1"/>
                <w:bCs w:val="1"/>
                <w:color w:val="auto"/>
                <w:w w:val="90"/>
              </w:rPr>
              <w:t>November 30, 2018</w:t>
            </w: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580" w:type="dxa"/>
            <w:vAlign w:val="bottom"/>
            <w:gridSpan w:val="9"/>
          </w:tcPr>
          <w:p>
            <w:pPr>
              <w:jc w:val="center"/>
              <w:ind w:right="238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392"/>
        </w:trPr>
        <w:tc>
          <w:tcPr>
            <w:tcW w:w="9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8"/>
              </w:rPr>
              <w:t>Description</w:t>
            </w:r>
          </w:p>
        </w:tc>
        <w:tc>
          <w:tcPr>
            <w:tcW w:w="84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40" w:type="dxa"/>
            <w:vAlign w:val="bottom"/>
            <w:gridSpan w:val="3"/>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1100" w:type="dxa"/>
            <w:vAlign w:val="bottom"/>
            <w:gridSpan w:val="4"/>
          </w:tcPr>
          <w:p>
            <w:pPr>
              <w:spacing w:after="0"/>
              <w:rPr>
                <w:sz w:val="24"/>
                <w:szCs w:val="24"/>
                <w:color w:val="auto"/>
              </w:rPr>
            </w:pPr>
          </w:p>
        </w:tc>
        <w:tc>
          <w:tcPr>
            <w:tcW w:w="7960" w:type="dxa"/>
            <w:vAlign w:val="bottom"/>
            <w:gridSpan w:val="2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20" w:type="dxa"/>
            <w:vAlign w:val="bottom"/>
            <w:tcBorders>
              <w:top w:val="single" w:sz="8" w:color="0000EE"/>
            </w:tcBorders>
            <w:gridSpan w:val="2"/>
          </w:tcPr>
          <w:p>
            <w:pPr>
              <w:spacing w:after="0"/>
              <w:rPr>
                <w:sz w:val="17"/>
                <w:szCs w:val="17"/>
                <w:color w:val="auto"/>
              </w:rPr>
            </w:pPr>
          </w:p>
        </w:tc>
        <w:tc>
          <w:tcPr>
            <w:tcW w:w="1100" w:type="dxa"/>
            <w:vAlign w:val="bottom"/>
            <w:gridSpan w:val="4"/>
          </w:tcPr>
          <w:p>
            <w:pPr>
              <w:spacing w:after="0"/>
              <w:rPr>
                <w:sz w:val="17"/>
                <w:szCs w:val="17"/>
                <w:color w:val="auto"/>
              </w:rPr>
            </w:pPr>
          </w:p>
        </w:tc>
        <w:tc>
          <w:tcPr>
            <w:tcW w:w="23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5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as of November 30, 2018 (unaudited) and August 31, 2018</w:t>
              </w:r>
            </w:hyperlink>
          </w:p>
        </w:tc>
        <w:tc>
          <w:tcPr>
            <w:tcW w:w="15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(unaudited) for the Three Months Ended November 30, 2018 and 2017</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20"/>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Statements of Comprehensive Income (unaudited) for the Three Months Ended November 30,</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2018 and 2017</w:t>
              </w:r>
            </w:hyperlink>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20"/>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Consolidated Statements of Equity (unaudited) for the years Three Months Ended November 30, 2018 and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2017</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20"/>
          </w:tcPr>
          <w:p>
            <w:pPr>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Consolidated Statements of Cash Flows (unaudited) for the Three Months Ended November 30, 2018 and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2017</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2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Item 2.</w:t>
              </w:r>
            </w:hyperlink>
          </w:p>
        </w:tc>
        <w:tc>
          <w:tcPr>
            <w:tcW w:w="1200" w:type="dxa"/>
            <w:vAlign w:val="bottom"/>
            <w:gridSpan w:val="5"/>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15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3.</w:t>
              </w:r>
            </w:hyperlink>
          </w:p>
        </w:tc>
        <w:tc>
          <w:tcPr>
            <w:tcW w:w="1200" w:type="dxa"/>
            <w:vAlign w:val="bottom"/>
            <w:gridSpan w:val="5"/>
          </w:tcPr>
          <w:p>
            <w:pPr>
              <w:spacing w:after="0"/>
              <w:rPr>
                <w:sz w:val="17"/>
                <w:szCs w:val="17"/>
                <w:color w:val="auto"/>
              </w:rPr>
            </w:pPr>
          </w:p>
        </w:tc>
        <w:tc>
          <w:tcPr>
            <w:tcW w:w="796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4.</w:t>
              </w:r>
            </w:hyperlink>
          </w:p>
        </w:tc>
        <w:tc>
          <w:tcPr>
            <w:tcW w:w="20" w:type="dxa"/>
            <w:vAlign w:val="bottom"/>
            <w:tcBorders>
              <w:top w:val="single" w:sz="8" w:color="0000EE"/>
            </w:tcBorders>
          </w:tcPr>
          <w:p>
            <w:pPr>
              <w:spacing w:after="0"/>
              <w:rPr>
                <w:sz w:val="17"/>
                <w:szCs w:val="17"/>
                <w:color w:val="auto"/>
              </w:rPr>
            </w:pPr>
          </w:p>
        </w:tc>
        <w:tc>
          <w:tcPr>
            <w:tcW w:w="1200" w:type="dxa"/>
            <w:vAlign w:val="bottom"/>
            <w:gridSpan w:val="5"/>
          </w:tcPr>
          <w:p>
            <w:pPr>
              <w:spacing w:after="0"/>
              <w:rPr>
                <w:sz w:val="17"/>
                <w:szCs w:val="17"/>
                <w:color w:val="auto"/>
              </w:rPr>
            </w:pPr>
          </w:p>
        </w:tc>
        <w:tc>
          <w:tcPr>
            <w:tcW w:w="43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36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gridSpan w:val="7"/>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w:t>
              </w:r>
            </w:hyperlink>
          </w:p>
        </w:tc>
        <w:tc>
          <w:tcPr>
            <w:tcW w:w="7960" w:type="dxa"/>
            <w:vAlign w:val="bottom"/>
            <w:gridSpan w:val="20"/>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OTHER INFORMATION</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1.</w:t>
              </w:r>
            </w:hyperlink>
          </w:p>
        </w:tc>
        <w:tc>
          <w:tcPr>
            <w:tcW w:w="160" w:type="dxa"/>
            <w:vAlign w:val="bottom"/>
            <w:tcBorders>
              <w:top w:val="single" w:sz="8" w:color="0000EE"/>
            </w:tcBorders>
            <w:gridSpan w:val="2"/>
          </w:tcPr>
          <w:p>
            <w:pPr>
              <w:spacing w:after="0"/>
              <w:rPr>
                <w:sz w:val="17"/>
                <w:szCs w:val="17"/>
                <w:color w:val="auto"/>
              </w:rPr>
            </w:pPr>
          </w:p>
        </w:tc>
        <w:tc>
          <w:tcPr>
            <w:tcW w:w="1040" w:type="dxa"/>
            <w:vAlign w:val="bottom"/>
            <w:gridSpan w:val="3"/>
          </w:tcPr>
          <w:p>
            <w:pPr>
              <w:spacing w:after="0"/>
              <w:rPr>
                <w:sz w:val="17"/>
                <w:szCs w:val="17"/>
                <w:color w:val="auto"/>
              </w:rPr>
            </w:pPr>
          </w:p>
        </w:tc>
        <w:tc>
          <w:tcPr>
            <w:tcW w:w="1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17"/>
                <w:szCs w:val="17"/>
                <w:color w:val="auto"/>
              </w:rPr>
            </w:pPr>
          </w:p>
        </w:tc>
        <w:tc>
          <w:tcPr>
            <w:tcW w:w="59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gridSpan w:val="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1A.</w:t>
              </w:r>
            </w:hyperlink>
          </w:p>
        </w:tc>
        <w:tc>
          <w:tcPr>
            <w:tcW w:w="7960" w:type="dxa"/>
            <w:vAlign w:val="bottom"/>
            <w:gridSpan w:val="2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2.</w:t>
              </w:r>
            </w:hyperlink>
          </w:p>
        </w:tc>
        <w:tc>
          <w:tcPr>
            <w:tcW w:w="100" w:type="dxa"/>
            <w:vAlign w:val="bottom"/>
          </w:tcPr>
          <w:p>
            <w:pPr>
              <w:spacing w:after="0"/>
              <w:rPr>
                <w:sz w:val="17"/>
                <w:szCs w:val="17"/>
                <w:color w:val="auto"/>
              </w:rPr>
            </w:pPr>
          </w:p>
        </w:tc>
        <w:tc>
          <w:tcPr>
            <w:tcW w:w="1100" w:type="dxa"/>
            <w:vAlign w:val="bottom"/>
            <w:gridSpan w:val="4"/>
          </w:tcPr>
          <w:p>
            <w:pPr>
              <w:spacing w:after="0"/>
              <w:rPr>
                <w:sz w:val="17"/>
                <w:szCs w:val="17"/>
                <w:color w:val="auto"/>
              </w:rPr>
            </w:pPr>
          </w:p>
        </w:tc>
        <w:tc>
          <w:tcPr>
            <w:tcW w:w="7960" w:type="dxa"/>
            <w:vAlign w:val="bottom"/>
            <w:gridSpan w:val="2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3.</w:t>
              </w:r>
            </w:hyperlink>
          </w:p>
        </w:tc>
        <w:tc>
          <w:tcPr>
            <w:tcW w:w="1200" w:type="dxa"/>
            <w:vAlign w:val="bottom"/>
            <w:gridSpan w:val="5"/>
          </w:tcPr>
          <w:p>
            <w:pPr>
              <w:spacing w:after="0"/>
              <w:rPr>
                <w:sz w:val="17"/>
                <w:szCs w:val="17"/>
                <w:color w:val="auto"/>
              </w:rPr>
            </w:pPr>
          </w:p>
        </w:tc>
        <w:tc>
          <w:tcPr>
            <w:tcW w:w="4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Defaults Upon Senior Securities</w:t>
              </w:r>
            </w:hyperlink>
          </w:p>
        </w:tc>
        <w:tc>
          <w:tcPr>
            <w:tcW w:w="36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4.</w:t>
              </w:r>
            </w:hyperlink>
          </w:p>
        </w:tc>
        <w:tc>
          <w:tcPr>
            <w:tcW w:w="1200" w:type="dxa"/>
            <w:vAlign w:val="bottom"/>
            <w:gridSpan w:val="5"/>
          </w:tcPr>
          <w:p>
            <w:pPr>
              <w:spacing w:after="0"/>
              <w:rPr>
                <w:sz w:val="17"/>
                <w:szCs w:val="17"/>
                <w:color w:val="auto"/>
              </w:rPr>
            </w:pPr>
          </w:p>
        </w:tc>
        <w:tc>
          <w:tcPr>
            <w:tcW w:w="23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56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5.</w:t>
              </w:r>
            </w:hyperlink>
          </w:p>
        </w:tc>
        <w:tc>
          <w:tcPr>
            <w:tcW w:w="1200" w:type="dxa"/>
            <w:vAlign w:val="bottom"/>
            <w:gridSpan w:val="5"/>
          </w:tcPr>
          <w:p>
            <w:pPr>
              <w:spacing w:after="0"/>
              <w:rPr>
                <w:sz w:val="17"/>
                <w:szCs w:val="17"/>
                <w:color w:val="auto"/>
              </w:rPr>
            </w:pPr>
          </w:p>
        </w:tc>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62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6.</w:t>
              </w:r>
            </w:hyperlink>
          </w:p>
        </w:tc>
        <w:tc>
          <w:tcPr>
            <w:tcW w:w="1200" w:type="dxa"/>
            <w:vAlign w:val="bottom"/>
            <w:gridSpan w:val="5"/>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Exhibits</w:t>
              </w:r>
            </w:hyperlink>
          </w:p>
        </w:tc>
        <w:tc>
          <w:tcPr>
            <w:tcW w:w="73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gridSpan w:val="7"/>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SIGNATURE PAGE</w:t>
              </w:r>
            </w:hyperlink>
          </w:p>
        </w:tc>
        <w:tc>
          <w:tcPr>
            <w:tcW w:w="6380" w:type="dxa"/>
            <w:vAlign w:val="bottom"/>
            <w:gridSpan w:val="15"/>
            <w:vMerge w:val="restart"/>
          </w:tcPr>
          <w:p>
            <w:pPr>
              <w:jc w:val="center"/>
              <w:ind w:left="1470"/>
              <w:spacing w:after="0"/>
              <w:rPr>
                <w:sz w:val="20"/>
                <w:szCs w:val="20"/>
                <w:color w:val="auto"/>
              </w:rPr>
            </w:pPr>
            <w:r>
              <w:rPr>
                <w:rFonts w:ascii="Arial" w:cs="Arial" w:eastAsia="Arial" w:hAnsi="Arial"/>
                <w:sz w:val="18"/>
                <w:szCs w:val="18"/>
                <w:color w:val="auto"/>
                <w:w w:val="90"/>
              </w:rPr>
              <w:t>_________________</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6380" w:type="dxa"/>
            <w:vAlign w:val="bottom"/>
            <w:gridSpan w:val="15"/>
            <w:vMerge w:val="continue"/>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 Forward-Looking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1</w:t>
        </w:r>
      </w:hyperlink>
    </w:p>
    <w:p>
      <w:pPr>
        <w:spacing w:after="0" w:line="69" w:lineRule="exact"/>
        <w:rPr>
          <w:sz w:val="20"/>
          <w:szCs w:val="20"/>
          <w:color w:val="auto"/>
        </w:rPr>
      </w:pPr>
    </w:p>
    <w:p>
      <w:pPr>
        <w:ind w:left="34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2</w:t>
        </w:r>
      </w:hyperlink>
    </w:p>
    <w:p>
      <w:pPr>
        <w:spacing w:after="0" w:line="149" w:lineRule="exact"/>
        <w:rPr>
          <w:sz w:val="20"/>
          <w:szCs w:val="20"/>
          <w:color w:val="auto"/>
        </w:rPr>
      </w:pPr>
    </w:p>
    <w:p>
      <w:pPr>
        <w:ind w:left="34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3</w:t>
        </w:r>
      </w:hyperlink>
    </w:p>
    <w:p>
      <w:pPr>
        <w:spacing w:after="0" w:line="271" w:lineRule="exact"/>
        <w:rPr>
          <w:sz w:val="20"/>
          <w:szCs w:val="20"/>
          <w:color w:val="auto"/>
        </w:rPr>
      </w:pPr>
    </w:p>
    <w:p>
      <w:pPr>
        <w:ind w:left="34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4</w:t>
        </w:r>
      </w:hyperlink>
    </w:p>
    <w:p>
      <w:pPr>
        <w:spacing w:after="0" w:line="271" w:lineRule="exact"/>
        <w:rPr>
          <w:sz w:val="20"/>
          <w:szCs w:val="20"/>
          <w:color w:val="auto"/>
        </w:rPr>
      </w:pPr>
    </w:p>
    <w:p>
      <w:pPr>
        <w:ind w:left="34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5</w:t>
        </w:r>
      </w:hyperlink>
    </w:p>
    <w:p>
      <w:pPr>
        <w:spacing w:after="0" w:line="163" w:lineRule="exact"/>
        <w:rPr>
          <w:sz w:val="20"/>
          <w:szCs w:val="20"/>
          <w:color w:val="auto"/>
        </w:rPr>
      </w:pPr>
    </w:p>
    <w:p>
      <w:pPr>
        <w:ind w:left="100"/>
        <w:spacing w:after="0"/>
        <w:rPr>
          <w:rFonts w:ascii="Arial" w:cs="Arial" w:eastAsia="Arial" w:hAnsi="Arial"/>
          <w:sz w:val="15"/>
          <w:szCs w:val="15"/>
          <w:u w:val="single" w:color="auto"/>
          <w:color w:val="0000EE"/>
        </w:rPr>
      </w:pPr>
      <w:hyperlink w:anchor="page9">
        <w:r>
          <w:rPr>
            <w:rFonts w:ascii="Arial" w:cs="Arial" w:eastAsia="Arial" w:hAnsi="Arial"/>
            <w:sz w:val="15"/>
            <w:szCs w:val="15"/>
            <w:u w:val="single" w:color="auto"/>
            <w:color w:val="0000EE"/>
          </w:rPr>
          <w:t>6-16</w:t>
        </w:r>
      </w:hyperlink>
    </w:p>
    <w:p>
      <w:pPr>
        <w:spacing w:after="0" w:line="58" w:lineRule="exact"/>
        <w:rPr>
          <w:sz w:val="20"/>
          <w:szCs w:val="20"/>
          <w:color w:val="auto"/>
        </w:rPr>
      </w:pPr>
    </w:p>
    <w:p>
      <w:pPr>
        <w:jc w:val="right"/>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19-31</w:t>
        </w:r>
      </w:hyperlink>
    </w:p>
    <w:p>
      <w:pPr>
        <w:spacing w:after="0" w:line="32" w:lineRule="exact"/>
        <w:rPr>
          <w:sz w:val="20"/>
          <w:szCs w:val="20"/>
          <w:color w:val="auto"/>
        </w:rPr>
      </w:pPr>
    </w:p>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32</w:t>
        </w:r>
      </w:hyperlink>
    </w:p>
    <w:p>
      <w:pPr>
        <w:spacing w:after="0" w:line="9" w:lineRule="exact"/>
        <w:rPr>
          <w:sz w:val="20"/>
          <w:szCs w:val="20"/>
          <w:color w:val="auto"/>
        </w:rPr>
      </w:pPr>
    </w:p>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32</w:t>
        </w:r>
      </w:hyperlink>
    </w:p>
    <w:p>
      <w:pPr>
        <w:spacing w:after="0" w:line="211" w:lineRule="exact"/>
        <w:rPr>
          <w:sz w:val="20"/>
          <w:szCs w:val="20"/>
          <w:color w:val="auto"/>
        </w:rPr>
      </w:pPr>
    </w:p>
    <w:p>
      <w:pPr>
        <w:ind w:left="24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34</w:t>
        </w:r>
      </w:hyperlink>
    </w:p>
    <w:p>
      <w:pPr>
        <w:spacing w:after="0" w:line="46" w:lineRule="exact"/>
        <w:rPr>
          <w:sz w:val="20"/>
          <w:szCs w:val="20"/>
          <w:color w:val="auto"/>
        </w:rPr>
      </w:pPr>
    </w:p>
    <w:p>
      <w:pPr>
        <w:ind w:left="24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34</w:t>
        </w:r>
      </w:hyperlink>
    </w:p>
    <w:p>
      <w:pPr>
        <w:spacing w:after="0" w:line="32" w:lineRule="exact"/>
        <w:rPr>
          <w:sz w:val="20"/>
          <w:szCs w:val="20"/>
          <w:color w:val="auto"/>
        </w:rPr>
      </w:pPr>
    </w:p>
    <w:p>
      <w:pPr>
        <w:ind w:left="24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34</w:t>
        </w:r>
      </w:hyperlink>
    </w:p>
    <w:p>
      <w:pPr>
        <w:spacing w:after="0" w:line="32" w:lineRule="exact"/>
        <w:rPr>
          <w:sz w:val="20"/>
          <w:szCs w:val="20"/>
          <w:color w:val="auto"/>
        </w:rPr>
      </w:pPr>
    </w:p>
    <w:p>
      <w:pPr>
        <w:ind w:left="240"/>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35</w:t>
        </w:r>
      </w:hyperlink>
    </w:p>
    <w:p>
      <w:pPr>
        <w:spacing w:after="0" w:line="32" w:lineRule="exact"/>
        <w:rPr>
          <w:sz w:val="20"/>
          <w:szCs w:val="20"/>
          <w:color w:val="auto"/>
        </w:rPr>
      </w:pPr>
    </w:p>
    <w:p>
      <w:pPr>
        <w:ind w:left="240"/>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35</w:t>
        </w:r>
      </w:hyperlink>
    </w:p>
    <w:p>
      <w:pPr>
        <w:spacing w:after="0" w:line="32" w:lineRule="exact"/>
        <w:rPr>
          <w:sz w:val="20"/>
          <w:szCs w:val="20"/>
          <w:color w:val="auto"/>
        </w:rPr>
      </w:pPr>
    </w:p>
    <w:p>
      <w:pPr>
        <w:ind w:left="240"/>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35</w:t>
        </w:r>
      </w:hyperlink>
    </w:p>
    <w:p>
      <w:pPr>
        <w:spacing w:after="0" w:line="32" w:lineRule="exact"/>
        <w:rPr>
          <w:sz w:val="20"/>
          <w:szCs w:val="20"/>
          <w:color w:val="auto"/>
        </w:rPr>
      </w:pPr>
    </w:p>
    <w:p>
      <w:pPr>
        <w:ind w:left="240"/>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35</w:t>
        </w:r>
      </w:hyperlink>
    </w:p>
    <w:p>
      <w:pPr>
        <w:spacing w:after="0" w:line="32" w:lineRule="exact"/>
        <w:rPr>
          <w:sz w:val="20"/>
          <w:szCs w:val="20"/>
          <w:color w:val="auto"/>
        </w:rPr>
      </w:pPr>
    </w:p>
    <w:p>
      <w:pPr>
        <w:ind w:left="24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36</w:t>
        </w:r>
      </w:hyperlink>
    </w:p>
    <w:p>
      <w:pPr>
        <w:spacing w:after="0" w:line="1543" w:lineRule="exact"/>
        <w:rPr>
          <w:sz w:val="20"/>
          <w:szCs w:val="20"/>
          <w:color w:val="auto"/>
        </w:rPr>
      </w:pPr>
    </w:p>
    <w:p>
      <w:pPr>
        <w:sectPr>
          <w:pgSz w:w="11900" w:h="16838" w:orient="portrait"/>
          <w:cols w:equalWidth="0" w:num="2">
            <w:col w:w="10840" w:space="160"/>
            <w:col w:w="420"/>
          </w:cols>
          <w:pgMar w:left="240" w:top="796" w:right="239" w:bottom="1440" w:gutter="0" w:footer="0" w:header="0"/>
        </w:sectPr>
      </w:pPr>
    </w:p>
    <w:p>
      <w:pPr>
        <w:spacing w:after="0" w:line="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2" w:name="page3"/>
    <w:bookmarkEnd w:id="2"/>
    <w:p>
      <w:pPr>
        <w:ind w:left="4940"/>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As used in this report, references to “NTIC,” the “Company,” “we,” “our” or “us,” unless the context otherwise requires, refer to Northern Technologies International Corporation and its wholly-owned and majority-owned subsidiaries, all of which are consolidated on NTIC’s consolidated financial statements.</w:t>
      </w:r>
    </w:p>
    <w:p>
      <w:pPr>
        <w:spacing w:after="0" w:line="12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As used in this report, references to: (1) “NTIC China” refer to NTIC’s wholly-owned subsidiary in China, NTIC (Shanghai) Co., Ltd.; (2) “NTI Europe” refer to NTIC’s wholly-owned subsidiary in Germany, NTIC Europe GmbH; (3) “Zerust Mexico” refer to NTIC’s wholly-owned subsidiary in Mexico, ZERUST-EXCOR MEXICO, S. de R.L. de C.V; (4) “Zerust Brazil” refer to NTIC’s majority-owned Brazilian subsidiary, Zerust Prevenção de Corrosão S.A.;</w:t>
      </w:r>
    </w:p>
    <w:p>
      <w:pPr>
        <w:jc w:val="both"/>
        <w:ind w:right="160" w:firstLine="8"/>
        <w:spacing w:after="0" w:line="254" w:lineRule="auto"/>
        <w:tabs>
          <w:tab w:leader="none" w:pos="2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“Natur-Tec India” refer to NTIC’s majority-owned subsidiary in India, Natur-Tec India Private Limited; and (6) “NTI Asean” refer to NTIC’s majority-owned holding company subsidiary, NTI Asean LLC, which is a holding company that holds investments in seven entities that operate in the Association of Southeast Asian Nations (ASEAN) region, including the following countries: Indonesia, South Korea, Malaysia, Philippines, Singapore, Taiwan and Thailand.</w:t>
      </w:r>
    </w:p>
    <w:p>
      <w:pPr>
        <w:spacing w:after="0" w:line="1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NTIC’s consolidated financial statements do not include the accounts of any of its joint ventures. Except as otherwise indicated, references in this report to NTIC’s joint ventures do not include any of NTIC’s wholly-owned or majority-owned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 used in this report, references to “EXCOR” refer to NTIC’s joint venture in Germany, Excor Korrosionsschutz – Technologien und Produkte GmbH.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“Tianjin Zerust” refer to NTIC’s former joint venture in China, Tianjin-Zerust Anticorrosion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40" w:type="dxa"/>
            <w:vAlign w:val="bottom"/>
          </w:tcPr>
          <w:p>
            <w:pPr>
              <w:ind w:left="580"/>
              <w:spacing w:after="0"/>
              <w:rPr>
                <w:sz w:val="20"/>
                <w:szCs w:val="20"/>
                <w:color w:val="auto"/>
              </w:rPr>
            </w:pPr>
            <w:r>
              <w:rPr>
                <w:rFonts w:ascii="Arial" w:cs="Arial" w:eastAsia="Arial" w:hAnsi="Arial"/>
                <w:sz w:val="18"/>
                <w:szCs w:val="18"/>
                <w:b w:val="1"/>
                <w:bCs w:val="1"/>
                <w:color w:val="auto"/>
              </w:rPr>
              <w:t>FINANCIAL STATEMENTS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 AS OF NOVEMBER 30, 2018 (UNAUDITED)</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AND AUGUST 31, 2018 (AUDITED)</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73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9"/>
              </w:rPr>
              <w:t>November 30, 2018</w:t>
            </w: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August 31, 2018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ASSETS</w:t>
            </w:r>
          </w:p>
        </w:tc>
        <w:tc>
          <w:tcPr>
            <w:tcW w:w="73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4,518,951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4,163,023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40"/>
              <w:spacing w:after="0"/>
              <w:rPr>
                <w:sz w:val="20"/>
                <w:szCs w:val="20"/>
                <w:color w:val="auto"/>
              </w:rPr>
            </w:pPr>
            <w:r>
              <w:rPr>
                <w:rFonts w:ascii="Arial" w:cs="Arial" w:eastAsia="Arial" w:hAnsi="Arial"/>
                <w:sz w:val="18"/>
                <w:szCs w:val="18"/>
                <w:color w:val="auto"/>
              </w:rPr>
              <w:t>Available for sale securities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1,711,930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3,300,110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tcPr>
          <w:p>
            <w:pPr>
              <w:ind w:left="520"/>
              <w:spacing w:after="0" w:line="201" w:lineRule="exact"/>
              <w:rPr>
                <w:sz w:val="20"/>
                <w:szCs w:val="20"/>
                <w:color w:val="auto"/>
              </w:rPr>
            </w:pPr>
            <w:r>
              <w:rPr>
                <w:rFonts w:ascii="Arial" w:cs="Arial" w:eastAsia="Arial" w:hAnsi="Arial"/>
                <w:sz w:val="18"/>
                <w:szCs w:val="18"/>
                <w:color w:val="auto"/>
                <w:w w:val="92"/>
              </w:rPr>
              <w:t>Trade excluding joint ventures, less allowance for doubtful accounts of $65,000 at November 30, 2018</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and $50,000 at August 31, 2018</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10,255,975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9,920,108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Trade joint ventures</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579,836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520"/>
              <w:spacing w:after="0"/>
              <w:rPr>
                <w:sz w:val="20"/>
                <w:szCs w:val="20"/>
                <w:color w:val="auto"/>
              </w:rPr>
            </w:pPr>
            <w:r>
              <w:rPr>
                <w:rFonts w:ascii="Arial" w:cs="Arial" w:eastAsia="Arial" w:hAnsi="Arial"/>
                <w:sz w:val="18"/>
                <w:szCs w:val="18"/>
                <w:color w:val="auto"/>
              </w:rPr>
              <w:t>Fees for services provided to joint ventures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1,272,078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1,357,255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Income taxes</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379,883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10,217,043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9,130,861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1,423,081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1,661,577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assets</w:t>
            </w: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30,358,777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30,567,773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7,059,236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7,168,826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Investments in joint ventures</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23,111,834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22,950,995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1,525,775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1,551,536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Patents and trademarks, net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1,109,745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1,156,257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w:t>
            </w:r>
          </w:p>
        </w:tc>
        <w:tc>
          <w:tcPr>
            <w:tcW w:w="73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153,846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153,849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other assets</w:t>
            </w:r>
          </w:p>
        </w:tc>
        <w:tc>
          <w:tcPr>
            <w:tcW w:w="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25,901,200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25,812,637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63,319,213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63,549,236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4,038,018</w:t>
            </w:r>
          </w:p>
        </w:tc>
        <w:tc>
          <w:tcPr>
            <w:tcW w:w="10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3,905,034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139,802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Payroll and related benefits</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965,648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2,747,303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1,048,688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1,006,953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6,192,156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7,730,182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4"/>
              </w:rPr>
              <w:t>EQUITY:</w:t>
            </w:r>
          </w:p>
        </w:tc>
        <w:tc>
          <w:tcPr>
            <w:tcW w:w="7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$0.02 par value per share; authorized 15,000,000 shares; issued and outstanding 4,542,177</w:t>
            </w: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and 4,541,303, respectively</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90,844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14,995,420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14,619,777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42,915,335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41,963,341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Accumulated other comprehensive loss</w:t>
            </w: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(3,918,085)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Stockholders’ equity</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54,083,514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53,076,745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Non-controlling interest</w:t>
            </w: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3,043,543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2,742,309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equity</w:t>
            </w:r>
          </w:p>
        </w:tc>
        <w:tc>
          <w:tcPr>
            <w:tcW w:w="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57,127,057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55,819,054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tcPr>
          <w:p>
            <w:pPr>
              <w:ind w:left="520"/>
              <w:spacing w:after="0"/>
              <w:rPr>
                <w:sz w:val="20"/>
                <w:szCs w:val="20"/>
                <w:color w:val="auto"/>
              </w:rPr>
            </w:pPr>
            <w:r>
              <w:rPr>
                <w:rFonts w:ascii="Arial" w:cs="Arial" w:eastAsia="Arial" w:hAnsi="Arial"/>
                <w:sz w:val="18"/>
                <w:szCs w:val="18"/>
                <w:color w:val="auto"/>
              </w:rPr>
              <w:t>Total liabilities and equity</w:t>
            </w:r>
          </w:p>
        </w:tc>
        <w:tc>
          <w:tcPr>
            <w:tcW w:w="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63,319,213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63,549,236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 w:name="page5"/>
    <w:bookmarkEnd w:id="4"/>
    <w:p>
      <w:pPr>
        <w:ind w:right="414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OPERATIONS (UNAUDITED) FOR THE THREE MONTHS ENDED NOVEMBER 30, 2018 AND 2017</w:t>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9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2900" w:type="dxa"/>
            <w:vAlign w:val="bottom"/>
            <w:tcBorders>
              <w:top w:val="single" w:sz="8" w:color="auto"/>
              <w:bottom w:val="single" w:sz="8" w:color="auto"/>
            </w:tcBorders>
            <w:gridSpan w:val="5"/>
          </w:tcPr>
          <w:p>
            <w:pPr>
              <w:jc w:val="right"/>
              <w:ind w:right="730"/>
              <w:spacing w:after="0" w:line="204" w:lineRule="exact"/>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November 30, 2018</w:t>
            </w:r>
          </w:p>
        </w:tc>
        <w:tc>
          <w:tcPr>
            <w:tcW w:w="2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November 30, 2017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Net sales, excluding joint ventures</w:t>
            </w:r>
          </w:p>
        </w:tc>
        <w:tc>
          <w:tcPr>
            <w:tcW w:w="16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13,610,865</w:t>
            </w:r>
          </w:p>
        </w:tc>
        <w:tc>
          <w:tcPr>
            <w:tcW w:w="100" w:type="dxa"/>
            <w:vAlign w:val="bottom"/>
          </w:tcPr>
          <w:p>
            <w:pPr>
              <w:spacing w:after="0"/>
              <w:rPr>
                <w:sz w:val="18"/>
                <w:szCs w:val="18"/>
                <w:color w:val="auto"/>
              </w:rPr>
            </w:pPr>
          </w:p>
        </w:tc>
        <w:tc>
          <w:tcPr>
            <w:tcW w:w="380" w:type="dxa"/>
            <w:vAlign w:val="bottom"/>
            <w:gridSpan w:val="2"/>
          </w:tcPr>
          <w:p>
            <w:pPr>
              <w:jc w:val="right"/>
              <w:ind w:right="23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11,035,407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joint ventures</w:t>
            </w:r>
          </w:p>
        </w:tc>
        <w:tc>
          <w:tcPr>
            <w:tcW w:w="12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483,187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507,631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14,094,052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11,543,038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Cost of goods sold</w:t>
            </w:r>
          </w:p>
        </w:tc>
        <w:tc>
          <w:tcPr>
            <w:tcW w:w="1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9,461,137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7,888,470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4,632,915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3,654,568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JOINT VENTURE OPERATIONS:</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Equity in income from joint ventures</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2,004,162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1,741,328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services provided to joint ventures</w:t>
            </w:r>
          </w:p>
        </w:tc>
        <w:tc>
          <w:tcPr>
            <w:tcW w:w="12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1,428,435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1,507,142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Total joint venture operations</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3,432,597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3,248,470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expenses</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2,811,094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2,599,949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2,495,797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2,219,745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872,157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798,731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6,179,048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5,618,425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OPERATING INCOME</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1,886,464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1,284,613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INTEREST INCOME</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12,787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24,056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1,896,894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1,303,580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255,703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104,991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1,641,191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1,198,589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2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144,132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114,963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1,497,059</w:t>
            </w:r>
          </w:p>
        </w:tc>
        <w:tc>
          <w:tcPr>
            <w:tcW w:w="1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3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1,083,626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 PER COMMON SHARE:</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Basic</w:t>
            </w:r>
          </w:p>
        </w:tc>
        <w:tc>
          <w:tcPr>
            <w:tcW w:w="16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4"/>
                <w:szCs w:val="24"/>
                <w:color w:val="auto"/>
              </w:rPr>
            </w:pPr>
          </w:p>
        </w:tc>
        <w:tc>
          <w:tcPr>
            <w:tcW w:w="380" w:type="dxa"/>
            <w:vAlign w:val="bottom"/>
            <w:gridSpan w:val="2"/>
          </w:tcPr>
          <w:p>
            <w:pPr>
              <w:jc w:val="right"/>
              <w:ind w:right="23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00" w:type="dxa"/>
            <w:vAlign w:val="bottom"/>
            <w:tcBorders>
              <w:top w:val="single" w:sz="8" w:color="CCEEFF"/>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Diluted</w:t>
            </w:r>
          </w:p>
        </w:tc>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37"/>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ASSUMED OUTSTANDING:</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9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Basic</w:t>
            </w:r>
          </w:p>
        </w:tc>
        <w:tc>
          <w:tcPr>
            <w:tcW w:w="12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4,542,175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4,537,368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00" w:type="dxa"/>
            <w:vAlign w:val="bottom"/>
            <w:tcBorders>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Diluted</w:t>
            </w:r>
          </w:p>
        </w:tc>
        <w:tc>
          <w:tcPr>
            <w:tcW w:w="1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4,739,288</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4,608,788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120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0.12</w:t>
            </w:r>
          </w:p>
        </w:tc>
        <w:tc>
          <w:tcPr>
            <w:tcW w:w="1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jc w:val="right"/>
              <w:ind w:right="237"/>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 w:name="page6"/>
    <w:bookmarkEnd w:id="5"/>
    <w:p>
      <w:pPr>
        <w:ind w:right="414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COMPREHENSIVE INCOME (UNAUDITED) FOR THE THREE MONTHS ENDED NOVEMBER 30, 2018 AND 2017</w:t>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6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040" w:type="dxa"/>
            <w:vAlign w:val="bottom"/>
            <w:tcBorders>
              <w:top w:val="single" w:sz="8" w:color="auto"/>
              <w:bottom w:val="single" w:sz="8" w:color="auto"/>
            </w:tcBorders>
            <w:gridSpan w:val="4"/>
          </w:tcPr>
          <w:p>
            <w:pPr>
              <w:jc w:val="right"/>
              <w:spacing w:after="0" w:line="204" w:lineRule="exact"/>
              <w:rPr>
                <w:sz w:val="20"/>
                <w:szCs w:val="20"/>
                <w:color w:val="auto"/>
              </w:rPr>
            </w:pPr>
            <w:r>
              <w:rPr>
                <w:rFonts w:ascii="Arial" w:cs="Arial" w:eastAsia="Arial" w:hAnsi="Arial"/>
                <w:sz w:val="18"/>
                <w:szCs w:val="18"/>
                <w:b w:val="1"/>
                <w:bCs w:val="1"/>
                <w:color w:val="auto"/>
              </w:rPr>
              <w:t>Three Months Ended</w:t>
            </w:r>
          </w:p>
        </w:tc>
        <w:tc>
          <w:tcPr>
            <w:tcW w:w="8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9"/>
              </w:rPr>
              <w:t>November 30, 2018</w:t>
            </w:r>
          </w:p>
        </w:tc>
        <w:tc>
          <w:tcPr>
            <w:tcW w:w="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November 30,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1,641,191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1,198,589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 – FOREIGN CURRENCY TRANSLATION ADJUSTMENT</w:t>
            </w:r>
          </w:p>
        </w:tc>
        <w:tc>
          <w:tcPr>
            <w:tcW w:w="4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(297,822)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COMPREHENSIVE INCOME</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1,343,369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1,173,358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NON-CONTROLLING INTERESTS</w:t>
            </w:r>
          </w:p>
        </w:tc>
        <w:tc>
          <w:tcPr>
            <w:tcW w:w="4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167,200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136,915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COMPREHENSIVE INCOME ATTRIBUTABLE TO NTIC</w:t>
            </w:r>
          </w:p>
        </w:tc>
        <w:tc>
          <w:tcPr>
            <w:tcW w:w="4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1,176,173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1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1,036,443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NOVEMBER 30, 2018 AND 2017</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74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600" w:type="dxa"/>
            <w:vAlign w:val="bottom"/>
            <w:tcBorders>
              <w:top w:val="single" w:sz="8" w:color="auto"/>
              <w:bottom w:val="single" w:sz="8" w:color="auto"/>
            </w:tcBorders>
            <w:gridSpan w:val="6"/>
          </w:tcPr>
          <w:p>
            <w:pPr>
              <w:jc w:val="right"/>
              <w:ind w:right="9"/>
              <w:spacing w:after="0" w:line="142" w:lineRule="exact"/>
              <w:rPr>
                <w:sz w:val="20"/>
                <w:szCs w:val="20"/>
                <w:color w:val="auto"/>
              </w:rPr>
            </w:pPr>
            <w:r>
              <w:rPr>
                <w:rFonts w:ascii="Arial" w:cs="Arial" w:eastAsia="Arial" w:hAnsi="Arial"/>
                <w:sz w:val="14"/>
                <w:szCs w:val="14"/>
                <w:b w:val="1"/>
                <w:bCs w:val="1"/>
                <w:color w:val="auto"/>
              </w:rPr>
              <w:t>STOCKHOLDERS’ EQUITY</w:t>
            </w:r>
          </w:p>
        </w:tc>
        <w:tc>
          <w:tcPr>
            <w:tcW w:w="9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jc w:val="center"/>
              <w:ind w:right="8"/>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560" w:type="dxa"/>
            <w:vAlign w:val="bottom"/>
            <w:gridSpan w:val="5"/>
            <w:vMerge w:val="restart"/>
          </w:tcPr>
          <w:p>
            <w:pPr>
              <w:ind w:left="7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w w:val="98"/>
              </w:rPr>
              <w:t>Retained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56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Controlling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gridSpan w:val="2"/>
          </w:tcPr>
          <w:p>
            <w:pPr>
              <w:ind w:left="380"/>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8"/>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68"/>
              <w:spacing w:after="0" w:line="155" w:lineRule="exact"/>
              <w:rPr>
                <w:sz w:val="20"/>
                <w:szCs w:val="20"/>
                <w:color w:val="auto"/>
              </w:rPr>
            </w:pPr>
            <w:r>
              <w:rPr>
                <w:rFonts w:ascii="Arial" w:cs="Arial" w:eastAsia="Arial" w:hAnsi="Arial"/>
                <w:sz w:val="14"/>
                <w:szCs w:val="14"/>
                <w:b w:val="1"/>
                <w:bCs w:val="1"/>
                <w:color w:val="auto"/>
                <w:w w:val="92"/>
              </w:rPr>
              <w:t>Interests</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AUGUST 31, 2017</w:t>
            </w:r>
          </w:p>
        </w:tc>
        <w:tc>
          <w:tcPr>
            <w:tcW w:w="11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4,535,018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90,700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14,163,509</w:t>
            </w:r>
          </w:p>
        </w:tc>
        <w:tc>
          <w:tcPr>
            <w:tcW w:w="34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37,077,483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(2,471,064)</w:t>
            </w:r>
          </w:p>
        </w:tc>
        <w:tc>
          <w:tcPr>
            <w:tcW w:w="2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2,857,448</w:t>
            </w:r>
          </w:p>
        </w:tc>
        <w:tc>
          <w:tcPr>
            <w:tcW w:w="3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51,718,076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Stock options exercised</w:t>
            </w:r>
          </w:p>
        </w:tc>
        <w:tc>
          <w:tcPr>
            <w:tcW w:w="11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1,500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15,345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15,375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 issued for employee stock</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purchase plan</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12,463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Stock option expense</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103,267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103,267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paid to shareholders</w:t>
            </w: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(454,738)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(454,738)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4"/>
                <w:szCs w:val="14"/>
                <w:color w:val="auto"/>
                <w:w w:val="98"/>
              </w:rPr>
              <w:t>Dividend received by non-controlling interest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Comprehensive income (loss)</w:t>
            </w:r>
          </w:p>
        </w:tc>
        <w:tc>
          <w:tcPr>
            <w:tcW w:w="11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1,083,622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(47,179)</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136,915</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1,173,358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4"/>
                <w:szCs w:val="14"/>
                <w:color w:val="auto"/>
              </w:rPr>
              <w:t>BALANCE AT NOVEMBER 30, 2017</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4,537,408</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90,748</w:t>
            </w:r>
          </w:p>
        </w:tc>
        <w:tc>
          <w:tcPr>
            <w:tcW w:w="1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14,294,584</w:t>
            </w:r>
          </w:p>
        </w:tc>
        <w:tc>
          <w:tcPr>
            <w:tcW w:w="120" w:type="dxa"/>
            <w:vAlign w:val="bottom"/>
          </w:tcPr>
          <w:p>
            <w:pPr>
              <w:spacing w:after="0"/>
              <w:rPr>
                <w:sz w:val="15"/>
                <w:szCs w:val="15"/>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37,706,367</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(2,518,243)</w:t>
            </w:r>
          </w:p>
        </w:tc>
        <w:tc>
          <w:tcPr>
            <w:tcW w:w="120" w:type="dxa"/>
            <w:vAlign w:val="bottom"/>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2,794,363</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52,367,819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AUGUST 31, 2018</w:t>
            </w:r>
          </w:p>
        </w:tc>
        <w:tc>
          <w:tcPr>
            <w:tcW w:w="11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4,541,303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90,826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14,619,777</w:t>
            </w:r>
          </w:p>
        </w:tc>
        <w:tc>
          <w:tcPr>
            <w:tcW w:w="34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41,963,341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(3,597,199)</w:t>
            </w:r>
          </w:p>
        </w:tc>
        <w:tc>
          <w:tcPr>
            <w:tcW w:w="2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2,742,309</w:t>
            </w:r>
          </w:p>
        </w:tc>
        <w:tc>
          <w:tcPr>
            <w:tcW w:w="3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55,819,054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spacing w:after="0" w:line="130" w:lineRule="exact"/>
              <w:rPr>
                <w:sz w:val="20"/>
                <w:szCs w:val="20"/>
                <w:color w:val="auto"/>
              </w:rPr>
            </w:pPr>
            <w:r>
              <w:rPr>
                <w:rFonts w:ascii="Arial" w:cs="Arial" w:eastAsia="Arial" w:hAnsi="Arial"/>
                <w:sz w:val="14"/>
                <w:szCs w:val="14"/>
                <w:color w:val="auto"/>
              </w:rPr>
              <w:t>Stock issued for employee stock purchase</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ind w:left="160"/>
              <w:spacing w:after="0"/>
              <w:rPr>
                <w:sz w:val="20"/>
                <w:szCs w:val="20"/>
                <w:color w:val="auto"/>
              </w:rPr>
            </w:pPr>
            <w:r>
              <w:rPr>
                <w:rFonts w:ascii="Arial" w:cs="Arial" w:eastAsia="Arial" w:hAnsi="Arial"/>
                <w:sz w:val="14"/>
                <w:szCs w:val="14"/>
                <w:color w:val="auto"/>
              </w:rPr>
              <w:t>plan</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874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17,663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17,681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 expense</w:t>
            </w: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357,980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357,980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Investment by non-controlling interest</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134,034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134,034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Dividends paid to shareholders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(545,061)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(545,061)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Comprehensive income (loss)</w:t>
            </w:r>
          </w:p>
        </w:tc>
        <w:tc>
          <w:tcPr>
            <w:tcW w:w="11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1,497,055</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(320,886)</w:t>
            </w: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167,200</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1,343,369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NOVEMBER 30, 2018</w:t>
            </w:r>
          </w:p>
        </w:tc>
        <w:tc>
          <w:tcPr>
            <w:tcW w:w="116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4,542,177</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90,844</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14,995,420</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42,915,335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(3,918,085)</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3,043,543</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57,127,057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 w:name="page8"/>
    <w:bookmarkEnd w:id="7"/>
    <w:p>
      <w:pPr>
        <w:ind w:right="414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 FOR THE THREE MONTHS ENDED NOVEMBER 30, 2018 AND 2017</w:t>
      </w: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77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2900" w:type="dxa"/>
            <w:vAlign w:val="bottom"/>
            <w:tcBorders>
              <w:top w:val="single" w:sz="8" w:color="auto"/>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November 30, 2018</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November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1,641,191</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1,198,589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357,980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expense</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217,723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Amortization expense</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64,443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income from joint ventures</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19,010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received from joint ventures</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1,486,705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Changes in current assets and liabilities:</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520"/>
              <w:spacing w:after="0"/>
              <w:rPr>
                <w:sz w:val="20"/>
                <w:szCs w:val="20"/>
                <w:color w:val="auto"/>
              </w:rPr>
            </w:pPr>
            <w:r>
              <w:rPr>
                <w:rFonts w:ascii="Arial" w:cs="Arial" w:eastAsia="Arial" w:hAnsi="Arial"/>
                <w:sz w:val="18"/>
                <w:szCs w:val="18"/>
                <w:color w:val="auto"/>
              </w:rPr>
              <w:t>Trade, excluding joint ventures</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(343,517)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Trade, joint ventures</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181,670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520"/>
              <w:spacing w:after="0"/>
              <w:rPr>
                <w:sz w:val="20"/>
                <w:szCs w:val="20"/>
                <w:color w:val="auto"/>
              </w:rPr>
            </w:pPr>
            <w:r>
              <w:rPr>
                <w:rFonts w:ascii="Arial" w:cs="Arial" w:eastAsia="Arial" w:hAnsi="Arial"/>
                <w:sz w:val="18"/>
                <w:szCs w:val="18"/>
                <w:color w:val="auto"/>
              </w:rPr>
              <w:t>Fees for services provided to joint ventures</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85,177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taxes</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(1,075,014)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(530,401)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238,268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165,553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1,278,940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payable</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102,618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(1,673,171)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(622,696)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(738,606)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(1,429,783)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Additions to property and equipment</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(106,300)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1,588,180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Purchase of available for sale securities</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patents</w:t>
            </w:r>
          </w:p>
        </w:tc>
        <w:tc>
          <w:tcPr>
            <w:tcW w:w="3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1,463,950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received by non-controlling interest</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Investment by non-controlling interest</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134,034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NTIC common stock</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Proceeds from option exercises</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3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17,681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(393,346)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355,928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(1,732,988)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4,163,023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6,360,201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7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4,518,951</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4,627,213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vMerge w:val="restart"/>
          </w:tcPr>
          <w:p>
            <w:pPr>
              <w:ind w:left="4020"/>
              <w:spacing w:after="0"/>
              <w:rPr>
                <w:sz w:val="20"/>
                <w:szCs w:val="20"/>
                <w:color w:val="auto"/>
              </w:rPr>
            </w:pPr>
            <w:r>
              <w:rPr>
                <w:rFonts w:ascii="Arial" w:cs="Arial" w:eastAsia="Arial" w:hAnsi="Arial"/>
                <w:sz w:val="18"/>
                <w:szCs w:val="18"/>
                <w:color w:val="auto"/>
                <w:w w:val="98"/>
              </w:rPr>
              <w:t>See notes to consolidated financial statements.</w:t>
            </w: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p>
      <w:pPr>
        <w:ind w:right="412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November 30, 2018 and August 31, 2018 and the results of their operations for the three months ended November 30, 2018 and 2017 and their cash flows for the three months ended November 30, 2018 and 2017, in conformity with accounting principles generally accepted in the United States of America (U.S. GAAP).</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These consolidated financial statements should be read in conjunction with the consolidated financial statements and related notes contained in the Company’s annual report on Form 10-K for the fiscal year ended August 31, 2018. These consolidated financial statements also should be read in conjunction with the “Management’s Discussion and Analysis of Financial Condition and Results of Operations” section appearing in this report.</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Operating results for the three months ended November 30, 2018 are not necessarily indicative of the results that may be expected for the full fiscal year ending August 31, 2019.</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16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Adopted</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The Company’s significant accounting policies are detailed in “Note 1: Nature of Business and Significant Accounting Policies” of the Company’s Annual Report on Form 10-K for the year ended August 31, 2018. In May 2014, the Financial Accounting Standards Board (FASB) issued guidance creating Accounting Standards Codification (ASC) Section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which establishes a comprehensive new model for the recognition of revenue from contracts with customers. This model is based on the core principle that revenue should be recognized to depict the transfer of promised goods or services to customers in an amount that reflects the consideration to which the entity expects to be entitled in exchange for those goods or services.</w:t>
      </w:r>
    </w:p>
    <w:p>
      <w:pPr>
        <w:spacing w:after="0" w:line="19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September 1, 2018, the Company adopted ASC 606 for all customer contracts using the modified retrospective method. To determine revenue recognition for arrangements within the scope of ASC 606, the Company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Company only applies the five-step model to contracts when it is probable that the entity will collect the consideration it is entitled to in exchange for the goods it transfers to, or services it performs for, the customer.</w:t>
      </w:r>
    </w:p>
    <w:p>
      <w:pPr>
        <w:spacing w:after="0" w:line="15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adoption of ASC 606 did not impact the previously reported financial statements in any prior period nor did it result in a cumulative effect adjustment to retained earnings; and therefore, the adoption of the standard did not impact the Company’s revenue recognition process. Generally, the Company’s performance obligations are satisfied when the customers take possession of the products, which normally occurs at the shipping point or destination depending on the terms of the contracts. The Company’s services are generally sold based upon quotes or contracts with customers that include fixed or determinable price and sales arrangements do not contain any significant financing component for its customers. The Company does not recognize revenue related to product warranties, nor does the Company incur significant contract costs. Customer arrangements do not generate contract assets or liabilities.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Changes to the Company’s significant accounting policies as a result of adopting ASC 606 are discussed below:</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Revenue is measured based on consideration specified in the contract with a customer, adjusted for any applicable estimates of</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consideration and other factors affecting the transaction price, including noncash consideration, consideration paid or payable to customers and significant financing components. While most of the Company’s revenue is contracted with customers through one-time purchase orders and short-term contracts, the Company does have long-term arrangements with certain customers. Revenue from all customers is recognized when a performance obligation is satisfied by transferring control of a distinct good or service to a customer.</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Individually promised goods and services in a contract are considered a distinct performance obligation and accounted for separately if the customer can benefit from the individual good or service on its own or with other resources that are readily available to the customer and the good or service is separately identifiable from other promises in the arrangement. When an arrangement includes multiple performance obligations, the consideration is allocated between the performance obligations in proportion to their estimated standalone selling price. Costs related to products delivered are recognized in the period incurred, unless criteria for capitalization of costs are met. Costs of revenues consist primarily of direct labor, manufacturing overhead, materials and components. The Company does not incur significant upfront costs to obtain a contract. If costs to obtain a contract were to become material, the costs would be recorded as an asset and amortized to expense in a manner consistent with the related recognition of revenue.</w:t>
      </w:r>
    </w:p>
    <w:p>
      <w:pPr>
        <w:spacing w:after="0" w:line="178"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Company excludes government assessed and imposed taxes on revenue generating transactions that are invoiced to customers from revenue. The Company includes freight billed to customers in revenue. Shipping and handling costs associated with outbound freight after control over a product has transferred to a customer are accounted for as a fulfillment cost and are included in cost of goods sold.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timing of revenue recognition, billings and cash collections results in accounts receivable on the balance sheet.</w:t>
      </w:r>
    </w:p>
    <w:p>
      <w:pPr>
        <w:spacing w:after="0" w:line="22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i w:val="1"/>
          <w:iCs w:val="1"/>
          <w:color w:val="auto"/>
        </w:rPr>
        <w:t xml:space="preserve">Performance Obligations </w:t>
      </w:r>
      <w:r>
        <w:rPr>
          <w:rFonts w:ascii="Arial" w:cs="Arial" w:eastAsia="Arial" w:hAnsi="Arial"/>
          <w:sz w:val="16"/>
          <w:szCs w:val="16"/>
          <w:color w:val="auto"/>
        </w:rPr>
        <w:t>- A performance obligation is a promise in a contract to transfer a distinct good or service to the customer. A contract’s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price is allocated to each distinct performance obligation in proportion to its standalone selling price and recognized as revenue when, or as, the performance obligation is satisfied. The Company’s various performance obligations and the timing or method of revenue recognition are discussed below:</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sells its products to both distributors and end-users. Each unit of product delivered under a customer order represents a distinct and separate performance obligation as the customer can benefit from each unit on its own or with other resources that are readily available to the customer and each unit of product is separately identifiable from other products in the arrangement.</w:t>
      </w:r>
    </w:p>
    <w:p>
      <w:pPr>
        <w:spacing w:after="0" w:line="18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transaction price for the Company’s products is the invoiced amount. The Company does not have variable consideration in the form of refunds, credits, rebates, price concessions, pricing incentives or other items impacting transaction price. The purchase order pricing in arrangements with customers is deemed to approximate standalone selling price; therefore, the Company does not need to allocate proceeds on a relative standalone selling price allocation between performance obligations. The Company applies the practical expedient in paragraph 606-10-50-14 and does not disclose information about remaining performance obligations that have original expected durations of one year or less. There are no material obligations that extend beyond one year.</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0" w:name="page11"/>
    <w:bookmarkEnd w:id="10"/>
    <w:p>
      <w:pPr>
        <w:jc w:val="both"/>
        <w:ind w:right="60"/>
        <w:spacing w:after="0" w:line="255" w:lineRule="auto"/>
        <w:rPr>
          <w:sz w:val="20"/>
          <w:szCs w:val="20"/>
          <w:color w:val="auto"/>
        </w:rPr>
      </w:pPr>
      <w:r>
        <w:rPr>
          <w:rFonts w:ascii="Arial" w:cs="Arial" w:eastAsia="Arial" w:hAnsi="Arial"/>
          <w:sz w:val="18"/>
          <w:szCs w:val="18"/>
          <w:color w:val="auto"/>
        </w:rPr>
        <w:t>Revenue is recognized when transfer of control occurs as defined by the terms in the customer agreement. The Company immediately recognizes incidental items that are immaterial in the context of the contract. The Company has applied the practical expedient in paragraph 606-10-25-16A and does not assess if immaterial items are promised goods or services. The Company has also applied the practical expedient in paragraph 606-10-32-18 regarding the adjustment of the promised amount of consideration for the effects of a significant financing component when the customer pays for that good or service within one year or less, as the Company does not have any significant financing components in its customer arrangements as payment is received at or shortly after the point of sale, generally thirty to ninety days.</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estimates returns based on an analysis of historical experience if the right to return products is granted to its customers. The Company does not record a return asset as non-conforming products are generally not returned. The Company’s return policy does not vary by geography. The customer has no rotation or price protection rights, and the Company is not under a warranty obligation.</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Trade Receivables </w:t>
      </w:r>
      <w:r>
        <w:rPr>
          <w:rFonts w:ascii="Arial" w:cs="Arial" w:eastAsia="Arial" w:hAnsi="Arial"/>
          <w:sz w:val="17"/>
          <w:szCs w:val="17"/>
          <w:color w:val="auto"/>
        </w:rPr>
        <w:t>- Trade receivables include amounts invoiced and currently due from customers. The amounts due are stated at their net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realizable value. The Company records an allowance for doubtful accounts to provide for the estimated amount of receivables that will not be collected. The allowance is based on a review of all outstanding amounts on an on-going basis. Management determines the allowance for doubtful accounts by regularly evaluating individual customer receivables and considers a customer’s financial condition, credit history, and current economic conditions. Trade receivables are written off when deemed uncollectible and have been historically insignificant. Recoveries of trade receivables previously written off are recorded when received. Accounts are considered past due if payment is not received according to agreed-upon terms.</w:t>
      </w:r>
    </w:p>
    <w:p>
      <w:pPr>
        <w:spacing w:after="0" w:line="17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i w:val="1"/>
          <w:iCs w:val="1"/>
          <w:color w:val="auto"/>
        </w:rPr>
        <w:t xml:space="preserve">Sales Commissions </w:t>
      </w:r>
      <w:r>
        <w:rPr>
          <w:rFonts w:ascii="Arial" w:cs="Arial" w:eastAsia="Arial" w:hAnsi="Arial"/>
          <w:sz w:val="16"/>
          <w:szCs w:val="16"/>
          <w:color w:val="auto"/>
        </w:rPr>
        <w:t>- Sales commissions paid to sales representatives are eligible for capitalization as they are incremental costs that would not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without entering into a specific sales arrangement and are recoverable through the expected margin on the transaction. The Company has elected to apply the practical expedient provided by ASC 340-40-25-4 and recognize the incremental costs of obtaining contracts as an expense when incurred, as the amortization period of the assets that would have otherwise been recognized is one year or less. The Company records these costs as a selling expense.</w:t>
      </w:r>
    </w:p>
    <w:p>
      <w:pPr>
        <w:spacing w:after="0" w:line="15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i w:val="1"/>
          <w:iCs w:val="1"/>
          <w:color w:val="auto"/>
        </w:rPr>
        <w:t xml:space="preserve">Product Warranty </w:t>
      </w:r>
      <w:r>
        <w:rPr>
          <w:rFonts w:ascii="Arial" w:cs="Arial" w:eastAsia="Arial" w:hAnsi="Arial"/>
          <w:sz w:val="17"/>
          <w:szCs w:val="17"/>
          <w:color w:val="auto"/>
        </w:rPr>
        <w:t>- The Company offers warranties on various products and services. These warranties are assurance type warranties that are not sold on a</w:t>
      </w:r>
      <w:r>
        <w:rPr>
          <w:rFonts w:ascii="Arial" w:cs="Arial" w:eastAsia="Arial" w:hAnsi="Arial"/>
          <w:sz w:val="17"/>
          <w:szCs w:val="17"/>
          <w:i w:val="1"/>
          <w:iCs w:val="1"/>
          <w:color w:val="auto"/>
        </w:rPr>
        <w:t xml:space="preserve"> </w:t>
      </w:r>
      <w:r>
        <w:rPr>
          <w:rFonts w:ascii="Arial" w:cs="Arial" w:eastAsia="Arial" w:hAnsi="Arial"/>
          <w:sz w:val="17"/>
          <w:szCs w:val="17"/>
          <w:color w:val="auto"/>
        </w:rPr>
        <w:t>standalone basis; therefore, they are not considered distinct performance obligations. The Company estimates the costs that may be incurred under its warranties and records a liability in the amount of such costs at the time the revenue is recognized for the product sale.</w:t>
      </w:r>
    </w:p>
    <w:p>
      <w:pPr>
        <w:spacing w:after="0" w:line="166"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i w:val="1"/>
          <w:iCs w:val="1"/>
          <w:color w:val="auto"/>
        </w:rPr>
        <w:t xml:space="preserve">International Revenue </w:t>
      </w:r>
      <w:r>
        <w:rPr>
          <w:rFonts w:ascii="Arial" w:cs="Arial" w:eastAsia="Arial" w:hAnsi="Arial"/>
          <w:sz w:val="17"/>
          <w:szCs w:val="17"/>
          <w:color w:val="auto"/>
        </w:rPr>
        <w:t>- The Company markets its products to numerous countries in North America, Europe, Latin America, Asia and other parts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world. See Note 11, Segment and Geographical Information, for information regarding revenue disaggregation by geography.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November 2016,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a consensus of the FASB’s Emerging Issues Task Force (Task Force). The new standard requires that the statement of cash flows explain the change during the period in the total of cash, cash equivalents, and amounts generally described as restricted cash or restricted cash equivalents. Entities will also be required to reconcile such total to amounts on the balance sheet and disclose the nature of the restrictions. This guidance is effective for annual and interim periods of public entities beginning after December 15, 2017, with early adoption permitted. This guidance will be effective for the Company’s first quarter of fiscal year 2019. The amendments in this ASU 2016-18 should be applied retrospectively to all periods presented. We do not anticipate ASU 2016-18 to have a material impact to our consolidated financial statements.</w:t>
      </w:r>
    </w:p>
    <w:p>
      <w:pPr>
        <w:spacing w:after="0" w:line="18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During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ASU No. 2016-02 was issued to increase transparency and comparability among organizations by recognizing all lease transactions (with terms in excess of 12 months) on the balance sheet as a lease liability and a right-of-use asset (as defined). ASU No. 2016-02 is effective for fiscal years beginning after December 15, 2018, including interim periods within those fiscal years, with earlier application permitted. Upon adoption, the lessee will apply the new standard retrospectively to all periods presented or retrospectively using a cumulative effect adjustment in the year of adoption. The guidance will be effective for the Company’s first quarter of fiscal year 2020. The Company is currently assessing the effect that ASU No. 2016-02 will have on its consolidated financial statements.</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February 2018, the FASB issued ASU No. 2018-02, </w:t>
      </w:r>
      <w:r>
        <w:rPr>
          <w:rFonts w:ascii="Arial" w:cs="Arial" w:eastAsia="Arial" w:hAnsi="Arial"/>
          <w:sz w:val="17"/>
          <w:szCs w:val="17"/>
          <w:i w:val="1"/>
          <w:iCs w:val="1"/>
          <w:color w:val="auto"/>
        </w:rPr>
        <w:t>Income Statement – Reporting Comprehensive Income</w:t>
      </w:r>
      <w:r>
        <w:rPr>
          <w:rFonts w:ascii="Arial" w:cs="Arial" w:eastAsia="Arial" w:hAnsi="Arial"/>
          <w:sz w:val="17"/>
          <w:szCs w:val="17"/>
          <w:color w:val="auto"/>
        </w:rPr>
        <w:t xml:space="preserve"> (Topic 220) </w:t>
      </w:r>
      <w:r>
        <w:rPr>
          <w:rFonts w:ascii="Arial" w:cs="Arial" w:eastAsia="Arial" w:hAnsi="Arial"/>
          <w:sz w:val="17"/>
          <w:szCs w:val="17"/>
          <w:i w:val="1"/>
          <w:iCs w:val="1"/>
          <w:color w:val="auto"/>
        </w:rPr>
        <w:t>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from Accumulated Other Comprehensive Income</w:t>
      </w:r>
      <w:r>
        <w:rPr>
          <w:rFonts w:ascii="Arial" w:cs="Arial" w:eastAsia="Arial" w:hAnsi="Arial"/>
          <w:sz w:val="17"/>
          <w:szCs w:val="17"/>
          <w:color w:val="auto"/>
        </w:rPr>
        <w:t>, which will allow a reclassification from accumulated other comprehensive income to retained</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for the tax effects resulting from the Tax Cuts and Jobs Act (Tax Reform Act) that are stranded in accumulated other comprehensive income. This standard also requires certain disclosures about stranded tax effects. ASU No. 2018-02, however, does not change the underlying guidance that requires that the effect of a change in tax laws or rates be included in income from continuing operations. ASU No. 2018-02 will be effective for the Company’s fiscal year 2020, with the option for early adoption at any time prior to the effective date. It must be applied either in the period of adoption or retrospectively to each period in which the effect of the change in the U.S. federal corporate income tax rate in the Tax Reform Act is recognized. The Company is currently assessing the impact this new accounting guidance will have on its consolidated financial statements.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1" w:name="page12"/>
    <w:bookmarkEnd w:id="11"/>
    <w:p>
      <w:pPr>
        <w:spacing w:after="0" w:line="269" w:lineRule="auto"/>
        <w:rPr>
          <w:sz w:val="20"/>
          <w:szCs w:val="20"/>
          <w:color w:val="auto"/>
        </w:rPr>
      </w:pPr>
      <w:r>
        <w:rPr>
          <w:rFonts w:ascii="Arial" w:cs="Arial" w:eastAsia="Arial" w:hAnsi="Arial"/>
          <w:sz w:val="17"/>
          <w:szCs w:val="17"/>
          <w:color w:val="auto"/>
        </w:rPr>
        <w:t xml:space="preserve">In December 2017, the Securities and Exchange Commission (SEC) issued Staff Accounting Bulletin (SAB) No. 118 (as further clarified by FASB ASU No. 2018-05,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“Amendments to SEC Paragraphs Pursuant to SEC Staff Accounting Bulletin No. 118”) to provide guidance for companies that may not have completed their accounting for the income tax effects of the Tax Reform Act in the period of enactment, which is the period that includes December 22, 2017. SAB No. 118 provides for a provisional one-year measurement period for entities to finalize their accounting for certain income tax effects related to the Tax Reform Act. SAB No. 118 provides guidance where: (i) the accounting for the income tax effect of the Tax Reform Act is complete and reported in the Tax Reform Act’s enactment period, (ii) the accounting for the income tax effect of the Tax Reform Act is incomplete and reported as provisional amounts based on reasonable estimates (to the extent determinable) subject to adjustments during a limited measurement period until complete, and (iii) accounting for the income tax effect of the Tax Reform Act is not reasonably estimable (no related provisional amounts are reported in the enactment period) and entities would continue to apply accounting based on tax law provisions in effect prior to the Tax Reform Act enactment until provisional amounts are reasonably estimable. SAB No. 118 requires disclosure of the reasons for incomplete accounting additional information or analysis needed, among other relevant information (see Note 14 - Income Taxes).</w:t>
      </w:r>
    </w:p>
    <w:p>
      <w:pPr>
        <w:spacing w:after="0" w:line="18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4640" w:type="dxa"/>
            <w:vAlign w:val="bottom"/>
            <w:gridSpan w:val="2"/>
          </w:tcPr>
          <w:p>
            <w:pPr>
              <w:ind w:left="160"/>
              <w:spacing w:after="0"/>
              <w:rPr>
                <w:sz w:val="20"/>
                <w:szCs w:val="20"/>
                <w:color w:val="auto"/>
              </w:rPr>
            </w:pPr>
            <w:r>
              <w:rPr>
                <w:rFonts w:ascii="Arial" w:cs="Arial" w:eastAsia="Arial" w:hAnsi="Arial"/>
                <w:sz w:val="18"/>
                <w:szCs w:val="18"/>
                <w:b w:val="1"/>
                <w:bCs w:val="1"/>
                <w:color w:val="auto"/>
              </w:rPr>
              <w:t>INVENTORIES</w:t>
            </w:r>
          </w:p>
        </w:tc>
        <w:tc>
          <w:tcPr>
            <w:tcW w:w="2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4940" w:type="dxa"/>
            <w:vAlign w:val="bottom"/>
            <w:gridSpan w:val="3"/>
          </w:tcPr>
          <w:p>
            <w:pPr>
              <w:spacing w:after="0"/>
              <w:rPr>
                <w:sz w:val="20"/>
                <w:szCs w:val="20"/>
                <w:color w:val="auto"/>
              </w:rPr>
            </w:pPr>
            <w:r>
              <w:rPr>
                <w:rFonts w:ascii="Arial" w:cs="Arial" w:eastAsia="Arial" w:hAnsi="Arial"/>
                <w:sz w:val="18"/>
                <w:szCs w:val="18"/>
                <w:color w:val="auto"/>
              </w:rPr>
              <w:t>Inventories consisted of the following:</w:t>
            </w:r>
          </w:p>
        </w:tc>
        <w:tc>
          <w:tcPr>
            <w:tcW w:w="2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6"/>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80" w:type="dxa"/>
            <w:vAlign w:val="bottom"/>
            <w:tcBorders>
              <w:bottom w:val="single" w:sz="8" w:color="CCEEFF"/>
            </w:tcBorders>
          </w:tcPr>
          <w:p>
            <w:pPr>
              <w:spacing w:after="0"/>
              <w:rPr>
                <w:sz w:val="24"/>
                <w:szCs w:val="24"/>
                <w:color w:val="auto"/>
              </w:rPr>
            </w:pPr>
          </w:p>
        </w:tc>
        <w:tc>
          <w:tcPr>
            <w:tcW w:w="216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November 30, 2018</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August 31, 2018</w:t>
            </w:r>
          </w:p>
        </w:tc>
      </w:tr>
      <w:tr>
        <w:trPr>
          <w:trHeight w:val="210"/>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2,357,473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1,824,489</w:t>
            </w:r>
          </w:p>
        </w:tc>
      </w:tr>
      <w:tr>
        <w:trPr>
          <w:trHeight w:val="230"/>
        </w:trPr>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2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7,859,570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7,306,372</w:t>
            </w:r>
          </w:p>
        </w:tc>
      </w:tr>
      <w:tr>
        <w:trPr>
          <w:trHeight w:val="223"/>
        </w:trPr>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10,217,043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9,130,861</w:t>
            </w: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4.</w:t>
            </w:r>
          </w:p>
        </w:tc>
        <w:tc>
          <w:tcPr>
            <w:tcW w:w="526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5560" w:type="dxa"/>
            <w:vAlign w:val="bottom"/>
            <w:gridSpan w:val="3"/>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46"/>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November 30, 2018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August 31, 2018</w:t>
            </w:r>
          </w:p>
        </w:tc>
      </w:tr>
      <w:tr>
        <w:trPr>
          <w:trHeight w:val="210"/>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310,365</w:t>
            </w: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6,988,619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6,927,484</w:t>
            </w:r>
          </w:p>
        </w:tc>
      </w:tr>
      <w:tr>
        <w:trPr>
          <w:trHeight w:val="230"/>
        </w:trPr>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5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4,724,490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4,680,072</w:t>
            </w:r>
          </w:p>
        </w:tc>
      </w:tr>
      <w:tr>
        <w:trPr>
          <w:trHeight w:val="210"/>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12,023,474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11,917,921</w:t>
            </w:r>
          </w:p>
        </w:tc>
      </w:tr>
      <w:tr>
        <w:trPr>
          <w:trHeight w:val="230"/>
        </w:trPr>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5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(4,964,238)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(4,749,095)</w:t>
            </w:r>
          </w:p>
        </w:tc>
      </w:tr>
      <w:tr>
        <w:trPr>
          <w:trHeight w:val="223"/>
        </w:trPr>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80" w:type="dxa"/>
            <w:vAlign w:val="bottom"/>
            <w:tcBorders>
              <w:bottom w:val="single" w:sz="8" w:color="auto"/>
            </w:tcBorders>
          </w:tcPr>
          <w:p>
            <w:pPr>
              <w:jc w:val="right"/>
              <w:ind w:right="220"/>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7,059,236</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7,168,826</w:t>
            </w: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5.   PATENTS AND TRADEMARKS, NET</w:t>
            </w:r>
          </w:p>
        </w:tc>
        <w:tc>
          <w:tcPr>
            <w:tcW w:w="1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46"/>
        </w:trPr>
        <w:tc>
          <w:tcPr>
            <w:tcW w:w="1160" w:type="dxa"/>
            <w:vAlign w:val="bottom"/>
          </w:tcPr>
          <w:p>
            <w:pPr>
              <w:spacing w:after="0"/>
              <w:rPr>
                <w:sz w:val="24"/>
                <w:szCs w:val="24"/>
                <w:color w:val="auto"/>
              </w:rPr>
            </w:pPr>
          </w:p>
        </w:tc>
        <w:tc>
          <w:tcPr>
            <w:tcW w:w="436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November 30, 2018</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August 31, 2018</w:t>
            </w:r>
          </w:p>
        </w:tc>
      </w:tr>
      <w:tr>
        <w:trPr>
          <w:trHeight w:val="210"/>
        </w:trPr>
        <w:tc>
          <w:tcPr>
            <w:tcW w:w="11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15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2,842,370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2,824,440</w:t>
            </w:r>
          </w:p>
        </w:tc>
      </w:tr>
      <w:tr>
        <w:trPr>
          <w:trHeight w:val="230"/>
        </w:trPr>
        <w:tc>
          <w:tcPr>
            <w:tcW w:w="1160" w:type="dxa"/>
            <w:vAlign w:val="bottom"/>
          </w:tcPr>
          <w:p>
            <w:pPr>
              <w:spacing w:after="0"/>
              <w:rPr>
                <w:sz w:val="19"/>
                <w:szCs w:val="19"/>
                <w:color w:val="auto"/>
              </w:rPr>
            </w:pPr>
          </w:p>
        </w:tc>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15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(1,732,625)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(1,668,183)</w:t>
            </w:r>
          </w:p>
        </w:tc>
      </w:tr>
      <w:tr>
        <w:trPr>
          <w:trHeight w:val="223"/>
        </w:trPr>
        <w:tc>
          <w:tcPr>
            <w:tcW w:w="1160" w:type="dxa"/>
            <w:vAlign w:val="bottom"/>
          </w:tcPr>
          <w:p>
            <w:pPr>
              <w:spacing w:after="0"/>
              <w:rPr>
                <w:sz w:val="19"/>
                <w:szCs w:val="19"/>
                <w:color w:val="auto"/>
              </w:rPr>
            </w:pPr>
          </w:p>
        </w:tc>
        <w:tc>
          <w:tcPr>
            <w:tcW w:w="43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1,109,745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1,156,257</w:t>
            </w:r>
          </w:p>
        </w:tc>
      </w:tr>
      <w:tr>
        <w:trPr>
          <w:trHeight w:val="20"/>
        </w:trPr>
        <w:tc>
          <w:tcPr>
            <w:tcW w:w="1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$260,000 in each of the next five fiscal years.</w:t>
      </w:r>
    </w:p>
    <w:p>
      <w:pPr>
        <w:spacing w:after="0" w:line="17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recorded that remain on the consolidated balance sheet on sales from the Company to its joint ventures and from joint ventures to other joint ventures have been eliminated for financial reporting purposes.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Technologien und Produkte GmbH (EXCOR) and all the Company’s other joint ventures,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0"/>
              </w:rPr>
              <w:t>As of November 30, 2018</w:t>
            </w:r>
          </w:p>
        </w:tc>
        <w:tc>
          <w:tcPr>
            <w:tcW w:w="132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EXCOR</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58,993,098</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28,075,384</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30,917,714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63,792,622</w:t>
            </w:r>
          </w:p>
        </w:tc>
        <w:tc>
          <w:tcPr>
            <w:tcW w:w="4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30,821,905</w:t>
            </w:r>
          </w:p>
        </w:tc>
        <w:tc>
          <w:tcPr>
            <w:tcW w:w="3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32,970,717</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16,579,222</w:t>
            </w: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4,629,942</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11,949,280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409,444</w:t>
            </w:r>
          </w:p>
        </w:tc>
        <w:tc>
          <w:tcPr>
            <w:tcW w:w="48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409,444</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46,789,400</w:t>
            </w: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26,191,964</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20,597,436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23,111,834</w:t>
            </w:r>
          </w:p>
        </w:tc>
        <w:tc>
          <w:tcPr>
            <w:tcW w:w="4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13,095,984</w:t>
            </w:r>
          </w:p>
        </w:tc>
        <w:tc>
          <w:tcPr>
            <w:tcW w:w="3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10,015,850</w:t>
            </w: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 ventures’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undistributed earnings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21,082,622</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13,065,079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8,017,543</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 dividends received from joint</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ventures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1,486,705</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843,750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642,955</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5"/>
          </w:tcPr>
          <w:p>
            <w:pPr>
              <w:jc w:val="right"/>
              <w:ind w:right="830"/>
              <w:spacing w:after="0"/>
              <w:rPr>
                <w:sz w:val="20"/>
                <w:szCs w:val="20"/>
                <w:color w:val="auto"/>
              </w:rPr>
            </w:pPr>
            <w:r>
              <w:rPr>
                <w:rFonts w:ascii="Arial" w:cs="Arial" w:eastAsia="Arial" w:hAnsi="Arial"/>
                <w:sz w:val="18"/>
                <w:szCs w:val="18"/>
                <w:b w:val="1"/>
                <w:bCs w:val="1"/>
                <w:color w:val="auto"/>
              </w:rPr>
              <w:t>Three Months Ended November 30, 2018</w:t>
            </w: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EXCOR</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30,479,926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12,869,523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17,610,403</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13,356,891</w:t>
            </w:r>
          </w:p>
        </w:tc>
        <w:tc>
          <w:tcPr>
            <w:tcW w:w="3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6,683,574</w:t>
            </w:r>
          </w:p>
        </w:tc>
        <w:tc>
          <w:tcPr>
            <w:tcW w:w="3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6,673,317</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4,163,791</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3,039,802</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1,123,989</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9"/>
              </w:rPr>
              <w:t>Northern Technologies International Corporation’s share of equity in income from</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36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2,004,162</w:t>
            </w:r>
          </w:p>
        </w:tc>
        <w:tc>
          <w:tcPr>
            <w:tcW w:w="3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1,519,901</w:t>
            </w:r>
          </w:p>
        </w:tc>
        <w:tc>
          <w:tcPr>
            <w:tcW w:w="3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484,261</w:t>
            </w: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dividends received from joint</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1,486,705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843,750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642,955</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0"/>
              </w:rPr>
              <w:t>As of August 31, 2018</w:t>
            </w: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23"/>
        </w:trPr>
        <w:tc>
          <w:tcPr>
            <w:tcW w:w="6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EXCOR</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58,086,747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27,354,788</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30,731,959</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62,803,261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30,033,750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32,769,511</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15,991,886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4,535,954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11,455,932</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403,653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403,653</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46,407,722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25,497,796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20,909,926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22,950,995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12,748,899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10,195,263</w:t>
            </w: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  ventures’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undistributed earnings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20,921,783</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12,717,994</w:t>
            </w:r>
          </w:p>
        </w:tc>
        <w:tc>
          <w:tcPr>
            <w:tcW w:w="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8,203,789</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jc w:val="right"/>
              <w:ind w:right="830"/>
              <w:spacing w:after="0"/>
              <w:rPr>
                <w:sz w:val="20"/>
                <w:szCs w:val="20"/>
                <w:color w:val="auto"/>
              </w:rPr>
            </w:pPr>
            <w:r>
              <w:rPr>
                <w:rFonts w:ascii="Arial" w:cs="Arial" w:eastAsia="Arial" w:hAnsi="Arial"/>
                <w:sz w:val="18"/>
                <w:szCs w:val="18"/>
                <w:b w:val="1"/>
                <w:bCs w:val="1"/>
                <w:color w:val="auto"/>
              </w:rPr>
              <w:t>Three Months Ended November 30, 2017</w:t>
            </w: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28,498,711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11,026,514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17,472,197</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12,788,122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5,933,526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6,854,596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3,499,815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2,483,800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1,016,015</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9"/>
              </w:rPr>
              <w:t>Northern Technologies International Corporation’s share of equity in income from</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1,741,328</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1,241,900</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499,428</w:t>
            </w: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dividends received from joint</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63,937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63,937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joint venture investments during the three months ended November 30, 2018 or 2017.</w:t>
      </w:r>
    </w:p>
    <w:p>
      <w:pPr>
        <w:spacing w:after="0" w:line="22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has a revolving line of credit with PNC Bank, National Association (PNC Bank) of $3,000,000. No amounts were outstanding under the line of credit as of both November 30, 2018 and August 31, 2018. At the option of the Company, outstanding advances under the line of credit bear interest at either</w:t>
      </w:r>
    </w:p>
    <w:p>
      <w:pPr>
        <w:ind w:right="320" w:firstLine="8"/>
        <w:spacing w:after="0" w:line="261" w:lineRule="auto"/>
        <w:tabs>
          <w:tab w:leader="none" w:pos="24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annual rate based on LIBOR plus 2.15% for the applicable LIBOR interest period selected by the Company or (b) at the rate publicly announced by PNC Bank from time to time as its prime rate.</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line of credit is governed under a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November 30, 2018, the Company was in compliance with all debt covenants.</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revolving credit facility allows the Company to request that PNC Bank issue letters of credit up to $1,200,000. The Company did not have any letters of credit reserved against the available letters of credit balance as of November 30, 2018 and August 31, 2018 with PNC Bank. The availability of advances under the line of credit will be reduced by the face amount of any letter of credit issued and outstanding (whether or not drawn) under the revolving credit facility.</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November 30, 2018 and August 31, 2018, the Company had $88,831 of letters of credit with JP Morgan Chase Bank that are performance based and set to expire between 2020 and 2022.</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30, 2018, the Company and PNC Bank extended the maturity date of the line of credit from January 7, 2019 to January 7, 2020. All other terms of the line of credit and the loan agreement and other documents evidencing the line of credit remain the same.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14" w:name="page15"/>
    <w:bookmarkEnd w:id="14"/>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October 24, 2018, the Company’s Board of Directors declared a cash dividend of $0.12 per share of NTIC’s common stock, payable on November 21, 2018 to stockholders of record on November 7, 2018. On November 20, 2017, the Company’s Board of Directors declared a cash dividend of $0.10 per share of NTIC’s common stock, payable on December 21, 2018 to stockholders of record on December 8,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November 30, 2018 and 2017, the Company repurchased no shares of its common stock.</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granted stock options under the Northern Technologies International Corporation Amended and Restated 2007 Stock Incentive Plan (the 2007 Plan) to purchase an aggregate of 70,884 shares of its common stock to various employees and directors during the three months ended November 30, 2018. The weighted average per share exercise price of the stock options is $36.45, which was equal to the fair market value of the Company’s common stock on the date of grant. During the three months ended November 30, 2018, no stock options to purchase common stock were exercised.</w:t>
      </w:r>
    </w:p>
    <w:p>
      <w:pPr>
        <w:spacing w:after="0" w:line="15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granted stock options under the 2007 Plan to purchase an aggregate of 47,252 shares of its common stock to various employees and directors during the three months ended November 30, 2017. The weighted average per share exercise price of the stock options is $18.35, which was equal to the fair market value of the Company’s common stock on the date of grant. During the three months ended November 30, 2017, stock options to purchase an aggregate of 1,500 shares of common stock were exercised at a weighted average exercise price of $10.25 per share.</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issued 874 and 891 shares of common stock on September 1, 2018 and 2017, respectively, under the Northern Technologies International Corporation Employee Stock Purchase Plan (the ESPP).</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held its 2018 Annual Meeting of Stockholders (2018 Annual Meeting) on January 12, 2018. At the 2018 Annual Meeting, a proposal to approve an amendment to the Company’s Restated Certificate of Incorporation to increase the Company’s authorized shares of common stock from 10,000,000 to 15,000,000 (Share Increase Amendment) was approved by the Company’s stockholders by the required vote. The Share Increase Amendment was filed with the Office of the Secretary of State of the State of Delaware on January 16, 2018 and it became effective the same day. In determining that the Share Increase Amendment was approved by the required vote, votes cast by brokers, banks or other nominees without instruction from the beneficial owners of certain of our outstanding shares were counted in favor of the proposal in accordance with the rules of the New York Stock Exchange that govern how brokers may cast such votes. Because a disclosure in the definitive proxy statement for the 2018 Annual Meeting, which was filed on Schedule 14A with the Securities and Exchange Commission (SEC) on November 27, 2017 (2018 Proxy Statement), anticipated that brokers would not have discretion to vote for the proposal to approve the Share Increase Amendment, a question has been raised as to the validity of the vote taken on the proposal to approve the Share Increase Amendment. The Company believes that the Share Increase Amendment was properly approved and is effective. However, because the description of the authority of brokers to vote on proposals without instruction in the 2018 Proxy Statement may create some uncertainty as to the effect of the vote obtained at the 2018 Annual Meeting and out of an abundance of caution, the Company is asking its stockholders at the 2019 Annual Meeting of Stockholders scheduled to be held on January 18, 2019 to ratify the filing and effectiveness of the Share Increase Amendment pursuant to Delaware law in order to eliminate any uncertainty related to the effectiveness of the Share Increase Amendment. The Company has not issued, or reserved for issuance, and will not issue, or reserve for issuance, any of the additional 5,000,000 authorized shares as part of the Share Increase Amendment unless the vote at the 2019 Annual Meeting of Stockholders is in favor of the ratification of the Share Increase Amendment.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 w:name="page16"/>
    <w:bookmarkEnd w:id="15"/>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net income per share computation for the three months ended November 30, 2018 and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Numerator:</w:t>
            </w:r>
          </w:p>
        </w:tc>
        <w:tc>
          <w:tcPr>
            <w:tcW w:w="20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November 30, 2018</w:t>
            </w:r>
          </w:p>
        </w:tc>
        <w:tc>
          <w:tcPr>
            <w:tcW w:w="1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November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20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1,497,059</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1,083,626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Basic – weighted shares outstanding</w:t>
            </w:r>
          </w:p>
        </w:tc>
        <w:tc>
          <w:tcPr>
            <w:tcW w:w="2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4,542,175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4,537,368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20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197,113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 weighted shares outstanding</w:t>
            </w:r>
          </w:p>
        </w:tc>
        <w:tc>
          <w:tcPr>
            <w:tcW w:w="20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4,739,288</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4,608,788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0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4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0.32</w:t>
            </w:r>
          </w:p>
        </w:tc>
        <w:tc>
          <w:tcPr>
            <w:tcW w:w="8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basic net income per share. When dilutive, stock options are included as equivalents using the treasury stock market method when computing the diluted net income per share.</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Excluded from the computation of diluted net income per share for the three months ended November 30, 2018 were options outstanding to purchase 70,884 shares of common stock. Excluded from the computation of diluted net income per share for the three months ended November 30, 2017 were options outstanding to purchase 92,319 shares of common stock.</w:t>
      </w:r>
    </w:p>
    <w:p>
      <w:pPr>
        <w:spacing w:after="0" w:line="177"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has two stock-based compensation plans under which stock options and other stock-based awards have been granted, the Northern Technologies International Corporation Amended and Restated 2007 Stock Incentive Plan and the Northern Technologies International Corporation Employee Stock Purchase Plan. The Compensation Committee of the Board of Directors and the Board of Directors administer these plans.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ten years and become exercisable over a three- or four-year period beginning on the one-year anniversary of the date of grant. Options are granted at per share exercise prices equal to the market value of the Company’s common stock on the date of grant. The Company issues new shares upon the exercise of options. As of November 30, 2018, only stock options and stock bonuses had been granted under the 2007 Plan.</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6" w:name="page17"/>
    <w:bookmarkEnd w:id="16"/>
    <w:p>
      <w:pPr>
        <w:ind w:right="100"/>
        <w:spacing w:after="0" w:line="271" w:lineRule="auto"/>
        <w:rPr>
          <w:sz w:val="20"/>
          <w:szCs w:val="20"/>
          <w:color w:val="auto"/>
        </w:rPr>
      </w:pPr>
      <w:r>
        <w:rPr>
          <w:rFonts w:ascii="Arial" w:cs="Arial" w:eastAsia="Arial" w:hAnsi="Arial"/>
          <w:sz w:val="17"/>
          <w:szCs w:val="17"/>
          <w:color w:val="auto"/>
        </w:rPr>
        <w:t>The Company granted options to purchase an aggregate of 70,884 and 47,252 shares of its common stock during the three months ended November 30, 2018 and 2017, respectively. The fair value of option grants is determined at date of grant, using the Black-Scholes option pricing model with the assumptions listed below. The Company recognized compensation expense of $357,980 and $103,267 during the three months ended November 30, 2018 and 2017, respectively, related to the options that vested during such time period. As of November 30, 2018, the total compensation cost for non-vested options not yet recognized in the Company’s consolidated statements of operations was $1,139,175. Stock-based compensation expense of $1,073,941 is expected through the remainder of fiscal year 2019, and $65,234 is expected to be recognized during fiscal 2020, based on outstanding options as of November 30, 2018. Future option grants will impact the compensation expense recognized. Stock-based compensation expense is included in general and administrative expense on the consolidated statements of operations.</w:t>
      </w:r>
    </w:p>
    <w:p>
      <w:pPr>
        <w:spacing w:after="0" w:line="1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 pricing model with the following assumptions and results for the grants: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November 30,</w:t>
            </w: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20" w:type="dxa"/>
            <w:vAlign w:val="bottom"/>
          </w:tcPr>
          <w:p>
            <w:pPr>
              <w:jc w:val="center"/>
              <w:ind w:left="450"/>
              <w:spacing w:after="0"/>
              <w:rPr>
                <w:sz w:val="20"/>
                <w:szCs w:val="20"/>
                <w:color w:val="auto"/>
              </w:rPr>
            </w:pPr>
            <w:r>
              <w:rPr>
                <w:rFonts w:ascii="Arial" w:cs="Arial" w:eastAsia="Arial" w:hAnsi="Arial"/>
                <w:sz w:val="18"/>
                <w:szCs w:val="18"/>
                <w:b w:val="1"/>
                <w:bCs w:val="1"/>
                <w:color w:val="auto"/>
                <w:w w:val="89"/>
              </w:rPr>
              <w:t>2018</w:t>
            </w:r>
          </w:p>
        </w:tc>
        <w:tc>
          <w:tcPr>
            <w:tcW w:w="216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2017</w:t>
            </w: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20" w:type="dxa"/>
            <w:vAlign w:val="bottom"/>
            <w:tcBorders>
              <w:top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90"/>
              </w:rPr>
              <w:t>1.32%</w:t>
            </w: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2.18%</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tcPr>
          <w:p>
            <w:pPr>
              <w:jc w:val="center"/>
              <w:ind w:left="430"/>
              <w:spacing w:after="0"/>
              <w:rPr>
                <w:sz w:val="20"/>
                <w:szCs w:val="20"/>
                <w:color w:val="auto"/>
              </w:rPr>
            </w:pPr>
            <w:r>
              <w:rPr>
                <w:rFonts w:ascii="Arial" w:cs="Arial" w:eastAsia="Arial" w:hAnsi="Arial"/>
                <w:sz w:val="18"/>
                <w:szCs w:val="18"/>
                <w:color w:val="auto"/>
                <w:w w:val="90"/>
              </w:rPr>
              <w:t>45.8%</w:t>
            </w:r>
          </w:p>
        </w:tc>
        <w:tc>
          <w:tcPr>
            <w:tcW w:w="2160" w:type="dxa"/>
            <w:vAlign w:val="bottom"/>
            <w:gridSpan w:val="3"/>
          </w:tcPr>
          <w:p>
            <w:pPr>
              <w:jc w:val="center"/>
              <w:ind w:left="530"/>
              <w:spacing w:after="0"/>
              <w:rPr>
                <w:sz w:val="20"/>
                <w:szCs w:val="20"/>
                <w:color w:val="auto"/>
              </w:rPr>
            </w:pPr>
            <w:r>
              <w:rPr>
                <w:rFonts w:ascii="Arial" w:cs="Arial" w:eastAsia="Arial" w:hAnsi="Arial"/>
                <w:sz w:val="18"/>
                <w:szCs w:val="18"/>
                <w:color w:val="auto"/>
                <w:w w:val="90"/>
              </w:rPr>
              <w:t>45.9%</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10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9"/>
              </w:rPr>
              <w:t>10</w:t>
            </w:r>
          </w:p>
        </w:tc>
        <w:tc>
          <w:tcPr>
            <w:tcW w:w="2160" w:type="dxa"/>
            <w:vAlign w:val="bottom"/>
            <w:gridSpan w:val="3"/>
            <w:shd w:val="clear" w:color="auto" w:fill="CCEEFF"/>
          </w:tcPr>
          <w:p>
            <w:pPr>
              <w:jc w:val="center"/>
              <w:ind w:left="530"/>
              <w:spacing w:after="0"/>
              <w:rPr>
                <w:sz w:val="20"/>
                <w:szCs w:val="20"/>
                <w:color w:val="auto"/>
              </w:rPr>
            </w:pPr>
            <w:r>
              <w:rPr>
                <w:rFonts w:ascii="Arial" w:cs="Arial" w:eastAsia="Arial" w:hAnsi="Arial"/>
                <w:sz w:val="18"/>
                <w:szCs w:val="18"/>
                <w:color w:val="auto"/>
                <w:w w:val="89"/>
              </w:rPr>
              <w:t>10</w:t>
            </w: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020" w:type="dxa"/>
            <w:vAlign w:val="bottom"/>
          </w:tcPr>
          <w:p>
            <w:pPr>
              <w:jc w:val="center"/>
              <w:ind w:left="430"/>
              <w:spacing w:after="0"/>
              <w:rPr>
                <w:sz w:val="20"/>
                <w:szCs w:val="20"/>
                <w:color w:val="auto"/>
              </w:rPr>
            </w:pPr>
            <w:r>
              <w:rPr>
                <w:rFonts w:ascii="Arial" w:cs="Arial" w:eastAsia="Arial" w:hAnsi="Arial"/>
                <w:sz w:val="18"/>
                <w:szCs w:val="18"/>
                <w:color w:val="auto"/>
                <w:w w:val="90"/>
              </w:rPr>
              <w:t>2.75%</w:t>
            </w:r>
          </w:p>
        </w:tc>
        <w:tc>
          <w:tcPr>
            <w:tcW w:w="2160" w:type="dxa"/>
            <w:vAlign w:val="bottom"/>
            <w:gridSpan w:val="3"/>
          </w:tcPr>
          <w:p>
            <w:pPr>
              <w:jc w:val="center"/>
              <w:ind w:left="530"/>
              <w:spacing w:after="0"/>
              <w:rPr>
                <w:sz w:val="20"/>
                <w:szCs w:val="20"/>
                <w:color w:val="auto"/>
              </w:rPr>
            </w:pPr>
            <w:r>
              <w:rPr>
                <w:rFonts w:ascii="Arial" w:cs="Arial" w:eastAsia="Arial" w:hAnsi="Arial"/>
                <w:sz w:val="18"/>
                <w:szCs w:val="18"/>
                <w:color w:val="auto"/>
                <w:w w:val="90"/>
              </w:rPr>
              <w:t>1.87%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per share fair value of options granted during the three months ended November 30, 2018 and 2017 was $18.03 and $7.75,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contractual life of the options outstanding as of November 30, 2018 and 2017 was 6.65 years and 6.95 years, respectively.</w:t>
      </w:r>
    </w:p>
    <w:p>
      <w:pPr>
        <w:spacing w:after="0" w:line="234"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On November 16, 2018, the Board of Directors, upon recommendation of the Compensation Committee, approved the Northern Technologies International Corporation 2019 Stock Incentive Plan (the “2019 Plan”) subject to approval by the Company’s stockholders at its 2019 Annual Meeting of Stockholders scheduled to be held on January 18, 2019. If the stockholders approve the 2019 Plan, it will replace the 2007 Plan, with the remaining shares available for grant under the 2007 Plan rolling over into the 2019 Plan, and no new awards will be granted under the 2007 Plan. The terms of the 2007 Plan will continue to govern awards outstanding under the 2007 Plan, until exercised, expired, paid or otherwise terminated or canceled.</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Subject to adjustment, the maximum number of shares of common stock to be authorized for issuance under the 2019 Plan is 400,000 shares, plus (i) shares of common stock available for issuance under the 2007 Plan as of the date of stockholder approval of the 2019 Plan, but not subject to outstanding awards and</w:t>
      </w:r>
    </w:p>
    <w:p>
      <w:pPr>
        <w:ind w:firstLine="8"/>
        <w:spacing w:after="0" w:line="255"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subject to awards outstanding under the 2007 Plan as of the date of stockholder approval of the 2019 Plan that are subsequently forfeited or cancelled or expire or otherwise terminate without the issuance of such shares (which may otherwise be returned and available for grant under the terms of the 2007 Plan and 2019 Plan).</w:t>
      </w:r>
    </w:p>
    <w:p>
      <w:pPr>
        <w:spacing w:after="0" w:line="186"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The Company’s chief operating decision maker (CODM)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compostable (fully biodegradable) polymer resins and finished products under the Natur-Tec® brand.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table sets forth the Company’s net sales for the three months ended November 30, 2018 and 2017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8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November 30, 2018</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November 30, 2017</w:t>
            </w: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ZERUST® net sales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10,065,174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9,527,737</w:t>
            </w:r>
          </w:p>
        </w:tc>
      </w:tr>
      <w:tr>
        <w:trPr>
          <w:trHeight w:val="230"/>
        </w:trPr>
        <w:tc>
          <w:tcPr>
            <w:tcW w:w="8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Natur-Tec® net sales</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4,028,878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2,015,301</w:t>
            </w:r>
          </w:p>
        </w:tc>
      </w:tr>
      <w:tr>
        <w:trPr>
          <w:trHeight w:val="223"/>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14,094,052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11,543,038</w:t>
            </w:r>
          </w:p>
        </w:tc>
      </w:tr>
      <w:tr>
        <w:trPr>
          <w:trHeight w:val="20"/>
        </w:trPr>
        <w:tc>
          <w:tcPr>
            <w:tcW w:w="8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cost of goods sold for the three months ended November 30, 2018 and 2017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November 30, 2018</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of Product Sales*</w:t>
            </w: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November 30, 2017</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of Product Sales*</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Direct cost of goods sold</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ZERUST®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5,621,700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55.9%</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5,803,980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60.9%</w:t>
            </w: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Natur-Tec®</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3,156,076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1,479,199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30"/>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Indirect cost of goods sold</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683,361</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605,291</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NA</w:t>
            </w:r>
          </w:p>
        </w:tc>
      </w:tr>
      <w:tr>
        <w:trPr>
          <w:trHeight w:val="237"/>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net cost of goods sold</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9,461,137</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7,888,470</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right="30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goods sold for each individual segment category by the net sales for each segment category.</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20"/>
                <w:szCs w:val="20"/>
                <w:color w:val="auto"/>
              </w:rPr>
            </w:pPr>
            <w:r>
              <w:rPr>
                <w:rFonts w:ascii="Arial" w:cs="Arial" w:eastAsia="Arial" w:hAnsi="Arial"/>
                <w:sz w:val="18"/>
                <w:szCs w:val="18"/>
                <w:i w:val="1"/>
                <w:iCs w:val="1"/>
                <w:color w:val="auto"/>
              </w:rPr>
              <w:t>Geographic Information</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7940" w:type="dxa"/>
            <w:vAlign w:val="bottom"/>
          </w:tcPr>
          <w:p>
            <w:pPr>
              <w:spacing w:after="0"/>
              <w:rPr>
                <w:sz w:val="20"/>
                <w:szCs w:val="20"/>
                <w:color w:val="auto"/>
              </w:rPr>
            </w:pPr>
            <w:r>
              <w:rPr>
                <w:rFonts w:ascii="Arial" w:cs="Arial" w:eastAsia="Arial" w:hAnsi="Arial"/>
                <w:sz w:val="18"/>
                <w:szCs w:val="18"/>
                <w:color w:val="auto"/>
                <w:w w:val="92"/>
              </w:rPr>
              <w:t>Net sales by geographic location for the three months ended November 30, 2018 and 2017 were as follows:</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6"/>
        </w:trPr>
        <w:tc>
          <w:tcPr>
            <w:tcW w:w="7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79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November 30, 2018</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November 30, 2017</w:t>
            </w: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6,923,934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6,256,205</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Outside the U.S.A. to:</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Joint ventures in which the Company is a shareholder directly and indirectly</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483,187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507,631</w:t>
            </w:r>
          </w:p>
        </w:tc>
      </w:tr>
      <w:tr>
        <w:trPr>
          <w:trHeight w:val="230"/>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Unaffiliated customers</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6,686,931</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4,779,202</w:t>
            </w:r>
          </w:p>
        </w:tc>
      </w:tr>
      <w:tr>
        <w:trPr>
          <w:trHeight w:val="237"/>
        </w:trPr>
        <w:tc>
          <w:tcPr>
            <w:tcW w:w="79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14,094,052</w:t>
            </w:r>
          </w:p>
        </w:tc>
        <w:tc>
          <w:tcPr>
            <w:tcW w:w="48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11,543,038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the three months ended November 30, 2018 and 2017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191"/>
        </w:trPr>
        <w:tc>
          <w:tcPr>
            <w:tcW w:w="11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 of Total Fees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 of Total Fees</w:t>
            </w:r>
          </w:p>
        </w:tc>
      </w:tr>
      <w:tr>
        <w:trPr>
          <w:trHeight w:val="216"/>
        </w:trPr>
        <w:tc>
          <w:tcPr>
            <w:tcW w:w="1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for Services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for Services</w:t>
            </w:r>
          </w:p>
        </w:tc>
      </w:tr>
      <w:tr>
        <w:trPr>
          <w:trHeight w:val="216"/>
        </w:trPr>
        <w:tc>
          <w:tcPr>
            <w:tcW w:w="1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30,</w:t>
            </w: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Provided to Joint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1"/>
              </w:rPr>
              <w:t>November 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Provided to Joint</w:t>
            </w:r>
          </w:p>
        </w:tc>
      </w:tr>
      <w:tr>
        <w:trPr>
          <w:trHeight w:val="234"/>
        </w:trPr>
        <w:tc>
          <w:tcPr>
            <w:tcW w:w="1160" w:type="dxa"/>
            <w:vAlign w:val="bottom"/>
          </w:tcPr>
          <w:p>
            <w:pPr>
              <w:spacing w:after="0"/>
              <w:rPr>
                <w:sz w:val="20"/>
                <w:szCs w:val="20"/>
                <w:color w:val="auto"/>
              </w:rPr>
            </w:pPr>
          </w:p>
        </w:tc>
        <w:tc>
          <w:tcPr>
            <w:tcW w:w="282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Ventures</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Ventures</w:t>
            </w:r>
          </w:p>
        </w:tc>
      </w:tr>
      <w:tr>
        <w:trPr>
          <w:trHeight w:val="210"/>
        </w:trPr>
        <w:tc>
          <w:tcPr>
            <w:tcW w:w="116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214,992</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219,873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116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Poland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181,844</w:t>
            </w:r>
          </w:p>
        </w:tc>
        <w:tc>
          <w:tcPr>
            <w:tcW w:w="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206,076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16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169,800</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174,045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16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Sweden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130,243</w:t>
            </w:r>
          </w:p>
        </w:tc>
        <w:tc>
          <w:tcPr>
            <w:tcW w:w="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127,954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16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110,062</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139,641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6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Thailand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98,348</w:t>
            </w:r>
          </w:p>
        </w:tc>
        <w:tc>
          <w:tcPr>
            <w:tcW w:w="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102,531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6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94,781</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111,775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16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India</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94,727</w:t>
            </w:r>
          </w:p>
        </w:tc>
        <w:tc>
          <w:tcPr>
            <w:tcW w:w="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86,763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6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Czech Republic</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89,692</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84,225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6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South Korea</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86,467</w:t>
            </w:r>
          </w:p>
        </w:tc>
        <w:tc>
          <w:tcPr>
            <w:tcW w:w="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83,488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6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81,816</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89,627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160" w:type="dxa"/>
            <w:vAlign w:val="bottom"/>
          </w:tcPr>
          <w:p>
            <w:pPr>
              <w:spacing w:after="0"/>
              <w:rPr>
                <w:sz w:val="19"/>
                <w:szCs w:val="19"/>
                <w:color w:val="auto"/>
              </w:rPr>
            </w:pPr>
          </w:p>
        </w:tc>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75,663</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81,144</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1160" w:type="dxa"/>
            <w:vAlign w:val="bottom"/>
          </w:tcPr>
          <w:p>
            <w:pPr>
              <w:spacing w:after="0"/>
              <w:rPr>
                <w:sz w:val="19"/>
                <w:szCs w:val="19"/>
                <w:color w:val="auto"/>
              </w:rPr>
            </w:pPr>
          </w:p>
        </w:tc>
        <w:tc>
          <w:tcPr>
            <w:tcW w:w="28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1,428,435</w:t>
            </w:r>
          </w:p>
        </w:tc>
        <w:tc>
          <w:tcPr>
            <w:tcW w:w="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1,507,142</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500" w:type="dxa"/>
            <w:vAlign w:val="bottom"/>
            <w:gridSpan w:val="3"/>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413"/>
        </w:trPr>
        <w:tc>
          <w:tcPr>
            <w:tcW w:w="5940" w:type="dxa"/>
            <w:vAlign w:val="bottom"/>
            <w:gridSpan w:val="6"/>
          </w:tcPr>
          <w:p>
            <w:pPr>
              <w:spacing w:after="0"/>
              <w:rPr>
                <w:sz w:val="20"/>
                <w:szCs w:val="20"/>
                <w:color w:val="auto"/>
              </w:rPr>
            </w:pPr>
            <w:r>
              <w:rPr>
                <w:rFonts w:ascii="Arial" w:cs="Arial" w:eastAsia="Arial" w:hAnsi="Arial"/>
                <w:sz w:val="18"/>
                <w:szCs w:val="18"/>
                <w:color w:val="auto"/>
              </w:rPr>
              <w:t>The geographical distribution of key financial statement data is as follows:</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4"/>
        </w:trPr>
        <w:tc>
          <w:tcPr>
            <w:tcW w:w="1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4"/>
              </w:rPr>
              <w:t>At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At</w:t>
            </w:r>
          </w:p>
        </w:tc>
      </w:tr>
      <w:tr>
        <w:trPr>
          <w:trHeight w:val="234"/>
        </w:trPr>
        <w:tc>
          <w:tcPr>
            <w:tcW w:w="1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November 30, 2018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August 31, 2018</w:t>
            </w:r>
          </w:p>
        </w:tc>
      </w:tr>
      <w:tr>
        <w:trPr>
          <w:trHeight w:val="210"/>
        </w:trPr>
        <w:tc>
          <w:tcPr>
            <w:tcW w:w="1160" w:type="dxa"/>
            <w:vAlign w:val="bottom"/>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China</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188,695</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205,490</w:t>
            </w:r>
          </w:p>
        </w:tc>
      </w:tr>
      <w:tr>
        <w:trPr>
          <w:trHeight w:val="216"/>
        </w:trPr>
        <w:tc>
          <w:tcPr>
            <w:tcW w:w="116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Brazil</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76,977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71,677</w:t>
            </w:r>
          </w:p>
        </w:tc>
      </w:tr>
      <w:tr>
        <w:trPr>
          <w:trHeight w:val="216"/>
        </w:trPr>
        <w:tc>
          <w:tcPr>
            <w:tcW w:w="116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w:t>
            </w:r>
          </w:p>
        </w:tc>
      </w:tr>
      <w:tr>
        <w:trPr>
          <w:trHeight w:val="216"/>
        </w:trPr>
        <w:tc>
          <w:tcPr>
            <w:tcW w:w="116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India</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22,220</w:t>
            </w:r>
          </w:p>
        </w:tc>
      </w:tr>
      <w:tr>
        <w:trPr>
          <w:trHeight w:val="230"/>
        </w:trPr>
        <w:tc>
          <w:tcPr>
            <w:tcW w:w="116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6,756,321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6,862,381</w:t>
            </w:r>
          </w:p>
        </w:tc>
      </w:tr>
      <w:tr>
        <w:trPr>
          <w:trHeight w:val="223"/>
        </w:trPr>
        <w:tc>
          <w:tcPr>
            <w:tcW w:w="1160" w:type="dxa"/>
            <w:vAlign w:val="bottom"/>
          </w:tcPr>
          <w:p>
            <w:pPr>
              <w:spacing w:after="0"/>
              <w:rPr>
                <w:sz w:val="19"/>
                <w:szCs w:val="19"/>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Total property and equipment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7,059,236</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7,168,826</w:t>
            </w:r>
          </w:p>
        </w:tc>
      </w:tr>
      <w:tr>
        <w:trPr>
          <w:trHeight w:val="20"/>
        </w:trPr>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r>
      <w:tr>
        <w:trPr>
          <w:trHeight w:val="426"/>
        </w:trPr>
        <w:tc>
          <w:tcPr>
            <w:tcW w:w="1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1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November 30, 2018</w:t>
            </w:r>
          </w:p>
        </w:tc>
        <w:tc>
          <w:tcPr>
            <w:tcW w:w="20" w:type="dxa"/>
            <w:vAlign w:val="bottom"/>
          </w:tcPr>
          <w:p>
            <w:pPr>
              <w:spacing w:after="0"/>
              <w:rPr>
                <w:sz w:val="19"/>
                <w:szCs w:val="19"/>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November 30, 2017</w:t>
            </w:r>
          </w:p>
        </w:tc>
      </w:tr>
      <w:tr>
        <w:trPr>
          <w:trHeight w:val="210"/>
        </w:trPr>
        <w:tc>
          <w:tcPr>
            <w:tcW w:w="1160" w:type="dxa"/>
            <w:vAlign w:val="bottom"/>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China</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3,168,060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2,911,643</w:t>
            </w:r>
          </w:p>
        </w:tc>
      </w:tr>
      <w:tr>
        <w:trPr>
          <w:trHeight w:val="216"/>
        </w:trPr>
        <w:tc>
          <w:tcPr>
            <w:tcW w:w="116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Brazil</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824,796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639,841</w:t>
            </w:r>
          </w:p>
        </w:tc>
      </w:tr>
      <w:tr>
        <w:trPr>
          <w:trHeight w:val="216"/>
        </w:trPr>
        <w:tc>
          <w:tcPr>
            <w:tcW w:w="116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1,651,641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495,539</w:t>
            </w:r>
          </w:p>
        </w:tc>
      </w:tr>
      <w:tr>
        <w:trPr>
          <w:trHeight w:val="216"/>
        </w:trPr>
        <w:tc>
          <w:tcPr>
            <w:tcW w:w="116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Germany</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6,472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48,771</w:t>
            </w:r>
          </w:p>
        </w:tc>
      </w:tr>
      <w:tr>
        <w:trPr>
          <w:trHeight w:val="216"/>
        </w:trPr>
        <w:tc>
          <w:tcPr>
            <w:tcW w:w="116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1,519,149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1,191,039</w:t>
            </w:r>
          </w:p>
        </w:tc>
      </w:tr>
      <w:tr>
        <w:trPr>
          <w:trHeight w:val="230"/>
        </w:trPr>
        <w:tc>
          <w:tcPr>
            <w:tcW w:w="1160" w:type="dxa"/>
            <w:vAlign w:val="bottom"/>
          </w:tcPr>
          <w:p>
            <w:pPr>
              <w:spacing w:after="0"/>
              <w:rPr>
                <w:sz w:val="19"/>
                <w:szCs w:val="19"/>
                <w:color w:val="auto"/>
              </w:rPr>
            </w:pPr>
          </w:p>
        </w:tc>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United States</w:t>
            </w:r>
          </w:p>
        </w:tc>
        <w:tc>
          <w:tcPr>
            <w:tcW w:w="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6,923,934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6,256,205</w:t>
            </w:r>
          </w:p>
        </w:tc>
      </w:tr>
      <w:tr>
        <w:trPr>
          <w:trHeight w:val="223"/>
        </w:trPr>
        <w:tc>
          <w:tcPr>
            <w:tcW w:w="1160" w:type="dxa"/>
            <w:vAlign w:val="bottom"/>
          </w:tcPr>
          <w:p>
            <w:pPr>
              <w:spacing w:after="0"/>
              <w:rPr>
                <w:sz w:val="19"/>
                <w:szCs w:val="19"/>
                <w:color w:val="auto"/>
              </w:rPr>
            </w:pPr>
          </w:p>
        </w:tc>
        <w:tc>
          <w:tcPr>
            <w:tcW w:w="2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net sales</w:t>
            </w: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14,094,052</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11,543,038</w:t>
            </w:r>
          </w:p>
        </w:tc>
      </w:tr>
      <w:tr>
        <w:trPr>
          <w:trHeight w:val="20"/>
        </w:trPr>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Total property and equipment are periodically reviewed to assure the net realizable value from the estimated future production based on forecasted sales exceeds the carrying value of the assets. Total assets located in the United States include the Company’s investments in joint ventures.</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and cost of goods sold recognized directly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All joint venture operations, including equity in income, fees for services and related dividends, are primarily related to ZERUST® products and services.</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9" w:name="page20"/>
    <w:bookmarkEnd w:id="19"/>
    <w:p>
      <w:pPr>
        <w:ind w:left="540" w:hanging="532"/>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August 31, 2018, the Compensation Committee of the Board of Directors of the Company approved the material terms of an annual bonus plan for the Company’s executive officers as well as certain officers and employees for the fiscal year ending August 31, 2019. For fiscal 2019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2019 compared to a pre-established target EBITOI for fiscal 2019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NTIC common stock, the exact amount and percentages will be determined by the Company’s Board of Directors, upon recommendation of the Compensation Committee, after the completion of the Company’s consolidated financial statements for fiscal 2019. There was $450,000 accrued for management bonuses for the three months ended November 30, 2018 compared to $318,000 accrued for management bonuses for the three months ended November 30, 2017.</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Three joint ventures (consisting of the Company’s joint ventures in South Korea, Thailand, and India) accounted for 71.3% and 74.1% of the Company’s trade joint venture receivables at November 30, 2018 and August 31, 2018, respectively.</w:t>
      </w:r>
    </w:p>
    <w:p>
      <w:pPr>
        <w:spacing w:after="0" w:line="1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November 30, 2018, the amount of liability, if any, with respect to these matters, individually or in the aggregate, will not materially affect the Company’s consolidated results of operations, financial position or cash flows.</w:t>
      </w:r>
    </w:p>
    <w:p>
      <w:pPr>
        <w:spacing w:after="0" w:line="163"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 and the Company estimates that market value approximates costs. The following tables provide information by level for assets and liabilities that are measured at fair value on a recurring basis: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20" w:type="dxa"/>
            <w:vAlign w:val="bottom"/>
            <w:gridSpan w:val="6"/>
          </w:tcPr>
          <w:p>
            <w:pPr>
              <w:jc w:val="right"/>
              <w:ind w:right="205"/>
              <w:spacing w:after="0"/>
              <w:rPr>
                <w:sz w:val="20"/>
                <w:szCs w:val="20"/>
                <w:color w:val="auto"/>
              </w:rPr>
            </w:pPr>
            <w:r>
              <w:rPr>
                <w:rFonts w:ascii="Arial" w:cs="Arial" w:eastAsia="Arial" w:hAnsi="Arial"/>
                <w:sz w:val="18"/>
                <w:szCs w:val="18"/>
                <w:b w:val="1"/>
                <w:bCs w:val="1"/>
                <w:color w:val="auto"/>
              </w:rPr>
              <w:t>Fair Value Measurements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9"/>
              </w:rPr>
              <w:t>Fair value as of</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center"/>
              <w:ind w:left="850"/>
              <w:spacing w:after="0"/>
              <w:rPr>
                <w:sz w:val="20"/>
                <w:szCs w:val="20"/>
                <w:color w:val="auto"/>
              </w:rPr>
            </w:pPr>
            <w:r>
              <w:rPr>
                <w:rFonts w:ascii="Arial" w:cs="Arial" w:eastAsia="Arial" w:hAnsi="Arial"/>
                <w:sz w:val="18"/>
                <w:szCs w:val="18"/>
                <w:b w:val="1"/>
                <w:bCs w:val="1"/>
                <w:color w:val="auto"/>
                <w:w w:val="89"/>
              </w:rPr>
              <w:t>Using Inputs Considered as</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November 30, 2018</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1,711,930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1,711,930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4"/>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20" w:type="dxa"/>
            <w:vAlign w:val="bottom"/>
            <w:gridSpan w:val="6"/>
          </w:tcPr>
          <w:p>
            <w:pPr>
              <w:jc w:val="center"/>
              <w:ind w:left="790"/>
              <w:spacing w:after="0"/>
              <w:rPr>
                <w:sz w:val="20"/>
                <w:szCs w:val="20"/>
                <w:color w:val="auto"/>
              </w:rPr>
            </w:pPr>
            <w:r>
              <w:rPr>
                <w:rFonts w:ascii="Arial" w:cs="Arial" w:eastAsia="Arial" w:hAnsi="Arial"/>
                <w:sz w:val="18"/>
                <w:szCs w:val="18"/>
                <w:b w:val="1"/>
                <w:bCs w:val="1"/>
                <w:color w:val="auto"/>
                <w:w w:val="91"/>
              </w:rPr>
              <w:t>Fair Value Measurements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9"/>
              </w:rPr>
              <w:t>Fair value as of</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center"/>
              <w:ind w:left="850"/>
              <w:spacing w:after="0"/>
              <w:rPr>
                <w:sz w:val="20"/>
                <w:szCs w:val="20"/>
                <w:color w:val="auto"/>
              </w:rPr>
            </w:pPr>
            <w:r>
              <w:rPr>
                <w:rFonts w:ascii="Arial" w:cs="Arial" w:eastAsia="Arial" w:hAnsi="Arial"/>
                <w:sz w:val="18"/>
                <w:szCs w:val="18"/>
                <w:b w:val="1"/>
                <w:bCs w:val="1"/>
                <w:color w:val="auto"/>
                <w:w w:val="89"/>
              </w:rPr>
              <w:t>Using Inputs Considered as</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August 31, 2018</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3,300,110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3,300,110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three months ended November 30, 2018 and 2017.</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14.</w:t>
            </w:r>
          </w:p>
        </w:tc>
        <w:tc>
          <w:tcPr>
            <w:tcW w:w="6700" w:type="dxa"/>
            <w:vAlign w:val="bottom"/>
            <w:gridSpan w:val="2"/>
          </w:tcPr>
          <w:p>
            <w:pPr>
              <w:ind w:left="140"/>
              <w:spacing w:after="0"/>
              <w:rPr>
                <w:sz w:val="20"/>
                <w:szCs w:val="20"/>
                <w:color w:val="auto"/>
              </w:rPr>
            </w:pPr>
            <w:r>
              <w:rPr>
                <w:rFonts w:ascii="Arial" w:cs="Arial" w:eastAsia="Arial" w:hAnsi="Arial"/>
                <w:sz w:val="18"/>
                <w:szCs w:val="18"/>
                <w:b w:val="1"/>
                <w:bCs w:val="1"/>
                <w:color w:val="auto"/>
              </w:rPr>
              <w:t>SUPPLEMENTAL CASH FLOW INFORMATION</w:t>
            </w: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2"/>
        </w:trPr>
        <w:tc>
          <w:tcPr>
            <w:tcW w:w="7100" w:type="dxa"/>
            <w:vAlign w:val="bottom"/>
            <w:gridSpan w:val="3"/>
          </w:tcPr>
          <w:p>
            <w:pPr>
              <w:spacing w:after="0"/>
              <w:rPr>
                <w:sz w:val="20"/>
                <w:szCs w:val="20"/>
                <w:color w:val="auto"/>
              </w:rPr>
            </w:pPr>
            <w:r>
              <w:rPr>
                <w:rFonts w:ascii="Arial" w:cs="Arial" w:eastAsia="Arial" w:hAnsi="Arial"/>
                <w:sz w:val="18"/>
                <w:szCs w:val="18"/>
                <w:color w:val="auto"/>
              </w:rPr>
              <w:t>Supplemental disclosures of cash flow information consisted of:</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46"/>
        </w:trPr>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w w:val="94"/>
              </w:rPr>
              <w:t>Three Months Ended</w:t>
            </w:r>
          </w:p>
        </w:tc>
        <w:tc>
          <w:tcPr>
            <w:tcW w:w="720" w:type="dxa"/>
            <w:vAlign w:val="bottom"/>
            <w:tcBorders>
              <w:bottom w:val="single" w:sz="8" w:color="auto"/>
            </w:tcBorders>
          </w:tcPr>
          <w:p>
            <w:pPr>
              <w:spacing w:after="0"/>
              <w:rPr>
                <w:sz w:val="24"/>
                <w:szCs w:val="24"/>
                <w:color w:val="auto"/>
              </w:rPr>
            </w:pPr>
          </w:p>
        </w:tc>
      </w:tr>
      <w:tr>
        <w:trPr>
          <w:trHeight w:val="223"/>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9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November 30, 2018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November 30, 2017</w:t>
            </w:r>
          </w:p>
        </w:tc>
      </w:tr>
      <w:tr>
        <w:trPr>
          <w:trHeight w:val="210"/>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420" w:type="dxa"/>
            <w:vAlign w:val="bottom"/>
            <w:shd w:val="clear" w:color="auto" w:fill="CCEEFF"/>
          </w:tcPr>
          <w:p>
            <w:pPr>
              <w:jc w:val="right"/>
              <w:ind w:right="25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8"/>
              </w:rPr>
              <w:t>2,357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5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r>
      <w:tr>
        <w:trPr>
          <w:trHeight w:val="230"/>
        </w:trPr>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420" w:type="dxa"/>
            <w:vAlign w:val="bottom"/>
          </w:tcPr>
          <w:p>
            <w:pPr>
              <w:spacing w:after="0"/>
              <w:rPr>
                <w:sz w:val="20"/>
                <w:szCs w:val="20"/>
                <w:color w:val="auto"/>
              </w:rPr>
            </w:pPr>
          </w:p>
        </w:tc>
        <w:tc>
          <w:tcPr>
            <w:tcW w:w="1140" w:type="dxa"/>
            <w:vAlign w:val="bottom"/>
          </w:tcPr>
          <w:p>
            <w:pPr>
              <w:jc w:val="center"/>
              <w:ind w:left="51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418"/>
        </w:trPr>
        <w:tc>
          <w:tcPr>
            <w:tcW w:w="7100" w:type="dxa"/>
            <w:vAlign w:val="bottom"/>
            <w:gridSpan w:val="3"/>
          </w:tcPr>
          <w:p>
            <w:pPr>
              <w:spacing w:after="0"/>
              <w:rPr>
                <w:sz w:val="20"/>
                <w:szCs w:val="20"/>
                <w:color w:val="auto"/>
              </w:rPr>
            </w:pPr>
            <w:r>
              <w:rPr>
                <w:rFonts w:ascii="Arial" w:cs="Arial" w:eastAsia="Arial" w:hAnsi="Arial"/>
                <w:sz w:val="18"/>
                <w:szCs w:val="18"/>
                <w:color w:val="auto"/>
              </w:rPr>
              <w:t>Non-cash financing activity consisted of:</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46"/>
        </w:trPr>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w w:val="94"/>
              </w:rPr>
              <w:t>Three Months Ended</w:t>
            </w:r>
          </w:p>
        </w:tc>
        <w:tc>
          <w:tcPr>
            <w:tcW w:w="720" w:type="dxa"/>
            <w:vAlign w:val="bottom"/>
            <w:tcBorders>
              <w:bottom w:val="single" w:sz="8" w:color="auto"/>
            </w:tcBorders>
          </w:tcPr>
          <w:p>
            <w:pPr>
              <w:spacing w:after="0"/>
              <w:rPr>
                <w:sz w:val="24"/>
                <w:szCs w:val="24"/>
                <w:color w:val="auto"/>
              </w:rPr>
            </w:pPr>
          </w:p>
        </w:tc>
      </w:tr>
      <w:tr>
        <w:trPr>
          <w:trHeight w:val="223"/>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9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November 30, 2018</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November 30, 2017</w:t>
            </w:r>
          </w:p>
        </w:tc>
      </w:tr>
      <w:tr>
        <w:trPr>
          <w:trHeight w:val="210"/>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not paid</w:t>
            </w:r>
          </w:p>
        </w:tc>
        <w:tc>
          <w:tcPr>
            <w:tcW w:w="420" w:type="dxa"/>
            <w:vAlign w:val="bottom"/>
            <w:shd w:val="clear" w:color="auto" w:fill="CCEEFF"/>
          </w:tcPr>
          <w:p>
            <w:pPr>
              <w:jc w:val="right"/>
              <w:ind w:right="25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454,741</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15.</w:t>
            </w:r>
          </w:p>
        </w:tc>
        <w:tc>
          <w:tcPr>
            <w:tcW w:w="6700" w:type="dxa"/>
            <w:vAlign w:val="bottom"/>
            <w:gridSpan w:val="2"/>
          </w:tcPr>
          <w:p>
            <w:pPr>
              <w:ind w:left="140"/>
              <w:spacing w:after="0"/>
              <w:rPr>
                <w:sz w:val="20"/>
                <w:szCs w:val="20"/>
                <w:color w:val="auto"/>
              </w:rPr>
            </w:pPr>
            <w:r>
              <w:rPr>
                <w:rFonts w:ascii="Arial" w:cs="Arial" w:eastAsia="Arial" w:hAnsi="Arial"/>
                <w:sz w:val="18"/>
                <w:szCs w:val="18"/>
                <w:b w:val="1"/>
                <w:bCs w:val="1"/>
                <w:color w:val="auto"/>
              </w:rPr>
              <w:t>INCOME TAXES</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or Tax Reform Act. The Tax Reform Act makes broad and complex changes to the U.S. tax code that impacted the Company’s fiscal year ending August 31 2018, including, but not limited to, reducing the U.S. federal corporate tax rate from 35% to 21% effective January 1, 2018, generally eliminating U.S. federal income taxes on dividends received from foreign subsidiaries and joint ventures after December 31, 2017, and imposing a one-time deemed repatriation tax on certain unremitted earnings of foreign subsidiaries and joint ventures.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recorded income tax expense during the three months ended November 30, 2018 of $255,703, compared to $104,991 for the three months ended November 30, 2017.</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continues to analyze the impact of other provisions of the Tax Reform Act on its financial statements and operations, including the impact of the global intangible low-taxed income (GILTI) rules, and the impact of the Tax Reform Act on the Company’s indefinite reinvestment assertion with respect to the undistributed earnings of certain foreign subsidiaries and joint ventures. Any additional impacts from the enactment of the Tax Reform Act will be recorded as they are identified during the measurement period.</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796" w:right="319" w:bottom="1440" w:gutter="0" w:footer="0" w:header="0"/>
        </w:sectPr>
      </w:pPr>
    </w:p>
    <w:bookmarkStart w:id="21" w:name="page22"/>
    <w:bookmarkEnd w:id="21"/>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Arial" w:cs="Arial" w:eastAsia="Arial" w:hAnsi="Arial"/>
          <w:sz w:val="17"/>
          <w:szCs w:val="17"/>
          <w:i w:val="1"/>
          <w:iCs w:val="1"/>
          <w:color w:val="auto"/>
        </w:rPr>
        <w:t>Part I. Item 2. Management’s Discussion and Analysis of Financial Condition and Results of Operations—Forward-Looking Statements</w:t>
      </w:r>
      <w:r>
        <w:rPr>
          <w:rFonts w:ascii="Arial" w:cs="Arial" w:eastAsia="Arial" w:hAnsi="Arial"/>
          <w:sz w:val="17"/>
          <w:szCs w:val="17"/>
          <w:color w:val="auto"/>
        </w:rPr>
        <w:t>” in this report and under “</w:t>
      </w:r>
      <w:r>
        <w:rPr>
          <w:rFonts w:ascii="Arial" w:cs="Arial" w:eastAsia="Arial" w:hAnsi="Arial"/>
          <w:sz w:val="17"/>
          <w:szCs w:val="17"/>
          <w:i w:val="1"/>
          <w:iCs w:val="1"/>
          <w:color w:val="auto"/>
        </w:rPr>
        <w:t>Part 1. Item 1A. Risk Factors</w:t>
      </w:r>
      <w:r>
        <w:rPr>
          <w:rFonts w:ascii="Arial" w:cs="Arial" w:eastAsia="Arial" w:hAnsi="Arial"/>
          <w:sz w:val="17"/>
          <w:szCs w:val="17"/>
          <w:color w:val="auto"/>
        </w:rPr>
        <w:t>” in our annual report on Form 10-K for the fiscal year ended August 31, 2018. The following discussion of the results of the operations and financial condition of NTIC should be read in conjunction with NTIC’s consolidated financial statements and the related notes thereto included under the heading “</w:t>
      </w:r>
      <w:r>
        <w:rPr>
          <w:rFonts w:ascii="Arial" w:cs="Arial" w:eastAsia="Arial" w:hAnsi="Arial"/>
          <w:sz w:val="17"/>
          <w:szCs w:val="17"/>
          <w:i w:val="1"/>
          <w:iCs w:val="1"/>
          <w:color w:val="auto"/>
        </w:rPr>
        <w:t>Part I. Item 1. Financial Statements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 NTIC has</w:t>
      </w:r>
    </w:p>
    <w:p>
      <w:pPr>
        <w:spacing w:after="0" w:line="1" w:lineRule="exact"/>
        <w:rPr>
          <w:sz w:val="20"/>
          <w:szCs w:val="20"/>
          <w:color w:val="auto"/>
        </w:rPr>
      </w:pPr>
    </w:p>
    <w:p>
      <w:pPr>
        <w:ind w:right="180"/>
        <w:spacing w:after="0" w:line="234" w:lineRule="auto"/>
        <w:rPr>
          <w:sz w:val="20"/>
          <w:szCs w:val="20"/>
          <w:color w:val="auto"/>
        </w:rPr>
      </w:pPr>
      <w:r>
        <w:rPr>
          <w:rFonts w:ascii="Arial" w:cs="Arial" w:eastAsia="Arial" w:hAnsi="Arial"/>
          <w:sz w:val="16"/>
          <w:szCs w:val="16"/>
          <w:color w:val="auto"/>
        </w:rPr>
        <w:t>been selling its proprietary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to the automotive, electronics, electrical, mechanical, military and retail consumer markets for over 40 years, and in recent years, has targeted and expanded into the oil and gas industry. NTIC also markets and sells a portfolio of biobased and certified</w:t>
      </w:r>
    </w:p>
    <w:p>
      <w:pPr>
        <w:ind w:right="500"/>
        <w:spacing w:after="0" w:line="205" w:lineRule="auto"/>
        <w:rPr>
          <w:sz w:val="20"/>
          <w:szCs w:val="20"/>
          <w:color w:val="auto"/>
        </w:rPr>
      </w:pPr>
      <w:r>
        <w:rPr>
          <w:rFonts w:ascii="Arial" w:cs="Arial" w:eastAsia="Arial" w:hAnsi="Arial"/>
          <w:sz w:val="18"/>
          <w:szCs w:val="18"/>
          <w:color w:val="auto"/>
        </w:rPr>
        <w:t>compostable (fully biodegradable) polymer resin compounds and finished products under the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 These products are intended to reduce NTIC’s customers’ carbon footprint and provide environmentally sound waste disposal options.</w:t>
      </w:r>
    </w:p>
    <w:p>
      <w:pPr>
        <w:spacing w:after="0" w:line="207" w:lineRule="exact"/>
        <w:rPr>
          <w:sz w:val="20"/>
          <w:szCs w:val="20"/>
          <w:color w:val="auto"/>
        </w:rPr>
      </w:pPr>
    </w:p>
    <w:p>
      <w:pPr>
        <w:ind w:right="20"/>
        <w:spacing w:after="0"/>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w:t>
      </w:r>
    </w:p>
    <w:p>
      <w:pPr>
        <w:ind w:right="120"/>
        <w:spacing w:after="0" w:line="206" w:lineRule="auto"/>
        <w:rPr>
          <w:sz w:val="20"/>
          <w:szCs w:val="20"/>
          <w:color w:val="auto"/>
        </w:rPr>
      </w:pPr>
      <w:r>
        <w:rPr>
          <w:rFonts w:ascii="Arial" w:cs="Arial" w:eastAsia="Arial" w:hAnsi="Arial"/>
          <w:sz w:val="16"/>
          <w:szCs w:val="16"/>
          <w:color w:val="auto"/>
        </w:rPr>
        <w:t>prevention issues. NTIC’s technical service consultants work directly with the end users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to analyze their specific needs and develop systems to meet their performance requirements. In North America, NTIC sells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w:t>
      </w:r>
    </w:p>
    <w:p>
      <w:pPr>
        <w:spacing w:after="0" w:line="1"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solutions through a network of independent distributors and agents supported by a direct sales force. Internationally,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NTI Asean LLC (NTI Asean) its majority-owned subsidiary in Brazil, Zerust Prevenção de Corrosão S.A. (Zerust Brazil), and its wholly-owned subsidiary in Mexico, ZERUST-EXCOR MEXICO, S. de R.L. de C.V (Zerust Mexico), and joint venture arrangements in North America, Europe and Asia. NTIC also sells products directly to its joint venture partners through its wholly-owned subsidiary in Germany, NTIC Europe GmbH (NTI Europe).</w:t>
      </w:r>
    </w:p>
    <w:p>
      <w:pPr>
        <w:spacing w:after="0" w:line="204" w:lineRule="exact"/>
        <w:rPr>
          <w:sz w:val="20"/>
          <w:szCs w:val="20"/>
          <w:color w:val="auto"/>
        </w:rPr>
      </w:pPr>
    </w:p>
    <w:p>
      <w:pPr>
        <w:ind w:right="160"/>
        <w:spacing w:after="0"/>
        <w:rPr>
          <w:sz w:val="20"/>
          <w:szCs w:val="20"/>
          <w:color w:val="auto"/>
        </w:rPr>
      </w:pPr>
      <w:r>
        <w:rPr>
          <w:rFonts w:ascii="Arial" w:cs="Arial" w:eastAsia="Arial" w:hAnsi="Arial"/>
          <w:sz w:val="16"/>
          <w:szCs w:val="16"/>
          <w:color w:val="auto"/>
        </w:rPr>
        <w:t>One of NTIC’s strategic initiatives is to expand into and penetrate other markets for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technologies. Consequently, for the past several years, NTIC has focused significant sales and marketing efforts on the oil and gas industry, as the infrastructure that supports that industry is</w:t>
      </w:r>
    </w:p>
    <w:p>
      <w:pPr>
        <w:ind w:right="60"/>
        <w:spacing w:after="0" w:line="217" w:lineRule="auto"/>
        <w:rPr>
          <w:sz w:val="20"/>
          <w:szCs w:val="20"/>
          <w:color w:val="auto"/>
        </w:rPr>
      </w:pPr>
      <w:r>
        <w:rPr>
          <w:rFonts w:ascii="Arial" w:cs="Arial" w:eastAsia="Arial" w:hAnsi="Arial"/>
          <w:sz w:val="18"/>
          <w:szCs w:val="18"/>
          <w:color w:val="auto"/>
        </w:rPr>
        <w:t>typically constructed using metals that are highly susceptible to corrosion. NTIC believes that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will minimize maintenance downtime on critical oil and gas industry infrastructure, extend the life of such infrastructure and reduce the risk of environmental pollution due to corrosion leaks.</w:t>
      </w:r>
    </w:p>
    <w:p>
      <w:pPr>
        <w:spacing w:after="0" w:line="208" w:lineRule="exact"/>
        <w:rPr>
          <w:sz w:val="20"/>
          <w:szCs w:val="20"/>
          <w:color w:val="auto"/>
        </w:rPr>
      </w:pPr>
    </w:p>
    <w:p>
      <w:pPr>
        <w:spacing w:after="0" w:line="207" w:lineRule="auto"/>
        <w:rPr>
          <w:sz w:val="20"/>
          <w:szCs w:val="20"/>
          <w:color w:val="auto"/>
        </w:rPr>
      </w:pPr>
      <w:r>
        <w:rPr>
          <w:rFonts w:ascii="Arial" w:cs="Arial" w:eastAsia="Arial" w:hAnsi="Arial"/>
          <w:sz w:val="18"/>
          <w:szCs w:val="18"/>
          <w:color w:val="auto"/>
        </w:rPr>
        <w:t>NTIC markets and sells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prevention solutions to customers in the oil and gas industry across several countries either directly, through its subsidiaries or through its joint venture partners and other strategic partners. The sale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to customers in the oil and gas industry typically involves long sales cycles, often including multi-year trial periods with each customer and a slow integration process thereafter.</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22" w:name="page23"/>
    <w:bookmarkEnd w:id="22"/>
    <w:p>
      <w:pPr>
        <w:ind w:right="80"/>
        <w:spacing w:after="0" w:line="237"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biobased and compostable plastics are manufactured using NTIC’s patented and/or proprietary technologies and are intended to replace conventional petroleum-based plastics.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w:t>
      </w:r>
    </w:p>
    <w:p>
      <w:pPr>
        <w:spacing w:after="0" w:line="2" w:lineRule="exact"/>
        <w:rPr>
          <w:sz w:val="20"/>
          <w:szCs w:val="20"/>
          <w:color w:val="auto"/>
        </w:rPr>
      </w:pPr>
    </w:p>
    <w:p>
      <w:pPr>
        <w:ind w:right="160"/>
        <w:spacing w:after="0" w:line="224" w:lineRule="auto"/>
        <w:rPr>
          <w:sz w:val="20"/>
          <w:szCs w:val="20"/>
          <w:color w:val="auto"/>
        </w:rPr>
      </w:pPr>
      <w:r>
        <w:rPr>
          <w:rFonts w:ascii="Arial" w:cs="Arial" w:eastAsia="Arial" w:hAnsi="Arial"/>
          <w:sz w:val="16"/>
          <w:szCs w:val="16"/>
          <w:color w:val="auto"/>
        </w:rPr>
        <w:t>and leaf bags, pet waste collection bags, cutlery and coated paper products. In North America, NTIC markets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w:t>
      </w:r>
    </w:p>
    <w:p>
      <w:pPr>
        <w:spacing w:after="0" w:line="1" w:lineRule="exact"/>
        <w:rPr>
          <w:sz w:val="20"/>
          <w:szCs w:val="20"/>
          <w:color w:val="auto"/>
        </w:rPr>
      </w:pPr>
    </w:p>
    <w:p>
      <w:pPr>
        <w:ind w:right="100"/>
        <w:spacing w:after="0" w:line="204" w:lineRule="auto"/>
        <w:rPr>
          <w:sz w:val="20"/>
          <w:szCs w:val="20"/>
          <w:color w:val="auto"/>
        </w:rPr>
      </w:pPr>
      <w:r>
        <w:rPr>
          <w:rFonts w:ascii="Arial" w:cs="Arial" w:eastAsia="Arial" w:hAnsi="Arial"/>
          <w:sz w:val="18"/>
          <w:szCs w:val="18"/>
          <w:color w:val="auto"/>
        </w:rPr>
        <w:t>products. Internationally, NTIC sells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both directly and through its majority-owned subsidiary in India, Natur-Tec India Private Limited (Natur-Tec India), and through distributors and certain joint ventures.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Subsidiaries and Joint Venture Network</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NTIC has ownership interests in six subsidiaries in North America, South America, Europe and Asia. The following table sets forth a list of NTIC’s operating subsidiaries as of November 30, 2018, the country in which the subsidiary is organized and NTIC’s ownership percentage in each subsidiary: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Percent (%)</w:t>
            </w:r>
          </w:p>
        </w:tc>
      </w:tr>
      <w:tr>
        <w:trPr>
          <w:trHeight w:val="234"/>
        </w:trPr>
        <w:tc>
          <w:tcPr>
            <w:tcW w:w="8120" w:type="dxa"/>
            <w:vAlign w:val="bottom"/>
            <w:gridSpan w:val="2"/>
          </w:tcPr>
          <w:p>
            <w:pPr>
              <w:ind w:left="3340"/>
              <w:spacing w:after="0"/>
              <w:rPr>
                <w:sz w:val="20"/>
                <w:szCs w:val="20"/>
                <w:color w:val="auto"/>
              </w:rPr>
            </w:pPr>
            <w:r>
              <w:rPr>
                <w:rFonts w:ascii="Arial" w:cs="Arial" w:eastAsia="Arial" w:hAnsi="Arial"/>
                <w:sz w:val="18"/>
                <w:szCs w:val="18"/>
                <w:b w:val="1"/>
                <w:bCs w:val="1"/>
                <w:color w:val="auto"/>
              </w:rPr>
              <w:t>Subsidiary Name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Country</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10"/>
        </w:trPr>
        <w:tc>
          <w:tcPr>
            <w:tcW w:w="8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NTI Asean LLC</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United States</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60%</w:t>
            </w: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Brazil</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85%</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ZERUST-EXCOR MEXICO, S. de R.L. de C.V</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Mexico</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India</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w:t>
            </w: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NTIC Europe GmbH</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Germany</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subsidiaries are fully consolidated in NTIC’s consolidated financial statements.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September 1, 2018 the minority owner in Natur-Tec India made an additional capital contribution of INR 9,340,118 (US$ 134,034) which diluted NTIC ownership interest from 90% to 75%. This contribution was made with NTIC’s consent and with the intended purpose to increase the minority owner’s ownership interest accordingly.</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NTIC participates in 20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04"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The following table sets forth a list of NTIC’s operating joint ventures as of November 30, 2018, the country in which the joint venture is organized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NTIC’s ownership percentage in each joint venture: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Percent (%)</w:t>
            </w:r>
          </w:p>
        </w:tc>
      </w:tr>
      <w:tr>
        <w:trPr>
          <w:trHeight w:val="234"/>
        </w:trPr>
        <w:tc>
          <w:tcPr>
            <w:tcW w:w="8120" w:type="dxa"/>
            <w:vAlign w:val="bottom"/>
            <w:gridSpan w:val="2"/>
          </w:tcPr>
          <w:p>
            <w:pPr>
              <w:ind w:left="3240"/>
              <w:spacing w:after="0"/>
              <w:rPr>
                <w:sz w:val="20"/>
                <w:szCs w:val="20"/>
                <w:color w:val="auto"/>
              </w:rPr>
            </w:pPr>
            <w:r>
              <w:rPr>
                <w:rFonts w:ascii="Arial" w:cs="Arial" w:eastAsia="Arial" w:hAnsi="Arial"/>
                <w:sz w:val="18"/>
                <w:szCs w:val="18"/>
                <w:b w:val="1"/>
                <w:bCs w:val="1"/>
                <w:color w:val="auto"/>
              </w:rPr>
              <w:t>Joint Venture Name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Country</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10"/>
        </w:trPr>
        <w:tc>
          <w:tcPr>
            <w:tcW w:w="8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TAIYONIC LTD.</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1"/>
              </w:rPr>
              <w:t>Japan</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ACOBAL SAS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France</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EXCOR KORROSIONSSCHUTZ – TECHNOLOGIEN</w:t>
            </w:r>
            <w:r>
              <w:rPr>
                <w:rFonts w:ascii="Arial" w:cs="Arial" w:eastAsia="Arial" w:hAnsi="Arial"/>
                <w:sz w:val="18"/>
                <w:szCs w:val="18"/>
                <w:color w:val="FFFFFF"/>
              </w:rPr>
              <w:t>.</w:t>
            </w:r>
            <w:r>
              <w:rPr>
                <w:rFonts w:ascii="Arial" w:cs="Arial" w:eastAsia="Arial" w:hAnsi="Arial"/>
                <w:sz w:val="18"/>
                <w:szCs w:val="18"/>
                <w:color w:val="auto"/>
              </w:rPr>
              <w:t>UND PRODUKTE GMBH</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Germany</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ZERUST AB</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Sweden</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MOSTNIC-ZERUST</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Russia</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ZERUST OY</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Finland</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HARITA-NTI LTD</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India</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ZERUST (U.K.) LTD.</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United Kingdom</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EXCOR-ZERUST S.R.O.</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Czech Republic</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EXCOR SP. Z.O.O.</w:t>
            </w: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Poland</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A.Ş.</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Turkey</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ZERUST CONSUMER PRODUCTS, LLC</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United States</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 DNEPR</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Ukraine</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57"/>
        </w:trPr>
        <w:tc>
          <w:tcPr>
            <w:tcW w:w="8120" w:type="dxa"/>
            <w:vAlign w:val="bottom"/>
            <w:gridSpan w:val="2"/>
          </w:tcPr>
          <w:p>
            <w:pPr>
              <w:spacing w:after="0"/>
              <w:rPr>
                <w:sz w:val="20"/>
                <w:szCs w:val="20"/>
                <w:color w:val="auto"/>
              </w:rPr>
            </w:pPr>
            <w:r>
              <w:rPr>
                <w:rFonts w:ascii="Arial" w:cs="Arial" w:eastAsia="Arial" w:hAnsi="Arial"/>
                <w:sz w:val="18"/>
                <w:szCs w:val="18"/>
                <w:color w:val="auto"/>
              </w:rPr>
              <w:t>KOREA ZERUST CO., LTD.</w:t>
            </w:r>
          </w:p>
        </w:tc>
        <w:tc>
          <w:tcPr>
            <w:tcW w:w="170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6"/>
              </w:rPr>
              <w:t xml:space="preserve">South Korea </w:t>
            </w:r>
            <w:r>
              <w:rPr>
                <w:rFonts w:ascii="Arial" w:cs="Arial" w:eastAsia="Arial" w:hAnsi="Arial"/>
                <w:sz w:val="29"/>
                <w:szCs w:val="29"/>
                <w:color w:val="auto"/>
                <w:w w:val="86"/>
                <w:vertAlign w:val="superscript"/>
              </w:rPr>
              <w:t>(1)</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ZERUST-NIC (TAIWAN) CORP.</w:t>
            </w:r>
          </w:p>
        </w:tc>
        <w:tc>
          <w:tcPr>
            <w:tcW w:w="1700" w:type="dxa"/>
            <w:vAlign w:val="bottom"/>
            <w:gridSpan w:val="2"/>
            <w:shd w:val="clear" w:color="auto" w:fill="CCEEFF"/>
          </w:tcPr>
          <w:p>
            <w:pPr>
              <w:jc w:val="center"/>
              <w:ind w:right="100"/>
              <w:spacing w:after="0" w:line="256" w:lineRule="exact"/>
              <w:rPr>
                <w:sz w:val="20"/>
                <w:szCs w:val="20"/>
                <w:color w:val="auto"/>
              </w:rPr>
            </w:pPr>
            <w:r>
              <w:rPr>
                <w:rFonts w:ascii="Arial" w:cs="Arial" w:eastAsia="Arial" w:hAnsi="Arial"/>
                <w:sz w:val="18"/>
                <w:szCs w:val="18"/>
                <w:color w:val="auto"/>
                <w:w w:val="87"/>
              </w:rPr>
              <w:t xml:space="preserve">Taiwan </w:t>
            </w:r>
            <w:r>
              <w:rPr>
                <w:rFonts w:ascii="Arial" w:cs="Arial" w:eastAsia="Arial" w:hAnsi="Arial"/>
                <w:sz w:val="29"/>
                <w:szCs w:val="29"/>
                <w:color w:val="auto"/>
                <w:w w:val="87"/>
                <w:vertAlign w:val="superscript"/>
              </w:rPr>
              <w:t>(1)</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8120" w:type="dxa"/>
            <w:vAlign w:val="bottom"/>
            <w:gridSpan w:val="2"/>
          </w:tcPr>
          <w:p>
            <w:pPr>
              <w:spacing w:after="0"/>
              <w:rPr>
                <w:sz w:val="20"/>
                <w:szCs w:val="20"/>
                <w:color w:val="auto"/>
              </w:rPr>
            </w:pPr>
            <w:r>
              <w:rPr>
                <w:rFonts w:ascii="Arial" w:cs="Arial" w:eastAsia="Arial" w:hAnsi="Arial"/>
                <w:sz w:val="18"/>
                <w:szCs w:val="18"/>
                <w:color w:val="auto"/>
              </w:rPr>
              <w:t>PT. CHEMINDO – NTIA</w:t>
            </w:r>
          </w:p>
        </w:tc>
        <w:tc>
          <w:tcPr>
            <w:tcW w:w="170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6"/>
              </w:rPr>
              <w:t xml:space="preserve">Indonesia </w:t>
            </w:r>
            <w:r>
              <w:rPr>
                <w:rFonts w:ascii="Arial" w:cs="Arial" w:eastAsia="Arial" w:hAnsi="Arial"/>
                <w:sz w:val="29"/>
                <w:szCs w:val="29"/>
                <w:color w:val="auto"/>
                <w:w w:val="86"/>
                <w:vertAlign w:val="superscript"/>
              </w:rPr>
              <w:t>(1)</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SPECIALTY TECH CO. LTD.</w:t>
            </w:r>
          </w:p>
        </w:tc>
        <w:tc>
          <w:tcPr>
            <w:tcW w:w="1700" w:type="dxa"/>
            <w:vAlign w:val="bottom"/>
            <w:gridSpan w:val="2"/>
            <w:shd w:val="clear" w:color="auto" w:fill="CCEEFF"/>
          </w:tcPr>
          <w:p>
            <w:pPr>
              <w:jc w:val="center"/>
              <w:ind w:right="80"/>
              <w:spacing w:after="0" w:line="256" w:lineRule="exact"/>
              <w:rPr>
                <w:sz w:val="20"/>
                <w:szCs w:val="20"/>
                <w:color w:val="auto"/>
              </w:rPr>
            </w:pPr>
            <w:r>
              <w:rPr>
                <w:rFonts w:ascii="Arial" w:cs="Arial" w:eastAsia="Arial" w:hAnsi="Arial"/>
                <w:sz w:val="18"/>
                <w:szCs w:val="18"/>
                <w:color w:val="auto"/>
                <w:w w:val="88"/>
              </w:rPr>
              <w:t xml:space="preserve">Thailand </w:t>
            </w:r>
            <w:r>
              <w:rPr>
                <w:rFonts w:ascii="Arial" w:cs="Arial" w:eastAsia="Arial" w:hAnsi="Arial"/>
                <w:sz w:val="29"/>
                <w:szCs w:val="29"/>
                <w:color w:val="auto"/>
                <w:w w:val="88"/>
                <w:vertAlign w:val="superscript"/>
              </w:rPr>
              <w:t>(1)</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8120" w:type="dxa"/>
            <w:vAlign w:val="bottom"/>
            <w:gridSpan w:val="2"/>
          </w:tcPr>
          <w:p>
            <w:pPr>
              <w:spacing w:after="0"/>
              <w:rPr>
                <w:sz w:val="20"/>
                <w:szCs w:val="20"/>
                <w:color w:val="auto"/>
              </w:rPr>
            </w:pPr>
            <w:r>
              <w:rPr>
                <w:rFonts w:ascii="Arial" w:cs="Arial" w:eastAsia="Arial" w:hAnsi="Arial"/>
                <w:sz w:val="18"/>
                <w:szCs w:val="18"/>
                <w:color w:val="auto"/>
              </w:rPr>
              <w:t>CHONG WAH-NTIA SDN. BHD.</w:t>
            </w:r>
          </w:p>
        </w:tc>
        <w:tc>
          <w:tcPr>
            <w:tcW w:w="170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8"/>
              </w:rPr>
              <w:t xml:space="preserve">Malaysia </w:t>
            </w:r>
            <w:r>
              <w:rPr>
                <w:rFonts w:ascii="Arial" w:cs="Arial" w:eastAsia="Arial" w:hAnsi="Arial"/>
                <w:sz w:val="29"/>
                <w:szCs w:val="29"/>
                <w:color w:val="auto"/>
                <w:w w:val="88"/>
                <w:vertAlign w:val="superscript"/>
              </w:rPr>
              <w:t>(1)</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NTIA ZERUST PHILIPPINES, INC.</w:t>
            </w:r>
          </w:p>
        </w:tc>
        <w:tc>
          <w:tcPr>
            <w:tcW w:w="1700" w:type="dxa"/>
            <w:vAlign w:val="bottom"/>
            <w:gridSpan w:val="2"/>
            <w:shd w:val="clear" w:color="auto" w:fill="CCEEFF"/>
          </w:tcPr>
          <w:p>
            <w:pPr>
              <w:jc w:val="center"/>
              <w:ind w:right="100"/>
              <w:spacing w:after="0" w:line="256" w:lineRule="exact"/>
              <w:rPr>
                <w:sz w:val="20"/>
                <w:szCs w:val="20"/>
                <w:color w:val="auto"/>
              </w:rPr>
            </w:pPr>
            <w:r>
              <w:rPr>
                <w:rFonts w:ascii="Arial" w:cs="Arial" w:eastAsia="Arial" w:hAnsi="Arial"/>
                <w:sz w:val="18"/>
                <w:szCs w:val="18"/>
                <w:color w:val="auto"/>
                <w:w w:val="89"/>
              </w:rPr>
              <w:t xml:space="preserve">Philippines </w:t>
            </w:r>
            <w:r>
              <w:rPr>
                <w:rFonts w:ascii="Arial" w:cs="Arial" w:eastAsia="Arial" w:hAnsi="Arial"/>
                <w:sz w:val="29"/>
                <w:szCs w:val="29"/>
                <w:color w:val="auto"/>
                <w:w w:val="89"/>
                <w:vertAlign w:val="superscript"/>
              </w:rPr>
              <w:t>(1)</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r>
      <w:tr>
        <w:trPr>
          <w:trHeight w:val="242"/>
        </w:trPr>
        <w:tc>
          <w:tcPr>
            <w:tcW w:w="8120" w:type="dxa"/>
            <w:vAlign w:val="bottom"/>
            <w:gridSpan w:val="2"/>
          </w:tcPr>
          <w:p>
            <w:pPr>
              <w:spacing w:after="0"/>
              <w:rPr>
                <w:sz w:val="20"/>
                <w:szCs w:val="20"/>
                <w:color w:val="auto"/>
              </w:rPr>
            </w:pPr>
            <w:r>
              <w:rPr>
                <w:rFonts w:ascii="Arial" w:cs="Arial" w:eastAsia="Arial" w:hAnsi="Arial"/>
                <w:sz w:val="18"/>
                <w:szCs w:val="18"/>
                <w:color w:val="auto"/>
              </w:rPr>
              <w:t>ZERUST SINGAPORE PTE. LTD</w:t>
            </w:r>
          </w:p>
        </w:tc>
        <w:tc>
          <w:tcPr>
            <w:tcW w:w="1700" w:type="dxa"/>
            <w:vAlign w:val="bottom"/>
            <w:gridSpan w:val="2"/>
          </w:tcPr>
          <w:p>
            <w:pPr>
              <w:jc w:val="center"/>
              <w:ind w:right="100"/>
              <w:spacing w:after="0" w:line="242" w:lineRule="exact"/>
              <w:rPr>
                <w:sz w:val="20"/>
                <w:szCs w:val="20"/>
                <w:color w:val="auto"/>
              </w:rPr>
            </w:pPr>
            <w:r>
              <w:rPr>
                <w:rFonts w:ascii="Arial" w:cs="Arial" w:eastAsia="Arial" w:hAnsi="Arial"/>
                <w:sz w:val="17"/>
                <w:szCs w:val="17"/>
                <w:color w:val="auto"/>
                <w:w w:val="87"/>
              </w:rPr>
              <w:t xml:space="preserve">Singapore </w:t>
            </w:r>
            <w:r>
              <w:rPr>
                <w:rFonts w:ascii="Arial" w:cs="Arial" w:eastAsia="Arial" w:hAnsi="Arial"/>
                <w:sz w:val="28"/>
                <w:szCs w:val="28"/>
                <w:color w:val="auto"/>
                <w:w w:val="87"/>
                <w:vertAlign w:val="superscript"/>
              </w:rPr>
              <w:t>(1)(2)</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60%</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202"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Indirect ownership interest through NTI Asean.</w:t>
      </w:r>
    </w:p>
    <w:p>
      <w:pPr>
        <w:spacing w:after="0" w:line="23"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NTI Asean owns 100% of this joint venture.</w:t>
      </w:r>
    </w:p>
    <w:p>
      <w:pPr>
        <w:spacing w:after="0" w:line="2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NTIC receives funds from its joint ventures as fees received for services that NTIC provides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what amount is paid in a given year. The payment of a dividend by an entity is determined by a joint vote of the owners and is not at the sole discretion of NTIC.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NTIC accounts for the investments and financial results of its joint ventures in its financial statements utilizing the equity method of accounting.</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NTIC considers EXCOR to be individually significant to NTIC’s consolidated assets and income; and therefore, provides certain additional information regarding EXCOR in the notes to NTIC’s consolidated financial statements and in this section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NTIC’s consolidated net sales increased 22.1% during the three months ended November 30, 2018 compared to the three months ended November 30,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primarily a result of an increase in sales of ZERUST® oil and gas products and increased sales of Natur-Tec® products.</w:t>
      </w:r>
    </w:p>
    <w:p>
      <w:pPr>
        <w:spacing w:after="0" w:line="21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During the three months ended November 30, 2018, 71.4% of NTIC’s consolidated net sales were derived from sales of ZERUST® products and services, which increased 5.6% to $10,065,174 compared to $9,527,737 for the three months ended November 30, 2017. This increase was due primarily to higher sales of ZERUST® oil and gas products. NTIC has focused its sales efforts of ZERUST® products and services by strategically targeting customers with specific corrosion issues in new market areas, including the oil and gas industry and other industrial sectors that offer sizable growth opportunities. NTIC’s consolidated net sales for the three months ended November 30, 2018 included $986,173 of sales made to customers in the oil and gas industry compared to $283,842 for the three months ended November 30, 2017. Overall demand for ZERUST® products and services depends heavily on the overall health of the markets in which NTIC sells its products, including the automotive, oil and gas, agriculture, and mining markets in particular.</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4" w:name="page25"/>
    <w:bookmarkEnd w:id="24"/>
    <w:p>
      <w:pPr>
        <w:ind w:right="80"/>
        <w:spacing w:after="0" w:line="279" w:lineRule="auto"/>
        <w:rPr>
          <w:sz w:val="20"/>
          <w:szCs w:val="20"/>
          <w:color w:val="auto"/>
        </w:rPr>
      </w:pPr>
      <w:r>
        <w:rPr>
          <w:rFonts w:ascii="Arial" w:cs="Arial" w:eastAsia="Arial" w:hAnsi="Arial"/>
          <w:sz w:val="17"/>
          <w:szCs w:val="17"/>
          <w:color w:val="auto"/>
        </w:rPr>
        <w:t>During the three months ended November 30, 2018, 28.6% of NTIC’s consolidated net sales were derived from sales of Natur-Tec® products compared to 17.5% during the three months ended November 30, 2017. Net sales of Natur-Tec® products increased 99.9% during the three months ended November 30, 2018 compared to the three months ended November 30, 2017 primarily due to an increase in finished product sales in North America and finished product sales at NTIC’s majority-owned subsidiary in India, Natur-Tec India Private Limited (Natur-Tec India).</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Cost of goods sold as a percentage of net sales decreased to 67.1% during the three months ended November 30, 2018 compared to 68.3% during the three months ended November 30, 2017 primarily as a result of increased net sales and cost reductions realized on the raw materials associated with NTIC’s ZERUST® industrial products.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NTIC’s equity in income from joint ventures increased 15.1% to $2,004,162 during the three months ended November 30, 2018 compared to $1,741,328 during the three months ended November 30, 2017. This increase was primarily due to a corresponding increase in net sales at the joint ventures, which increased 7.0% to $30,479,926 during the three months ended November 30, 2018 compared to $28,498,711 for the three months ended November 30, 2017. The increase in net sales of NTIC’s joint ventures was due primarily to higher sales from existing customers for new and existing products as a result of increased demand. The increase in net sales of NTIC’s joint ventures resulted in a corresponding increase in fees for services provided to joint ventures as such fees are a function of net sales of NTIC’s joint ventures.</w:t>
      </w:r>
    </w:p>
    <w:p>
      <w:pPr>
        <w:spacing w:after="0" w:line="193"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NTIC’s total operating expenses increased 10.0% to $6,179,048 during the three months ended November 30, 2018 compared to $5,618,425 for the three months ended November 30, 2017. This increase was primarily due to an increase in NTIC’s personnel expenses.</w:t>
      </w:r>
    </w:p>
    <w:p>
      <w:pPr>
        <w:spacing w:after="0" w:line="147"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NTIC spent $872,157 and $798,731 during the three months ended November 30, 2018 and 2017, respectively, in connection with its research and development activities. NTIC anticipates that it will spend a total of between $3,200,000 and $3,500,000 in fiscal 2019 on research and development activities.</w:t>
      </w:r>
    </w:p>
    <w:p>
      <w:pPr>
        <w:spacing w:after="0" w:line="18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Net income attributable to NTIC increased $413,433 to $1,497,059, or $0.32 per diluted common share, for the three months ended November 30, 2018 compared to $1,083,626, or $0.24 per diluted common share, for the three months ended November 30, 2017. This increase was primarily the result of the increase in gross profit and joint venture operations, partially offset by the increase in operating expenses.</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NTIC anticipates that its quarterly net income or loss will continue to remain subject to significant volatility primarily due to the financial performance of its subsidiaries and joint ventures and sales of its ZERUST® products and services into the oil and gas industry and Natur-Tec® bioplastics products, which sales fluctuate more on a quarterly basis than the traditional ZERUST® business.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NTIC’s working capital, as defined as current assets less current liabilities, was $24,166,621 at November 30, 2018, including $4,518,951 in cash and cash equivalents and $1,711,930 in available for sale securities, compared to $22,837,591 at August 31, 2018, including $4,163,023, in cash and cash equivalents and $3,300,110 in available for sale securities.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October 24, 2018, the Company’s Board of Directors declared a cash dividend of $0.12 per share of NTIC’s common stock, payable on November 21, 2018 to stockholders of record on November 7, 2018. During fiscal 2018, the Company’s Board of Directors declared quarterly cash dividends of $0.10 per share. Although NTIC’s Board of Directors intends to continue to declare regular quarterly cash dividends,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800"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60" w:type="dxa"/>
            <w:vAlign w:val="bottom"/>
            <w:gridSpan w:val="10"/>
          </w:tcPr>
          <w:p>
            <w:pPr>
              <w:spacing w:after="0"/>
              <w:rPr>
                <w:sz w:val="20"/>
                <w:szCs w:val="20"/>
                <w:color w:val="auto"/>
              </w:rPr>
            </w:pPr>
            <w:r>
              <w:rPr>
                <w:rFonts w:ascii="Arial" w:cs="Arial" w:eastAsia="Arial" w:hAnsi="Arial"/>
                <w:sz w:val="18"/>
                <w:szCs w:val="18"/>
                <w:color w:val="auto"/>
                <w:w w:val="95"/>
              </w:rPr>
              <w:t>The following table sets forth NTIC’s results of operations for the three months ended November 30, 2018 and 2017.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November 30,</w:t>
            </w:r>
          </w:p>
        </w:tc>
        <w:tc>
          <w:tcPr>
            <w:tcW w:w="118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2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November 30,</w:t>
            </w:r>
          </w:p>
        </w:tc>
        <w:tc>
          <w:tcPr>
            <w:tcW w:w="118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50"/>
              <w:spacing w:after="0" w:line="191"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220" w:type="dxa"/>
            <w:vAlign w:val="bottom"/>
          </w:tcPr>
          <w:p>
            <w:pPr>
              <w:jc w:val="right"/>
              <w:ind w:right="450"/>
              <w:spacing w:after="0" w:line="19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5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Net Sales</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$ 13,610,865</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  11,035,407</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2,575,458</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483,187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507,631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(24,444)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9,461,137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7,888,470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1,572,667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from joint ventures</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2,004,162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1,741,328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262,834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Fees for services provided to joint ventures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1,428,435</w:t>
            </w:r>
          </w:p>
        </w:tc>
        <w:tc>
          <w:tcPr>
            <w:tcW w:w="1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1,507,142</w:t>
            </w:r>
          </w:p>
        </w:tc>
        <w:tc>
          <w:tcPr>
            <w:tcW w:w="1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(78,707)</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Selling expenses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2,811,094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2,599,949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211,145</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2,495,797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2,219,745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276,052</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872,157</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798,731</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73,426</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increased 22.1% to $14,094,052 during the three months ended November 30, 2018 compared to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November 30, 2017. NTIC’s consolidated net sales to unaffiliated customers excluding NTIC’s joint ventures increased 23.3% to $13,610,865 during the three months ended November 30, 2018 compared to the same period in fiscal 2018. These increases were primarily a result of an increase in sales of ZERUST® oil and gas products and increased sales of Natur-Tec® products. Net sales to joint ventures decreased 4.8% to $483,187 during the three months ended November 30, 2018 compared to the same period in fiscal 2018. This decrease was primarily a result of decreased demand.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segment for the three months ended November 30, 2018 and 2017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5"/>
          </w:tcPr>
          <w:p>
            <w:pPr>
              <w:ind w:left="660"/>
              <w:spacing w:after="0"/>
              <w:rPr>
                <w:sz w:val="20"/>
                <w:szCs w:val="20"/>
                <w:color w:val="auto"/>
              </w:rPr>
            </w:pPr>
            <w:r>
              <w:rPr>
                <w:rFonts w:ascii="Arial" w:cs="Arial" w:eastAsia="Arial" w:hAnsi="Arial"/>
                <w:sz w:val="18"/>
                <w:szCs w:val="18"/>
                <w:b w:val="1"/>
                <w:bCs w:val="1"/>
                <w:color w:val="auto"/>
              </w:rPr>
              <w:t>Three Months Ended</w:t>
            </w:r>
          </w:p>
        </w:tc>
        <w:tc>
          <w:tcPr>
            <w:tcW w:w="1640" w:type="dxa"/>
            <w:vAlign w:val="bottom"/>
            <w:tcBorders>
              <w:bottom w:val="single" w:sz="8" w:color="auto"/>
            </w:tcBorders>
          </w:tcPr>
          <w:p>
            <w:pPr>
              <w:spacing w:after="0"/>
              <w:rPr>
                <w:sz w:val="20"/>
                <w:szCs w:val="20"/>
                <w:color w:val="auto"/>
              </w:rPr>
            </w:pPr>
          </w:p>
        </w:tc>
      </w:tr>
      <w:tr>
        <w:trPr>
          <w:trHeight w:val="191"/>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November 30,</w:t>
            </w:r>
          </w:p>
        </w:tc>
        <w:tc>
          <w:tcPr>
            <w:tcW w:w="180" w:type="dxa"/>
            <w:vAlign w:val="bottom"/>
          </w:tcPr>
          <w:p>
            <w:pPr>
              <w:spacing w:after="0"/>
              <w:rPr>
                <w:sz w:val="16"/>
                <w:szCs w:val="16"/>
                <w:color w:val="auto"/>
              </w:rPr>
            </w:pPr>
          </w:p>
        </w:tc>
        <w:tc>
          <w:tcPr>
            <w:tcW w:w="140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w w:val="94"/>
              </w:rPr>
              <w:t>November 30,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670"/>
              <w:spacing w:after="0" w:line="191"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640" w:type="dxa"/>
            <w:vAlign w:val="bottom"/>
          </w:tcPr>
          <w:p>
            <w:pPr>
              <w:jc w:val="right"/>
              <w:ind w:right="65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Change</w:t>
            </w:r>
          </w:p>
        </w:tc>
        <w:tc>
          <w:tcPr>
            <w:tcW w:w="164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ZERUST®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10,065,174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9,527,737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537,437</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Natur-Tec® sales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4,028,878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2,015,301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2,013,577</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r>
      <w:tr>
        <w:trPr>
          <w:trHeight w:val="21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14,094,052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11,543,038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2,551,014</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bl>
    <w:p>
      <w:pPr>
        <w:spacing w:after="0" w:line="205" w:lineRule="exact"/>
        <w:rPr>
          <w:sz w:val="20"/>
          <w:szCs w:val="20"/>
          <w:color w:val="auto"/>
        </w:rPr>
      </w:pPr>
    </w:p>
    <w:p>
      <w:pPr>
        <w:ind w:right="140"/>
        <w:spacing w:after="0"/>
        <w:rPr>
          <w:sz w:val="20"/>
          <w:szCs w:val="20"/>
          <w:color w:val="auto"/>
        </w:rPr>
      </w:pPr>
      <w:r>
        <w:rPr>
          <w:rFonts w:ascii="Arial" w:cs="Arial" w:eastAsia="Arial" w:hAnsi="Arial"/>
          <w:sz w:val="16"/>
          <w:szCs w:val="16"/>
          <w:color w:val="auto"/>
        </w:rPr>
        <w:t>During the three months ended November 30, 2018, 71.4% of NTIC’s consolidated net sales were derived from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which increased 5.6% to $10,065,174 during the three months ended November 30, 2018 compared to $9,527,737 during the three months ended November</w:t>
      </w:r>
    </w:p>
    <w:p>
      <w:pPr>
        <w:ind w:right="340"/>
        <w:spacing w:after="0" w:line="234" w:lineRule="auto"/>
        <w:rPr>
          <w:sz w:val="20"/>
          <w:szCs w:val="20"/>
          <w:color w:val="auto"/>
        </w:rPr>
      </w:pPr>
      <w:r>
        <w:rPr>
          <w:rFonts w:ascii="Arial" w:cs="Arial" w:eastAsia="Arial" w:hAnsi="Arial"/>
          <w:sz w:val="16"/>
          <w:szCs w:val="16"/>
          <w:color w:val="auto"/>
        </w:rPr>
        <w:t>30, 2017. This increase was due to increased demand from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oil and gas net sales. NTIC has strategically focused its sales efforts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on customers with sizeable corrosion problems in industry sectors that offer sizable growth opportunities, including the oil and gas</w:t>
      </w:r>
    </w:p>
    <w:p>
      <w:pPr>
        <w:spacing w:after="0" w:line="2" w:lineRule="exact"/>
        <w:rPr>
          <w:sz w:val="20"/>
          <w:szCs w:val="20"/>
          <w:color w:val="auto"/>
        </w:rPr>
      </w:pPr>
    </w:p>
    <w:p>
      <w:pPr>
        <w:ind w:right="180"/>
        <w:spacing w:after="0" w:line="205" w:lineRule="auto"/>
        <w:rPr>
          <w:sz w:val="20"/>
          <w:szCs w:val="20"/>
          <w:color w:val="auto"/>
        </w:rPr>
      </w:pPr>
      <w:r>
        <w:rPr>
          <w:rFonts w:ascii="Arial" w:cs="Arial" w:eastAsia="Arial" w:hAnsi="Arial"/>
          <w:sz w:val="18"/>
          <w:szCs w:val="18"/>
          <w:color w:val="auto"/>
        </w:rPr>
        <w:t>sector. Overall demand for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depends heavily on the overall health of the market segments to which NTIC sells its products, including the automotive, oil and gas, agriculture, and mining markets in particular.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sets forth NTIC’s net sales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for the three months ended November 30, 2018 and 2017: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8"/>
                <w:szCs w:val="18"/>
                <w:b w:val="1"/>
                <w:bCs w:val="1"/>
                <w:color w:val="auto"/>
              </w:rPr>
              <w:t>Three Months Ended</w:t>
            </w:r>
          </w:p>
        </w:tc>
        <w:tc>
          <w:tcPr>
            <w:tcW w:w="1680" w:type="dxa"/>
            <w:vAlign w:val="bottom"/>
            <w:tcBorders>
              <w:bottom w:val="single" w:sz="8" w:color="auto"/>
            </w:tcBorders>
          </w:tcPr>
          <w:p>
            <w:pPr>
              <w:spacing w:after="0"/>
              <w:rPr>
                <w:sz w:val="20"/>
                <w:szCs w:val="20"/>
                <w:color w:val="auto"/>
              </w:rPr>
            </w:pPr>
          </w:p>
        </w:tc>
      </w:tr>
      <w:tr>
        <w:trPr>
          <w:trHeight w:val="191"/>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4"/>
              </w:rPr>
              <w:t>November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4"/>
              </w:rPr>
              <w:t>November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670"/>
              <w:spacing w:after="0" w:line="191"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680" w:type="dxa"/>
            <w:vAlign w:val="bottom"/>
          </w:tcPr>
          <w:p>
            <w:pPr>
              <w:jc w:val="right"/>
              <w:ind w:right="69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4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Change</w:t>
            </w:r>
          </w:p>
        </w:tc>
        <w:tc>
          <w:tcPr>
            <w:tcW w:w="1680" w:type="dxa"/>
            <w:vAlign w:val="bottom"/>
          </w:tcPr>
          <w:p>
            <w:pPr>
              <w:jc w:val="right"/>
              <w:ind w:right="45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8,595,814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8,736,264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(140,450)</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483,187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507,631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(24,444)</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986,173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283,842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702,331</w:t>
            </w: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w:t>
            </w:r>
          </w:p>
        </w:tc>
      </w:tr>
      <w:tr>
        <w:trPr>
          <w:trHeight w:val="224"/>
        </w:trPr>
        <w:tc>
          <w:tcPr>
            <w:tcW w:w="4660" w:type="dxa"/>
            <w:vAlign w:val="bottom"/>
          </w:tcPr>
          <w:p>
            <w:pPr>
              <w:ind w:left="180"/>
              <w:spacing w:after="0"/>
              <w:rPr>
                <w:sz w:val="20"/>
                <w:szCs w:val="20"/>
                <w:color w:val="auto"/>
              </w:rPr>
            </w:pPr>
            <w:r>
              <w:rPr>
                <w:rFonts w:ascii="Arial" w:cs="Arial" w:eastAsia="Arial" w:hAnsi="Arial"/>
                <w:sz w:val="18"/>
                <w:szCs w:val="18"/>
                <w:color w:val="auto"/>
              </w:rPr>
              <w:t>Total ZERUST® 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10,065,174</w:t>
            </w:r>
          </w:p>
        </w:tc>
        <w:tc>
          <w:tcPr>
            <w:tcW w:w="1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9,527,737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537,437</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187" w:lineRule="exact"/>
        <w:rPr>
          <w:sz w:val="20"/>
          <w:szCs w:val="20"/>
          <w:color w:val="auto"/>
        </w:rPr>
      </w:pPr>
    </w:p>
    <w:p>
      <w:pPr>
        <w:ind w:right="440"/>
        <w:spacing w:after="0" w:line="242" w:lineRule="auto"/>
        <w:rPr>
          <w:sz w:val="20"/>
          <w:szCs w:val="20"/>
          <w:color w:val="auto"/>
        </w:rPr>
      </w:pPr>
      <w:r>
        <w:rPr>
          <w:rFonts w:ascii="Arial" w:cs="Arial" w:eastAsia="Arial" w:hAnsi="Arial"/>
          <w:sz w:val="16"/>
          <w:szCs w:val="16"/>
          <w:color w:val="auto"/>
        </w:rPr>
        <w:t>NTIC’s net sales to the oil and gas industry sector increased during the three months ended November 30, 2018 compared to the prior fiscal year period, primarily due to increased demand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industrial products and services and the addition of new customers in North America and China and</w:t>
      </w:r>
    </w:p>
    <w:p>
      <w:pPr>
        <w:spacing w:after="0" w:line="1"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increased demand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oil and gas products and services. NTIC anticipates that its sales of ZERUST® products and services into the oil and gas industry will continue to remain subject to significant volatility from quarter to quarter as sales are recognized, specifically due to the volatility of oil prices.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three months ended November 30, 2018, 28.6% of NTIC’s consolidated net sales were derived from sales of Natur-Tec® products, which increased 99.9% to $4,028,878 during the three months ended November 30, 2018 compared to the three months ended November 30, 2017. This increase is primarily due to an increase in finished product sales in North America and finished product sales at NTIC’s majority-owned subsidiary in India, Natur-Tec India Private Limited (Natur-Tec India).</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increased 19.9% for the three months ended November 30, 2018 compared to the three months ended November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Cost of goods sold as a percentage of net sales decreased to 67.1% for the three months ended November 30, 2018 compared to 68.3% for the three months ended November 30, 2017.</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 xml:space="preserve">Equity in Income from Joint Ventures. </w:t>
      </w:r>
      <w:r>
        <w:rPr>
          <w:rFonts w:ascii="Arial" w:cs="Arial" w:eastAsia="Arial" w:hAnsi="Arial"/>
          <w:sz w:val="16"/>
          <w:szCs w:val="16"/>
          <w:color w:val="auto"/>
        </w:rPr>
        <w:t>NTIC’s equity in income from joint ventures increased 15.1% to $2,004,162 during the three months ended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2018 compared to $1,741,328 during the three months ended November 30, 2017. This increase was primarily a result of improved profitability at the joint ventures. Of the total equity in income from joint ventures, NTIC had equity in income from joint ventures of $1,519,901 attributable to EXCOR during the three months ended November 30, 2018 compared to $1,241,900 during the three months ended November 30, 2017.</w:t>
      </w:r>
    </w:p>
    <w:p>
      <w:pPr>
        <w:spacing w:after="0" w:line="15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Fees for Services Provided to Joint Ventures</w:t>
      </w:r>
      <w:r>
        <w:rPr>
          <w:rFonts w:ascii="Arial" w:cs="Arial" w:eastAsia="Arial" w:hAnsi="Arial"/>
          <w:sz w:val="17"/>
          <w:szCs w:val="17"/>
          <w:color w:val="auto"/>
        </w:rPr>
        <w:t>. NTIC recognized fee income for services provided to joint ventures of $1,428,435 during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November 30, 2018 compared to $1,507,142 during the three months ended November 30, 2017, representing an decrease of $78,707, or 5.2%. Fee income for services provided to joint ventures is traditionally a function of the sales made by NTIC’s joint ventures. Total net sales of NTIC’s joint ventures increased 7.0% to $30,479,926 during the three months ended November 30, 2018 compared to $28,498,711 for the three months ended November 30, 2017. Net sales of NTIC’s joint ventures are not included in NTIC’s consolidated financial statements. Of the total fee income for services provided to joint ventures, fees of $214,992 were attributable to EXCOR during the three months ended November 30, 2018 compared to $219,873 attributable to EXCOR during the three months ended November 30, 2017.</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increased 8.1% for the three months ended November 30, 2018 compared to the same period in fiscal 2018 due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increases in operating expenses associated with ZERUST® sales efforts, consisting primarily of selling and personnel expenses. Selling expenses as a percentage of net sales decreased to 19.9% for the three months ended November 30, 2018, from 22.5% during the three months ended November 30, 2017 primarily due to the increase in net sales, as previously described.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04" w:right="239" w:bottom="1440" w:gutter="0" w:footer="0" w:header="0"/>
        </w:sectPr>
      </w:pPr>
    </w:p>
    <w:bookmarkStart w:id="27" w:name="page28"/>
    <w:bookmarkEnd w:id="27"/>
    <w:p>
      <w:pPr>
        <w:ind w:right="60"/>
        <w:spacing w:after="0" w:line="259"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increased 12.4% for the three months ended November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fiscal 2018 primarily due to increased personnel costs. As a percentage of net sales, general and administrative expenses decreased to 17.7% for the three months ended November 30, 2018 from 19.2% for the three months ended November 30, 2017 due primarily to the increase in net sales, as previously described.</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increased 9.2% for the three months ended November 30, 2018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 in fiscal 2018 due to primarily increases in research and development efforts.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$12,787 during the three months ended November 30, 2018 compared to $24,056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2017 due to changing levels of invested cash.</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$2,357 during the three months ended November 30, 2018 compared to $5,089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2017.</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Income Before Income Tax Expense</w:t>
      </w:r>
      <w:r>
        <w:rPr>
          <w:rFonts w:ascii="Arial" w:cs="Arial" w:eastAsia="Arial" w:hAnsi="Arial"/>
          <w:sz w:val="18"/>
          <w:szCs w:val="18"/>
          <w:color w:val="auto"/>
        </w:rPr>
        <w:t>. NTIC incurred income before income tax expense equal to $1,896,894 for the three months ended November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$1,303,580 for the three months ended November 30, 2017.</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was $255,703 during the three months ended November 30, 2018 compared to $104,991 during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November 30, 2017. Income tax expense was calculated based on management’s estimate of NTIC’s annual effective income tax rate.</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$21,082,622 and $20,921,783 at November 30, 2018 and August 31, 2018, respectively. To the extent undistributed earnings of NTIC’s joint ventures are distributed in the future, they are not expected to result in any material additional income tax liability after the application of foreign tax credits.</w:t>
      </w:r>
    </w:p>
    <w:p>
      <w:pPr>
        <w:spacing w:after="0" w:line="188"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i w:val="1"/>
          <w:iCs w:val="1"/>
          <w:color w:val="auto"/>
        </w:rPr>
        <w:t>Net Income Attributable to NTIC</w:t>
      </w:r>
      <w:r>
        <w:rPr>
          <w:rFonts w:ascii="Arial" w:cs="Arial" w:eastAsia="Arial" w:hAnsi="Arial"/>
          <w:sz w:val="16"/>
          <w:szCs w:val="16"/>
          <w:color w:val="auto"/>
        </w:rPr>
        <w:t>. Net income attributable to NTIC increased $413,433 to $1,497,059, or $0.32 per diluted common share,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November 30, 2018 compared to $1,083,626, or $0.24 per diluted common share, for the three months ended November 30, 2017. This increase was primarily the result of the increase in gross profit and joint venture operations, partially offset by the increase in operating expenses.</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Other Comprehensive Income - Foreign Currency Translations Adjustment. </w:t>
      </w:r>
      <w:r>
        <w:rPr>
          <w:rFonts w:ascii="Arial" w:cs="Arial" w:eastAsia="Arial" w:hAnsi="Arial"/>
          <w:sz w:val="18"/>
          <w:szCs w:val="18"/>
          <w:color w:val="auto"/>
        </w:rPr>
        <w:t>The changes in the foreign currency translations adjustment was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 of the U.S. dollar compared to the Euro and other foreign currencies during the three months ended November 30, 2018 compared to the same period in fiscal 2018.</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NTIC’s working capital, defined as current assets less current liabilities, was $24,166,621 at November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$4,518,951 in cash and cash equivalents and $1,711,930 in available for sale securities, compared to $22,837,591 at August 31, 2018, including $4,163,023 in cash and cash equivalents and $3,300,110 in available for sale securities.</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of November 30, 2018, NTIC had a revolving line of credit with PNC Bank of $3,000,000, with no amounts outstanding.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On November 30, 2018, the Company and PNC Bank extended the maturity date of the line of credit from January 7, 2019 to January 7, 2020. All other terms of the line of credit and the loan agreement and other documents evidencing the line of credit remain the same. It is anticipated that, as historically has been the practice, the line of credit will be renewed each year for one additional year for the immediate foreseeable future.</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lines of credit issued by PNC Bank would decrease the availability under the revolving line of credit.</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November 30, 2018, NTIC was in compliance with all debt covenants.</w:t>
      </w:r>
    </w:p>
    <w:p>
      <w:pPr>
        <w:spacing w:after="0" w:line="17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2019, NTIC expects to continue to invest in NTIC China, research and development and in marketing efforts and resources for the application of its corrosion prevention technology in the oil and gas industry and its Natur-Tec® bio-plastics business, although the amounts of these various investments are not known at this time.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Uses of Cash and Cash Flows</w:t>
      </w:r>
      <w:r>
        <w:rPr>
          <w:rFonts w:ascii="Arial" w:cs="Arial" w:eastAsia="Arial" w:hAnsi="Arial"/>
          <w:sz w:val="17"/>
          <w:szCs w:val="17"/>
          <w:color w:val="auto"/>
        </w:rPr>
        <w:t>. Net cash used in operating activities during the three months ended November 30, 2018 was $738,606, which resulted</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principally from NTIC’s equity in income from joint ventures, an increase in inventory and increases in trade receivables excluding joint ventures, and income tax payable, partially offset by NTIC’s net income, depreciation and amortization and an increase in accounts payable and accrued liabilities. Net cash used in operating activities during the three months ended November 30, 2017 was $1,429,783, which resulted principally from NTIC’s equity in income from joint ventures, an increase in inventory and increases in trade receivables excluding joint ventures, accrued liabilities, and income tax payable, partially offset by NTIC’s net income, depreciation and amortization and an increase in accounts payable.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9" w:name="page30"/>
    <w:bookmarkEnd w:id="29"/>
    <w:p>
      <w:pPr>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188"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NTIC experienced an increase in trade receivables and inventory as of November 30, 2018 compared to August 31, 2018. Trade receivables excluding joint ventures as of November 30, 2018 increased $343,517 compared to August 31, 2018, primarily related to the timing of collections and the increase in sales.</w:t>
      </w:r>
    </w:p>
    <w:p>
      <w:pPr>
        <w:spacing w:after="0" w:line="12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Outstanding trade receivables excluding joint ventures balances as of November 30, 2018 increased 4 days to an average of 69 days from balances outstanding from these customers as of August 31, 2018.</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Outstanding trade receivables from joint ventures as of November 30, 2018 decreased $181,670 compared to August 31, 2018 primarily due to the timing of payments. Outstanding balances from trade receivables from joint ventures increased an average of 10 days from an average of 99 days from balances outstanding from these customers compared to August 31, 2018. The significant average days outstanding of trade receivables from joint ventures as of November 30, 2018 were primarily due to the receivables balances at NTIC’s joint ventures in South Korea, India and Thailand.</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Outstanding receivables for services provided to joint ventures as of November 30, 2018 decreased $85,177 compared to August 31, 2018 and the average days to pay decreased an average of one day from an average of 82 days compared to August 31, 2018.</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provided by investing activities for the three months ended November 30, 2018 was $1,463,950, which was primarily the result of cash provided by the sale of available for sale securities, partially offset by additions to property and equipment and additions to patents. Net cash used in investing activities for the three months ended November 30, 2017 was $121,930, which was primarily the result of cash used in the purchase of available for sale securities, additions to property and equipment, and additions to patents.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cash used in financing activities for the three months ended November 30, 2018 was $393,346, which resulted from dividends paid on NTIC common stock, partially offset by an investment by non-controlling interest and proceeds from NTIC’s employee stock purchase plan. Net cash used in financing activities for the three months ended November 30, 2017 was $172,144, which resulted from a dividend paid to a non-controlling interest, partially offset by proceeds from NTIC’s employee stock purchase plan and stock option exercises.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800" w:right="339" w:bottom="1440" w:gutter="0" w:footer="0" w:header="0"/>
        </w:sectPr>
      </w:pPr>
    </w:p>
    <w:bookmarkStart w:id="30" w:name="page31"/>
    <w:bookmarkEnd w:id="30"/>
    <w:p>
      <w:pPr>
        <w:ind w:right="280"/>
        <w:spacing w:after="0" w:line="302" w:lineRule="auto"/>
        <w:rPr>
          <w:sz w:val="20"/>
          <w:szCs w:val="20"/>
          <w:color w:val="auto"/>
        </w:rPr>
      </w:pPr>
      <w:r>
        <w:rPr>
          <w:rFonts w:ascii="Arial" w:cs="Arial" w:eastAsia="Arial" w:hAnsi="Arial"/>
          <w:sz w:val="16"/>
          <w:szCs w:val="16"/>
          <w:i w:val="1"/>
          <w:iCs w:val="1"/>
          <w:color w:val="auto"/>
        </w:rPr>
        <w:t>Share Repurchase Plan</w:t>
      </w:r>
      <w:r>
        <w:rPr>
          <w:rFonts w:ascii="Arial" w:cs="Arial" w:eastAsia="Arial" w:hAnsi="Arial"/>
          <w:sz w:val="16"/>
          <w:szCs w:val="16"/>
          <w:color w:val="auto"/>
        </w:rPr>
        <w:t>. On January 15, 2015, NTIC’s Board of Directors authorized the repurchase of up to $3,000,000 in shares of NTIC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open market purchases or unsolicited or solicited privately negotiated transactions. This program has no expiration date but may be terminated by NTIC’s Board of Directors at any time. No repurchases occurred during the three months ended November 30, 2018. As of November 30, 2018, up to $2,640,548 in shares of NTIC common stock remained available for repurchase under NTIC’s stock repurchase program.</w:t>
      </w:r>
    </w:p>
    <w:p>
      <w:pPr>
        <w:spacing w:after="0" w:line="154"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i w:val="1"/>
          <w:iCs w:val="1"/>
          <w:color w:val="auto"/>
        </w:rPr>
        <w:t>Cash Dividends</w:t>
      </w:r>
      <w:r>
        <w:rPr>
          <w:rFonts w:ascii="Arial" w:cs="Arial" w:eastAsia="Arial" w:hAnsi="Arial"/>
          <w:sz w:val="16"/>
          <w:szCs w:val="16"/>
          <w:color w:val="auto"/>
        </w:rPr>
        <w:t>. On October 24, 2018, the Company’s Board of Directors declared a cash dividend of $0.12 per share of NTIC’s common stock,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21, 2018 to stockholders of record on November 7, 2018. Although NTIC’s Board of Directors intends to declare regular quarterly cash dividends going forward,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w:t>
      </w:r>
    </w:p>
    <w:p>
      <w:pPr>
        <w:spacing w:after="0" w:line="154"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spent $106,300 on capital expenditures during the three months ended November 30, 2018, which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the purchase of new equipment. NTIC expects to spend an aggregate of approximately $600,000 to $900,000 on capital expenditures during fiscal 2019, which it expects will relate primarily to the purchase of new equipment.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There has been no material change to NTIC’s contractual obligations as provided in “</w:t>
      </w:r>
      <w:r>
        <w:rPr>
          <w:rFonts w:ascii="Arial" w:cs="Arial" w:eastAsia="Arial" w:hAnsi="Arial"/>
          <w:sz w:val="16"/>
          <w:szCs w:val="16"/>
          <w:i w:val="1"/>
          <w:iCs w:val="1"/>
          <w:color w:val="auto"/>
        </w:rPr>
        <w:t>Part II. Item 7, 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Operations—Contractual Obligations</w:t>
      </w:r>
      <w:r>
        <w:rPr>
          <w:rFonts w:ascii="Arial" w:cs="Arial" w:eastAsia="Arial" w:hAnsi="Arial"/>
          <w:sz w:val="16"/>
          <w:szCs w:val="16"/>
          <w:color w:val="auto"/>
        </w:rPr>
        <w:t>,” included in NTIC’s annual report on Form 10-K for the fiscal year ended August 31,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Inflation in the United States and abroad historically has had little effect on NTIC. Although NTIC’s business historically has not been seasonal, NTIC believes there is now some seasonality in its business. NTIC anticipates its net sales in second fiscal quarter may be adversely affected by the long Chinese New Year, the North American holiday season and overall less corrosion taking place at lower winter temperatures worldwide.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31" w:name="page32"/>
    <w:bookmarkEnd w:id="31"/>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November 30, 2018, NTIC had no borrowings under the line of credit.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w:t>
      </w:r>
      <w:r>
        <w:rPr>
          <w:rFonts w:ascii="Arial" w:cs="Arial" w:eastAsia="Arial" w:hAnsi="Arial"/>
          <w:sz w:val="18"/>
          <w:szCs w:val="18"/>
          <w:i w:val="1"/>
          <w:iCs w:val="1"/>
          <w:color w:val="auto"/>
        </w:rPr>
        <w:t>Part II. Item 7,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Operations—Critical Accounting Policies</w:t>
      </w:r>
      <w:r>
        <w:rPr>
          <w:rFonts w:ascii="Arial" w:cs="Arial" w:eastAsia="Arial" w:hAnsi="Arial"/>
          <w:sz w:val="18"/>
          <w:szCs w:val="18"/>
          <w:color w:val="auto"/>
        </w:rPr>
        <w:t>,” included in NTIC’s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ended August 31, 2018, other than as a result of NTIC’s adoption of ASC 606.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outcome of contingencies such as legal proceedings and the effect of the liquidation of Tianjin Zerust and the operations of NTIC China.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Arial" w:cs="Arial" w:eastAsia="Arial" w:hAnsi="Arial"/>
          <w:sz w:val="17"/>
          <w:szCs w:val="17"/>
          <w:i w:val="1"/>
          <w:iCs w:val="1"/>
          <w:color w:val="auto"/>
        </w:rPr>
        <w:t>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 and Results of Operations</w:t>
      </w:r>
      <w:r>
        <w:rPr>
          <w:rFonts w:ascii="Arial" w:cs="Arial" w:eastAsia="Arial" w:hAnsi="Arial"/>
          <w:sz w:val="17"/>
          <w:szCs w:val="17"/>
          <w:color w:val="auto"/>
        </w:rPr>
        <w:t>.”</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32" w:name="page33"/>
    <w:bookmarkEnd w:id="32"/>
    <w:p>
      <w:pPr>
        <w:ind w:right="14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980" w:right="5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and any turmoil and disruption in the global credit and financial markets on NTIC’s business;</w:t>
      </w:r>
    </w:p>
    <w:p>
      <w:pPr>
        <w:spacing w:after="0" w:line="174" w:lineRule="exact"/>
        <w:rPr>
          <w:rFonts w:ascii="Arial" w:cs="Arial" w:eastAsia="Arial" w:hAnsi="Arial"/>
          <w:sz w:val="18"/>
          <w:szCs w:val="18"/>
          <w:color w:val="auto"/>
        </w:rPr>
      </w:pPr>
    </w:p>
    <w:p>
      <w:pPr>
        <w:ind w:left="980" w:right="500" w:hanging="324"/>
        <w:spacing w:after="0" w:line="202" w:lineRule="auto"/>
        <w:tabs>
          <w:tab w:leader="none" w:pos="980" w:val="left"/>
        </w:tabs>
        <w:numPr>
          <w:ilvl w:val="0"/>
          <w:numId w:val="17"/>
        </w:numPr>
        <w:rPr>
          <w:rFonts w:ascii="Arial" w:cs="Arial" w:eastAsia="Arial" w:hAnsi="Arial"/>
          <w:sz w:val="36"/>
          <w:szCs w:val="36"/>
          <w:color w:val="auto"/>
          <w:vertAlign w:val="superscript"/>
        </w:rPr>
      </w:pPr>
      <w:r>
        <w:rPr>
          <w:rFonts w:ascii="Arial" w:cs="Arial" w:eastAsia="Arial" w:hAnsi="Arial"/>
          <w:sz w:val="18"/>
          <w:szCs w:val="18"/>
          <w:color w:val="auto"/>
        </w:rPr>
        <w:t>The variability in NTIC’s sales of ZERUST® products and services into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NTIC’s equity income of joint ventures, which variability in sales and equity in income from joint venture in turn, subject NTIC’s earnings to quarterly fluctuations;</w:t>
      </w:r>
    </w:p>
    <w:p>
      <w:pPr>
        <w:spacing w:after="0" w:line="204" w:lineRule="exact"/>
        <w:rPr>
          <w:rFonts w:ascii="Arial" w:cs="Arial" w:eastAsia="Arial" w:hAnsi="Arial"/>
          <w:sz w:val="36"/>
          <w:szCs w:val="36"/>
          <w:color w:val="auto"/>
          <w:vertAlign w:val="superscript"/>
        </w:rPr>
      </w:pPr>
    </w:p>
    <w:p>
      <w:pPr>
        <w:ind w:left="980" w:right="14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and import duties, taxes and tariffs;</w:t>
      </w:r>
    </w:p>
    <w:p>
      <w:pPr>
        <w:spacing w:after="0" w:line="170"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United Kingdom’s process to exit the European Union on NTIC’s operating results, including in particular future net sales of NTIC’s European and other joint ventures;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ind w:left="980" w:right="60" w:hanging="324"/>
        <w:spacing w:after="0" w:line="22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0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28" w:lineRule="exact"/>
        <w:rPr>
          <w:rFonts w:ascii="Arial" w:cs="Arial" w:eastAsia="Arial" w:hAnsi="Arial"/>
          <w:sz w:val="18"/>
          <w:szCs w:val="18"/>
          <w:color w:val="auto"/>
        </w:rPr>
      </w:pPr>
    </w:p>
    <w:p>
      <w:pPr>
        <w:ind w:left="980" w:right="300" w:hanging="324"/>
        <w:spacing w:after="0" w:line="186" w:lineRule="auto"/>
        <w:tabs>
          <w:tab w:leader="none" w:pos="980" w:val="left"/>
        </w:tabs>
        <w:numPr>
          <w:ilvl w:val="0"/>
          <w:numId w:val="17"/>
        </w:numPr>
        <w:rPr>
          <w:rFonts w:ascii="Arial" w:cs="Arial" w:eastAsia="Arial" w:hAnsi="Arial"/>
          <w:sz w:val="36"/>
          <w:szCs w:val="36"/>
          <w:color w:val="auto"/>
          <w:vertAlign w:val="superscript"/>
        </w:rPr>
      </w:pPr>
      <w:r>
        <w:rPr>
          <w:rFonts w:ascii="Arial" w:cs="Arial" w:eastAsia="Arial" w:hAnsi="Arial"/>
          <w:sz w:val="18"/>
          <w:szCs w:val="18"/>
          <w:color w:val="auto"/>
        </w:rPr>
        <w:t>Maturation of certain existing markets for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07" w:lineRule="exact"/>
        <w:rPr>
          <w:rFonts w:ascii="Arial" w:cs="Arial" w:eastAsia="Arial" w:hAnsi="Arial"/>
          <w:sz w:val="36"/>
          <w:szCs w:val="36"/>
          <w:color w:val="auto"/>
          <w:vertAlign w:val="superscript"/>
        </w:rPr>
      </w:pPr>
    </w:p>
    <w:p>
      <w:pPr>
        <w:ind w:left="980" w:hanging="324"/>
        <w:spacing w:after="0" w:line="186" w:lineRule="auto"/>
        <w:tabs>
          <w:tab w:leader="none" w:pos="980" w:val="left"/>
        </w:tabs>
        <w:numPr>
          <w:ilvl w:val="0"/>
          <w:numId w:val="17"/>
        </w:numPr>
        <w:rPr>
          <w:rFonts w:ascii="Arial" w:cs="Arial" w:eastAsia="Arial" w:hAnsi="Arial"/>
          <w:sz w:val="36"/>
          <w:szCs w:val="36"/>
          <w:color w:val="auto"/>
          <w:vertAlign w:val="superscript"/>
        </w:rPr>
      </w:pPr>
      <w:r>
        <w:rPr>
          <w:rFonts w:ascii="Arial" w:cs="Arial" w:eastAsia="Arial" w:hAnsi="Arial"/>
          <w:sz w:val="18"/>
          <w:szCs w:val="18"/>
          <w:color w:val="auto"/>
        </w:rPr>
        <w:t>Increased competition, especially with respect to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03" w:lineRule="exact"/>
        <w:rPr>
          <w:rFonts w:ascii="Arial" w:cs="Arial" w:eastAsia="Arial" w:hAnsi="Arial"/>
          <w:sz w:val="36"/>
          <w:szCs w:val="36"/>
          <w:color w:val="auto"/>
          <w:vertAlign w:val="superscript"/>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0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36"/>
          <w:szCs w:val="36"/>
          <w:color w:val="auto"/>
          <w:vertAlign w:val="superscript"/>
        </w:rPr>
      </w:pPr>
      <w:r>
        <w:rPr>
          <w:rFonts w:ascii="Arial" w:cs="Arial" w:eastAsia="Arial" w:hAnsi="Arial"/>
          <w:sz w:val="18"/>
          <w:szCs w:val="18"/>
          <w:color w:val="auto"/>
        </w:rPr>
        <w:t>Oil prices, which may affect sales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into the oil and gas industry;</w:t>
      </w:r>
    </w:p>
    <w:p>
      <w:pPr>
        <w:spacing w:after="0" w:line="78" w:lineRule="exact"/>
        <w:rPr>
          <w:rFonts w:ascii="Arial" w:cs="Arial" w:eastAsia="Arial" w:hAnsi="Arial"/>
          <w:sz w:val="36"/>
          <w:szCs w:val="36"/>
          <w:color w:val="auto"/>
          <w:vertAlign w:val="superscript"/>
        </w:rPr>
      </w:pPr>
    </w:p>
    <w:p>
      <w:pPr>
        <w:ind w:left="980" w:right="420" w:hanging="324"/>
        <w:spacing w:after="0" w:line="30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NTIC’s operations in China and the risks associated therewith, the termination of the joint venture agreements with Tianjin Zerust, and the anticipated liquidation of Tianjin Zerust and the effect of all these events on NTIC’s business and future operating results;</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33" w:name="page34"/>
    <w:bookmarkEnd w:id="33"/>
    <w:p>
      <w:pPr>
        <w:ind w:left="980" w:right="3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Pending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ability to maintain effective internal control over financial reporting, especially in light of its joint venture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applicable laws or regulations and NTIC’s failure to comply with applicable laws, rules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and the effect of new accounting pronouncements;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NTIC’s effective tax rate, including from the Tax Cuts and Jobs 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 of extreme weather conditions on NTIC’s operating results;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2018 under the heading “</w:t>
      </w:r>
      <w:r>
        <w:rPr>
          <w:rFonts w:ascii="Arial" w:cs="Arial" w:eastAsia="Arial" w:hAnsi="Arial"/>
          <w:sz w:val="17"/>
          <w:szCs w:val="17"/>
          <w:i w:val="1"/>
          <w:iCs w:val="1"/>
          <w:color w:val="auto"/>
        </w:rPr>
        <w:t>Part I. Item 1A. Risk Factors</w:t>
      </w:r>
      <w:r>
        <w:rPr>
          <w:rFonts w:ascii="Arial" w:cs="Arial" w:eastAsia="Arial" w:hAnsi="Arial"/>
          <w:sz w:val="17"/>
          <w:szCs w:val="17"/>
          <w:color w:val="auto"/>
        </w:rPr>
        <w:t>.”</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34" w:name="page35"/>
    <w:bookmarkEnd w:id="34"/>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November 30, 2018, NTIC had no borrowings under the line of credit.</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Except for the implementation of certain internal controls related to the adoption of the new revenue recognition standard (ASC 606), there were no changes in NTIC’s internal control over financial reporting that occurred during the quarter ended November 30, 2018 that has materially affected, or is reasonably likely to materially affect, its internal control over financial reporting. NTIC implemented new controls as part of its effort to adopt ASC 606. The adoption of ASC 606 required the implementation of new accounting processes which changed NTIC’s internal controls over revenue recognition and financial reporting. NTIC implemented these internal controls to ensure it adequately evaluated its contracts and properly assessed the impact of the new revenue recognition standard on its financial statements to facilitate its adoption. NTIC has completed the design of these controls and they were implemented as of September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796"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March 23, 2015, NTIC and NTI Asean LLC (NTI Asean) filed a lawsuit in Tianjin No 1 Intermediate People’s Court against two individuals, Tao Meng and Xu Hui, related to breaches of duties and contractual commitments owed to NTI Asean under certain agreements related to NTIC’s former joint venture in China, Tianjin Zerust Anti-Corrosion Technologies Ltd. (Tianjin Zerust). The lawsuit alleges, among other things, that Mr. Tao Meng and Xu Hui have engaged in self-dealing, usurped business opportunities, and received economic benefits that were required to go to Tianjin Zerust. As of November 30, 2018, NTIC is not able to reasonably estimate the amount of any recovery to NTI Asean, if any.</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three months ended November 30, 2018, NTIC did not issue any shares of its common stock or other equity securities of NTIC that were not registered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NTIC’s first quarter of fiscal 2019 stock repurchase activity.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600" w:type="dxa"/>
            <w:vAlign w:val="bottom"/>
            <w:tcBorders>
              <w:top w:val="single" w:sz="8" w:color="auto"/>
              <w:left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460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Total Number of</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Shares (or Units)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Shares (or Units) that</w:t>
            </w:r>
          </w:p>
        </w:tc>
      </w:tr>
      <w:tr>
        <w:trPr>
          <w:trHeight w:val="216"/>
        </w:trPr>
        <w:tc>
          <w:tcPr>
            <w:tcW w:w="460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Shares</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Purchased As Part of</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460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(or Units)</w:t>
            </w:r>
          </w:p>
        </w:tc>
        <w:tc>
          <w:tcPr>
            <w:tcW w:w="17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0"/>
              </w:rPr>
              <w:t>Average Price Paid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Publicly Announced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Purchased Under the</w:t>
            </w:r>
          </w:p>
        </w:tc>
      </w:tr>
      <w:tr>
        <w:trPr>
          <w:trHeight w:val="234"/>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70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Purchased</w:t>
            </w:r>
          </w:p>
        </w:tc>
        <w:tc>
          <w:tcPr>
            <w:tcW w:w="17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Per Share (or Unit)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r>
      <w:tr>
        <w:trPr>
          <w:trHeight w:val="210"/>
        </w:trPr>
        <w:tc>
          <w:tcPr>
            <w:tcW w:w="46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1, 2018 through September 30, 2018</w:t>
            </w:r>
          </w:p>
        </w:tc>
        <w:tc>
          <w:tcPr>
            <w:tcW w:w="1700" w:type="dxa"/>
            <w:vAlign w:val="bottom"/>
            <w:tcBorders>
              <w:bottom w:val="single" w:sz="8" w:color="auto"/>
              <w:right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$0</w:t>
            </w: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10"/>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October 1, 2018 through October 31, 2018</w:t>
            </w:r>
          </w:p>
        </w:tc>
        <w:tc>
          <w:tcPr>
            <w:tcW w:w="17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10"/>
        </w:trPr>
        <w:tc>
          <w:tcPr>
            <w:tcW w:w="46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November 1, 2018 through November 30, 2018</w:t>
            </w:r>
          </w:p>
        </w:tc>
        <w:tc>
          <w:tcPr>
            <w:tcW w:w="1700" w:type="dxa"/>
            <w:vAlign w:val="bottom"/>
            <w:tcBorders>
              <w:bottom w:val="single" w:sz="8" w:color="auto"/>
              <w:right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$0</w:t>
            </w: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10"/>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r>
    </w:tbl>
    <w:p>
      <w:pPr>
        <w:spacing w:after="0" w:line="202" w:lineRule="exact"/>
        <w:rPr>
          <w:sz w:val="20"/>
          <w:szCs w:val="20"/>
          <w:color w:val="auto"/>
        </w:rPr>
      </w:pPr>
    </w:p>
    <w:p>
      <w:pPr>
        <w:ind w:left="660" w:right="44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81" w:lineRule="exact"/>
        <w:rPr>
          <w:rFonts w:ascii="Arial" w:cs="Arial" w:eastAsia="Arial" w:hAnsi="Arial"/>
          <w:sz w:val="18"/>
          <w:szCs w:val="18"/>
          <w:color w:val="auto"/>
        </w:rPr>
      </w:pPr>
    </w:p>
    <w:p>
      <w:pPr>
        <w:ind w:left="660" w:right="3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November 30, 2018, up to $2,640,548 in shares of NTIC common stock remained available for repurchase under NTIC’s stock repurchase program.</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7" w:name="page38"/>
    <w:bookmarkEnd w:id="37"/>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21" w:lineRule="exact"/>
        <w:rPr>
          <w:sz w:val="20"/>
          <w:szCs w:val="20"/>
          <w:color w:val="auto"/>
        </w:rPr>
      </w:pPr>
    </w:p>
    <w:p>
      <w:pPr>
        <w:ind w:left="80"/>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color w:val="auto"/>
        </w:rPr>
        <w:t>Description</w:t>
      </w:r>
    </w:p>
    <w:p>
      <w:pPr>
        <w:spacing w:after="0" w:line="40" w:lineRule="exact"/>
        <w:rPr>
          <w:sz w:val="20"/>
          <w:szCs w:val="20"/>
          <w:color w:val="auto"/>
        </w:rPr>
      </w:pPr>
    </w:p>
    <w:p>
      <w:pPr>
        <w:ind w:left="1260" w:right="440" w:hanging="892"/>
        <w:spacing w:after="0" w:line="277" w:lineRule="auto"/>
        <w:tabs>
          <w:tab w:leader="none" w:pos="1240" w:val="left"/>
        </w:tabs>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40">
        <w:r>
          <w:rPr>
            <w:rFonts w:ascii="Arial" w:cs="Arial" w:eastAsia="Arial" w:hAnsi="Arial"/>
            <w:sz w:val="18"/>
            <w:szCs w:val="18"/>
            <w:u w:val="single" w:color="auto"/>
            <w:color w:val="0000EE"/>
          </w:rPr>
          <w:t>Letter Agreement effective as November 30, 2018 between PNC Bank, National Association and Northern Technologies International</w:t>
        </w:r>
      </w:hyperlink>
      <w:r>
        <w:rPr>
          <w:rFonts w:ascii="Arial" w:cs="Arial" w:eastAsia="Arial" w:hAnsi="Arial"/>
          <w:sz w:val="18"/>
          <w:szCs w:val="18"/>
          <w:u w:val="single" w:color="auto"/>
          <w:color w:val="0000EE"/>
        </w:rPr>
        <w:t xml:space="preserve"> </w:t>
      </w:r>
      <w:hyperlink w:anchor="page40">
        <w:r>
          <w:rPr>
            <w:rFonts w:ascii="Arial" w:cs="Arial" w:eastAsia="Arial" w:hAnsi="Arial"/>
            <w:sz w:val="18"/>
            <w:szCs w:val="18"/>
            <w:u w:val="single" w:color="auto"/>
            <w:color w:val="0000EE"/>
          </w:rPr>
          <w:t>Corporation (filed herewith)</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rFonts w:ascii="Arial" w:cs="Arial" w:eastAsia="Arial" w:hAnsi="Arial"/>
          <w:sz w:val="18"/>
          <w:szCs w:val="18"/>
          <w:u w:val="single" w:color="auto"/>
          <w:color w:val="0000EE"/>
        </w:rPr>
      </w:pPr>
    </w:p>
    <w:p>
      <w:pPr>
        <w:ind w:left="1260" w:right="220" w:hanging="892"/>
        <w:spacing w:after="0" w:line="277" w:lineRule="auto"/>
        <w:tabs>
          <w:tab w:leader="none" w:pos="1240" w:val="left"/>
        </w:tabs>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41">
        <w:r>
          <w:rPr>
            <w:rFonts w:ascii="Arial" w:cs="Arial" w:eastAsia="Arial" w:hAnsi="Arial"/>
            <w:sz w:val="18"/>
            <w:szCs w:val="18"/>
            <w:u w:val="single" w:color="auto"/>
            <w:color w:val="0000EE"/>
          </w:rPr>
          <w:t>Certification of Chief Executive Officer Pursuant to Exchange Act Rules 13a-14(a)/15d-14(a), as Adopted Pursuant to Section 302 of the</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Sarbanes-Oxley Act of 2002 (filed herewith)</w:t>
        </w:r>
      </w:hyperlink>
    </w:p>
    <w:p>
      <w:pPr>
        <w:spacing w:after="0" w:line="170" w:lineRule="exact"/>
        <w:rPr>
          <w:rFonts w:ascii="Arial" w:cs="Arial" w:eastAsia="Arial" w:hAnsi="Arial"/>
          <w:sz w:val="18"/>
          <w:szCs w:val="18"/>
          <w:u w:val="single" w:color="auto"/>
          <w:color w:val="0000EE"/>
        </w:rPr>
      </w:pPr>
    </w:p>
    <w:p>
      <w:pPr>
        <w:ind w:left="1260" w:right="260" w:hanging="892"/>
        <w:spacing w:after="0" w:line="277" w:lineRule="auto"/>
        <w:tabs>
          <w:tab w:leader="none" w:pos="1240" w:val="left"/>
        </w:tabs>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42">
        <w:r>
          <w:rPr>
            <w:rFonts w:ascii="Arial" w:cs="Arial" w:eastAsia="Arial" w:hAnsi="Arial"/>
            <w:sz w:val="18"/>
            <w:szCs w:val="18"/>
            <w:u w:val="single" w:color="auto"/>
            <w:color w:val="0000EE"/>
          </w:rPr>
          <w:t>Certification of Chief Financial Officer Pursuant to Exchange Act Rules 13a-14(a)/15d-14(a), as Adopted Pursuant to Section 302 of the</w:t>
        </w:r>
      </w:hyperlink>
      <w:r>
        <w:rPr>
          <w:rFonts w:ascii="Arial" w:cs="Arial" w:eastAsia="Arial" w:hAnsi="Arial"/>
          <w:sz w:val="18"/>
          <w:szCs w:val="18"/>
          <w:u w:val="single" w:color="auto"/>
          <w:color w:val="0000EE"/>
        </w:rPr>
        <w:t xml:space="preserve"> </w:t>
      </w:r>
      <w:hyperlink w:anchor="page42">
        <w:r>
          <w:rPr>
            <w:rFonts w:ascii="Arial" w:cs="Arial" w:eastAsia="Arial" w:hAnsi="Arial"/>
            <w:sz w:val="18"/>
            <w:szCs w:val="18"/>
            <w:u w:val="single" w:color="auto"/>
            <w:color w:val="0000EE"/>
          </w:rPr>
          <w:t>Sarbanes-Oxley Act of 2002 (filed herewith)</w:t>
        </w:r>
      </w:hyperlink>
    </w:p>
    <w:p>
      <w:pPr>
        <w:spacing w:after="0" w:line="170" w:lineRule="exact"/>
        <w:rPr>
          <w:rFonts w:ascii="Arial" w:cs="Arial" w:eastAsia="Arial" w:hAnsi="Arial"/>
          <w:sz w:val="18"/>
          <w:szCs w:val="18"/>
          <w:u w:val="single" w:color="auto"/>
          <w:color w:val="0000EE"/>
        </w:rPr>
      </w:pPr>
    </w:p>
    <w:p>
      <w:pPr>
        <w:ind w:left="1260" w:hanging="892"/>
        <w:spacing w:after="0" w:line="277" w:lineRule="auto"/>
        <w:tabs>
          <w:tab w:leader="none" w:pos="1240" w:val="left"/>
        </w:tabs>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43">
        <w:r>
          <w:rPr>
            <w:rFonts w:ascii="Arial" w:cs="Arial" w:eastAsia="Arial" w:hAnsi="Arial"/>
            <w:sz w:val="18"/>
            <w:szCs w:val="18"/>
            <w:u w:val="single" w:color="auto"/>
            <w:color w:val="0000EE"/>
          </w:rPr>
          <w:t>Certification of Chief Executive Officer Pursuant to 18 U.S.C. Section 1350, as Adopted Pursuant to Section 906 of the Sarbanes-Oxley Act</w:t>
        </w:r>
      </w:hyperlink>
      <w:r>
        <w:rPr>
          <w:rFonts w:ascii="Arial" w:cs="Arial" w:eastAsia="Arial" w:hAnsi="Arial"/>
          <w:sz w:val="18"/>
          <w:szCs w:val="18"/>
          <w:u w:val="single" w:color="auto"/>
          <w:color w:val="0000EE"/>
        </w:rPr>
        <w:t xml:space="preserve"> </w:t>
      </w:r>
      <w:hyperlink w:anchor="page43">
        <w:r>
          <w:rPr>
            <w:rFonts w:ascii="Arial" w:cs="Arial" w:eastAsia="Arial" w:hAnsi="Arial"/>
            <w:sz w:val="18"/>
            <w:szCs w:val="18"/>
            <w:u w:val="single" w:color="auto"/>
            <w:color w:val="0000EE"/>
          </w:rPr>
          <w:t>of 2002 (furnished herewith)</w:t>
        </w:r>
      </w:hyperlink>
    </w:p>
    <w:p>
      <w:pPr>
        <w:spacing w:after="0" w:line="170" w:lineRule="exact"/>
        <w:rPr>
          <w:rFonts w:ascii="Arial" w:cs="Arial" w:eastAsia="Arial" w:hAnsi="Arial"/>
          <w:sz w:val="18"/>
          <w:szCs w:val="18"/>
          <w:u w:val="single" w:color="auto"/>
          <w:color w:val="0000EE"/>
        </w:rPr>
      </w:pPr>
    </w:p>
    <w:p>
      <w:pPr>
        <w:ind w:left="1260" w:right="40" w:hanging="892"/>
        <w:spacing w:after="0" w:line="277" w:lineRule="auto"/>
        <w:tabs>
          <w:tab w:leader="none" w:pos="1240" w:val="left"/>
        </w:tabs>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44">
        <w:r>
          <w:rPr>
            <w:rFonts w:ascii="Arial" w:cs="Arial" w:eastAsia="Arial" w:hAnsi="Arial"/>
            <w:sz w:val="18"/>
            <w:szCs w:val="18"/>
            <w:u w:val="single" w:color="auto"/>
            <w:color w:val="0000EE"/>
          </w:rPr>
          <w:t>Certification of Chief Financial Officer Pursuant to 18 U.S.C. Section 1350, as Adopted Pursuant to Section 906 of the Sarbanes-Oxley Act</w:t>
        </w:r>
      </w:hyperlink>
      <w:r>
        <w:rPr>
          <w:rFonts w:ascii="Arial" w:cs="Arial" w:eastAsia="Arial" w:hAnsi="Arial"/>
          <w:sz w:val="18"/>
          <w:szCs w:val="18"/>
          <w:u w:val="single" w:color="auto"/>
          <w:color w:val="0000EE"/>
        </w:rPr>
        <w:t xml:space="preserve"> </w:t>
      </w:r>
      <w:hyperlink w:anchor="page44">
        <w:r>
          <w:rPr>
            <w:rFonts w:ascii="Arial" w:cs="Arial" w:eastAsia="Arial" w:hAnsi="Arial"/>
            <w:sz w:val="18"/>
            <w:szCs w:val="18"/>
            <w:u w:val="single" w:color="auto"/>
            <w:color w:val="0000EE"/>
          </w:rPr>
          <w:t>of 2002 (furnished herewith)</w:t>
        </w:r>
      </w:hyperlink>
    </w:p>
    <w:p>
      <w:pPr>
        <w:spacing w:after="0" w:line="170" w:lineRule="exact"/>
        <w:rPr>
          <w:rFonts w:ascii="Arial" w:cs="Arial" w:eastAsia="Arial" w:hAnsi="Arial"/>
          <w:sz w:val="18"/>
          <w:szCs w:val="18"/>
          <w:u w:val="single" w:color="auto"/>
          <w:color w:val="0000EE"/>
        </w:rPr>
      </w:pPr>
    </w:p>
    <w:p>
      <w:pPr>
        <w:ind w:left="1260" w:right="80" w:hanging="867"/>
        <w:spacing w:after="0" w:line="302" w:lineRule="auto"/>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following materials from NTIC’s Quarterly Report on Form 10-Q for the fiscal quarter ended November 30, 2018, formatted in XBRL (Extensible Business Reporting Language): (i) the unaudited Consolidated Balance Sheets, (ii) the unaudited Consolidated Statements of Operations, (iii) the unaudited Consolidated Statements of Comprehensive Income (Loss), (iv) the unaudited Consolidated Statements of Equity, (v) the unaudited Consolidated Statements of Cash Flows, and (vi) Notes to Consolidated Financial Statements (filed herewith)</w:t>
      </w:r>
    </w:p>
    <w:p>
      <w:pPr>
        <w:spacing w:after="0" w:line="255" w:lineRule="exact"/>
        <w:rPr>
          <w:rFonts w:ascii="Arial" w:cs="Arial" w:eastAsia="Arial" w:hAnsi="Arial"/>
          <w:sz w:val="18"/>
          <w:szCs w:val="18"/>
          <w:u w:val="single" w:color="auto"/>
          <w:color w:val="0000EE"/>
        </w:rPr>
      </w:pPr>
    </w:p>
    <w:p>
      <w:pPr>
        <w:jc w:val="center"/>
        <w:ind w:right="-59"/>
        <w:spacing w:after="0"/>
        <w:rPr>
          <w:sz w:val="20"/>
          <w:szCs w:val="20"/>
          <w:color w:val="auto"/>
        </w:rPr>
      </w:pPr>
      <w:r>
        <w:rPr>
          <w:rFonts w:ascii="Arial" w:cs="Arial" w:eastAsia="Arial" w:hAnsi="Arial"/>
          <w:sz w:val="22"/>
          <w:szCs w:val="22"/>
          <w:color w:val="auto"/>
        </w:rPr>
        <w:t>35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sectPr>
      </w:pPr>
    </w:p>
    <w:bookmarkStart w:id="38" w:name="page39"/>
    <w:bookmarkEnd w:id="38"/>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-121920</wp:posOffset>
            </wp:positionV>
            <wp:extent cx="1509395" cy="8832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0939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-130175</wp:posOffset>
            </wp:positionV>
            <wp:extent cx="25298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Financial and Accounting Officer and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Duly 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796" w:right="37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10.1</w:t>
      </w:r>
    </w:p>
    <w:p>
      <w:pPr>
        <w:spacing w:after="0" w:line="368" w:lineRule="exact"/>
        <w:rPr>
          <w:sz w:val="20"/>
          <w:szCs w:val="20"/>
          <w:color w:val="auto"/>
        </w:rPr>
      </w:pPr>
    </w:p>
    <w:p>
      <w:pPr>
        <w:ind w:left="180"/>
        <w:spacing w:after="0"/>
        <w:rPr>
          <w:sz w:val="20"/>
          <w:szCs w:val="20"/>
          <w:color w:val="auto"/>
        </w:rPr>
      </w:pPr>
      <w:r>
        <w:rPr>
          <w:sz w:val="1"/>
          <w:szCs w:val="1"/>
          <w:color w:val="auto"/>
        </w:rPr>
        <w:drawing>
          <wp:inline distT="0" distB="0" distL="0" distR="0">
            <wp:extent cx="394335" cy="39433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4335" cy="394335"/>
                    </a:xfrm>
                    <a:prstGeom prst="rect">
                      <a:avLst/>
                    </a:prstGeom>
                    <a:noFill/>
                    <a:ln>
                      <a:noFill/>
                    </a:ln>
                  </pic:spPr>
                </pic:pic>
              </a:graphicData>
            </a:graphic>
          </wp:inline>
        </w:drawing>
      </w:r>
      <w:r>
        <w:rPr>
          <w:rFonts w:ascii="Arial" w:cs="Arial" w:eastAsia="Arial" w:hAnsi="Arial"/>
          <w:sz w:val="43"/>
          <w:szCs w:val="43"/>
          <w:color w:val="auto"/>
        </w:rPr>
        <w:t xml:space="preserve"> PNC BANK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Circle Pines, MN 55014-0069</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Renewal of Expiration Date for that certain $3,000,000.00 Committed Line of Credit ("</w:t>
      </w:r>
      <w:r>
        <w:rPr>
          <w:rFonts w:ascii="Arial" w:cs="Arial" w:eastAsia="Arial" w:hAnsi="Arial"/>
          <w:sz w:val="18"/>
          <w:szCs w:val="18"/>
          <w:b w:val="1"/>
          <w:bCs w:val="1"/>
          <w:color w:val="auto"/>
        </w:rPr>
        <w:t>Line of Credit</w:t>
      </w:r>
      <w:r>
        <w:rPr>
          <w:rFonts w:ascii="Arial" w:cs="Arial" w:eastAsia="Arial" w:hAnsi="Arial"/>
          <w:sz w:val="18"/>
          <w:szCs w:val="18"/>
          <w:color w:val="auto"/>
        </w:rPr>
        <w:t>") extended by PNC Bank, National Association (the "</w:t>
      </w:r>
      <w:r>
        <w:rPr>
          <w:rFonts w:ascii="Arial" w:cs="Arial" w:eastAsia="Arial" w:hAnsi="Arial"/>
          <w:sz w:val="18"/>
          <w:szCs w:val="18"/>
          <w:b w:val="1"/>
          <w:bCs w:val="1"/>
          <w:color w:val="auto"/>
        </w:rPr>
        <w:t>Bank</w:t>
      </w:r>
      <w:r>
        <w:rPr>
          <w:rFonts w:ascii="Arial" w:cs="Arial" w:eastAsia="Arial" w:hAnsi="Arial"/>
          <w:sz w:val="18"/>
          <w:szCs w:val="18"/>
          <w:color w:val="auto"/>
        </w:rPr>
        <w:t xml:space="preserve">") to </w:t>
      </w:r>
      <w:r>
        <w:rPr>
          <w:rFonts w:ascii="Arial" w:cs="Arial" w:eastAsia="Arial" w:hAnsi="Arial"/>
          <w:sz w:val="18"/>
          <w:szCs w:val="18"/>
          <w:b w:val="1"/>
          <w:bCs w:val="1"/>
          <w:color w:val="auto"/>
        </w:rPr>
        <w:t>NORTHERN TECHNOLOGIES INTERNATIONAL CORPORATION</w:t>
      </w:r>
      <w:r>
        <w:rPr>
          <w:rFonts w:ascii="Arial" w:cs="Arial" w:eastAsia="Arial" w:hAnsi="Arial"/>
          <w:sz w:val="18"/>
          <w:szCs w:val="18"/>
          <w:color w:val="auto"/>
        </w:rPr>
        <w:t xml:space="preserve"> (the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66" w:lineRule="exact"/>
        <w:rPr>
          <w:sz w:val="20"/>
          <w:szCs w:val="20"/>
          <w:color w:val="auto"/>
        </w:rPr>
      </w:pPr>
    </w:p>
    <w:p>
      <w:pPr>
        <w:sectPr>
          <w:pgSz w:w="11900" w:h="16838" w:orient="portrait"/>
          <w:cols w:equalWidth="0" w:num="2">
            <w:col w:w="260" w:space="400"/>
            <w:col w:w="10760"/>
          </w:cols>
          <w:pgMar w:left="240" w:top="121" w:right="239" w:bottom="1440" w:gutter="0" w:footer="0" w:header="0"/>
          <w:type w:val="continuous"/>
        </w:sectPr>
      </w:pPr>
    </w:p>
    <w:p>
      <w:pPr>
        <w:jc w:val="both"/>
        <w:ind w:firstLine="648"/>
        <w:spacing w:after="0" w:line="255" w:lineRule="auto"/>
        <w:rPr>
          <w:sz w:val="20"/>
          <w:szCs w:val="20"/>
          <w:color w:val="auto"/>
        </w:rPr>
      </w:pPr>
      <w:r>
        <w:rPr>
          <w:rFonts w:ascii="Arial" w:cs="Arial" w:eastAsia="Arial" w:hAnsi="Arial"/>
          <w:sz w:val="18"/>
          <w:szCs w:val="18"/>
          <w:color w:val="auto"/>
        </w:rPr>
        <w:t>We are pleased to inform you that the Line of Credit has been renewed. The Expiration Date of the Line of Credit, as set forth in that certain promissory note executed and delivered by the Borrower to the Bank dated December 14, 2006 (the "</w:t>
      </w:r>
      <w:r>
        <w:rPr>
          <w:rFonts w:ascii="Arial" w:cs="Arial" w:eastAsia="Arial" w:hAnsi="Arial"/>
          <w:sz w:val="18"/>
          <w:szCs w:val="18"/>
          <w:b w:val="1"/>
          <w:bCs w:val="1"/>
          <w:color w:val="auto"/>
        </w:rPr>
        <w:t>Note</w:t>
      </w:r>
      <w:r>
        <w:rPr>
          <w:rFonts w:ascii="Arial" w:cs="Arial" w:eastAsia="Arial" w:hAnsi="Arial"/>
          <w:sz w:val="18"/>
          <w:szCs w:val="18"/>
          <w:color w:val="auto"/>
        </w:rPr>
        <w:t>") and/or that certain loan agreement governing the Line of Credit (the "</w:t>
      </w:r>
      <w:r>
        <w:rPr>
          <w:rFonts w:ascii="Arial" w:cs="Arial" w:eastAsia="Arial" w:hAnsi="Arial"/>
          <w:sz w:val="18"/>
          <w:szCs w:val="18"/>
          <w:b w:val="1"/>
          <w:bCs w:val="1"/>
          <w:color w:val="auto"/>
        </w:rPr>
        <w:t>Loan Agreement</w:t>
      </w:r>
      <w:r>
        <w:rPr>
          <w:rFonts w:ascii="Arial" w:cs="Arial" w:eastAsia="Arial" w:hAnsi="Arial"/>
          <w:sz w:val="18"/>
          <w:szCs w:val="18"/>
          <w:color w:val="auto"/>
        </w:rPr>
        <w:t>"), has been extended from January 07, 2019 to January 07, 2020, or such later date as may, in the Bank's sole discretion, be designated by the Bank by written notice from the Bank to the Borrower, effective on January 08, 2019. All sums due under the Note, the Loan Agreement or any related documents, instruments and agreements (collectively as amended from time to time, the "</w:t>
      </w:r>
      <w:r>
        <w:rPr>
          <w:rFonts w:ascii="Arial" w:cs="Arial" w:eastAsia="Arial" w:hAnsi="Arial"/>
          <w:sz w:val="18"/>
          <w:szCs w:val="18"/>
          <w:b w:val="1"/>
          <w:bCs w:val="1"/>
          <w:color w:val="auto"/>
        </w:rPr>
        <w:t>Loan Documents</w:t>
      </w:r>
      <w:r>
        <w:rPr>
          <w:rFonts w:ascii="Arial" w:cs="Arial" w:eastAsia="Arial" w:hAnsi="Arial"/>
          <w:sz w:val="18"/>
          <w:szCs w:val="18"/>
          <w:color w:val="auto"/>
        </w:rPr>
        <w:t>") shall be due and payable on the Expiration Date, as extended hereby. All other terms and conditions of the Loan Documents governing the Line of Credit remain in full force and effect.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has been a pleasure working with you and I look forward to a continued successful relationship. Thank you again for your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BANK, NATIONAL ASSOCIATION</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Chris Neve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Chris Neve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23926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right="180" w:hanging="6"/>
        <w:spacing w:after="0" w:line="264" w:lineRule="auto"/>
        <w:tabs>
          <w:tab w:leader="none" w:pos="10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right="400" w:hanging="6"/>
        <w:spacing w:after="0" w:line="264" w:lineRule="auto"/>
        <w:tabs>
          <w:tab w:leader="none" w:pos="102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700" w:hanging="6"/>
        <w:spacing w:after="0" w:line="342" w:lineRule="auto"/>
        <w:tabs>
          <w:tab w:leader="none" w:pos="1015"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180" w:hanging="6"/>
        <w:spacing w:after="0" w:line="264" w:lineRule="auto"/>
        <w:tabs>
          <w:tab w:leader="none" w:pos="102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100" w:hanging="6"/>
        <w:spacing w:after="0" w:line="277" w:lineRule="auto"/>
        <w:tabs>
          <w:tab w:leader="none" w:pos="100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60"/>
        <w:spacing w:after="0" w:line="277" w:lineRule="auto"/>
        <w:tabs>
          <w:tab w:leader="none" w:pos="10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-121920</wp:posOffset>
            </wp:positionV>
            <wp:extent cx="2169795" cy="2489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69795" cy="248920"/>
                    </a:xfrm>
                    <a:prstGeom prst="rect">
                      <a:avLst/>
                    </a:prstGeom>
                    <a:noFill/>
                  </pic:spPr>
                </pic:pic>
              </a:graphicData>
            </a:graphic>
          </wp:anchor>
        </w:drawing>
      </w: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-130175</wp:posOffset>
            </wp:positionV>
            <wp:extent cx="26073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80" w:right="100" w:hanging="5"/>
        <w:spacing w:after="0" w:line="264" w:lineRule="auto"/>
        <w:tabs>
          <w:tab w:leader="none" w:pos="10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80" w:right="320" w:hanging="5"/>
        <w:spacing w:after="0" w:line="264" w:lineRule="auto"/>
        <w:tabs>
          <w:tab w:leader="none" w:pos="110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620" w:hanging="5"/>
        <w:spacing w:after="0" w:line="342" w:lineRule="auto"/>
        <w:tabs>
          <w:tab w:leader="none" w:pos="1095"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80" w:right="100" w:hanging="5"/>
        <w:spacing w:after="0" w:line="264" w:lineRule="auto"/>
        <w:tabs>
          <w:tab w:leader="none" w:pos="110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80" w:right="20" w:hanging="5"/>
        <w:spacing w:after="0" w:line="277" w:lineRule="auto"/>
        <w:tabs>
          <w:tab w:leader="none" w:pos="108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right="540" w:hanging="5"/>
        <w:spacing w:after="0" w:line="277" w:lineRule="auto"/>
        <w:tabs>
          <w:tab w:leader="none" w:pos="10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-121920</wp:posOffset>
            </wp:positionV>
            <wp:extent cx="2607310" cy="548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0731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ind w:left="10480"/>
        <w:spacing w:after="0"/>
        <w:rPr>
          <w:sz w:val="20"/>
          <w:szCs w:val="20"/>
          <w:color w:val="auto"/>
        </w:rPr>
      </w:pPr>
      <w:r>
        <w:rPr>
          <w:rFonts w:ascii="Arial" w:cs="Arial" w:eastAsia="Arial" w:hAnsi="Arial"/>
          <w:sz w:val="16"/>
          <w:szCs w:val="16"/>
          <w:b w:val="1"/>
          <w:bCs w:val="1"/>
          <w:color w:val="auto"/>
        </w:rPr>
        <w:t>Exhibit 32.1</w:t>
      </w:r>
    </w:p>
    <w:p>
      <w:pPr>
        <w:spacing w:after="0" w:line="239" w:lineRule="exact"/>
        <w:rPr>
          <w:sz w:val="20"/>
          <w:szCs w:val="20"/>
          <w:color w:val="auto"/>
        </w:rPr>
      </w:pPr>
    </w:p>
    <w:p>
      <w:pPr>
        <w:jc w:val="center"/>
        <w:ind w:left="260" w:right="140"/>
        <w:spacing w:after="0" w:line="256"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November 30, 2018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2615565" cy="445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15565" cy="44577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ind w:left="10480"/>
        <w:spacing w:after="0"/>
        <w:rPr>
          <w:sz w:val="20"/>
          <w:szCs w:val="20"/>
          <w:color w:val="auto"/>
        </w:rPr>
      </w:pPr>
      <w:r>
        <w:rPr>
          <w:rFonts w:ascii="Arial" w:cs="Arial" w:eastAsia="Arial" w:hAnsi="Arial"/>
          <w:sz w:val="16"/>
          <w:szCs w:val="16"/>
          <w:b w:val="1"/>
          <w:bCs w:val="1"/>
          <w:color w:val="auto"/>
        </w:rPr>
        <w:t>Exhibit 32.2</w:t>
      </w:r>
    </w:p>
    <w:p>
      <w:pPr>
        <w:spacing w:after="0" w:line="239" w:lineRule="exact"/>
        <w:rPr>
          <w:sz w:val="20"/>
          <w:szCs w:val="20"/>
          <w:color w:val="auto"/>
        </w:rPr>
      </w:pPr>
    </w:p>
    <w:p>
      <w:pPr>
        <w:jc w:val="center"/>
        <w:ind w:left="260" w:right="140"/>
        <w:spacing w:after="0" w:line="256"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November 30, 2018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2615565" cy="892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15565"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5"/>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6"/>
    </w:lvl>
  </w:abstractNum>
  <w:abstractNum w:abstractNumId="6">
    <w:nsid w:val="6B68079A"/>
    <w:multiLevelType w:val="hybridMultilevel"/>
    <w:lvl w:ilvl="0">
      <w:lvlJc w:val="left"/>
      <w:lvlText w:val="%1."/>
      <w:numFmt w:val="decimal"/>
      <w:start w:val="7"/>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decimal"/>
      <w:start w:val="8"/>
    </w:lvl>
  </w:abstractNum>
  <w:abstractNum w:abstractNumId="9">
    <w:nsid w:val="519B500D"/>
    <w:multiLevelType w:val="hybridMultilevel"/>
    <w:lvl w:ilvl="0">
      <w:lvlJc w:val="left"/>
      <w:lvlText w:val="%1."/>
      <w:numFmt w:val="decimal"/>
      <w:start w:val="9"/>
    </w:lvl>
  </w:abstractNum>
  <w:abstractNum w:abstractNumId="10">
    <w:nsid w:val="431BD7B7"/>
    <w:multiLevelType w:val="hybridMultilevel"/>
    <w:lvl w:ilvl="0">
      <w:lvlJc w:val="left"/>
      <w:lvlText w:val="%1."/>
      <w:numFmt w:val="decimal"/>
      <w:start w:val="10"/>
    </w:lvl>
  </w:abstractNum>
  <w:abstractNum w:abstractNumId="11">
    <w:nsid w:val="3F2DBA31"/>
    <w:multiLevelType w:val="hybridMultilevel"/>
    <w:lvl w:ilvl="0">
      <w:lvlJc w:val="left"/>
      <w:lvlText w:val="(%1)"/>
      <w:numFmt w:val="lowerRoman"/>
      <w:start w:val="2"/>
    </w:lvl>
  </w:abstractNum>
  <w:abstractNum w:abstractNumId="12">
    <w:nsid w:val="7C83E458"/>
    <w:multiLevelType w:val="hybridMultilevel"/>
    <w:lvl w:ilvl="0">
      <w:lvlJc w:val="left"/>
      <w:lvlText w:val="%1."/>
      <w:numFmt w:val="decimal"/>
      <w:start w:val="1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2"/>
    </w:lvl>
  </w:abstractNum>
  <w:abstractNum w:abstractNumId="15">
    <w:nsid w:val="436C6125"/>
    <w:multiLevelType w:val="hybridMultilevel"/>
    <w:lvl w:ilvl="0">
      <w:lvlJc w:val="left"/>
      <w:lvlText w:val="%1."/>
      <w:numFmt w:val="decimal"/>
      <w:start w:val="13"/>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0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upperLetter"/>
      <w:start w:val="1"/>
    </w:lvl>
    <w:lvl w:ilvl="1">
      <w:lvlJc w:val="left"/>
      <w:lvlText w:val="(%2)"/>
      <w:numFmt w:val="decimal"/>
      <w:start w:val="1"/>
    </w:lvl>
  </w:abstractNum>
  <w:abstractNum w:abstractNumId="23">
    <w:nsid w:val="8EDBDAB"/>
    <w:multiLevelType w:val="hybridMultilevel"/>
    <w:lvl w:ilvl="0">
      <w:lvlJc w:val="left"/>
      <w:lvlText w:val="%1."/>
      <w:numFmt w:val="upperLetter"/>
      <w:start w:val="7"/>
    </w:lvl>
    <w:lvl w:ilvl="1">
      <w:lvlJc w:val="left"/>
      <w:lvlText w:val="%2"/>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2019-12-28T17:14:12Z</dcterms:created>
  <dcterms:modified xsi:type="dcterms:W3CDTF">2019-12-28T17:14:12Z</dcterms:modified>
</cp:coreProperties>
</file>