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tic20260531_10q.htm"/>
      <w:bookmarkStart w:id="1" w:name="ksntic20260531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         </w:t>
      </w:r>
    </w:p>
    <w:p>
      <w:pPr>
        <w:pStyle w:val="TextBody"/>
        <w:bidi w:val="0"/>
        <w:spacing w:before="0" w:after="0"/>
        <w:ind w:left="0" w:right="0" w:hanging="0"/>
        <w:jc w:val="left"/>
        <w:rPr>
          <w:caps w:val="false"/>
          <w:smallCaps w:val="false"/>
        </w:rPr>
      </w:pPr>
      <w:r>
        <w:rPr>
          <w:caps w:val="false"/>
          <w:smallCaps w:val="false"/>
        </w:rPr>
        <w:t> </w:t>
      </w:r>
    </w:p>
    <w:tbl>
      <w:tblPr>
        <w:tblW w:w="10165" w:type="dxa"/>
        <w:jc w:val="left"/>
        <w:tblInd w:w="0" w:type="dxa"/>
        <w:tblLayout w:type="fixed"/>
        <w:tblCellMar>
          <w:top w:w="0" w:type="dxa"/>
          <w:left w:w="0" w:type="dxa"/>
          <w:bottom w:w="0" w:type="dxa"/>
          <w:right w:w="0" w:type="dxa"/>
        </w:tblCellMar>
      </w:tblPr>
      <w:tblGrid>
        <w:gridCol w:w="290"/>
        <w:gridCol w:w="9875"/>
      </w:tblGrid>
      <w:tr>
        <w:trPr/>
        <w:tc>
          <w:tcPr>
            <w:tcW w:w="290" w:type="dxa"/>
            <w:tcBorders/>
            <w:vAlign w:val="center"/>
          </w:tcPr>
          <w:p>
            <w:pPr>
              <w:pStyle w:val="TableContents"/>
              <w:bidi w:val="0"/>
              <w:spacing w:before="0" w:after="0"/>
              <w:ind w:left="0" w:right="0" w:hanging="0"/>
              <w:jc w:val="left"/>
              <w:rPr/>
            </w:pPr>
            <w:r>
              <w:rPr/>
              <w:t xml:space="preserve">☒ </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________________ to 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001-11038</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NORTHERN TECHNOLOGIES INTERNATIONAL CORPORATION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795" w:type="dxa"/>
        <w:jc w:val="left"/>
        <w:tblInd w:w="0" w:type="dxa"/>
        <w:tblLayout w:type="fixed"/>
        <w:tblCellMar>
          <w:top w:w="0" w:type="dxa"/>
          <w:left w:w="0" w:type="dxa"/>
          <w:bottom w:w="0" w:type="dxa"/>
          <w:right w:w="0" w:type="dxa"/>
        </w:tblCellMar>
      </w:tblPr>
      <w:tblGrid>
        <w:gridCol w:w="4880"/>
        <w:gridCol w:w="2915"/>
      </w:tblGrid>
      <w:tr>
        <w:trPr/>
        <w:tc>
          <w:tcPr>
            <w:tcW w:w="488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 or organization)</w:t>
            </w:r>
          </w:p>
        </w:tc>
        <w:tc>
          <w:tcPr>
            <w:tcW w:w="29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41-0857886</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4201 Woodland Road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 Box 69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Circle Pines, Minnesota</w:t>
      </w:r>
      <w:r>
        <w:rPr>
          <w:rFonts w:ascii="Times New Roman" w:hAnsi="Times New Roman"/>
          <w:caps w:val="false"/>
          <w:smallCaps w:val="false"/>
          <w:sz w:val="20"/>
        </w:rPr>
        <w:t> </w:t>
      </w:r>
      <w:r>
        <w:rPr>
          <w:rFonts w:ascii="Times New Roman" w:hAnsi="Times New Roman"/>
          <w:b/>
          <w:caps w:val="false"/>
          <w:smallCaps w:val="false"/>
          <w:sz w:val="20"/>
        </w:rPr>
        <w:t>55014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(763) 225-6600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28" w:type="dxa"/>
        </w:tblCellMar>
      </w:tblPr>
      <w:tblGrid>
        <w:gridCol w:w="3365"/>
        <w:gridCol w:w="1535"/>
        <w:gridCol w:w="3575"/>
      </w:tblGrid>
      <w:tr>
        <w:trPr/>
        <w:tc>
          <w:tcPr>
            <w:tcW w:w="336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tcMar>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36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$0.02 per share</w:t>
            </w:r>
          </w:p>
        </w:tc>
        <w:tc>
          <w:tcPr>
            <w:tcW w:w="1535" w:type="dxa"/>
            <w:tcBorders>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NTIC</w:t>
            </w:r>
          </w:p>
        </w:tc>
        <w:tc>
          <w:tcPr>
            <w:tcW w:w="3575" w:type="dxa"/>
            <w:tcBorders>
              <w:bottom w:val="single" w:sz="2" w:space="0" w:color="000000"/>
            </w:tcBorders>
            <w:tcMar>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2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r>
      <w:tr>
        <w:trPr/>
        <w:tc>
          <w:tcPr>
            <w:tcW w:w="20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4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As of July 9, 2026, there were 9,496,439 shares of common stock of the registrant outstanding.</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8770"/>
        <w:gridCol w:w="440"/>
      </w:tblGrid>
      <w:tr>
        <w:trPr/>
        <w:tc>
          <w:tcPr>
            <w:tcW w:w="9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9765" w:type="dxa"/>
            <w:gridSpan w:val="2"/>
            <w:tcBorders/>
            <w:vAlign w:val="center"/>
          </w:tcPr>
          <w:p>
            <w:pPr>
              <w:pStyle w:val="TableContents"/>
              <w:bidi w:val="0"/>
              <w:spacing w:before="0" w:after="0"/>
              <w:ind w:left="0" w:right="0" w:hanging="0"/>
              <w:jc w:val="left"/>
              <w:rPr/>
            </w:pPr>
            <w:hyperlink w:anchor="p1">
              <w:r>
                <w:rPr>
                  <w:rStyle w:val="InternetLink"/>
                  <w:rFonts w:ascii="Times New Roman" w:hAnsi="Times New Roman"/>
                  <w:b/>
                  <w:caps w:val="false"/>
                  <w:smallCaps w:val="false"/>
                  <w:sz w:val="20"/>
                </w:rPr>
                <w:t>PART I</w:t>
              </w:r>
            </w:hyperlink>
            <w:hyperlink w:anchor="p1">
              <w:r>
                <w:rPr>
                  <w:rStyle w:val="InternetLink"/>
                  <w:rFonts w:ascii="Times New Roman" w:hAnsi="Times New Roman"/>
                  <w:caps w:val="false"/>
                  <w:smallCaps w:val="false"/>
                  <w:sz w:val="20"/>
                </w:rPr>
                <w:t>—</w:t>
              </w:r>
            </w:hyperlink>
            <w:hyperlink w:anchor="p1">
              <w:r>
                <w:rPr>
                  <w:rStyle w:val="InternetLink"/>
                  <w:rFonts w:ascii="Times New Roman" w:hAnsi="Times New Roman"/>
                  <w:b/>
                  <w:caps w:val="false"/>
                  <w:smallCaps w:val="false"/>
                  <w:sz w:val="20"/>
                </w:rPr>
                <w:t>FINANCIAL INFORMATION</w:t>
              </w:r>
            </w:hyperlink>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Item 1.</w:t>
              </w:r>
            </w:hyperlink>
          </w:p>
        </w:tc>
        <w:tc>
          <w:tcPr>
            <w:tcW w:w="8770"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Financial Statements</w:t>
              </w:r>
            </w:hyperlink>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70" w:type="dxa"/>
            <w:tcBorders/>
            <w:vAlign w:val="center"/>
          </w:tcPr>
          <w:p>
            <w:pPr>
              <w:pStyle w:val="TableContents"/>
              <w:bidi w:val="0"/>
              <w:spacing w:before="0" w:after="283"/>
              <w:jc w:val="left"/>
              <w:rPr/>
            </w:pPr>
            <w:hyperlink w:anchor="bs">
              <w:r>
                <w:rPr>
                  <w:rStyle w:val="InternetLink"/>
                </w:rPr>
                <w:t>Consolidated Balance Sheets as of May 31, 2026 (unaudited) and August 31, 2025 (audited)</w:t>
              </w:r>
            </w:hyperlink>
          </w:p>
        </w:tc>
        <w:tc>
          <w:tcPr>
            <w:tcW w:w="440" w:type="dxa"/>
            <w:tcBorders/>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1</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hyperlink w:anchor="op">
              <w:r>
                <w:rPr>
                  <w:rStyle w:val="InternetLink"/>
                </w:rPr>
                <w:t>Consolidated Statements of Operations (unaudited) for the Three and Nine Months Ended May 31, 2026 and 2025</w:t>
              </w:r>
            </w:hyperlink>
          </w:p>
        </w:tc>
        <w:tc>
          <w:tcPr>
            <w:tcW w:w="440" w:type="dxa"/>
            <w:tcBorders/>
            <w:vAlign w:val="center"/>
          </w:tcPr>
          <w:p>
            <w:pPr>
              <w:pStyle w:val="TableContents"/>
              <w:bidi w:val="0"/>
              <w:spacing w:before="0" w:after="283"/>
              <w:jc w:val="center"/>
              <w:rPr/>
            </w:pPr>
            <w:hyperlink w:anchor="op">
              <w:r>
                <w:rPr>
                  <w:rStyle w:val="InternetLink"/>
                </w:rPr>
                <w:t>2</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70" w:type="dxa"/>
            <w:tcBorders/>
            <w:vAlign w:val="center"/>
          </w:tcPr>
          <w:p>
            <w:pPr>
              <w:pStyle w:val="TableContents"/>
              <w:bidi w:val="0"/>
              <w:spacing w:before="0" w:after="283"/>
              <w:jc w:val="left"/>
              <w:rPr/>
            </w:pPr>
            <w:hyperlink w:anchor="income">
              <w:r>
                <w:rPr>
                  <w:rStyle w:val="InternetLink"/>
                </w:rPr>
                <w:t>Consolidated Statements of Comprehensive Income (Loss) (unaudited) for the Three and Nine Months Ended May 31, 2026 and 2025</w:t>
              </w:r>
            </w:hyperlink>
          </w:p>
        </w:tc>
        <w:tc>
          <w:tcPr>
            <w:tcW w:w="440" w:type="dxa"/>
            <w:tcBorders/>
            <w:vAlign w:val="center"/>
          </w:tcPr>
          <w:p>
            <w:pPr>
              <w:pStyle w:val="TableContents"/>
              <w:bidi w:val="0"/>
              <w:spacing w:before="0" w:after="0"/>
              <w:ind w:left="0" w:right="0" w:hanging="0"/>
              <w:jc w:val="center"/>
              <w:rPr/>
            </w:pPr>
            <w:hyperlink w:anchor="income">
              <w:r>
                <w:rPr>
                  <w:rStyle w:val="InternetLink"/>
                  <w:rFonts w:ascii="Times New Roman" w:hAnsi="Times New Roman"/>
                  <w:caps w:val="false"/>
                  <w:smallCaps w:val="false"/>
                  <w:sz w:val="20"/>
                </w:rPr>
                <w:t>3</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70" w:type="dxa"/>
            <w:tcBorders/>
            <w:vAlign w:val="center"/>
          </w:tcPr>
          <w:p>
            <w:pPr>
              <w:pStyle w:val="TableContents"/>
              <w:bidi w:val="0"/>
              <w:spacing w:before="0" w:after="283"/>
              <w:jc w:val="left"/>
              <w:rPr/>
            </w:pPr>
            <w:hyperlink w:anchor="equity">
              <w:r>
                <w:rPr>
                  <w:rStyle w:val="InternetLink"/>
                </w:rPr>
                <w:t>Consolidated Statements of Equity (unaudited) for the Three and Nine Months Ended May 31, 2026 and 2025</w:t>
              </w:r>
            </w:hyperlink>
          </w:p>
        </w:tc>
        <w:tc>
          <w:tcPr>
            <w:tcW w:w="440" w:type="dxa"/>
            <w:tcBorders/>
            <w:vAlign w:val="center"/>
          </w:tcPr>
          <w:p>
            <w:pPr>
              <w:pStyle w:val="TableContents"/>
              <w:bidi w:val="0"/>
              <w:spacing w:before="0" w:after="283"/>
              <w:jc w:val="center"/>
              <w:rPr/>
            </w:pPr>
            <w:hyperlink w:anchor="equity">
              <w:r>
                <w:rPr>
                  <w:rStyle w:val="InternetLink"/>
                </w:rPr>
                <w:t>4</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8770" w:type="dxa"/>
            <w:tcBorders/>
            <w:vAlign w:val="center"/>
          </w:tcPr>
          <w:p>
            <w:pPr>
              <w:pStyle w:val="TableContents"/>
              <w:bidi w:val="0"/>
              <w:spacing w:before="0" w:after="283"/>
              <w:jc w:val="left"/>
              <w:rPr/>
            </w:pPr>
            <w:hyperlink w:anchor="cash">
              <w:r>
                <w:rPr>
                  <w:rStyle w:val="InternetLink"/>
                </w:rPr>
                <w:t>Consolidated Statements of Cash Flows (unaudited) for the Nine Months Ended May 31, 2026 and 2025</w:t>
              </w:r>
            </w:hyperlink>
          </w:p>
        </w:tc>
        <w:tc>
          <w:tcPr>
            <w:tcW w:w="440" w:type="dxa"/>
            <w:tcBorders/>
            <w:vAlign w:val="center"/>
          </w:tcPr>
          <w:p>
            <w:pPr>
              <w:pStyle w:val="TableContents"/>
              <w:bidi w:val="0"/>
              <w:spacing w:before="0" w:after="0"/>
              <w:ind w:left="0" w:right="0" w:hanging="0"/>
              <w:jc w:val="center"/>
              <w:rPr/>
            </w:pPr>
            <w:hyperlink w:anchor="cash">
              <w:r>
                <w:rPr>
                  <w:rStyle w:val="InternetLink"/>
                  <w:rFonts w:ascii="Times New Roman" w:hAnsi="Times New Roman"/>
                  <w:caps w:val="false"/>
                  <w:smallCaps w:val="false"/>
                  <w:sz w:val="20"/>
                </w:rPr>
                <w:t>5</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hyperlink w:anchor="notes">
              <w:r>
                <w:rPr>
                  <w:rStyle w:val="InternetLink"/>
                </w:rPr>
                <w:t>Notes to Consolidated Financial Statements (unaudited)</w:t>
              </w:r>
            </w:hyperlink>
          </w:p>
        </w:tc>
        <w:tc>
          <w:tcPr>
            <w:tcW w:w="440" w:type="dxa"/>
            <w:tcBorders/>
            <w:vAlign w:val="center"/>
          </w:tcPr>
          <w:p>
            <w:pPr>
              <w:pStyle w:val="TableContents"/>
              <w:bidi w:val="0"/>
              <w:spacing w:before="0" w:after="283"/>
              <w:jc w:val="center"/>
              <w:rPr/>
            </w:pPr>
            <w:hyperlink w:anchor="notes">
              <w:r>
                <w:rPr>
                  <w:rStyle w:val="InternetLink"/>
                </w:rPr>
                <w:t>6</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Item 2.</w:t>
              </w:r>
            </w:hyperlink>
          </w:p>
        </w:tc>
        <w:tc>
          <w:tcPr>
            <w:tcW w:w="8770"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Management’s Discussion and Analysis of Financial Condition and Results of Operations</w:t>
              </w:r>
            </w:hyperlink>
          </w:p>
        </w:tc>
        <w:tc>
          <w:tcPr>
            <w:tcW w:w="440" w:type="dxa"/>
            <w:tcBorders/>
            <w:vAlign w:val="center"/>
          </w:tcPr>
          <w:p>
            <w:pPr>
              <w:pStyle w:val="TableContents"/>
              <w:bidi w:val="0"/>
              <w:spacing w:before="0" w:after="283"/>
              <w:jc w:val="center"/>
              <w:rPr/>
            </w:pPr>
            <w:hyperlink w:anchor="i2">
              <w:r>
                <w:rPr>
                  <w:rStyle w:val="InternetLink"/>
                </w:rPr>
                <w:t>19</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Item 3.</w:t>
              </w:r>
            </w:hyperlink>
          </w:p>
        </w:tc>
        <w:tc>
          <w:tcPr>
            <w:tcW w:w="8770" w:type="dxa"/>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i3">
              <w:r>
                <w:rPr>
                  <w:rStyle w:val="InternetLink"/>
                  <w:rFonts w:ascii="Times New Roman" w:hAnsi="Times New Roman"/>
                  <w:caps w:val="false"/>
                  <w:smallCaps w:val="false"/>
                  <w:sz w:val="20"/>
                </w:rPr>
                <w:t>33</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Item 4.</w:t>
              </w:r>
            </w:hyperlink>
          </w:p>
        </w:tc>
        <w:tc>
          <w:tcPr>
            <w:tcW w:w="8770"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Controls and Procedures</w:t>
              </w:r>
            </w:hyperlink>
          </w:p>
        </w:tc>
        <w:tc>
          <w:tcPr>
            <w:tcW w:w="440" w:type="dxa"/>
            <w:tcBorders/>
            <w:vAlign w:val="center"/>
          </w:tcPr>
          <w:p>
            <w:pPr>
              <w:pStyle w:val="TableContents"/>
              <w:bidi w:val="0"/>
              <w:spacing w:before="0" w:after="0"/>
              <w:ind w:left="0" w:right="0" w:hanging="0"/>
              <w:jc w:val="center"/>
              <w:rPr/>
            </w:pPr>
            <w:hyperlink w:anchor="i4">
              <w:r>
                <w:rPr>
                  <w:rStyle w:val="InternetLink"/>
                  <w:rFonts w:ascii="Times New Roman" w:hAnsi="Times New Roman"/>
                  <w:caps w:val="false"/>
                  <w:smallCaps w:val="false"/>
                  <w:sz w:val="20"/>
                </w:rPr>
                <w:t>33</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65" w:type="dxa"/>
            <w:gridSpan w:val="2"/>
            <w:tcBorders/>
            <w:vAlign w:val="center"/>
          </w:tcPr>
          <w:p>
            <w:pPr>
              <w:pStyle w:val="TableContents"/>
              <w:bidi w:val="0"/>
              <w:spacing w:before="0" w:after="0"/>
              <w:ind w:left="0" w:right="0" w:hanging="0"/>
              <w:jc w:val="left"/>
              <w:rPr/>
            </w:pPr>
            <w:hyperlink w:anchor="pt2">
              <w:r>
                <w:rPr>
                  <w:rStyle w:val="InternetLink"/>
                  <w:rFonts w:ascii="Times New Roman" w:hAnsi="Times New Roman"/>
                  <w:b/>
                  <w:caps w:val="false"/>
                  <w:smallCaps w:val="false"/>
                  <w:sz w:val="20"/>
                </w:rPr>
                <w:t>PART II</w:t>
              </w:r>
            </w:hyperlink>
            <w:hyperlink w:anchor="pt2">
              <w:r>
                <w:rPr>
                  <w:rStyle w:val="InternetLink"/>
                  <w:rFonts w:ascii="Times New Roman" w:hAnsi="Times New Roman"/>
                  <w:caps w:val="false"/>
                  <w:smallCaps w:val="false"/>
                  <w:sz w:val="20"/>
                </w:rPr>
                <w:t>—</w:t>
              </w:r>
            </w:hyperlink>
            <w:hyperlink w:anchor="pt2">
              <w:r>
                <w:rPr>
                  <w:rStyle w:val="InternetLink"/>
                  <w:rFonts w:ascii="Times New Roman" w:hAnsi="Times New Roman"/>
                  <w:b/>
                  <w:caps w:val="false"/>
                  <w:smallCaps w:val="false"/>
                  <w:sz w:val="20"/>
                </w:rPr>
                <w:t>OTHER INFORMATION</w:t>
              </w:r>
            </w:hyperlink>
          </w:p>
        </w:tc>
        <w:tc>
          <w:tcPr>
            <w:tcW w:w="440" w:type="dxa"/>
            <w:tcBorders/>
            <w:vAlign w:val="center"/>
          </w:tcPr>
          <w:p>
            <w:pPr>
              <w:pStyle w:val="TableContents"/>
              <w:bidi w:val="0"/>
              <w:spacing w:before="0" w:after="283"/>
              <w:jc w:val="center"/>
              <w:rPr/>
            </w:pPr>
            <w:r>
              <w:rPr/>
              <w:t> </w:t>
            </w:r>
          </w:p>
        </w:tc>
      </w:tr>
      <w:tr>
        <w:trPr/>
        <w:tc>
          <w:tcPr>
            <w:tcW w:w="9765" w:type="dxa"/>
            <w:gridSpan w:val="2"/>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0"/>
              <w:ind w:left="0" w:right="0" w:hanging="0"/>
              <w:jc w:val="left"/>
              <w:rPr/>
            </w:pPr>
            <w:hyperlink w:anchor="a2i1">
              <w:r>
                <w:rPr>
                  <w:rStyle w:val="InternetLink"/>
                  <w:rFonts w:ascii="Times New Roman" w:hAnsi="Times New Roman"/>
                  <w:caps w:val="false"/>
                  <w:smallCaps w:val="false"/>
                  <w:sz w:val="20"/>
                </w:rPr>
                <w:t>Item 1.</w:t>
              </w:r>
            </w:hyperlink>
          </w:p>
        </w:tc>
        <w:tc>
          <w:tcPr>
            <w:tcW w:w="8770" w:type="dxa"/>
            <w:tcBorders/>
            <w:vAlign w:val="center"/>
          </w:tcPr>
          <w:p>
            <w:pPr>
              <w:pStyle w:val="TableContents"/>
              <w:bidi w:val="0"/>
              <w:spacing w:before="0" w:after="0"/>
              <w:ind w:left="0" w:right="0" w:hanging="0"/>
              <w:jc w:val="left"/>
              <w:rPr/>
            </w:pPr>
            <w:hyperlink w:anchor="a2i1">
              <w:r>
                <w:rPr>
                  <w:rStyle w:val="InternetLink"/>
                  <w:rFonts w:ascii="Times New Roman" w:hAnsi="Times New Roman"/>
                  <w:caps w:val="false"/>
                  <w:smallCaps w:val="false"/>
                  <w:sz w:val="20"/>
                </w:rPr>
                <w:t>Legal Proceedings</w:t>
              </w:r>
            </w:hyperlink>
          </w:p>
        </w:tc>
        <w:tc>
          <w:tcPr>
            <w:tcW w:w="440" w:type="dxa"/>
            <w:tcBorders/>
            <w:vAlign w:val="center"/>
          </w:tcPr>
          <w:p>
            <w:pPr>
              <w:pStyle w:val="TableContents"/>
              <w:bidi w:val="0"/>
              <w:spacing w:before="0" w:after="0"/>
              <w:ind w:left="0" w:right="0" w:hanging="0"/>
              <w:jc w:val="center"/>
              <w:rPr/>
            </w:pPr>
            <w:hyperlink w:anchor="a2i1">
              <w:r>
                <w:rPr>
                  <w:rStyle w:val="InternetLink"/>
                  <w:rFonts w:ascii="Times New Roman" w:hAnsi="Times New Roman"/>
                  <w:caps w:val="false"/>
                  <w:smallCaps w:val="false"/>
                  <w:sz w:val="20"/>
                </w:rPr>
                <w:t>34</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a2i1a">
              <w:r>
                <w:rPr>
                  <w:rStyle w:val="InternetLink"/>
                  <w:rFonts w:ascii="Times New Roman" w:hAnsi="Times New Roman"/>
                  <w:caps w:val="false"/>
                  <w:smallCaps w:val="false"/>
                  <w:sz w:val="20"/>
                </w:rPr>
                <w:t>Item 1A.</w:t>
              </w:r>
            </w:hyperlink>
          </w:p>
        </w:tc>
        <w:tc>
          <w:tcPr>
            <w:tcW w:w="8770" w:type="dxa"/>
            <w:tcBorders/>
            <w:vAlign w:val="center"/>
          </w:tcPr>
          <w:p>
            <w:pPr>
              <w:pStyle w:val="TableContents"/>
              <w:bidi w:val="0"/>
              <w:spacing w:before="0" w:after="0"/>
              <w:ind w:left="0" w:right="0" w:hanging="0"/>
              <w:jc w:val="left"/>
              <w:rPr/>
            </w:pPr>
            <w:hyperlink w:anchor="a2i1a">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0"/>
              <w:ind w:left="0" w:right="0" w:hanging="0"/>
              <w:jc w:val="center"/>
              <w:rPr/>
            </w:pPr>
            <w:hyperlink w:anchor="a2i1a">
              <w:r>
                <w:rPr>
                  <w:rStyle w:val="InternetLink"/>
                  <w:rFonts w:ascii="Times New Roman" w:hAnsi="Times New Roman"/>
                  <w:caps w:val="false"/>
                  <w:smallCaps w:val="false"/>
                  <w:sz w:val="20"/>
                </w:rPr>
                <w:t>34</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a2i2">
              <w:r>
                <w:rPr>
                  <w:rStyle w:val="InternetLink"/>
                  <w:rFonts w:ascii="Times New Roman" w:hAnsi="Times New Roman"/>
                  <w:caps w:val="false"/>
                  <w:smallCaps w:val="false"/>
                  <w:sz w:val="20"/>
                </w:rPr>
                <w:t>Item 2.</w:t>
              </w:r>
            </w:hyperlink>
          </w:p>
        </w:tc>
        <w:tc>
          <w:tcPr>
            <w:tcW w:w="8770" w:type="dxa"/>
            <w:tcBorders/>
            <w:vAlign w:val="center"/>
          </w:tcPr>
          <w:p>
            <w:pPr>
              <w:pStyle w:val="TableContents"/>
              <w:bidi w:val="0"/>
              <w:spacing w:before="0" w:after="0"/>
              <w:ind w:left="0" w:right="0" w:hanging="0"/>
              <w:jc w:val="left"/>
              <w:rPr/>
            </w:pPr>
            <w:hyperlink w:anchor="a2i2">
              <w:r>
                <w:rPr>
                  <w:rStyle w:val="InternetLink"/>
                  <w:rFonts w:ascii="Times New Roman" w:hAnsi="Times New Roman"/>
                  <w:caps w:val="false"/>
                  <w:smallCaps w:val="false"/>
                  <w:sz w:val="20"/>
                </w:rPr>
                <w:t>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a2i2">
              <w:r>
                <w:rPr>
                  <w:rStyle w:val="InternetLink"/>
                  <w:rFonts w:ascii="Times New Roman" w:hAnsi="Times New Roman"/>
                  <w:caps w:val="false"/>
                  <w:smallCaps w:val="false"/>
                  <w:sz w:val="20"/>
                </w:rPr>
                <w:t>34</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a2i3">
              <w:r>
                <w:rPr>
                  <w:rStyle w:val="InternetLink"/>
                  <w:rFonts w:ascii="Times New Roman" w:hAnsi="Times New Roman"/>
                  <w:caps w:val="false"/>
                  <w:smallCaps w:val="false"/>
                  <w:sz w:val="20"/>
                </w:rPr>
                <w:t>Item 3.</w:t>
              </w:r>
            </w:hyperlink>
          </w:p>
        </w:tc>
        <w:tc>
          <w:tcPr>
            <w:tcW w:w="8770" w:type="dxa"/>
            <w:tcBorders/>
            <w:vAlign w:val="center"/>
          </w:tcPr>
          <w:p>
            <w:pPr>
              <w:pStyle w:val="TableContents"/>
              <w:bidi w:val="0"/>
              <w:spacing w:before="0" w:after="0"/>
              <w:ind w:left="0" w:right="0" w:hanging="0"/>
              <w:jc w:val="left"/>
              <w:rPr/>
            </w:pPr>
            <w:hyperlink w:anchor="a2i3">
              <w:r>
                <w:rPr>
                  <w:rStyle w:val="InternetLink"/>
                  <w:rFonts w:ascii="Times New Roman" w:hAnsi="Times New Roman"/>
                  <w:caps w:val="false"/>
                  <w:smallCaps w:val="false"/>
                  <w:sz w:val="20"/>
                </w:rPr>
                <w:t>Defaults Upon Senior Securities</w:t>
              </w:r>
            </w:hyperlink>
          </w:p>
        </w:tc>
        <w:tc>
          <w:tcPr>
            <w:tcW w:w="440" w:type="dxa"/>
            <w:tcBorders/>
            <w:vAlign w:val="center"/>
          </w:tcPr>
          <w:p>
            <w:pPr>
              <w:pStyle w:val="TableContents"/>
              <w:bidi w:val="0"/>
              <w:spacing w:before="0" w:after="0"/>
              <w:ind w:left="0" w:right="0" w:hanging="0"/>
              <w:jc w:val="center"/>
              <w:rPr/>
            </w:pPr>
            <w:hyperlink w:anchor="a2i3">
              <w:r>
                <w:rPr>
                  <w:rStyle w:val="InternetLink"/>
                  <w:rFonts w:ascii="Times New Roman" w:hAnsi="Times New Roman"/>
                  <w:caps w:val="false"/>
                  <w:smallCaps w:val="false"/>
                  <w:sz w:val="20"/>
                </w:rPr>
                <w:t>35</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a2i4">
              <w:r>
                <w:rPr>
                  <w:rStyle w:val="InternetLink"/>
                  <w:rFonts w:ascii="Times New Roman" w:hAnsi="Times New Roman"/>
                  <w:caps w:val="false"/>
                  <w:smallCaps w:val="false"/>
                  <w:sz w:val="20"/>
                </w:rPr>
                <w:t>Item 4.</w:t>
              </w:r>
            </w:hyperlink>
          </w:p>
        </w:tc>
        <w:tc>
          <w:tcPr>
            <w:tcW w:w="8770" w:type="dxa"/>
            <w:tcBorders/>
            <w:vAlign w:val="center"/>
          </w:tcPr>
          <w:p>
            <w:pPr>
              <w:pStyle w:val="TableContents"/>
              <w:bidi w:val="0"/>
              <w:spacing w:before="0" w:after="0"/>
              <w:ind w:left="0" w:right="0" w:hanging="0"/>
              <w:jc w:val="left"/>
              <w:rPr/>
            </w:pPr>
            <w:hyperlink w:anchor="a2i4">
              <w:r>
                <w:rPr>
                  <w:rStyle w:val="InternetLink"/>
                  <w:rFonts w:ascii="Times New Roman" w:hAnsi="Times New Roman"/>
                  <w:caps w:val="false"/>
                  <w:smallCaps w:val="false"/>
                  <w:sz w:val="20"/>
                </w:rPr>
                <w:t>Mine Safety Disclosures</w:t>
              </w:r>
            </w:hyperlink>
          </w:p>
        </w:tc>
        <w:tc>
          <w:tcPr>
            <w:tcW w:w="440" w:type="dxa"/>
            <w:tcBorders/>
            <w:vAlign w:val="center"/>
          </w:tcPr>
          <w:p>
            <w:pPr>
              <w:pStyle w:val="TableContents"/>
              <w:bidi w:val="0"/>
              <w:spacing w:before="0" w:after="0"/>
              <w:ind w:left="0" w:right="0" w:hanging="0"/>
              <w:jc w:val="center"/>
              <w:rPr/>
            </w:pPr>
            <w:hyperlink w:anchor="a2i4">
              <w:r>
                <w:rPr>
                  <w:rStyle w:val="InternetLink"/>
                  <w:rFonts w:ascii="Times New Roman" w:hAnsi="Times New Roman"/>
                  <w:caps w:val="false"/>
                  <w:smallCaps w:val="false"/>
                  <w:sz w:val="20"/>
                </w:rPr>
                <w:t>35</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a2i5">
              <w:r>
                <w:rPr>
                  <w:rStyle w:val="InternetLink"/>
                  <w:rFonts w:ascii="Times New Roman" w:hAnsi="Times New Roman"/>
                  <w:caps w:val="false"/>
                  <w:smallCaps w:val="false"/>
                  <w:sz w:val="20"/>
                </w:rPr>
                <w:t>Item 5.</w:t>
              </w:r>
            </w:hyperlink>
          </w:p>
        </w:tc>
        <w:tc>
          <w:tcPr>
            <w:tcW w:w="8770" w:type="dxa"/>
            <w:tcBorders/>
            <w:vAlign w:val="center"/>
          </w:tcPr>
          <w:p>
            <w:pPr>
              <w:pStyle w:val="TableContents"/>
              <w:bidi w:val="0"/>
              <w:spacing w:before="0" w:after="0"/>
              <w:ind w:left="0" w:right="0" w:hanging="0"/>
              <w:jc w:val="left"/>
              <w:rPr/>
            </w:pPr>
            <w:hyperlink w:anchor="a2i5">
              <w:r>
                <w:rPr>
                  <w:rStyle w:val="InternetLink"/>
                  <w:rFonts w:ascii="Times New Roman" w:hAnsi="Times New Roman"/>
                  <w:caps w:val="false"/>
                  <w:smallCaps w:val="false"/>
                  <w:sz w:val="20"/>
                </w:rPr>
                <w:t>Other Information</w:t>
              </w:r>
            </w:hyperlink>
          </w:p>
        </w:tc>
        <w:tc>
          <w:tcPr>
            <w:tcW w:w="440" w:type="dxa"/>
            <w:tcBorders/>
            <w:vAlign w:val="center"/>
          </w:tcPr>
          <w:p>
            <w:pPr>
              <w:pStyle w:val="TableContents"/>
              <w:bidi w:val="0"/>
              <w:spacing w:before="0" w:after="0"/>
              <w:ind w:left="0" w:right="0" w:hanging="0"/>
              <w:jc w:val="center"/>
              <w:rPr/>
            </w:pPr>
            <w:hyperlink w:anchor="a2i5">
              <w:r>
                <w:rPr>
                  <w:rStyle w:val="InternetLink"/>
                  <w:rFonts w:ascii="Times New Roman" w:hAnsi="Times New Roman"/>
                  <w:caps w:val="false"/>
                  <w:smallCaps w:val="false"/>
                  <w:sz w:val="20"/>
                </w:rPr>
                <w:t>35</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0"/>
              <w:ind w:left="0" w:right="0" w:hanging="0"/>
              <w:jc w:val="left"/>
              <w:rPr/>
            </w:pPr>
            <w:hyperlink w:anchor="a2i6">
              <w:r>
                <w:rPr>
                  <w:rStyle w:val="InternetLink"/>
                  <w:rFonts w:ascii="Times New Roman" w:hAnsi="Times New Roman"/>
                  <w:caps w:val="false"/>
                  <w:smallCaps w:val="false"/>
                  <w:sz w:val="20"/>
                </w:rPr>
                <w:t>Item 6.</w:t>
              </w:r>
            </w:hyperlink>
          </w:p>
        </w:tc>
        <w:tc>
          <w:tcPr>
            <w:tcW w:w="8770" w:type="dxa"/>
            <w:tcBorders/>
            <w:vAlign w:val="center"/>
          </w:tcPr>
          <w:p>
            <w:pPr>
              <w:pStyle w:val="TableContents"/>
              <w:bidi w:val="0"/>
              <w:spacing w:before="0" w:after="0"/>
              <w:ind w:left="0" w:right="0" w:hanging="0"/>
              <w:jc w:val="left"/>
              <w:rPr/>
            </w:pPr>
            <w:hyperlink w:anchor="a2i6">
              <w:r>
                <w:rPr>
                  <w:rStyle w:val="InternetLink"/>
                  <w:rFonts w:ascii="Times New Roman" w:hAnsi="Times New Roman"/>
                  <w:caps w:val="false"/>
                  <w:smallCaps w:val="false"/>
                  <w:sz w:val="20"/>
                </w:rPr>
                <w:t>Exhibits</w:t>
              </w:r>
            </w:hyperlink>
          </w:p>
        </w:tc>
        <w:tc>
          <w:tcPr>
            <w:tcW w:w="440" w:type="dxa"/>
            <w:tcBorders/>
            <w:vAlign w:val="center"/>
          </w:tcPr>
          <w:p>
            <w:pPr>
              <w:pStyle w:val="TableContents"/>
              <w:bidi w:val="0"/>
              <w:spacing w:before="0" w:after="0"/>
              <w:ind w:left="0" w:right="0" w:hanging="0"/>
              <w:jc w:val="center"/>
              <w:rPr/>
            </w:pPr>
            <w:hyperlink w:anchor="a2i6">
              <w:r>
                <w:rPr>
                  <w:rStyle w:val="InternetLink"/>
                  <w:rFonts w:ascii="Times New Roman" w:hAnsi="Times New Roman"/>
                  <w:caps w:val="false"/>
                  <w:smallCaps w:val="false"/>
                  <w:sz w:val="20"/>
                </w:rPr>
                <w:t>35</w:t>
              </w:r>
            </w:hyperlink>
          </w:p>
        </w:tc>
      </w:tr>
      <w:tr>
        <w:trPr/>
        <w:tc>
          <w:tcPr>
            <w:tcW w:w="995" w:type="dxa"/>
            <w:tcBorders/>
            <w:vAlign w:val="center"/>
          </w:tcPr>
          <w:p>
            <w:pPr>
              <w:pStyle w:val="TableContents"/>
              <w:bidi w:val="0"/>
              <w:spacing w:before="0" w:after="283"/>
              <w:jc w:val="left"/>
              <w:rPr/>
            </w:pPr>
            <w:r>
              <w:rPr/>
              <w:t> </w:t>
            </w:r>
          </w:p>
        </w:tc>
        <w:tc>
          <w:tcPr>
            <w:tcW w:w="87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9765" w:type="dxa"/>
            <w:gridSpan w:val="2"/>
            <w:tcBorders/>
            <w:vAlign w:val="center"/>
          </w:tcPr>
          <w:p>
            <w:pPr>
              <w:pStyle w:val="TableContents"/>
              <w:bidi w:val="0"/>
              <w:spacing w:before="0" w:after="0"/>
              <w:ind w:left="0" w:right="0" w:hanging="0"/>
              <w:jc w:val="left"/>
              <w:rPr/>
            </w:pPr>
            <w:hyperlink w:anchor="sig">
              <w:r>
                <w:rPr>
                  <w:rStyle w:val="InternetLink"/>
                  <w:rFonts w:ascii="Times New Roman" w:hAnsi="Times New Roman"/>
                  <w:b/>
                  <w:caps w:val="false"/>
                  <w:smallCaps w:val="false"/>
                  <w:sz w:val="20"/>
                </w:rPr>
                <w:t>SIGNATURES</w:t>
              </w:r>
            </w:hyperlink>
          </w:p>
        </w:tc>
        <w:tc>
          <w:tcPr>
            <w:tcW w:w="440"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rPr>
                <w:t>36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hAnsi="Times New Roman"/>
          <w:caps w:val="false"/>
          <w:smallCaps w:val="false"/>
          <w:sz w:val="20"/>
        </w:rPr>
        <w:t>“</w:t>
      </w:r>
      <w:r>
        <w:rPr>
          <w:rFonts w:ascii="Times New Roman" w:hAnsi="Times New Roman"/>
          <w:i/>
          <w:caps w:val="false"/>
          <w:smallCaps w:val="false"/>
          <w:sz w:val="20"/>
        </w:rPr>
        <w:t xml:space="preserve">Part I. Financial Information </w:t>
      </w:r>
      <w:r>
        <w:rPr>
          <w:rFonts w:ascii="Times New Roman" w:hAnsi="Times New Roman"/>
          <w:caps w:val="false"/>
          <w:smallCaps w:val="false"/>
          <w:sz w:val="20"/>
        </w:rPr>
        <w:t xml:space="preserve">– </w:t>
      </w:r>
      <w:r>
        <w:rPr>
          <w:rFonts w:ascii="Times New Roman" w:hAnsi="Times New Roman"/>
          <w:i/>
          <w:caps w:val="false"/>
          <w:smallCaps w:val="false"/>
          <w:sz w:val="20"/>
        </w:rPr>
        <w:t>Item 2. Management</w:t>
      </w:r>
      <w:r>
        <w:rPr>
          <w:rFonts w:ascii="Times New Roman" w:hAnsi="Times New Roman"/>
          <w:caps w:val="false"/>
          <w:smallCaps w:val="false"/>
          <w:sz w:val="20"/>
        </w:rPr>
        <w:t>’</w:t>
      </w:r>
      <w:r>
        <w:rPr>
          <w:rFonts w:ascii="Times New Roman" w:hAnsi="Times New Roman"/>
          <w:i/>
          <w:caps w:val="false"/>
          <w:smallCaps w:val="false"/>
          <w:sz w:val="20"/>
        </w:rPr>
        <w:t xml:space="preserve">s Discussion and Analysis of Financial Condition and Results of Operations </w:t>
      </w:r>
      <w:r>
        <w:rPr>
          <w:rFonts w:ascii="Times New Roman" w:hAnsi="Times New Roman"/>
          <w:caps w:val="false"/>
          <w:smallCaps w:val="false"/>
          <w:sz w:val="20"/>
        </w:rPr>
        <w:t xml:space="preserve">– </w:t>
      </w:r>
      <w:r>
        <w:rPr>
          <w:rFonts w:ascii="Times New Roman" w:hAnsi="Times New Roman"/>
          <w:i/>
          <w:caps w:val="false"/>
          <w:smallCaps w:val="false"/>
          <w:sz w:val="20"/>
        </w:rPr>
        <w:t>Forward-Looking Statements.</w:t>
      </w:r>
      <w:r>
        <w:rPr>
          <w:rFonts w:ascii="Times New Roman" w:hAnsi="Times New Roman"/>
          <w:caps w:val="false"/>
          <w:smallCaps w:val="false"/>
          <w:sz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w:t>
      </w:r>
      <w:r>
        <w:rPr>
          <w:rFonts w:ascii="Times New Roman" w:hAnsi="Times New Roman"/>
          <w:caps w:val="false"/>
          <w:smallCaps w:val="false"/>
          <w:sz w:val="20"/>
        </w:rPr>
        <w:t>“</w:t>
      </w:r>
      <w:r>
        <w:rPr>
          <w:rFonts w:ascii="Times New Roman" w:hAnsi="Times New Roman"/>
          <w:i/>
          <w:caps w:val="false"/>
          <w:smallCaps w:val="false"/>
          <w:sz w:val="20"/>
        </w:rPr>
        <w:t>NTIC,</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the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unless the context otherwise requires, refer to Northern Technologies International Corporation and its wholly owned and majority-owned subsidiaries, all of which are consolidated on NTIC</w:t>
      </w:r>
      <w:r>
        <w:rPr>
          <w:rFonts w:ascii="Times New Roman" w:hAnsi="Times New Roman"/>
          <w:caps w:val="false"/>
          <w:smallCaps w:val="false"/>
          <w:sz w:val="20"/>
        </w:rPr>
        <w:t>’</w:t>
      </w:r>
      <w:r>
        <w:rPr>
          <w:rFonts w:ascii="Times New Roman" w:hAnsi="Times New Roman"/>
          <w:i/>
          <w:caps w:val="false"/>
          <w:smallCaps w:val="false"/>
          <w:sz w:val="20"/>
        </w:rPr>
        <w: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(1) </w:t>
      </w:r>
      <w:r>
        <w:rPr>
          <w:rFonts w:ascii="Times New Roman" w:hAnsi="Times New Roman"/>
          <w:caps w:val="false"/>
          <w:smallCaps w:val="false"/>
          <w:sz w:val="20"/>
        </w:rPr>
        <w:t>“</w:t>
      </w:r>
      <w:r>
        <w:rPr>
          <w:rFonts w:ascii="Times New Roman" w:hAnsi="Times New Roman"/>
          <w:i/>
          <w:caps w:val="false"/>
          <w:smallCaps w:val="false"/>
          <w:sz w:val="20"/>
        </w:rPr>
        <w:t>NTIC China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China, NTIC (Shanghai) Co., Ltd.; (2) </w:t>
      </w:r>
      <w:r>
        <w:rPr>
          <w:rFonts w:ascii="Times New Roman" w:hAnsi="Times New Roman"/>
          <w:caps w:val="false"/>
          <w:smallCaps w:val="false"/>
          <w:sz w:val="20"/>
        </w:rPr>
        <w:t>“</w:t>
      </w:r>
      <w:r>
        <w:rPr>
          <w:rFonts w:ascii="Times New Roman" w:hAnsi="Times New Roman"/>
          <w:i/>
          <w:caps w:val="false"/>
          <w:smallCaps w:val="false"/>
          <w:sz w:val="20"/>
        </w:rPr>
        <w:t>NTI Europe</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Germany, NTIC Europe GmbH; (3) </w:t>
      </w:r>
      <w:r>
        <w:rPr>
          <w:rFonts w:ascii="Times New Roman" w:hAnsi="Times New Roman"/>
          <w:caps w:val="false"/>
          <w:smallCaps w:val="false"/>
          <w:sz w:val="20"/>
        </w:rPr>
        <w:t>“</w:t>
      </w:r>
      <w:r>
        <w:rPr>
          <w:rFonts w:ascii="Times New Roman" w:hAnsi="Times New Roman"/>
          <w:i/>
          <w:caps w:val="false"/>
          <w:smallCaps w:val="false"/>
          <w:sz w:val="20"/>
        </w:rPr>
        <w:t>Zerust Mexico</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wholly owned subsidiary in Mexico, ZERUST-EXCOR MEXICO, S. de R.L. de C.V.; (4) </w:t>
      </w:r>
      <w:r>
        <w:rPr>
          <w:rFonts w:ascii="Times New Roman" w:hAnsi="Times New Roman"/>
          <w:caps w:val="false"/>
          <w:smallCaps w:val="false"/>
          <w:sz w:val="20"/>
        </w:rPr>
        <w:t>“</w:t>
      </w:r>
      <w:r>
        <w:rPr>
          <w:rFonts w:ascii="Times New Roman" w:hAnsi="Times New Roman"/>
          <w:i/>
          <w:caps w:val="false"/>
          <w:smallCaps w:val="false"/>
          <w:sz w:val="20"/>
        </w:rPr>
        <w:t>Zerust India</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s wholly owned subsidiary in India, HNTI Limited (formerly Harita-NTI Limited); and (5)</w:t>
      </w:r>
      <w:r>
        <w:rPr>
          <w:rFonts w:ascii="Times New Roman" w:hAnsi="Times New Roman"/>
          <w:caps w:val="false"/>
          <w:smallCaps w:val="false"/>
          <w:sz w:val="20"/>
        </w:rPr>
        <w:t>“</w:t>
      </w:r>
      <w:r>
        <w:rPr>
          <w:rFonts w:ascii="Times New Roman" w:hAnsi="Times New Roman"/>
          <w:i/>
          <w:caps w:val="false"/>
          <w:smallCaps w:val="false"/>
          <w:sz w:val="20"/>
        </w:rPr>
        <w:t>NTI Asean</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s majority-owned holding company subsidiary, NTI Asean LLC, which holds investments in certain entities that operate in the Association of Southeast Asian Nations (ASEAN)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NTIC</w:t>
      </w:r>
      <w:r>
        <w:rPr>
          <w:rFonts w:ascii="Times New Roman" w:hAnsi="Times New Roman"/>
          <w:caps w:val="false"/>
          <w:smallCaps w:val="false"/>
          <w:sz w:val="20"/>
        </w:rPr>
        <w:t>’</w:t>
      </w:r>
      <w:r>
        <w:rPr>
          <w:rFonts w:ascii="Times New Roman" w:hAnsi="Times New Roman"/>
          <w:i/>
          <w:caps w:val="false"/>
          <w:smallCaps w:val="false"/>
          <w:sz w:val="20"/>
        </w:rPr>
        <w:t>s consolidated financial statements do not include the accounts of any of its joint ventures. Except as otherwise indicated, references in this report to NTIC</w:t>
      </w:r>
      <w:r>
        <w:rPr>
          <w:rFonts w:ascii="Times New Roman" w:hAnsi="Times New Roman"/>
          <w:caps w:val="false"/>
          <w:smallCaps w:val="false"/>
          <w:sz w:val="20"/>
        </w:rPr>
        <w:t>’</w:t>
      </w:r>
      <w:r>
        <w:rPr>
          <w:rFonts w:ascii="Times New Roman" w:hAnsi="Times New Roman"/>
          <w:i/>
          <w:caps w:val="false"/>
          <w:smallCaps w:val="false"/>
          <w:sz w:val="20"/>
        </w:rPr>
        <w:t>s joint ventures do not include any of NTIC</w:t>
      </w:r>
      <w:r>
        <w:rPr>
          <w:rFonts w:ascii="Times New Roman" w:hAnsi="Times New Roman"/>
          <w:caps w:val="false"/>
          <w:smallCaps w:val="false"/>
          <w:sz w:val="20"/>
        </w:rPr>
        <w:t>’</w:t>
      </w:r>
      <w:r>
        <w:rPr>
          <w:rFonts w:ascii="Times New Roman" w:hAnsi="Times New Roman"/>
          <w:i/>
          <w:caps w:val="false"/>
          <w:smallCaps w:val="false"/>
          <w:sz w:val="20"/>
        </w:rPr>
        <w:t>s wholly owned or majority-owned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As used in this report, references to </w:t>
      </w:r>
      <w:r>
        <w:rPr>
          <w:rFonts w:ascii="Times New Roman" w:hAnsi="Times New Roman"/>
          <w:caps w:val="false"/>
          <w:smallCaps w:val="false"/>
          <w:sz w:val="20"/>
        </w:rPr>
        <w:t>“</w:t>
      </w:r>
      <w:r>
        <w:rPr>
          <w:rFonts w:ascii="Times New Roman" w:hAnsi="Times New Roman"/>
          <w:i/>
          <w:caps w:val="false"/>
          <w:smallCaps w:val="false"/>
          <w:sz w:val="20"/>
        </w:rPr>
        <w:t>EXCOR</w:t>
      </w:r>
      <w:r>
        <w:rPr>
          <w:rFonts w:ascii="Times New Roman" w:hAnsi="Times New Roman"/>
          <w:caps w:val="false"/>
          <w:smallCaps w:val="false"/>
          <w:sz w:val="20"/>
        </w:rPr>
        <w:t xml:space="preserve">” </w:t>
      </w:r>
      <w:r>
        <w:rPr>
          <w:rFonts w:ascii="Times New Roman" w:hAnsi="Times New Roman"/>
          <w:i/>
          <w:caps w:val="false"/>
          <w:smallCaps w:val="false"/>
          <w:sz w:val="20"/>
        </w:rPr>
        <w:t>refer to NTIC</w:t>
      </w:r>
      <w:r>
        <w:rPr>
          <w:rFonts w:ascii="Times New Roman" w:hAnsi="Times New Roman"/>
          <w:caps w:val="false"/>
          <w:smallCaps w:val="false"/>
          <w:sz w:val="20"/>
        </w:rPr>
        <w:t>’</w:t>
      </w:r>
      <w:r>
        <w:rPr>
          <w:rFonts w:ascii="Times New Roman" w:hAnsi="Times New Roman"/>
          <w:i/>
          <w:caps w:val="false"/>
          <w:smallCaps w:val="false"/>
          <w:sz w:val="20"/>
        </w:rPr>
        <w:t xml:space="preserve">s joint venture in Germany, Excor Korrosionsschutz </w:t>
      </w:r>
      <w:r>
        <w:rPr>
          <w:rFonts w:ascii="Times New Roman" w:hAnsi="Times New Roman"/>
          <w:caps w:val="false"/>
          <w:smallCaps w:val="false"/>
          <w:sz w:val="20"/>
        </w:rPr>
        <w:t xml:space="preserve">– </w:t>
      </w:r>
      <w:r>
        <w:rPr>
          <w:rFonts w:ascii="Times New Roman" w:hAnsi="Times New Roman"/>
          <w:i/>
          <w:caps w:val="false"/>
          <w:smallCaps w:val="false"/>
          <w:sz w:val="20"/>
        </w:rPr>
        <w:t>Technologien und Produkte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All trademarks, trade names or service marks referred to in this report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w:t>
      </w:r>
      <w:r>
        <w:rPr>
          <w:rFonts w:ascii="Times New Roman" w:hAnsi="Times New Roman"/>
          <w:caps w:val="false"/>
          <w:smallCaps w:val="false"/>
          <w:sz w:val="20"/>
        </w:rPr>
        <w:t>—</w:t>
      </w:r>
      <w:r>
        <w:rPr>
          <w:rFonts w:ascii="Times New Roman" w:hAnsi="Times New Roman"/>
          <w:b/>
          <w:caps w:val="false"/>
          <w:smallCaps w:val="false"/>
          <w:sz w:val="20"/>
        </w:rPr>
        <w:t>FINANCIAL INFORMATION</w:t>
      </w:r>
      <w:bookmarkStart w:id="2" w:name="p1"/>
      <w:bookmarkEnd w:id="2"/>
    </w:p>
    <w:p>
      <w:pPr>
        <w:pStyle w:val="TextBody"/>
        <w:bidi w:val="0"/>
        <w:spacing w:before="0" w:after="0"/>
        <w:ind w:left="0" w:right="0" w:hanging="0"/>
        <w:jc w:val="left"/>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740"/>
        <w:gridCol w:w="248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24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w:t>
            </w:r>
            <w:bookmarkStart w:id="3" w:name="i1"/>
            <w:bookmarkEnd w:id="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 AND SUBSIDIARIES</w:t>
      </w:r>
      <w:bookmarkStart w:id="4" w:name="bs"/>
      <w:bookmarkEnd w:id="4"/>
      <w:r>
        <w:rPr>
          <w:rFonts w:ascii="Times New Roman" w:hAnsi="Times New Roman"/>
          <w:b/>
          <w:caps w:val="false"/>
          <w:smallCaps w:val="false"/>
          <w:sz w:val="20"/>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CONSOLIDATED BALANCE SHEETS AS OF MAY 31, 2026 (UNAUDITED)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AND AUGUST 31, 2025 (AUDITED)</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477"/>
        <w:gridCol w:w="60"/>
        <w:gridCol w:w="125"/>
        <w:gridCol w:w="1055"/>
        <w:gridCol w:w="80"/>
        <w:gridCol w:w="60"/>
        <w:gridCol w:w="134"/>
        <w:gridCol w:w="1133"/>
        <w:gridCol w:w="81"/>
      </w:tblGrid>
      <w:tr>
        <w:trPr/>
        <w:tc>
          <w:tcPr>
            <w:tcW w:w="74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67"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81" w:type="dxa"/>
            <w:tcBorders>
              <w:bottom w:val="double" w:sz="6" w:space="0" w:color="000000"/>
            </w:tcBorders>
            <w:tcMar>
              <w:bottom w:w="28" w:type="dxa"/>
            </w:tcM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477" w:type="dxa"/>
            <w:tcBorders/>
            <w:shd w:fill="FFFF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7,275,981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7,250,523</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72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less allowance for credit losses of $310,000 as of May 31, 2026 and $235,000 as of August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18,684,535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18,443,230</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1,092,660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1,077,552</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340,002</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15,838,761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15,525,230</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3,013,947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1,706,279</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held for sale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869,407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47,774,418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44,342,816</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14,863,936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15,183,918</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477"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30,360,084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28,611,777</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503,575</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8,310,410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8,827,768</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4,782,376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4,782,376</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585,756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493,050</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44,486,649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43,218,546</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107,125,003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102,745,280</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7477" w:type="dxa"/>
            <w:tcBorders/>
            <w:shd w:fill="FFFFFF" w:val="clear"/>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 of credit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11,763,555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9,329,021</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3,014,086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2,860,256</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9,350,119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8,044,196</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414,304</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and related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1,844,817</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882,578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1,066,761</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427,639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344,739</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27,782,828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23,904,094</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18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1,513,166</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loans, noncurrent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466,984</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158,117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2,060,519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2,128,461</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7477"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133"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authorized 10,000 shares; none issued and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$0.02 par value per share; authorized 15,000,000 shares; issued and outstanding 9,496,439 and 9,475,490 as of May 31, 2026 and August 31, 2025,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189,510</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26,046,779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25,056,976</w:t>
            </w:r>
          </w:p>
        </w:tc>
        <w:tc>
          <w:tcPr>
            <w:tcW w:w="81" w:type="dxa"/>
            <w:tcBorders/>
            <w:shd w:fill="FFFFFF" w:val="cle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52,022,946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52,273,469</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(5,434,794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(5,371,201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7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72,824,860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72,148,754</w:t>
            </w:r>
          </w:p>
        </w:tc>
        <w:tc>
          <w:tcPr>
            <w:tcW w:w="81" w:type="dxa"/>
            <w:tcBorders/>
            <w:shd w:fill="CCEEFF" w:val="cle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Non-controlling interests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4,456,796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4,563,971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77"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77,281,656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76,712,725</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77"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107,125,003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102,745,280</w:t>
            </w:r>
          </w:p>
        </w:tc>
        <w:tc>
          <w:tcPr>
            <w:tcW w:w="8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 AND SUBSIDIARIES</w:t>
      </w:r>
      <w:bookmarkStart w:id="5" w:name="op"/>
      <w:bookmarkEnd w:id="5"/>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OPERATIONS (UNAUDITED)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THREE AND NINE MONTHS ENDED MAY 31, 2026 AND 2025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5089"/>
        <w:gridCol w:w="60"/>
        <w:gridCol w:w="133"/>
        <w:gridCol w:w="1021"/>
        <w:gridCol w:w="85"/>
        <w:gridCol w:w="64"/>
        <w:gridCol w:w="133"/>
        <w:gridCol w:w="1021"/>
        <w:gridCol w:w="80"/>
        <w:gridCol w:w="60"/>
        <w:gridCol w:w="129"/>
        <w:gridCol w:w="984"/>
        <w:gridCol w:w="82"/>
        <w:gridCol w:w="62"/>
        <w:gridCol w:w="129"/>
        <w:gridCol w:w="984"/>
        <w:gridCol w:w="89"/>
      </w:tblGrid>
      <w:tr>
        <w:trPr/>
        <w:tc>
          <w:tcPr>
            <w:tcW w:w="5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8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4"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5" w:type="dxa"/>
            <w:tcBorders>
              <w:bottom w:val="double" w:sz="6"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154"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3"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2" w:type="dxa"/>
            <w:tcBorders>
              <w:bottom w:val="double" w:sz="6"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13"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9"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both"/>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both"/>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FFFFFF" w:val="clear"/>
            <w:vAlign w:val="center"/>
          </w:tcPr>
          <w:p>
            <w:pPr>
              <w:pStyle w:val="TableContents"/>
              <w:bidi w:val="0"/>
              <w:spacing w:before="0" w:after="283"/>
              <w:ind w:left="20" w:right="0" w:hanging="0"/>
              <w:jc w:val="left"/>
              <w:rPr/>
            </w:pPr>
            <w:r>
              <w:rPr/>
              <w:t> </w:t>
            </w:r>
          </w:p>
        </w:tc>
        <w:tc>
          <w:tcPr>
            <w:tcW w:w="133"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24,215,662</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20" w:right="0" w:hanging="0"/>
              <w:jc w:val="left"/>
              <w:rPr/>
            </w:pPr>
            <w:r>
              <w:rPr/>
              <w:t> </w:t>
            </w:r>
          </w:p>
        </w:tc>
        <w:tc>
          <w:tcPr>
            <w:tcW w:w="133" w:type="dxa"/>
            <w:tcBorders/>
            <w:shd w:fill="FFFFFF" w:val="cle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21,508,563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69,521,265</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61,919,022</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16,072,498</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13,249,123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45,136,589</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38,701,045</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2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8,143,164</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2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8,259,440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24,384,676</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23,217,977</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 OPERATIONS: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both"/>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both"/>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both"/>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1,517,174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3,839,960</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2,720,637</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1,033,786</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1,302,598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3,028,942</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3,656,980</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from joint venture operations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2,550,960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6,868,902</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6,377,617</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both"/>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both"/>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both"/>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2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4,647,548</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2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4,593,226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13,732,822</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13,071,122</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4,324,275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12,085,935</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11,113,008</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1,206,971</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2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1,138,243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3,603,085</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3,770,539</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10,178,794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9,665,165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29,421,842</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27,954,669</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515,330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1,831,736</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1,640,925</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64,089</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166,899</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273,544</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2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(203,872</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10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(600,489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(421,471</w:t>
            </w:r>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1,139,756</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375,547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742,912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1,398,146</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2,632,754</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392,802</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410,461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733,321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903,529</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2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10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664,825</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1,729,225</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2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246,036</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725,620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612,040</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NTIC</w:t>
            </w:r>
          </w:p>
        </w:tc>
        <w:tc>
          <w:tcPr>
            <w:tcW w:w="60" w:type="dxa"/>
            <w:tcBorders/>
            <w:shd w:fill="CCEEFF" w:val="clear"/>
            <w:vAlign w:val="center"/>
          </w:tcPr>
          <w:p>
            <w:pPr>
              <w:pStyle w:val="TableContents"/>
              <w:bidi w:val="0"/>
              <w:spacing w:before="0" w:after="283"/>
              <w:ind w:left="2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(263,291</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(60,795</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1,117,185</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NTIC PER COMMON SHARE: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2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2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2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2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ASSUMED OUTSTANDING:</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2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9,496,439</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9,474,363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9,490,751</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9,475,967</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89"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9,496,439</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9,539,766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9,490,751</w:t>
            </w:r>
          </w:p>
        </w:tc>
        <w:tc>
          <w:tcPr>
            <w:tcW w:w="8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9,686,646</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08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DECLARED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0.02</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0.15</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 AND SUBSIDIARIES</w:t>
      </w:r>
      <w:bookmarkStart w:id="6" w:name="income"/>
      <w:bookmarkEnd w:id="6"/>
      <w:r>
        <w:rPr>
          <w:rFonts w:ascii="Times New Roman" w:hAnsi="Times New Roman"/>
          <w:b/>
          <w:caps w:val="false"/>
          <w:smallCaps w:val="false"/>
          <w:sz w:val="20"/>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CONSOLIDATED STATEMENTS OF COMPREHENSIVE INCOME (LOSS) (UNAUDITED)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THREE AND NINE MONTHS ENDED MAY 31, 2026 AND 2025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5456"/>
        <w:gridCol w:w="60"/>
        <w:gridCol w:w="140"/>
        <w:gridCol w:w="849"/>
        <w:gridCol w:w="89"/>
        <w:gridCol w:w="67"/>
        <w:gridCol w:w="140"/>
        <w:gridCol w:w="950"/>
        <w:gridCol w:w="80"/>
        <w:gridCol w:w="60"/>
        <w:gridCol w:w="133"/>
        <w:gridCol w:w="906"/>
        <w:gridCol w:w="85"/>
        <w:gridCol w:w="64"/>
        <w:gridCol w:w="133"/>
        <w:gridCol w:w="906"/>
        <w:gridCol w:w="87"/>
      </w:tblGrid>
      <w:tr>
        <w:trPr/>
        <w:tc>
          <w:tcPr>
            <w:tcW w:w="5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4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9"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double" w:sz="6"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090"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double" w:sz="6"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5" w:type="dxa"/>
            <w:tcBorders>
              <w:bottom w:val="double" w:sz="6"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039" w:type="dxa"/>
            <w:gridSpan w:val="2"/>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4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(17,255</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664,825</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1,729,225</w:t>
            </w:r>
          </w:p>
        </w:tc>
        <w:tc>
          <w:tcPr>
            <w:tcW w:w="87" w:type="dxa"/>
            <w:tcBorders/>
            <w:shd w:fill="CCEEFF"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 FOREIGN CURRENCY TRANSLATION ADJUSTMENT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(665,858</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2,292,208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(211,035</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272,859</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5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8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(683,113</w:t>
            </w:r>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2,624,659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453,790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2,002,084</w:t>
            </w:r>
          </w:p>
        </w:tc>
        <w:tc>
          <w:tcPr>
            <w:tcW w:w="87" w:type="dxa"/>
            <w:tcBorders/>
            <w:shd w:fill="CCEEFF" w:val="clear"/>
            <w:vAlign w:val="center"/>
          </w:tcPr>
          <w:p>
            <w:pPr>
              <w:pStyle w:val="TableContents"/>
              <w:bidi w:val="0"/>
              <w:spacing w:before="0" w:after="283"/>
              <w:jc w:val="left"/>
              <w:rPr/>
            </w:pPr>
            <w:r>
              <w:rPr/>
              <w:t> </w:t>
            </w:r>
          </w:p>
        </w:tc>
      </w:tr>
      <w:tr>
        <w:trPr/>
        <w:tc>
          <w:tcPr>
            <w:tcW w:w="5456"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 ATTRIBUTABLE TO NON-CONTROLLING INTERESTS (NET OF TAX)</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118,139</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(301,469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578,178</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(520,165</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56"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 ATTRIBUTABLE TO NTIC</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(564,974</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2,323,190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1,031,968</w:t>
            </w:r>
          </w:p>
        </w:tc>
        <w:tc>
          <w:tcPr>
            <w:tcW w:w="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1,481,919</w:t>
            </w:r>
          </w:p>
        </w:tc>
        <w:tc>
          <w:tcPr>
            <w:tcW w:w="8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 AND SUBSIDIARIES</w:t>
      </w:r>
      <w:bookmarkStart w:id="7" w:name="equity"/>
      <w:bookmarkEnd w:id="7"/>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CONSOLIDATED STATEMENTS OF EQUITY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THREE AND NINE MONTHS ENDED MAY 31, 2026 AND 2025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744"/>
        <w:gridCol w:w="60"/>
        <w:gridCol w:w="63"/>
        <w:gridCol w:w="890"/>
        <w:gridCol w:w="63"/>
        <w:gridCol w:w="63"/>
        <w:gridCol w:w="131"/>
        <w:gridCol w:w="732"/>
        <w:gridCol w:w="63"/>
        <w:gridCol w:w="63"/>
        <w:gridCol w:w="131"/>
        <w:gridCol w:w="1001"/>
        <w:gridCol w:w="63"/>
        <w:gridCol w:w="63"/>
        <w:gridCol w:w="131"/>
        <w:gridCol w:w="1001"/>
        <w:gridCol w:w="84"/>
        <w:gridCol w:w="63"/>
        <w:gridCol w:w="166"/>
        <w:gridCol w:w="1178"/>
        <w:gridCol w:w="80"/>
        <w:gridCol w:w="60"/>
        <w:gridCol w:w="130"/>
        <w:gridCol w:w="880"/>
        <w:gridCol w:w="80"/>
        <w:gridCol w:w="60"/>
        <w:gridCol w:w="125"/>
        <w:gridCol w:w="950"/>
        <w:gridCol w:w="87"/>
      </w:tblGrid>
      <w:tr>
        <w:trPr/>
        <w:tc>
          <w:tcPr>
            <w:tcW w:w="1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4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 – THREE MONTHS ENDED MAY 31, 2026 AND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r>
      <w:tr>
        <w:trPr/>
        <w:tc>
          <w:tcPr>
            <w:tcW w:w="1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3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r>
      <w:tr>
        <w:trPr/>
        <w:tc>
          <w:tcPr>
            <w:tcW w:w="1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3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r>
      <w:tr>
        <w:trPr/>
        <w:tc>
          <w:tcPr>
            <w:tcW w:w="1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3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34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87" w:type="dxa"/>
            <w:tcBorders/>
            <w:vAlign w:val="center"/>
          </w:tcPr>
          <w:p>
            <w:pPr>
              <w:pStyle w:val="TableContents"/>
              <w:bidi w:val="0"/>
              <w:spacing w:before="0" w:after="283"/>
              <w:jc w:val="left"/>
              <w:rPr/>
            </w:pPr>
            <w:r>
              <w:rPr/>
              <w:t> </w:t>
            </w:r>
          </w:p>
        </w:tc>
      </w:tr>
      <w:tr>
        <w:trPr/>
        <w:tc>
          <w:tcPr>
            <w:tcW w:w="1744"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732"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1001"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r>
      <w:tr>
        <w:trPr/>
        <w:tc>
          <w:tcPr>
            <w:tcW w:w="17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FEBRUARY 28, 2025</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9,470,507</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189,410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24,334,299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53,440,749</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(8,218,805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4,100,026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73,845,679</w:t>
            </w:r>
          </w:p>
        </w:tc>
        <w:tc>
          <w:tcPr>
            <w:tcW w:w="87" w:type="dxa"/>
            <w:tcBorders/>
            <w:shd w:fill="CCEEFF" w:val="cle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for employee stock purchase plan</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3,856</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38,948</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39,025</w:t>
            </w:r>
          </w:p>
        </w:tc>
        <w:tc>
          <w:tcPr>
            <w:tcW w:w="87" w:type="dxa"/>
            <w:tcBorders/>
            <w:shd w:fill="FFFFFF" w:val="clear"/>
            <w:vAlign w:val="center"/>
          </w:tcPr>
          <w:p>
            <w:pPr>
              <w:pStyle w:val="TableContents"/>
              <w:bidi w:val="0"/>
              <w:spacing w:before="0" w:after="283"/>
              <w:jc w:val="left"/>
              <w:rPr/>
            </w:pPr>
            <w:r>
              <w:rPr/>
              <w:t> </w:t>
            </w:r>
          </w:p>
        </w:tc>
      </w:tr>
      <w:tr>
        <w:trPr/>
        <w:tc>
          <w:tcPr>
            <w:tcW w:w="17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341,876</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341,876</w:t>
            </w:r>
          </w:p>
        </w:tc>
        <w:tc>
          <w:tcPr>
            <w:tcW w:w="87" w:type="dxa"/>
            <w:tcBorders/>
            <w:shd w:fill="CCEEFF" w:val="cle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stockholders ($0.01 per share)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(94,744</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received by non-controlling interest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(180,000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121,775</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332,451</w:t>
            </w:r>
          </w:p>
        </w:tc>
        <w:tc>
          <w:tcPr>
            <w:tcW w:w="87" w:type="dxa"/>
            <w:tcBorders/>
            <w:shd w:fill="FFFFFF" w:val="clear"/>
            <w:vAlign w:val="center"/>
          </w:tcPr>
          <w:p>
            <w:pPr>
              <w:pStyle w:val="TableContents"/>
              <w:bidi w:val="0"/>
              <w:spacing w:before="0" w:after="283"/>
              <w:jc w:val="left"/>
              <w:rPr/>
            </w:pPr>
            <w:r>
              <w:rPr/>
              <w:t> </w:t>
            </w:r>
          </w:p>
        </w:tc>
      </w:tr>
      <w:tr>
        <w:trPr/>
        <w:tc>
          <w:tcPr>
            <w:tcW w:w="17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2,201,415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2,292,208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MAY 31, 2025</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9,474,363</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189,487</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24,715,123</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53,467,780</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(6,017,390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4,221,495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76,576,495</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74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32"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FEBRUARY 28, 2026</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9,492,001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189,840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25,706,091</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52,286,237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6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(4,896,833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4,438,657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77,723,992</w:t>
            </w:r>
          </w:p>
        </w:tc>
        <w:tc>
          <w:tcPr>
            <w:tcW w:w="87" w:type="dxa"/>
            <w:tcBorders/>
            <w:shd w:fill="FFFFFF" w:val="clear"/>
            <w:vAlign w:val="center"/>
          </w:tcPr>
          <w:p>
            <w:pPr>
              <w:pStyle w:val="TableContents"/>
              <w:bidi w:val="0"/>
              <w:spacing w:before="0" w:after="283"/>
              <w:jc w:val="left"/>
              <w:rPr/>
            </w:pPr>
            <w:r>
              <w:rPr/>
              <w:t> </w:t>
            </w:r>
          </w:p>
        </w:tc>
      </w:tr>
      <w:tr>
        <w:trPr/>
        <w:tc>
          <w:tcPr>
            <w:tcW w:w="174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30,228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30,317</w:t>
            </w:r>
          </w:p>
        </w:tc>
        <w:tc>
          <w:tcPr>
            <w:tcW w:w="87" w:type="dxa"/>
            <w:tcBorders/>
            <w:shd w:fill="CCEEFF" w:val="cle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310,460</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310,460</w:t>
            </w:r>
          </w:p>
        </w:tc>
        <w:tc>
          <w:tcPr>
            <w:tcW w:w="87" w:type="dxa"/>
            <w:tcBorders/>
            <w:shd w:fill="FFFFFF" w:val="clear"/>
            <w:vAlign w:val="center"/>
          </w:tcPr>
          <w:p>
            <w:pPr>
              <w:pStyle w:val="TableContents"/>
              <w:bidi w:val="0"/>
              <w:spacing w:before="0" w:after="283"/>
              <w:jc w:val="left"/>
              <w:rPr/>
            </w:pPr>
            <w:r>
              <w:rPr/>
              <w:t> </w:t>
            </w:r>
          </w:p>
        </w:tc>
      </w:tr>
      <w:tr>
        <w:trPr/>
        <w:tc>
          <w:tcPr>
            <w:tcW w:w="1744"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received by non-controlling interest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890"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32"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1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32"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(263,291</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17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246,036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(537,961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(665,858</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4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MAY 31, 2026</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9,496,439</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189,929</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26,046,779</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52,022,946</w:t>
            </w:r>
          </w:p>
        </w:tc>
        <w:tc>
          <w:tcPr>
            <w:tcW w:w="8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(5,434,794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4,456,796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77,281,656</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71"/>
        <w:gridCol w:w="60"/>
        <w:gridCol w:w="62"/>
        <w:gridCol w:w="881"/>
        <w:gridCol w:w="62"/>
        <w:gridCol w:w="62"/>
        <w:gridCol w:w="130"/>
        <w:gridCol w:w="725"/>
        <w:gridCol w:w="62"/>
        <w:gridCol w:w="62"/>
        <w:gridCol w:w="130"/>
        <w:gridCol w:w="991"/>
        <w:gridCol w:w="83"/>
        <w:gridCol w:w="62"/>
        <w:gridCol w:w="130"/>
        <w:gridCol w:w="991"/>
        <w:gridCol w:w="83"/>
        <w:gridCol w:w="62"/>
        <w:gridCol w:w="189"/>
        <w:gridCol w:w="1152"/>
        <w:gridCol w:w="80"/>
        <w:gridCol w:w="60"/>
        <w:gridCol w:w="130"/>
        <w:gridCol w:w="880"/>
        <w:gridCol w:w="80"/>
        <w:gridCol w:w="60"/>
        <w:gridCol w:w="125"/>
        <w:gridCol w:w="950"/>
        <w:gridCol w:w="90"/>
      </w:tblGrid>
      <w:tr>
        <w:trPr/>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1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 – NINE MONTHS ENDED MAY 31, 2026 AND 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r>
      <w:tr>
        <w:trPr/>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3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r>
      <w:tr>
        <w:trPr/>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2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Additional</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3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r>
      <w:tr>
        <w:trPr/>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2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2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34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90" w:type="dxa"/>
            <w:tcBorders/>
            <w:vAlign w:val="center"/>
          </w:tcPr>
          <w:p>
            <w:pPr>
              <w:pStyle w:val="TableContents"/>
              <w:bidi w:val="0"/>
              <w:spacing w:before="0" w:after="283"/>
              <w:jc w:val="left"/>
              <w:rPr/>
            </w:pPr>
            <w:r>
              <w:rPr/>
              <w:t> </w:t>
            </w:r>
          </w:p>
        </w:tc>
      </w:tr>
      <w:tr>
        <w:trPr/>
        <w:tc>
          <w:tcPr>
            <w:tcW w:w="177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81"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15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8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31, 2024</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9,466,980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23,615,564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53,771,211</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(6,382,124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3,981,330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75,175,321</w:t>
            </w:r>
          </w:p>
        </w:tc>
        <w:tc>
          <w:tcPr>
            <w:tcW w:w="90" w:type="dxa"/>
            <w:tcBorders/>
            <w:shd w:fill="CCEEFF"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for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81,349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81,496</w:t>
            </w:r>
          </w:p>
        </w:tc>
        <w:tc>
          <w:tcPr>
            <w:tcW w:w="90" w:type="dxa"/>
            <w:tcBorders/>
            <w:shd w:fill="FFFFFF" w:val="clear"/>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1,018,210</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1,018,210</w:t>
            </w:r>
          </w:p>
        </w:tc>
        <w:tc>
          <w:tcPr>
            <w:tcW w:w="90" w:type="dxa"/>
            <w:tcBorders/>
            <w:shd w:fill="CCEEFF"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stockholders ($0.15 per share)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(1,420,616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(1,420,616</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received by non-controlling interest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(280,000</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1,117,185</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612,040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1,729,225</w:t>
            </w:r>
          </w:p>
        </w:tc>
        <w:tc>
          <w:tcPr>
            <w:tcW w:w="90" w:type="dxa"/>
            <w:tcBorders/>
            <w:shd w:fill="FFFFFF" w:val="clear"/>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272,859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MAY 31, 2025</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9,474,363</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189,487</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24,715,123</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53,467,780</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(6,017,390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4,221,495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76,576,495</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88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AUGUST 31, 2025</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9,475,490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189,510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25,056,976</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52,273,469</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(5,371,201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4,563,971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76,712,725</w:t>
            </w:r>
          </w:p>
        </w:tc>
        <w:tc>
          <w:tcPr>
            <w:tcW w:w="90" w:type="dxa"/>
            <w:tcBorders/>
            <w:shd w:fill="FFFFFF" w:val="clear"/>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issued for employee stock purchase plan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65,055</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65,248</w:t>
            </w:r>
          </w:p>
        </w:tc>
        <w:tc>
          <w:tcPr>
            <w:tcW w:w="90" w:type="dxa"/>
            <w:tcBorders/>
            <w:shd w:fill="CCEEFF"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and settlement of restricted stock unit awards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924,974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924,974</w:t>
            </w:r>
          </w:p>
        </w:tc>
        <w:tc>
          <w:tcPr>
            <w:tcW w:w="90" w:type="dxa"/>
            <w:tcBorders/>
            <w:shd w:fill="CCEEFF"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to stockholders ($0.02 per share)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(189,728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(189,728</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to non-controlling interest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pPr>
            <w:r>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121" w:type="dxa"/>
            <w:gridSpan w:val="2"/>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__</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11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8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(685,353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25" w:type="dxa"/>
            <w:tcBorders/>
            <w:shd w:fill="FFFFFF" w:val="clear"/>
            <w:vAlign w:val="center"/>
          </w:tcPr>
          <w:p>
            <w:pPr>
              <w:pStyle w:val="TableContents"/>
              <w:bidi w:val="0"/>
              <w:spacing w:before="0" w:after="283"/>
              <w:ind w:left="0" w:right="0" w:hanging="0"/>
              <w:jc w:val="right"/>
              <w:rPr/>
            </w:pPr>
            <w:r>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(60,795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11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8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725,620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664,825</w:t>
            </w:r>
          </w:p>
        </w:tc>
        <w:tc>
          <w:tcPr>
            <w:tcW w:w="90" w:type="dxa"/>
            <w:tcBorders/>
            <w:shd w:fill="FFFFFF" w:val="clear"/>
            <w:vAlign w:val="center"/>
          </w:tcPr>
          <w:p>
            <w:pPr>
              <w:pStyle w:val="TableContents"/>
              <w:bidi w:val="0"/>
              <w:spacing w:before="0" w:after="283"/>
              <w:jc w:val="left"/>
              <w:rPr/>
            </w:pPr>
            <w:r>
              <w:rPr/>
              <w:t> </w:t>
            </w:r>
          </w:p>
        </w:tc>
      </w:tr>
      <w:tr>
        <w:trPr/>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(211,035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7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MAY 31, 2026</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9,496,439</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189,929</w:t>
            </w:r>
          </w:p>
        </w:tc>
        <w:tc>
          <w:tcPr>
            <w:tcW w:w="6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26,046,779</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52,022,946</w:t>
            </w:r>
          </w:p>
        </w:tc>
        <w:tc>
          <w:tcPr>
            <w:tcW w:w="8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(5,434,794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4,456,796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77,281,656</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 AND SUBSIDIARIES</w:t>
      </w:r>
      <w:bookmarkStart w:id="8" w:name="cash"/>
      <w:bookmarkEnd w:id="8"/>
      <w:r>
        <w:rPr>
          <w:rFonts w:ascii="Times New Roman" w:hAnsi="Times New Roman"/>
          <w:b/>
          <w:caps w:val="false"/>
          <w:smallCaps w:val="false"/>
          <w:sz w:val="20"/>
        </w:rPr>
        <w:t xml:space="preserve">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STATEMENTS OF CASH FLOWS (UNAUDITED)</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 THE NINE MONTHS ENDED MAY 31, 2026 AND 2025</w:t>
      </w:r>
    </w:p>
    <w:p>
      <w:pPr>
        <w:pStyle w:val="HorizontalLine"/>
        <w:pBdr>
          <w:bottom w:val="double" w:sz="2" w:space="0" w:color="808080"/>
        </w:pBdr>
        <w:bidi w:val="0"/>
        <w:spacing w:before="0" w:after="283"/>
        <w:jc w:val="left"/>
        <w:rPr/>
      </w:pPr>
      <w:r>
        <w:rPr/>
      </w:r>
    </w:p>
    <w:tbl>
      <w:tblPr>
        <w:tblW w:w="9395" w:type="dxa"/>
        <w:jc w:val="left"/>
        <w:tblInd w:w="0" w:type="dxa"/>
        <w:tblLayout w:type="fixed"/>
        <w:tblCellMar>
          <w:top w:w="0" w:type="dxa"/>
          <w:left w:w="0" w:type="dxa"/>
          <w:bottom w:w="0" w:type="dxa"/>
          <w:right w:w="0" w:type="dxa"/>
        </w:tblCellMar>
      </w:tblPr>
      <w:tblGrid>
        <w:gridCol w:w="6845"/>
        <w:gridCol w:w="60"/>
        <w:gridCol w:w="125"/>
        <w:gridCol w:w="1010"/>
        <w:gridCol w:w="80"/>
        <w:gridCol w:w="60"/>
        <w:gridCol w:w="125"/>
        <w:gridCol w:w="1010"/>
        <w:gridCol w:w="80"/>
      </w:tblGrid>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664,825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1,729,225</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924,974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1,018,210</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780,411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749,666</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524,281</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23,602</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allowance for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52,271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(3,839,960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(2,720,637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received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1,566,946</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49,724</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current assets and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2,406,970</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121,669</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(680,306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(646,985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(628,811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(773,386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1,207,933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803,311</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39,174</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(454,509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(758,572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3,808,450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the sale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(1,052,761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(1,490,021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Investments in patents and capitalized software costs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(187,465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(1,908,102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(1,240,226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(3,378,123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line of credit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21,197,372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24,337,814</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(18,762,838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(21,259,473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term loans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paid on NTIC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(1,420,616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Dividends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employee stock purchase plan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1,951,460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1,459,221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6845" w:type="dxa"/>
            <w:tcBorders/>
            <w:shd w:fill="FFFF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1,821,217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7,250,523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4,952,184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845" w:type="dxa"/>
            <w:tcBorders/>
            <w:shd w:fill="CCEEFF" w:val="cle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7,275,981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6,773,401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NORTHERN TECHNOLOGIES INTERNATIONAL CORPORATION AND SUBSIDIARIES</w:t>
      </w:r>
      <w:bookmarkStart w:id="9" w:name="notes"/>
      <w:bookmarkEnd w:id="9"/>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NOTES TO CONSOLIDATED FINANCIAL STATEMENTS (UNAUDITED)</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655" w:type="dxa"/>
        <w:jc w:val="left"/>
        <w:tblInd w:w="0" w:type="dxa"/>
        <w:tblLayout w:type="fixed"/>
        <w:tblCellMar>
          <w:top w:w="0" w:type="dxa"/>
          <w:left w:w="0" w:type="dxa"/>
          <w:bottom w:w="0" w:type="dxa"/>
          <w:right w:w="0" w:type="dxa"/>
        </w:tblCellMar>
      </w:tblPr>
      <w:tblGrid>
        <w:gridCol w:w="170"/>
        <w:gridCol w:w="34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34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INTERIM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2026 and August 31, 2025, the results of the Company’s operations for the three and nine months ended May 31, 2026 and 2025, the changes in stockholders’ equity for the three and nine months ended May 31, 2026 and 2025, and the Company’s cash flows for the nine months ended May 31, 2026 and 2025, in conformity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These consolidated financial statements should be read in conjunction with the consolidated financial statements and related notes contained in the Company’s annual report on Form 10-K for the fiscal year ended August 31, 2025. These consolidated financial statements also should be read in conjunction with the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section appearing in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results for the three and nine months ended May 31, 2026 are not necessarily indicative of the results that may be expected for the full fiscal year ending August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identified immaterial prior period classification errors related to the classification of selling expenses and general and administrative expenses in its consolidated statements of operations for the three and nine months ended May 31, 2025. For the three and nine months ended May 31, 2025, $217,270 and $555,484, respectively, were reclassified from general and administrative expenses to selling expenses. These changes had no impact on the Company’s results of operations, cash flows or financial position for the three and nine months ended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has evaluated events occurring after the date of these consolidated financial statements through the date July 9, 2026 for events requiring disclosure in these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15"/>
        <w:gridCol w:w="363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2. </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Assets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classifies a property as held for sale when all of the criteria set forth in the Accounting Standards Codification (ASC) Topic 360: Property, Plant and Equipment (ASC 360) have been met. The criteria are as follows: (i) management, having the authority to approve the action, commits to a plan to sell the property; (ii) the property is available for immediate sale in its present condition, subject only to terms that are usual and customary for sales of such assets; (iii) an active program to locate a buyer and other actions required to complete the plan to sell have been initiated; (iv) the sale of the property is probable and is expected to be completed within one year; (v) the property is being actively marketed for sale at a price that is reasonable in relation to its current fair value; and (vi) actions necessary to complete the plan of sale indicate that it is unlikely that significant changes to the plan will be made or that the plan will be withdrawn. At the time the Company classifies a property as held for sale, the Company ceases recording depreciation and amortization. A property classified as held for sale is measured and reported at the lower of: (i) its carrying amount or (ii) its estimated fair value, less estimated costs to sell. Properties classified as held for sale are presented separately in the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than the addition of the accounting policy for assets held for sale described above, there have been no changes to the Company's significant accounting policies from those disclosed in the Company's annual report on Form 10-K for the fiscal year ended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170"/>
        <w:gridCol w:w="330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3.</w:t>
            </w:r>
          </w:p>
        </w:tc>
        <w:tc>
          <w:tcPr>
            <w:tcW w:w="33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ACCOUNTING PRONOUNCEMENTS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December 2023, the Financial Accounting Standards Board (FASB) issued ASU No. 2023-09, Income Taxes (Topic 740): </w:t>
      </w:r>
      <w:r>
        <w:rPr>
          <w:rFonts w:ascii="Times New Roman" w:hAnsi="Times New Roman"/>
          <w:i/>
          <w:caps w:val="false"/>
          <w:smallCaps w:val="false"/>
          <w:sz w:val="20"/>
        </w:rPr>
        <w:t>Improvements to Income Tax Disclosures</w:t>
      </w:r>
      <w:r>
        <w:rPr>
          <w:rFonts w:ascii="Times New Roman" w:hAnsi="Times New Roman"/>
          <w:caps w:val="false"/>
          <w:smallCaps w:val="false"/>
          <w:sz w:val="20"/>
        </w:rPr>
        <w:t>. The new guidance is expected to improve income tax disclosures primarily related to the rate reconciliation and income taxes paid information by requiring 1) consistent categories and greater disaggregation of information in the rate reconciliation and 2) income taxes paid disaggregated by jurisdiction. The guidance is effective on a prospective basis, although retrospective application and early adoption is permitted. The Company is evaluating its disclosure approach for ASU 2023-09 and anticipates adopting the standard for the annual period starting September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No. 2024-03, </w:t>
      </w:r>
      <w:r>
        <w:rPr>
          <w:rFonts w:ascii="Times New Roman" w:hAnsi="Times New Roman"/>
          <w:i/>
          <w:caps w:val="false"/>
          <w:smallCaps w:val="false"/>
          <w:sz w:val="20"/>
        </w:rPr>
        <w:t>Income Statement - Reporting Comprehensive Income - Expense Disaggregation Disclosures (Subtopic 220-40): Disaggregation of Income Statement Expenses</w:t>
      </w:r>
      <w:r>
        <w:rPr>
          <w:rFonts w:ascii="Times New Roman" w:hAnsi="Times New Roman"/>
          <w:caps w:val="false"/>
          <w:smallCaps w:val="false"/>
          <w:sz w:val="20"/>
        </w:rPr>
        <w:t>, which requires disaggregation of certain costs in a separate note to the financial statements, such as the amounts of employee compensation, depreciation and intangible asset amortization, included in each relevant expense caption in annual and interim consolidated financial statements. ASU 2024-03 is effective for annual periods beginning after December 15, 2026 and for interim periods beginning after December 15, 2027 on a retrospective or prospective basis, with early adoption permitted. The Company is evaluating the effect that ASU 2024-03 will have on its consolidated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July 2025, the FASB issued ASU 2025-05,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Credit Losses (Topic 326): Measurement of Credit Losses for Accounts Receivable and Contract Assets</w:t>
      </w:r>
      <w:r>
        <w:rPr>
          <w:rFonts w:ascii="Times New Roman" w:hAnsi="Times New Roman"/>
          <w:caps w:val="false"/>
          <w:smallCaps w:val="false"/>
          <w:sz w:val="20"/>
        </w:rPr>
        <w:t>. The ASU provides a practical expedient that permits an entity to assume that conditions at the balance sheet date remain unchanged over the remaining life of current accounts receivable and contract assets when estimating expected credit losses. The guidance is effective for fiscal years beginning after December 15, 2025, including interim periods within those fiscal years, with early adoption permitted. The Company is currently evaluating the impact that adoption of this guidance will have on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40" w:type="dxa"/>
        <w:jc w:val="left"/>
        <w:tblInd w:w="0" w:type="dxa"/>
        <w:tblLayout w:type="fixed"/>
        <w:tblCellMar>
          <w:top w:w="0" w:type="dxa"/>
          <w:left w:w="0" w:type="dxa"/>
          <w:bottom w:w="0" w:type="dxa"/>
          <w:right w:w="0" w:type="dxa"/>
        </w:tblCellMar>
      </w:tblPr>
      <w:tblGrid>
        <w:gridCol w:w="170"/>
        <w:gridCol w:w="137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4.</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Inventories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4483" w:type="dxa"/>
        <w:jc w:val="left"/>
        <w:tblInd w:w="0" w:type="dxa"/>
        <w:tblLayout w:type="fixed"/>
        <w:tblCellMar>
          <w:top w:w="0" w:type="dxa"/>
          <w:left w:w="0" w:type="dxa"/>
          <w:bottom w:w="0" w:type="dxa"/>
          <w:right w:w="0" w:type="dxa"/>
        </w:tblCellMar>
      </w:tblPr>
      <w:tblGrid>
        <w:gridCol w:w="1700"/>
        <w:gridCol w:w="60"/>
        <w:gridCol w:w="136"/>
        <w:gridCol w:w="1038"/>
        <w:gridCol w:w="60"/>
        <w:gridCol w:w="60"/>
        <w:gridCol w:w="159"/>
        <w:gridCol w:w="1210"/>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4,785,789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5,059,298</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11,052,972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10,465,932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15,838,761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15,525,230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170"/>
        <w:gridCol w:w="327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3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348" w:type="dxa"/>
        <w:jc w:val="left"/>
        <w:tblInd w:w="0" w:type="dxa"/>
        <w:tblLayout w:type="fixed"/>
        <w:tblCellMar>
          <w:top w:w="0" w:type="dxa"/>
          <w:left w:w="0" w:type="dxa"/>
          <w:bottom w:w="0" w:type="dxa"/>
          <w:right w:w="0" w:type="dxa"/>
        </w:tblCellMar>
      </w:tblPr>
      <w:tblGrid>
        <w:gridCol w:w="2525"/>
        <w:gridCol w:w="60"/>
        <w:gridCol w:w="129"/>
        <w:gridCol w:w="1045"/>
        <w:gridCol w:w="80"/>
        <w:gridCol w:w="60"/>
        <w:gridCol w:w="150"/>
        <w:gridCol w:w="1219"/>
        <w:gridCol w:w="8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1,260,312</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0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13,355,861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12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14,650,361</w:t>
            </w:r>
          </w:p>
        </w:tc>
        <w:tc>
          <w:tcPr>
            <w:tcW w:w="8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in process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817,946</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9,805,024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9,154,728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0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25,513,366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12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25,883,347</w:t>
            </w:r>
          </w:p>
        </w:tc>
        <w:tc>
          <w:tcPr>
            <w:tcW w:w="8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(10,649,430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(10,699,429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14,863,936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15,183,918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expense was $281,603 and $780,411 for the three and nine months ended May 31, 2026, respectively, compared to $231,281 and $749,666 for the three and nine months ended May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third quarter of fiscal 2026, the Company reclassified $869,407 of net book value associated with its Beachwood, Ohio facility from property and equipment, net to assets held for sale. Amounts reclassified consisted of $1,376,803 of buildings and improvements and $507,396 of related accumulated depreciation. Depreciation ceased upon classification of such property and equipment to assets held for sale. See Note 17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170"/>
        <w:gridCol w:w="25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5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INTANGIBLE ASSETS,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827" w:type="dxa"/>
        <w:jc w:val="left"/>
        <w:tblInd w:w="0" w:type="dxa"/>
        <w:tblLayout w:type="fixed"/>
        <w:tblCellMar>
          <w:top w:w="0" w:type="dxa"/>
          <w:left w:w="0" w:type="dxa"/>
          <w:bottom w:w="0" w:type="dxa"/>
          <w:right w:w="0" w:type="dxa"/>
        </w:tblCellMar>
      </w:tblPr>
      <w:tblGrid>
        <w:gridCol w:w="2195"/>
        <w:gridCol w:w="60"/>
        <w:gridCol w:w="241"/>
        <w:gridCol w:w="1833"/>
        <w:gridCol w:w="60"/>
        <w:gridCol w:w="60"/>
        <w:gridCol w:w="279"/>
        <w:gridCol w:w="2035"/>
        <w:gridCol w:w="80"/>
        <w:gridCol w:w="60"/>
        <w:gridCol w:w="240"/>
        <w:gridCol w:w="1624"/>
        <w:gridCol w:w="6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1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May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Carrying Amount</w:t>
            </w:r>
          </w:p>
        </w:tc>
        <w:tc>
          <w:tcPr>
            <w:tcW w:w="6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3,618,746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(3,050,692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568,054</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4,204,956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2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(799,716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3,405,240</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(2,009,884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4,337,116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net</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14,170,702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(5,860,292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8,310,410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827" w:type="dxa"/>
        <w:jc w:val="left"/>
        <w:tblInd w:w="0" w:type="dxa"/>
        <w:tblLayout w:type="fixed"/>
        <w:tblCellMar>
          <w:top w:w="0" w:type="dxa"/>
          <w:left w:w="0" w:type="dxa"/>
          <w:bottom w:w="0" w:type="dxa"/>
          <w:right w:w="0" w:type="dxa"/>
        </w:tblCellMar>
      </w:tblPr>
      <w:tblGrid>
        <w:gridCol w:w="2195"/>
        <w:gridCol w:w="60"/>
        <w:gridCol w:w="241"/>
        <w:gridCol w:w="1833"/>
        <w:gridCol w:w="60"/>
        <w:gridCol w:w="60"/>
        <w:gridCol w:w="279"/>
        <w:gridCol w:w="2035"/>
        <w:gridCol w:w="80"/>
        <w:gridCol w:w="60"/>
        <w:gridCol w:w="240"/>
        <w:gridCol w:w="1624"/>
        <w:gridCol w:w="60"/>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1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Carrying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 Amortization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Carrying Amount</w:t>
            </w:r>
          </w:p>
        </w:tc>
        <w:tc>
          <w:tcPr>
            <w:tcW w:w="60"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and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3,546,542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(2,969,571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576,971</w:t>
            </w:r>
          </w:p>
        </w:tc>
        <w:tc>
          <w:tcPr>
            <w:tcW w:w="60"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1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4,089,695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20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3,596,330</w:t>
            </w:r>
          </w:p>
        </w:tc>
        <w:tc>
          <w:tcPr>
            <w:tcW w:w="60"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6,347,000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(1,692,533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4,654,467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 net</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13,983,237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(5,155,469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2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8,827,768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was $239,050 and $704,822 for the three and nine months ended May 31, 2026, respectively, compared to $218,187 and $524,281 for the three and nine months ended May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May 31, 2026, future amortization expense related to intangible assets for each of the next five fiscal years and thereafter is estimated as follows:</w:t>
      </w:r>
    </w:p>
    <w:p>
      <w:pPr>
        <w:pStyle w:val="TextBody"/>
        <w:bidi w:val="0"/>
        <w:spacing w:before="0" w:after="0"/>
        <w:ind w:left="0" w:right="0" w:hanging="0"/>
        <w:jc w:val="left"/>
        <w:rPr>
          <w:caps w:val="false"/>
          <w:smallCaps w:val="false"/>
        </w:rPr>
      </w:pPr>
      <w:r>
        <w:rPr>
          <w:caps w:val="false"/>
          <w:smallCaps w:val="false"/>
        </w:rPr>
        <w:t> </w:t>
      </w:r>
    </w:p>
    <w:tbl>
      <w:tblPr>
        <w:tblW w:w="3150" w:type="dxa"/>
        <w:jc w:val="left"/>
        <w:tblInd w:w="0" w:type="dxa"/>
        <w:tblLayout w:type="fixed"/>
        <w:tblCellMar>
          <w:top w:w="0" w:type="dxa"/>
          <w:left w:w="0" w:type="dxa"/>
          <w:bottom w:w="0" w:type="dxa"/>
          <w:right w:w="0" w:type="dxa"/>
        </w:tblCellMar>
      </w:tblPr>
      <w:tblGrid>
        <w:gridCol w:w="2060"/>
        <w:gridCol w:w="60"/>
        <w:gridCol w:w="125"/>
        <w:gridCol w:w="845"/>
        <w:gridCol w:w="60"/>
      </w:tblGrid>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fiscal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213,498</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886,770</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862,495</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843,144</w:t>
            </w:r>
          </w:p>
        </w:tc>
        <w:tc>
          <w:tcPr>
            <w:tcW w:w="60"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843,144</w:t>
            </w:r>
          </w:p>
        </w:tc>
        <w:tc>
          <w:tcPr>
            <w:tcW w:w="60" w:type="dxa"/>
            <w:tcBorders/>
            <w:shd w:fill="CCEEFF" w:val="clear"/>
            <w:vAlign w:val="center"/>
          </w:tcPr>
          <w:p>
            <w:pPr>
              <w:pStyle w:val="TableContents"/>
              <w:bidi w:val="0"/>
              <w:spacing w:before="0" w:after="283"/>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4,661,359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8,310,410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34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INVESTMENTS IN JOINT VENTURES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information from the audited and unaudited financial statements of the Company’s joint ventures in Germany, Excor Korrosionsschutz – Technologien und Produkte GmbH (EXCOR), France, ACOBAL SAS (Acobal), Finland, Zerust OY (Zerust OY), Sweden, ZERUST AB (Zerust AB) and Thailand, ZERUST Specialty Tech Co. LTD. (Spec Tech) and all the Company’s other joint ventures are summarized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0"/>
        <w:gridCol w:w="60"/>
        <w:gridCol w:w="125"/>
        <w:gridCol w:w="950"/>
        <w:gridCol w:w="60"/>
        <w:gridCol w:w="60"/>
        <w:gridCol w:w="125"/>
        <w:gridCol w:w="950"/>
        <w:gridCol w:w="60"/>
        <w:gridCol w:w="60"/>
        <w:gridCol w:w="125"/>
        <w:gridCol w:w="845"/>
        <w:gridCol w:w="60"/>
        <w:gridCol w:w="60"/>
        <w:gridCol w:w="125"/>
        <w:gridCol w:w="845"/>
        <w:gridCol w:w="60"/>
        <w:gridCol w:w="60"/>
        <w:gridCol w:w="125"/>
        <w:gridCol w:w="845"/>
        <w:gridCol w:w="60"/>
        <w:gridCol w:w="60"/>
        <w:gridCol w:w="125"/>
        <w:gridCol w:w="845"/>
        <w:gridCol w:w="60"/>
        <w:gridCol w:w="60"/>
        <w:gridCol w:w="125"/>
        <w:gridCol w:w="950"/>
        <w:gridCol w:w="60"/>
      </w:tblGrid>
      <w:tr>
        <w:trPr/>
        <w:tc>
          <w:tcPr>
            <w:tcW w:w="2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25"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May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Acobal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Zerust OY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Zerust AB</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Spec Tech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65,742,210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33,104,791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7,711,013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3,283,426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1,652,363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14,578,758</w:t>
            </w:r>
          </w:p>
        </w:tc>
        <w:tc>
          <w:tcPr>
            <w:tcW w:w="60" w:type="dxa"/>
            <w:tcBorders/>
            <w:shd w:fill="CCEEFF" w:val="clear"/>
            <w:vAlign w:val="center"/>
          </w:tcPr>
          <w:p>
            <w:pPr>
              <w:pStyle w:val="TableContents"/>
              <w:bidi w:val="0"/>
              <w:spacing w:before="0" w:after="283"/>
              <w:jc w:val="left"/>
              <w:rPr/>
            </w:pPr>
            <w:r>
              <w:rPr/>
              <w:t> </w:t>
            </w:r>
          </w:p>
        </w:tc>
      </w:tr>
      <w:tr>
        <w:trPr/>
        <w:tc>
          <w:tcPr>
            <w:tcW w:w="2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75,173,163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39,993,690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8,593,203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3,536,844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1,667,235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5,622,605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15,759,586</w:t>
            </w:r>
          </w:p>
        </w:tc>
        <w:tc>
          <w:tcPr>
            <w:tcW w:w="60" w:type="dxa"/>
            <w:tcBorders/>
            <w:shd w:fill="FFFFFF" w:val="cle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13,640,471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2,196,193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2,949,776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1,018,813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4,989,945</w:t>
            </w:r>
          </w:p>
        </w:tc>
        <w:tc>
          <w:tcPr>
            <w:tcW w:w="60" w:type="dxa"/>
            <w:tcBorders/>
            <w:shd w:fill="CCEEFF" w:val="clear"/>
            <w:vAlign w:val="center"/>
          </w:tcPr>
          <w:p>
            <w:pPr>
              <w:pStyle w:val="TableContents"/>
              <w:bidi w:val="0"/>
              <w:spacing w:before="0" w:after="283"/>
              <w:jc w:val="left"/>
              <w:rPr/>
            </w:pPr>
            <w:r>
              <w:rPr/>
              <w:t> </w:t>
            </w:r>
          </w:p>
        </w:tc>
      </w:tr>
      <w:tr>
        <w:trPr/>
        <w:tc>
          <w:tcPr>
            <w:tcW w:w="2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224,448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97,889</w:t>
            </w:r>
          </w:p>
        </w:tc>
        <w:tc>
          <w:tcPr>
            <w:tcW w:w="60" w:type="dxa"/>
            <w:tcBorders/>
            <w:shd w:fill="FFFFFF" w:val="cle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61,210,354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37,797,497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5,643,426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2,518,031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974,976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3,604,673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10,671,751</w:t>
            </w:r>
          </w:p>
        </w:tc>
        <w:tc>
          <w:tcPr>
            <w:tcW w:w="60" w:type="dxa"/>
            <w:tcBorders/>
            <w:shd w:fill="CCEEFF" w:val="clear"/>
            <w:vAlign w:val="center"/>
          </w:tcPr>
          <w:p>
            <w:pPr>
              <w:pStyle w:val="TableContents"/>
              <w:bidi w:val="0"/>
              <w:spacing w:before="0" w:after="283"/>
              <w:jc w:val="left"/>
              <w:rPr/>
            </w:pPr>
            <w:r>
              <w:rPr/>
              <w:t> </w:t>
            </w:r>
          </w:p>
        </w:tc>
      </w:tr>
      <w:tr>
        <w:trPr/>
        <w:tc>
          <w:tcPr>
            <w:tcW w:w="2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30,360,084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18,898,750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497,017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5,081,265</w:t>
            </w:r>
          </w:p>
        </w:tc>
        <w:tc>
          <w:tcPr>
            <w:tcW w:w="60" w:type="dxa"/>
            <w:tcBorders/>
            <w:shd w:fill="FFFFFF" w:val="clear"/>
            <w:vAlign w:val="center"/>
          </w:tcPr>
          <w:p>
            <w:pPr>
              <w:pStyle w:val="TableContents"/>
              <w:bidi w:val="0"/>
              <w:spacing w:before="0" w:after="283"/>
              <w:jc w:val="left"/>
              <w:rPr/>
            </w:pPr>
            <w:r>
              <w:rPr/>
              <w:t> </w:t>
            </w:r>
          </w:p>
        </w:tc>
      </w:tr>
      <w:tr>
        <w:trPr/>
        <w:tc>
          <w:tcPr>
            <w:tcW w:w="2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undistributed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29,415,417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18,867,845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2,821,711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4,309,503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0"/>
        <w:gridCol w:w="60"/>
        <w:gridCol w:w="125"/>
        <w:gridCol w:w="950"/>
        <w:gridCol w:w="60"/>
        <w:gridCol w:w="60"/>
        <w:gridCol w:w="125"/>
        <w:gridCol w:w="845"/>
        <w:gridCol w:w="60"/>
        <w:gridCol w:w="60"/>
        <w:gridCol w:w="125"/>
        <w:gridCol w:w="845"/>
        <w:gridCol w:w="60"/>
        <w:gridCol w:w="60"/>
        <w:gridCol w:w="125"/>
        <w:gridCol w:w="845"/>
        <w:gridCol w:w="60"/>
        <w:gridCol w:w="60"/>
        <w:gridCol w:w="125"/>
        <w:gridCol w:w="845"/>
        <w:gridCol w:w="60"/>
        <w:gridCol w:w="60"/>
        <w:gridCol w:w="125"/>
        <w:gridCol w:w="845"/>
        <w:gridCol w:w="60"/>
        <w:gridCol w:w="60"/>
        <w:gridCol w:w="125"/>
        <w:gridCol w:w="845"/>
        <w:gridCol w:w="60"/>
      </w:tblGrid>
      <w:tr>
        <w:trPr/>
        <w:tc>
          <w:tcPr>
            <w:tcW w:w="2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15"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Acobal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Zerust OY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Zerust AB</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Spec Tech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26,707,572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9,480,910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3,691,757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1,438,124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2,279,040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8,189,940</w:t>
            </w:r>
          </w:p>
        </w:tc>
        <w:tc>
          <w:tcPr>
            <w:tcW w:w="60" w:type="dxa"/>
            <w:tcBorders/>
            <w:shd w:fill="CCEEFF" w:val="clear"/>
            <w:vAlign w:val="center"/>
          </w:tcPr>
          <w:p>
            <w:pPr>
              <w:pStyle w:val="TableContents"/>
              <w:bidi w:val="0"/>
              <w:spacing w:before="0" w:after="283"/>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11,384,037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4,910,642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1,429,663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2,947,175</w:t>
            </w:r>
          </w:p>
        </w:tc>
        <w:tc>
          <w:tcPr>
            <w:tcW w:w="60" w:type="dxa"/>
            <w:tcBorders/>
            <w:shd w:fill="FFFFFF" w:val="clear"/>
            <w:vAlign w:val="center"/>
          </w:tcPr>
          <w:p>
            <w:pPr>
              <w:pStyle w:val="TableContents"/>
              <w:bidi w:val="0"/>
              <w:spacing w:before="0" w:after="283"/>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3,019,996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1,416,371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301,396</w:t>
            </w:r>
          </w:p>
        </w:tc>
        <w:tc>
          <w:tcPr>
            <w:tcW w:w="60" w:type="dxa"/>
            <w:tcBorders/>
            <w:shd w:fill="CCEEFF" w:val="clear"/>
            <w:vAlign w:val="center"/>
          </w:tcPr>
          <w:p>
            <w:pPr>
              <w:pStyle w:val="TableContents"/>
              <w:bidi w:val="0"/>
              <w:spacing w:before="0" w:after="283"/>
              <w:jc w:val="left"/>
              <w:rPr/>
            </w:pPr>
            <w:r>
              <w:rPr/>
              <w:t> </w:t>
            </w:r>
          </w:p>
        </w:tc>
      </w:tr>
      <w:tr>
        <w:trPr/>
        <w:tc>
          <w:tcPr>
            <w:tcW w:w="24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equity in income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710,699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96,327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151,329</w:t>
            </w:r>
          </w:p>
        </w:tc>
        <w:tc>
          <w:tcPr>
            <w:tcW w:w="60" w:type="dxa"/>
            <w:tcBorders/>
            <w:shd w:fill="FFFFFF" w:val="clear"/>
            <w:vAlign w:val="center"/>
          </w:tcPr>
          <w:p>
            <w:pPr>
              <w:pStyle w:val="TableContents"/>
              <w:bidi w:val="0"/>
              <w:spacing w:before="0" w:after="283"/>
              <w:jc w:val="left"/>
              <w:rPr/>
            </w:pPr>
            <w:r>
              <w:rPr/>
              <w:t> </w:t>
            </w:r>
          </w:p>
        </w:tc>
      </w:tr>
      <w:tr>
        <w:trPr/>
        <w:tc>
          <w:tcPr>
            <w:tcW w:w="24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5"/>
        <w:gridCol w:w="60"/>
        <w:gridCol w:w="125"/>
        <w:gridCol w:w="950"/>
        <w:gridCol w:w="60"/>
        <w:gridCol w:w="60"/>
        <w:gridCol w:w="125"/>
        <w:gridCol w:w="950"/>
        <w:gridCol w:w="60"/>
        <w:gridCol w:w="60"/>
        <w:gridCol w:w="125"/>
        <w:gridCol w:w="950"/>
        <w:gridCol w:w="60"/>
        <w:gridCol w:w="60"/>
        <w:gridCol w:w="125"/>
        <w:gridCol w:w="845"/>
        <w:gridCol w:w="60"/>
        <w:gridCol w:w="60"/>
        <w:gridCol w:w="125"/>
        <w:gridCol w:w="845"/>
        <w:gridCol w:w="60"/>
        <w:gridCol w:w="60"/>
        <w:gridCol w:w="125"/>
        <w:gridCol w:w="845"/>
        <w:gridCol w:w="60"/>
        <w:gridCol w:w="60"/>
        <w:gridCol w:w="125"/>
        <w:gridCol w:w="950"/>
        <w:gridCol w:w="60"/>
      </w:tblGrid>
      <w:tr>
        <w:trPr/>
        <w:tc>
          <w:tcPr>
            <w:tcW w:w="2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30"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Acobal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Zerust OY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Zerust AB</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Spec Tech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74,722,581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26,583,069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10,549,682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4,168,396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4,053,901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6,664,036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22,703,497</w:t>
            </w:r>
          </w:p>
        </w:tc>
        <w:tc>
          <w:tcPr>
            <w:tcW w:w="60" w:type="dxa"/>
            <w:tcBorders/>
            <w:shd w:fill="CCEEFF" w:val="clear"/>
            <w:vAlign w:val="center"/>
          </w:tcPr>
          <w:p>
            <w:pPr>
              <w:pStyle w:val="TableContents"/>
              <w:bidi w:val="0"/>
              <w:spacing w:before="0" w:after="283"/>
              <w:jc w:val="left"/>
              <w:rPr/>
            </w:pPr>
            <w:r>
              <w:rPr/>
              <w:t> </w:t>
            </w:r>
          </w:p>
        </w:tc>
      </w:tr>
      <w:tr>
        <w:trPr/>
        <w:tc>
          <w:tcPr>
            <w:tcW w:w="2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32,468,425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14,048,988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4,141,657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1,822,634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8,432,954</w:t>
            </w:r>
          </w:p>
        </w:tc>
        <w:tc>
          <w:tcPr>
            <w:tcW w:w="60" w:type="dxa"/>
            <w:tcBorders/>
            <w:shd w:fill="FFFFFF" w:val="clear"/>
            <w:vAlign w:val="center"/>
          </w:tcPr>
          <w:p>
            <w:pPr>
              <w:pStyle w:val="TableContents"/>
              <w:bidi w:val="0"/>
              <w:spacing w:before="0" w:after="283"/>
              <w:jc w:val="left"/>
              <w:rPr/>
            </w:pPr>
            <w:r>
              <w:rPr/>
              <w:t> </w:t>
            </w:r>
          </w:p>
        </w:tc>
      </w:tr>
      <w:tr>
        <w:trPr/>
        <w:tc>
          <w:tcPr>
            <w:tcW w:w="2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7,680,459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3,363,103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313,037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880,993</w:t>
            </w:r>
          </w:p>
        </w:tc>
        <w:tc>
          <w:tcPr>
            <w:tcW w:w="60" w:type="dxa"/>
            <w:tcBorders/>
            <w:shd w:fill="CCEEFF" w:val="clear"/>
            <w:vAlign w:val="center"/>
          </w:tcPr>
          <w:p>
            <w:pPr>
              <w:pStyle w:val="TableContents"/>
              <w:bidi w:val="0"/>
              <w:spacing w:before="0" w:after="283"/>
              <w:jc w:val="left"/>
              <w:rPr/>
            </w:pPr>
            <w:r>
              <w:rPr/>
              <w:t> </w:t>
            </w:r>
          </w:p>
        </w:tc>
      </w:tr>
      <w:tr>
        <w:trPr/>
        <w:tc>
          <w:tcPr>
            <w:tcW w:w="21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equity in income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3,839,960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1,681,054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404,069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440,725</w:t>
            </w:r>
          </w:p>
        </w:tc>
        <w:tc>
          <w:tcPr>
            <w:tcW w:w="60" w:type="dxa"/>
            <w:tcBorders/>
            <w:shd w:fill="FFFFFF" w:val="clear"/>
            <w:vAlign w:val="center"/>
          </w:tcPr>
          <w:p>
            <w:pPr>
              <w:pStyle w:val="TableContents"/>
              <w:bidi w:val="0"/>
              <w:spacing w:before="0" w:after="283"/>
              <w:jc w:val="left"/>
              <w:rPr/>
            </w:pPr>
            <w:r>
              <w:rPr/>
              <w:t> </w:t>
            </w:r>
          </w:p>
        </w:tc>
      </w:tr>
      <w:tr>
        <w:trPr/>
        <w:tc>
          <w:tcPr>
            <w:tcW w:w="21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1,786,116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228,763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4385"/>
        <w:gridCol w:w="60"/>
        <w:gridCol w:w="125"/>
        <w:gridCol w:w="950"/>
        <w:gridCol w:w="60"/>
        <w:gridCol w:w="60"/>
        <w:gridCol w:w="125"/>
        <w:gridCol w:w="950"/>
        <w:gridCol w:w="60"/>
        <w:gridCol w:w="60"/>
        <w:gridCol w:w="125"/>
        <w:gridCol w:w="845"/>
        <w:gridCol w:w="60"/>
        <w:gridCol w:w="60"/>
        <w:gridCol w:w="125"/>
        <w:gridCol w:w="845"/>
        <w:gridCol w:w="60"/>
        <w:gridCol w:w="60"/>
        <w:gridCol w:w="125"/>
        <w:gridCol w:w="950"/>
        <w:gridCol w:w="60"/>
      </w:tblGrid>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645"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Acobal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Zerust OY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60,062,085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29,870,525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6,971,262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3,029,614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20,190,684</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69,815,251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36,941,008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7,900,298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3,313,909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21,660,036</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11,743,525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5,972,894</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336,557</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57,735,169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34,549,979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5,239,868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2,594,737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15,350,585</w:t>
            </w:r>
          </w:p>
        </w:tc>
        <w:tc>
          <w:tcPr>
            <w:tcW w:w="60" w:type="dxa"/>
            <w:tcBorders/>
            <w:shd w:fill="CCEEFF" w:val="clear"/>
            <w:vAlign w:val="center"/>
          </w:tcPr>
          <w:p>
            <w:pPr>
              <w:pStyle w:val="TableContents"/>
              <w:bidi w:val="0"/>
              <w:spacing w:before="0" w:after="283"/>
              <w:jc w:val="left"/>
              <w:rPr/>
            </w:pPr>
            <w:r>
              <w:rPr/>
              <w:t> </w:t>
            </w:r>
          </w:p>
        </w:tc>
      </w:tr>
      <w:tr>
        <w:trPr/>
        <w:tc>
          <w:tcPr>
            <w:tcW w:w="43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28,611,777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17,274,991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2,619,932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1,297,358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7,419,496</w:t>
            </w:r>
          </w:p>
        </w:tc>
        <w:tc>
          <w:tcPr>
            <w:tcW w:w="60" w:type="dxa"/>
            <w:tcBorders/>
            <w:shd w:fill="FFFFFF" w:val="cle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joint ventures’ undistributed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27,667,432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17,244,086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2,619,932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1,277,358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6,526,056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75" w:type="dxa"/>
        <w:jc w:val="left"/>
        <w:tblInd w:w="0" w:type="dxa"/>
        <w:tblLayout w:type="fixed"/>
        <w:tblCellMar>
          <w:top w:w="0" w:type="dxa"/>
          <w:left w:w="0" w:type="dxa"/>
          <w:bottom w:w="0" w:type="dxa"/>
          <w:right w:w="0" w:type="dxa"/>
        </w:tblCellMar>
      </w:tblPr>
      <w:tblGrid>
        <w:gridCol w:w="4295"/>
        <w:gridCol w:w="60"/>
        <w:gridCol w:w="125"/>
        <w:gridCol w:w="950"/>
        <w:gridCol w:w="60"/>
        <w:gridCol w:w="60"/>
        <w:gridCol w:w="125"/>
        <w:gridCol w:w="845"/>
        <w:gridCol w:w="60"/>
        <w:gridCol w:w="60"/>
        <w:gridCol w:w="125"/>
        <w:gridCol w:w="950"/>
        <w:gridCol w:w="6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36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23,211,613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8,271,661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14,939,952</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9,768,978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4,339,777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5,429,201</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1,937,620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1,040,516</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equity in income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521,641</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886,209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4295"/>
        <w:gridCol w:w="60"/>
        <w:gridCol w:w="125"/>
        <w:gridCol w:w="950"/>
        <w:gridCol w:w="60"/>
        <w:gridCol w:w="60"/>
        <w:gridCol w:w="125"/>
        <w:gridCol w:w="950"/>
        <w:gridCol w:w="60"/>
        <w:gridCol w:w="60"/>
        <w:gridCol w:w="125"/>
        <w:gridCol w:w="950"/>
        <w:gridCol w:w="60"/>
      </w:tblGrid>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46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EXCOR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66,848,498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23,914,520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42,933,978</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28,325,377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12,695,626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15,629,751</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5,416,777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2,665,391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2,751,386</w:t>
            </w:r>
          </w:p>
        </w:tc>
        <w:tc>
          <w:tcPr>
            <w:tcW w:w="6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share of equity in income from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2,720,637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1,340,674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1,379,963</w:t>
            </w:r>
          </w:p>
        </w:tc>
        <w:tc>
          <w:tcPr>
            <w:tcW w:w="6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NTIC’s dividends received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1,566,946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170"/>
        <w:gridCol w:w="18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CORPORATE 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 party to a Credit Agreement (as amended, the Credit Agreement) with JPMorgan Chase Bank, N.A. (JPM), which provides the Company with a senior secured revolving line of credit (the Credit Facility) of up to $12.0 million (as amended below), which includes a $5.0 million sublimit for standby letters of credit. Borrowings of $11,763,555 and $9,329,021 were outstanding under the Credit Facility as of May 31, 2026 and August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17, 2025, the Company and JPM renewed the Company’s Credit Agreement to extend the maturity date of the Credit Facility from January 5, 2026 to February 5, 2027. On January 30, 2026, the Company and JPM entered into an amendment to the Credit Agreement, which increased the availability under the Credit Facility from $10.0 million to $12.0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amount under the Credit Facility, together with all accrued unpaid interest and other amounts owing thereunder, if any, will be payable in full on the maturity date, unless the Credit Facility is extended or renewed or terminated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bear interest at a floating rate, at the option of the Company,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the Company) plus 0.10% per annum. With respect to any borrowings using an Adjusted SOFR Rate, there is an applicable margin of 2.35% applied per annum. There is no applicable margin with respect to borrowings using a CB Floating Rate. In March 2026, the Company elected to convert its outstanding borrowings under the Credit Facility from the CB Floating Rate to the Adjusted SOFR Rate. The weighted average interest rate was 6.20% and 6.65% for the nine months ended May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secure the Credit Agreement, the Company assigned JPM a continuing security interest in all of its right, title and interest in collateral made up of the assets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contains customary affirmative and negative covenants, including, among other matters, limitations on the Company’s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the Company to redeem or repurchase its common stock or pay dividends if the result of which would cause an event of default under the Credit Agreement. The Credit Agreement also requires the Company to maintain a Fixed Charge Coverage Ratio of at least 1.25 to 1.00. The term “Fixed Charge Coverage Ratio” means the ratio, computed for the Company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was not in compliance with the Fixed Charge Coverage Ratio covenant under the Credit Agreement as of May 31, 2026. The Credit Agreement requires the Company to maintain a Fixed Charge Coverage Ratio of at least 1.25 to 1.00, and the Company's Fixed Charge Coverage Ratio was 0.68 to 1.00 as of May 31, 2026. On July 7, 2026, the Company obtained a waiver from JPM with respect to such noncompliance of the Fixed Charge Coverage Ratio covenant for the period ended May 31, 2026. The Company was in compliance with all other covenants under the Credit Agreement as of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27, 2026 and May 28, 2026, the Company's wholly owned subsidiary in China, NTIC China, renewed its loan agreements with China Construction Bank Corporation. Each term loan provides NTIC China with RMB 10,000,000 (approximately USD $1.40 million), for an aggregate of RMB 20,000,000. The term loans mature on April 26, 2027 and May 27, 2027, respectively, and the Company expects to amend or extend each loan at maturity on substantially the same terms, although there can be no assurance that it will be able to do so. Each term loan bears interest at the one-year Loan Prime Rate (LPR) minus 75 basis points, fixed at the LPR in effect on the business day prior to the loan's effective date and held constant for the 12-month term, resulting in an annual interest rate of 3.25% for each loan, with interest due monthly and principal due at maturity. Both term loans are secured by an office building owned by NTIC China and the loan agreements contain certain financial and other covenants. NTIC China was in compliance with all covenants under the loan agreements as of May 31, 2026. The outstanding balance as of May 31, 2026 for both term loans was a total of USD $2,955,083. The outstanding balance as of August 31, 2025 for both term loans was a total of USD $2,804,695.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30, 2025, the Company’s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 6.45% per annum. The loan is secured by a lien over Natur-Tec India’s cash deposits with the Bank totaling INR 476 lakhs (USD $539,731), and the related land purchase, which was registered in November 2025. The outstanding balance as of May 31, 2026 was INR 425.7 lakhs (USD $448,239), of which INR 56.0 lakhs (USD $59,003) was classified as current and INR 369.6 lakhs (USD $389,236)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under the term loan agreement as of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170"/>
        <w:gridCol w:w="25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25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STOCKHOLDERS</w:t>
            </w:r>
            <w:r>
              <w:rPr>
                <w:rFonts w:ascii="Times New Roman;Times;serif" w:hAnsi="Times New Roman;Times;serif"/>
                <w:sz w:val="20"/>
              </w:rPr>
              <w:t xml:space="preserve">’ </w:t>
            </w: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2026, the Company’s Board of Directors declared cash dividends on the following dates in the following amounts to the following holders of the Company’s common stock:</w:t>
      </w:r>
    </w:p>
    <w:p>
      <w:pPr>
        <w:pStyle w:val="TextBody"/>
        <w:bidi w:val="0"/>
        <w:spacing w:before="0" w:after="0"/>
        <w:ind w:left="0" w:right="0" w:hanging="0"/>
        <w:jc w:val="left"/>
        <w:rPr>
          <w:caps w:val="false"/>
          <w:smallCaps w:val="false"/>
        </w:rPr>
      </w:pPr>
      <w:r>
        <w:rPr>
          <w:caps w:val="false"/>
          <w:smallCaps w:val="false"/>
        </w:rPr>
        <w:t> </w:t>
      </w:r>
    </w:p>
    <w:tbl>
      <w:tblPr>
        <w:tblW w:w="5390" w:type="dxa"/>
        <w:jc w:val="left"/>
        <w:tblInd w:w="0" w:type="dxa"/>
        <w:tblLayout w:type="fixed"/>
        <w:tblCellMar>
          <w:top w:w="0" w:type="dxa"/>
          <w:left w:w="0" w:type="dxa"/>
          <w:bottom w:w="28" w:type="dxa"/>
          <w:right w:w="0" w:type="dxa"/>
        </w:tblCellMar>
      </w:tblPr>
      <w:tblGrid>
        <w:gridCol w:w="1460"/>
        <w:gridCol w:w="60"/>
        <w:gridCol w:w="172"/>
        <w:gridCol w:w="523"/>
        <w:gridCol w:w="60"/>
        <w:gridCol w:w="1430"/>
        <w:gridCol w:w="60"/>
        <w:gridCol w:w="1625"/>
      </w:tblGrid>
      <w:tr>
        <w:trPr/>
        <w:tc>
          <w:tcPr>
            <w:tcW w:w="14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Declaration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 Date</w:t>
            </w:r>
          </w:p>
        </w:tc>
      </w:tr>
      <w:tr>
        <w:trPr/>
        <w:tc>
          <w:tcPr>
            <w:tcW w:w="146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29, 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2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12, 2025</w:t>
            </w:r>
          </w:p>
        </w:tc>
      </w:tr>
      <w:tr>
        <w:trPr/>
        <w:tc>
          <w:tcPr>
            <w:tcW w:w="146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14,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28, 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62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24, 2026, the Company announced the suspension of its quarterly cash dividend on its common stock, beginning with its quarterly cash dividend for the third quarter of fiscal 2026, to focus on the reduction of its outstanding debt. Therefore, the Company did not declare a cash dividend during the quarter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2025, the Company’s Board of Directors declared cash dividends on the following dates in the following amounts to the following holders of the Company’s common stock:</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1475"/>
        <w:gridCol w:w="60"/>
        <w:gridCol w:w="172"/>
        <w:gridCol w:w="523"/>
        <w:gridCol w:w="60"/>
        <w:gridCol w:w="1430"/>
        <w:gridCol w:w="60"/>
        <w:gridCol w:w="1640"/>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Declaration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6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 Date</w:t>
            </w:r>
          </w:p>
        </w:tc>
      </w:tr>
      <w:tr>
        <w:trPr/>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30, 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13, 2024</w:t>
            </w:r>
          </w:p>
        </w:tc>
      </w:tr>
      <w:tr>
        <w:trPr/>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15, 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FFFF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29, 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12, 2025</w:t>
            </w:r>
          </w:p>
        </w:tc>
      </w:tr>
      <w:tr>
        <w:trPr/>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16,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tcMar>
              <w:bottom w:w="0" w:type="dxa"/>
            </w:tcM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30, 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2026 and 2025, the Company repurchased no shares of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2026 and 2025, the Company issued 11,313 and no shares of common stock upon the settlement of restricted stock units,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issued 5,198 and 3,527 shares of common stock on September 1, 2025 and 2024, respectively, under the Northern Technologies International Corporation Employee Stock Purchase Plan (ESPP). The Company issued 4,438 and 3,856 shares of common stock on March 1, 2026 and 2025, respectively, under the ESPP. The ESPP is compensatory for financial reporting purposes. As of May 31, 2026, 38,235 shares of common stock remained available for sale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375" w:type="dxa"/>
        <w:jc w:val="left"/>
        <w:tblInd w:w="0" w:type="dxa"/>
        <w:tblLayout w:type="fixed"/>
        <w:tblCellMar>
          <w:top w:w="0" w:type="dxa"/>
          <w:left w:w="0" w:type="dxa"/>
          <w:bottom w:w="0" w:type="dxa"/>
          <w:right w:w="0" w:type="dxa"/>
        </w:tblCellMar>
      </w:tblPr>
      <w:tblGrid>
        <w:gridCol w:w="275"/>
        <w:gridCol w:w="410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410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(LOSS) INCOME PER COMMON SHARE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net (loss) income per common share is computed by dividing net (loss) income by the weighted average number of common shares outstanding. Diluted net (loss) income per share assumes the exercise of stock options and the settlement of restricted stock units using the treasury stock method, if dilutive. For periods in which the Company reports a net loss, potential common shares are excluded from the computation of diluted net (loss) income per share because their effect would be anti-dilutive.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is a reconciliation of the net (loss) income per share computation for the three and nine months ended May 31,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3"/>
        <w:gridCol w:w="60"/>
        <w:gridCol w:w="141"/>
        <w:gridCol w:w="958"/>
        <w:gridCol w:w="90"/>
        <w:gridCol w:w="67"/>
        <w:gridCol w:w="141"/>
        <w:gridCol w:w="958"/>
        <w:gridCol w:w="60"/>
        <w:gridCol w:w="60"/>
        <w:gridCol w:w="136"/>
        <w:gridCol w:w="928"/>
        <w:gridCol w:w="87"/>
        <w:gridCol w:w="65"/>
        <w:gridCol w:w="136"/>
        <w:gridCol w:w="928"/>
        <w:gridCol w:w="67"/>
      </w:tblGrid>
      <w:tr>
        <w:trPr/>
        <w:tc>
          <w:tcPr>
            <w:tcW w:w="53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5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Numerator</w:t>
            </w:r>
            <w:r>
              <w:rPr>
                <w:rFonts w:ascii="Times New Roman;Times;serif" w:hAnsi="Times New Roman;Times;serif"/>
                <w:caps w:val="false"/>
                <w:smallCaps w:val="false"/>
                <w:sz w:val="20"/>
              </w:rPr>
              <w:t>:</w:t>
            </w:r>
          </w:p>
        </w:tc>
        <w:tc>
          <w:tcPr>
            <w:tcW w:w="60"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10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income attributable to NTIC</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(263,291</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(60,795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1,117,185</w:t>
            </w:r>
          </w:p>
        </w:tc>
        <w:tc>
          <w:tcPr>
            <w:tcW w:w="67"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Denominator</w:t>
            </w: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 weighted shares outstanding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9,496,439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9,474,363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9,490,751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9,475,967</w:t>
            </w:r>
          </w:p>
        </w:tc>
        <w:tc>
          <w:tcPr>
            <w:tcW w:w="67"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shares assumed upon exercise of stock options and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65,403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210,679</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weighted shares outstanding</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9,496,439</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9,539,766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9,490,751</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9,686,646</w:t>
            </w:r>
          </w:p>
        </w:tc>
        <w:tc>
          <w:tcPr>
            <w:tcW w:w="67" w:type="dxa"/>
            <w:tcBorders/>
            <w:shd w:fill="FFFFFF" w:val="clear"/>
            <w:vAlign w:val="center"/>
          </w:tcPr>
          <w:p>
            <w:pPr>
              <w:pStyle w:val="TableContents"/>
              <w:bidi w:val="0"/>
              <w:spacing w:before="0" w:after="283"/>
              <w:jc w:val="left"/>
              <w:rPr/>
            </w:pPr>
            <w:r>
              <w:rPr/>
              <w:t> </w:t>
            </w:r>
          </w:p>
        </w:tc>
      </w:tr>
      <w:tr>
        <w:trPr/>
        <w:tc>
          <w:tcPr>
            <w:tcW w:w="532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net (loss)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67" w:type="dxa"/>
            <w:tcBorders/>
            <w:shd w:fill="CCEEFF" w:val="clear"/>
            <w:vAlign w:val="center"/>
          </w:tcPr>
          <w:p>
            <w:pPr>
              <w:pStyle w:val="TableContents"/>
              <w:bidi w:val="0"/>
              <w:spacing w:before="0" w:after="283"/>
              <w:jc w:val="left"/>
              <w:rPr/>
            </w:pPr>
            <w:r>
              <w:rPr/>
              <w:t> </w:t>
            </w:r>
          </w:p>
        </w:tc>
      </w:tr>
      <w:tr>
        <w:trPr/>
        <w:tc>
          <w:tcPr>
            <w:tcW w:w="532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net (loss)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(0.03</w:t>
            </w:r>
          </w:p>
        </w:tc>
        <w:tc>
          <w:tcPr>
            <w:tcW w:w="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ind w:left="0" w:right="0" w:hanging="0"/>
              <w:jc w:val="left"/>
              <w:rPr/>
            </w:pPr>
            <w:r>
              <w:rPr/>
              <w:t> </w:t>
            </w:r>
          </w:p>
        </w:tc>
        <w:tc>
          <w:tcPr>
            <w:tcW w:w="14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0.12</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dilutive impact summarized above relates to periods in which the average market price of the Company’s common stock exceeded the exercise price of the potentially dilutive option securities granted.  Net (loss) income per common share is based on the weighted average number of common shares outstanding during the applicable period. When dilutive, stock options and restricted stock units are included as equivalents using the treasury stock method in computing diluted net (loss) income per common share.  For the nine months ended May 31, 2026, potential common shares were excluded from the computation of diluted net (loss) income per common share because the Company reported a net loss for the period and the effect of these shares would have been anti-dilutive. Excluded from the computation of diluted net (loss) income per common share for the three and nine months ended May 31, 2026 were options outstanding to purchase 89,353 shares of common stock. Excluded from the computation of diluted net (loss) income per common share for the three and nine months ended May 31, 2025 were options outstanding to purchase 1,445,960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275"/>
        <w:gridCol w:w="303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11.</w:t>
            </w:r>
          </w:p>
        </w:tc>
        <w:tc>
          <w:tcPr>
            <w:tcW w:w="30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summary of stock option activities under the Northern Technologies International Corporation 2024 Stock Incentive Plan (2024 Plan), the Northern Technologies International Corporation Amended and Restated 2019 Stock Incentive Plan and the Northern Technologies International Corporation Amended and Restated 2007 Stock Incentive Plan is as follows:</w:t>
      </w:r>
    </w:p>
    <w:p>
      <w:pPr>
        <w:pStyle w:val="TextBody"/>
        <w:bidi w:val="0"/>
        <w:spacing w:before="0" w:after="0"/>
        <w:ind w:left="0" w:right="0" w:hanging="0"/>
        <w:jc w:val="left"/>
        <w:rPr>
          <w:caps w:val="false"/>
          <w:smallCaps w:val="false"/>
        </w:rPr>
      </w:pPr>
      <w:r>
        <w:rPr>
          <w:caps w:val="false"/>
          <w:smallCaps w:val="false"/>
        </w:rPr>
        <w:t> </w:t>
      </w:r>
    </w:p>
    <w:tbl>
      <w:tblPr>
        <w:tblW w:w="8653" w:type="dxa"/>
        <w:jc w:val="left"/>
        <w:tblInd w:w="0" w:type="dxa"/>
        <w:tblLayout w:type="fixed"/>
        <w:tblCellMar>
          <w:top w:w="0" w:type="dxa"/>
          <w:left w:w="0" w:type="dxa"/>
          <w:bottom w:w="0" w:type="dxa"/>
          <w:right w:w="0" w:type="dxa"/>
        </w:tblCellMar>
      </w:tblPr>
      <w:tblGrid>
        <w:gridCol w:w="2840"/>
        <w:gridCol w:w="60"/>
        <w:gridCol w:w="176"/>
        <w:gridCol w:w="2528"/>
        <w:gridCol w:w="60"/>
        <w:gridCol w:w="60"/>
        <w:gridCol w:w="587"/>
        <w:gridCol w:w="2282"/>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 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2025</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2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1,923,138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2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8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252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ind w:left="0" w:right="0" w:hanging="0"/>
              <w:jc w:val="left"/>
              <w:rPr/>
            </w:pPr>
            <w:r>
              <w:rPr/>
              <w:t> </w:t>
            </w:r>
          </w:p>
        </w:tc>
        <w:tc>
          <w:tcPr>
            <w:tcW w:w="228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 cancelled</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May 31, 2026</w:t>
            </w:r>
          </w:p>
        </w:tc>
        <w:tc>
          <w:tcPr>
            <w:tcW w:w="6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2,174,439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weighted average per share fair value of options granted during the nine months ended May 31, 2026 and 2025 was $3.05 and $4.95, respectively. The weighted average remaining contractual life of the options outstanding as of May 31, 2026 and 2025 was 5.48 years and 5.77 years,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recognized stock option compensation expense of $257,671 and $767,922 and $304,510 and $907,330 during the three and nine months ended May 31, 2026 and 2025, respectively. As of May 31, 2026, there was $1,008,699 of unrecognized stock option compensation expense. The amount is expected to be recognized over a period of 2.25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Restricted stock units (RSUs) were granted on September 1, 2025 under the 2024 Plan to certain non-employee directors and vest in full on the one-year anniversary of the date of grant. A summary of RSU activity for the nine months ended May 31, 2026 is as follows:</w:t>
      </w:r>
    </w:p>
    <w:p>
      <w:pPr>
        <w:pStyle w:val="TextBody"/>
        <w:bidi w:val="0"/>
        <w:spacing w:before="0" w:after="0"/>
        <w:ind w:left="0" w:right="0" w:hanging="0"/>
        <w:jc w:val="left"/>
        <w:rPr>
          <w:caps w:val="false"/>
          <w:smallCaps w:val="false"/>
        </w:rPr>
      </w:pPr>
      <w:r>
        <w:rPr>
          <w:caps w:val="false"/>
          <w:smallCaps w:val="false"/>
        </w:rPr>
        <w:t> </w:t>
      </w:r>
    </w:p>
    <w:tbl>
      <w:tblPr>
        <w:tblW w:w="8038" w:type="dxa"/>
        <w:jc w:val="left"/>
        <w:tblInd w:w="0" w:type="dxa"/>
        <w:tblLayout w:type="fixed"/>
        <w:tblCellMar>
          <w:top w:w="0" w:type="dxa"/>
          <w:left w:w="0" w:type="dxa"/>
          <w:bottom w:w="0" w:type="dxa"/>
          <w:right w:w="0" w:type="dxa"/>
        </w:tblCellMar>
      </w:tblPr>
      <w:tblGrid>
        <w:gridCol w:w="2840"/>
        <w:gridCol w:w="60"/>
        <w:gridCol w:w="129"/>
        <w:gridCol w:w="1285"/>
        <w:gridCol w:w="60"/>
        <w:gridCol w:w="60"/>
        <w:gridCol w:w="726"/>
        <w:gridCol w:w="2818"/>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RSUs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Grant Date 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August 31, 2025</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granted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2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ind w:left="0" w:right="0" w:hanging="0"/>
              <w:jc w:val="left"/>
              <w:rPr/>
            </w:pPr>
            <w:r>
              <w:rPr/>
              <w:t> </w:t>
            </w:r>
          </w:p>
        </w:tc>
        <w:tc>
          <w:tcPr>
            <w:tcW w:w="2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vested/settled</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ind w:left="0" w:right="0" w:hanging="0"/>
              <w:jc w:val="left"/>
              <w:rPr/>
            </w:pPr>
            <w:r>
              <w:rPr/>
              <w:t> </w:t>
            </w:r>
          </w:p>
        </w:tc>
        <w:tc>
          <w:tcPr>
            <w:tcW w:w="2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 cancelled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as of May 31, 2026</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2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RSUs are valued using the closing stock price on the grant date. The Company recognizes the grant date fair value of the RSUs over the vesting term, or one year. The Company recognized RSU stock-based compensation expense of $52,789 and $157,052 and $37,366 and $110,880 during the nine months ended May 31, 2026 and 2025, respectively. As of May 31, 2026, there was $53,363 in unrecognized stock-based compensation expense relating to outstanding RSUs, which is expected to be recognized over a period of 0.25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275"/>
        <w:gridCol w:w="42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w:t>
            </w:r>
          </w:p>
        </w:tc>
        <w:tc>
          <w:tcPr>
            <w:tcW w:w="42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Company’s chief operating decision maker (CODM) is its Chief Executive Officer. The Company’s business is organized into two reportable segments: ZERUST® and Natur-Tec®. The Company has been selling its proprietary ZERUST® rust and corrosion inhibiting products and services to the automotive, general industrial, mechanical, mining, agricultural, and retail consumer markets for over 50 years and, more recently, has also expanded into the oil and gas industry. The Company also sells a portfolio of proprietary bio-based and compostable (fully biodegradable) polymer resins and finished products under the Natur-Tec®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accounting policies of the segments are the same as those described in the summary of significant accounting policies in the Company’s annual report on Form 10-K for the fiscal year ended August 31, 2025. There are no intersegment sales, and no operating segments have been aggregated.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Company’s net sales by segment for the three and nine months ended May 31,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6923" w:type="dxa"/>
        <w:jc w:val="left"/>
        <w:tblInd w:w="0" w:type="dxa"/>
        <w:tblLayout w:type="fixed"/>
        <w:tblCellMar>
          <w:top w:w="0" w:type="dxa"/>
          <w:left w:w="0" w:type="dxa"/>
          <w:bottom w:w="0" w:type="dxa"/>
          <w:right w:w="0" w:type="dxa"/>
        </w:tblCellMar>
      </w:tblPr>
      <w:tblGrid>
        <w:gridCol w:w="1715"/>
        <w:gridCol w:w="60"/>
        <w:gridCol w:w="141"/>
        <w:gridCol w:w="1075"/>
        <w:gridCol w:w="67"/>
        <w:gridCol w:w="67"/>
        <w:gridCol w:w="141"/>
        <w:gridCol w:w="1075"/>
        <w:gridCol w:w="60"/>
        <w:gridCol w:w="60"/>
        <w:gridCol w:w="132"/>
        <w:gridCol w:w="1006"/>
        <w:gridCol w:w="63"/>
        <w:gridCol w:w="63"/>
        <w:gridCol w:w="132"/>
        <w:gridCol w:w="1006"/>
        <w:gridCol w:w="60"/>
      </w:tblGrid>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May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18,145,611</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52,095,200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45,316,457</w:t>
            </w:r>
          </w:p>
        </w:tc>
        <w:tc>
          <w:tcPr>
            <w:tcW w:w="60" w:type="dxa"/>
            <w:tcBorders/>
            <w:shd w:fill="CCEEFF" w:val="clear"/>
            <w:vAlign w:val="center"/>
          </w:tcPr>
          <w:p>
            <w:pPr>
              <w:pStyle w:val="TableContents"/>
              <w:bidi w:val="0"/>
              <w:spacing w:before="0" w:after="283"/>
              <w:jc w:val="left"/>
              <w:rPr/>
            </w:pPr>
            <w:r>
              <w:rPr/>
              <w:t> </w:t>
            </w:r>
          </w:p>
        </w:tc>
      </w:tr>
      <w:tr>
        <w:trPr/>
        <w:tc>
          <w:tcPr>
            <w:tcW w:w="17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 net sales</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6,070,051</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5,779,926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17,426,065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16,602,565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24,215,662</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21,508,563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69,521,265</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61,919,022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Company’s cost of goods sold by segment for the three and nine months ended May 31,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5"/>
        <w:gridCol w:w="60"/>
        <w:gridCol w:w="125"/>
        <w:gridCol w:w="950"/>
        <w:gridCol w:w="60"/>
        <w:gridCol w:w="60"/>
        <w:gridCol w:w="114"/>
        <w:gridCol w:w="735"/>
        <w:gridCol w:w="185"/>
        <w:gridCol w:w="60"/>
        <w:gridCol w:w="125"/>
        <w:gridCol w:w="950"/>
        <w:gridCol w:w="60"/>
        <w:gridCol w:w="60"/>
        <w:gridCol w:w="114"/>
        <w:gridCol w:w="735"/>
        <w:gridCol w:w="185"/>
        <w:gridCol w:w="60"/>
        <w:gridCol w:w="125"/>
        <w:gridCol w:w="950"/>
        <w:gridCol w:w="60"/>
        <w:gridCol w:w="60"/>
        <w:gridCol w:w="114"/>
        <w:gridCol w:w="735"/>
        <w:gridCol w:w="185"/>
        <w:gridCol w:w="60"/>
        <w:gridCol w:w="125"/>
        <w:gridCol w:w="950"/>
        <w:gridCol w:w="60"/>
        <w:gridCol w:w="60"/>
        <w:gridCol w:w="114"/>
        <w:gridCol w:w="735"/>
        <w:gridCol w:w="189"/>
      </w:tblGrid>
      <w:tr>
        <w:trPr/>
        <w:tc>
          <w:tcPr>
            <w:tcW w:w="1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33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May 31, </w:t>
            </w:r>
          </w:p>
        </w:tc>
        <w:tc>
          <w:tcPr>
            <w:tcW w:w="189" w:type="dxa"/>
            <w:tcBorders/>
            <w:vAlign w:val="center"/>
          </w:tcPr>
          <w:p>
            <w:pPr>
              <w:pStyle w:val="TableContents"/>
              <w:bidi w:val="0"/>
              <w:spacing w:before="0" w:after="283"/>
              <w:jc w:val="left"/>
              <w:rPr/>
            </w:pPr>
            <w:r>
              <w:rPr/>
              <w:t> </w:t>
            </w:r>
          </w:p>
        </w:tc>
      </w:tr>
      <w:tr>
        <w:trPr/>
        <w:tc>
          <w:tcPr>
            <w:tcW w:w="1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Product Sales*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Product Sales*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Product Sales*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Product Sales*</w:t>
            </w:r>
          </w:p>
        </w:tc>
        <w:tc>
          <w:tcPr>
            <w:tcW w:w="189" w:type="dxa"/>
            <w:tcBorders/>
            <w:vAlign w:val="center"/>
          </w:tcPr>
          <w:p>
            <w:pPr>
              <w:pStyle w:val="TableContents"/>
              <w:bidi w:val="0"/>
              <w:spacing w:before="0" w:after="283"/>
              <w:jc w:val="left"/>
              <w:rPr/>
            </w:pPr>
            <w:r>
              <w:rPr/>
              <w:t> </w:t>
            </w:r>
          </w:p>
        </w:tc>
      </w:tr>
      <w:tr>
        <w:trPr/>
        <w:tc>
          <w:tcPr>
            <w:tcW w:w="1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cost of goods sold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r>
      <w:tr>
        <w:trPr/>
        <w:tc>
          <w:tcPr>
            <w:tcW w:w="1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10,833,295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9,119,330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30,628,650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25,894,213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4,184,642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3,557,167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11,926,040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10,484,204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1,054,561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2,581,899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2,322,628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189" w:type="dxa"/>
            <w:tcBorders/>
            <w:shd w:fill="FFFFFF" w:val="clear"/>
            <w:vAlign w:val="center"/>
          </w:tcPr>
          <w:p>
            <w:pPr>
              <w:pStyle w:val="TableContents"/>
              <w:bidi w:val="0"/>
              <w:spacing w:before="0" w:after="283"/>
              <w:jc w:val="left"/>
              <w:rPr/>
            </w:pPr>
            <w:r>
              <w:rPr/>
              <w:t> </w:t>
            </w:r>
          </w:p>
        </w:tc>
      </w:tr>
      <w:tr>
        <w:trPr/>
        <w:tc>
          <w:tcPr>
            <w:tcW w:w="1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16,072,498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13,249,123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45,136,589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38,701,045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the Company’s gross profit by segment for the three and nine months ended May 31, 2026 and 2025, respectively:</w:t>
      </w:r>
    </w:p>
    <w:p>
      <w:pPr>
        <w:pStyle w:val="TextBody"/>
        <w:bidi w:val="0"/>
        <w:spacing w:before="0" w:after="0"/>
        <w:ind w:left="0" w:right="0" w:hanging="0"/>
        <w:jc w:val="left"/>
        <w:rPr>
          <w:caps w:val="false"/>
          <w:smallCaps w:val="false"/>
        </w:rPr>
      </w:pPr>
      <w:r>
        <w:rPr>
          <w:caps w:val="false"/>
          <w:smallCaps w:val="false"/>
        </w:rPr>
        <w:t> </w:t>
      </w:r>
    </w:p>
    <w:tbl>
      <w:tblPr>
        <w:tblW w:w="8201" w:type="dxa"/>
        <w:jc w:val="left"/>
        <w:tblInd w:w="0" w:type="dxa"/>
        <w:tblLayout w:type="fixed"/>
        <w:tblCellMar>
          <w:top w:w="0" w:type="dxa"/>
          <w:left w:w="0" w:type="dxa"/>
          <w:bottom w:w="0" w:type="dxa"/>
          <w:right w:w="0" w:type="dxa"/>
        </w:tblCellMar>
      </w:tblPr>
      <w:tblGrid>
        <w:gridCol w:w="2990"/>
        <w:gridCol w:w="60"/>
        <w:gridCol w:w="143"/>
        <w:gridCol w:w="1038"/>
        <w:gridCol w:w="91"/>
        <w:gridCol w:w="68"/>
        <w:gridCol w:w="143"/>
        <w:gridCol w:w="1038"/>
        <w:gridCol w:w="80"/>
        <w:gridCol w:w="60"/>
        <w:gridCol w:w="125"/>
        <w:gridCol w:w="1010"/>
        <w:gridCol w:w="80"/>
        <w:gridCol w:w="60"/>
        <w:gridCol w:w="125"/>
        <w:gridCol w:w="1010"/>
        <w:gridCol w:w="8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1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7,312,316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6,609,307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21,466,550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19,422,244</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Natur-Tec® gross profit</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1,885,409</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2,222,759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5,500,025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6,118,361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segment gross profit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9,197,725</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8,832,066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26,966,575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25,540,605</w:t>
            </w:r>
          </w:p>
        </w:tc>
        <w:tc>
          <w:tcPr>
            <w:tcW w:w="8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Indirect cost of goods sold</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(1,054,561</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(572,626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(2,581,899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(2,322,628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profit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8,143,164</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8,259,440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24,384,676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23,217,977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joint venture operations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2,550,960</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6,868,902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6,377,617</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(4,647,548</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(4,593,226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(13,732,822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(13,071,122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(4,324,275</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(3,933,696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(12,085,935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(11,113,008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(1,206,971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(3,603,085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(3,770,539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64,089</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166,899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273,544</w:t>
            </w:r>
          </w:p>
        </w:tc>
        <w:tc>
          <w:tcPr>
            <w:tcW w:w="8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(203,872</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(600,489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(421,471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1,139,756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375,547</w:t>
            </w:r>
          </w:p>
        </w:tc>
        <w:tc>
          <w:tcPr>
            <w:tcW w:w="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742,912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1,398,146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2,632,754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utilizes product net sales, direct and indirect cost of goods sold, and gross profit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 The CODM uses gross profit and considers budget-to-actual variances on a quarterly basis when making decisions about the allocation of operating and capital resources to each segment. The CODM also uses segment gross profit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 Asset information, including capital expenditures, are reviewed by the CODM at the consolidated entity level and not by segment. Refer to total assets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Geographic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location for the three and nine months ended May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1"/>
        <w:gridCol w:w="60"/>
        <w:gridCol w:w="136"/>
        <w:gridCol w:w="1033"/>
        <w:gridCol w:w="64"/>
        <w:gridCol w:w="64"/>
        <w:gridCol w:w="136"/>
        <w:gridCol w:w="1033"/>
        <w:gridCol w:w="60"/>
        <w:gridCol w:w="60"/>
        <w:gridCol w:w="130"/>
        <w:gridCol w:w="994"/>
        <w:gridCol w:w="62"/>
        <w:gridCol w:w="62"/>
        <w:gridCol w:w="130"/>
        <w:gridCol w:w="994"/>
        <w:gridCol w:w="66"/>
      </w:tblGrid>
      <w:tr>
        <w:trPr/>
        <w:tc>
          <w:tcPr>
            <w:tcW w:w="5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1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2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Inside the U.S. to unaffiliated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7,657,885</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7,341,392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22,081,992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21,492,193</w:t>
            </w:r>
          </w:p>
        </w:tc>
        <w:tc>
          <w:tcPr>
            <w:tcW w:w="66" w:type="dxa"/>
            <w:tcBorders/>
            <w:shd w:fill="CCEEFF" w:val="clear"/>
            <w:vAlign w:val="center"/>
          </w:tcPr>
          <w:p>
            <w:pPr>
              <w:pStyle w:val="TableContents"/>
              <w:bidi w:val="0"/>
              <w:spacing w:before="0" w:after="283"/>
              <w:jc w:val="left"/>
              <w:rPr/>
            </w:pPr>
            <w:r>
              <w:rPr/>
              <w:t> </w:t>
            </w:r>
          </w:p>
        </w:tc>
      </w:tr>
      <w:tr>
        <w:trPr/>
        <w:tc>
          <w:tcPr>
            <w:tcW w:w="512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U.S. to:</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10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r>
      <w:tr>
        <w:trPr/>
        <w:tc>
          <w:tcPr>
            <w:tcW w:w="512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Joint ventures in which the Company is a shareholder directly and indirectly</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569,342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10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630,653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1,590,646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20" w:right="0" w:hanging="0"/>
              <w:jc w:val="left"/>
              <w:rPr/>
            </w:pPr>
            <w:r>
              <w:rPr/>
              <w:t> </w:t>
            </w:r>
          </w:p>
        </w:tc>
        <w:tc>
          <w:tcPr>
            <w:tcW w:w="9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1,802,906</w:t>
            </w:r>
          </w:p>
        </w:tc>
        <w:tc>
          <w:tcPr>
            <w:tcW w:w="66" w:type="dxa"/>
            <w:tcBorders/>
            <w:shd w:fill="CCEEFF" w:val="clear"/>
            <w:vAlign w:val="center"/>
          </w:tcPr>
          <w:p>
            <w:pPr>
              <w:pStyle w:val="TableContents"/>
              <w:bidi w:val="0"/>
              <w:spacing w:before="0" w:after="283"/>
              <w:jc w:val="left"/>
              <w:rPr/>
            </w:pPr>
            <w:r>
              <w:rPr/>
              <w:t> </w:t>
            </w:r>
          </w:p>
        </w:tc>
      </w:tr>
      <w:tr>
        <w:trPr/>
        <w:tc>
          <w:tcPr>
            <w:tcW w:w="512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Unaffiliated customers</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15,988,435</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13,536,518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45,848,628</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38,623,923</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24,215,662</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21,508,563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69,521,265</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61,919,022</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sales by geographic location are based on the location of the customer. No single customer accounted for more than 10% of consolidated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Fees for services provided to joint ventures by geographic location as a percentage of total fees for services provided to joint ventures during the three and nine months ended May 31, 2026 and 2025, respectively,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1"/>
        <w:gridCol w:w="60"/>
        <w:gridCol w:w="125"/>
        <w:gridCol w:w="845"/>
        <w:gridCol w:w="60"/>
        <w:gridCol w:w="60"/>
        <w:gridCol w:w="350"/>
        <w:gridCol w:w="2840"/>
        <w:gridCol w:w="185"/>
        <w:gridCol w:w="60"/>
        <w:gridCol w:w="125"/>
        <w:gridCol w:w="845"/>
        <w:gridCol w:w="60"/>
        <w:gridCol w:w="60"/>
        <w:gridCol w:w="350"/>
        <w:gridCol w:w="2840"/>
        <w:gridCol w:w="189"/>
      </w:tblGrid>
      <w:tr>
        <w:trPr/>
        <w:tc>
          <w:tcPr>
            <w:tcW w:w="1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Fees for Services Provided to Joint Ventures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Fees for Services Provided to Joint Ventures</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232,064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Thailand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Sweden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Czech Republic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91,747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1,033,786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1,302,598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51"/>
        <w:gridCol w:w="60"/>
        <w:gridCol w:w="125"/>
        <w:gridCol w:w="845"/>
        <w:gridCol w:w="60"/>
        <w:gridCol w:w="60"/>
        <w:gridCol w:w="350"/>
        <w:gridCol w:w="2840"/>
        <w:gridCol w:w="185"/>
        <w:gridCol w:w="60"/>
        <w:gridCol w:w="125"/>
        <w:gridCol w:w="845"/>
        <w:gridCol w:w="60"/>
        <w:gridCol w:w="60"/>
        <w:gridCol w:w="350"/>
        <w:gridCol w:w="2840"/>
        <w:gridCol w:w="189"/>
      </w:tblGrid>
      <w:tr>
        <w:trPr/>
        <w:tc>
          <w:tcPr>
            <w:tcW w:w="1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Fees for Services Provided to Joint Ventures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Total Fees for Services Provided to Joint Ventures</w:t>
            </w:r>
          </w:p>
        </w:tc>
        <w:tc>
          <w:tcPr>
            <w:tcW w:w="189"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Poland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650,926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427,787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429,520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Finland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Thailand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344,965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242,212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Sweden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Czech Republic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251,018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ind w:left="0" w:right="0" w:hanging="0"/>
              <w:jc w:val="left"/>
              <w:rPr/>
            </w:pPr>
            <w:r>
              <w:rPr/>
              <w:t> </w:t>
            </w:r>
          </w:p>
        </w:tc>
        <w:tc>
          <w:tcPr>
            <w:tcW w:w="28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Germany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28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237,367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442,354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18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3,028,942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3,656,980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7 for additional details on geographical information regarding equity in income from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geographical distribution of total property and equipment and net sales, which are based on the geographical location of the customer, is as follows:</w:t>
      </w:r>
    </w:p>
    <w:p>
      <w:pPr>
        <w:pStyle w:val="TextBody"/>
        <w:bidi w:val="0"/>
        <w:spacing w:before="0" w:after="0"/>
        <w:ind w:left="0" w:right="0" w:hanging="0"/>
        <w:jc w:val="left"/>
        <w:rPr>
          <w:caps w:val="false"/>
          <w:smallCaps w:val="false"/>
        </w:rPr>
      </w:pPr>
      <w:r>
        <w:rPr>
          <w:caps w:val="false"/>
          <w:smallCaps w:val="false"/>
        </w:rPr>
        <w:t> </w:t>
      </w:r>
    </w:p>
    <w:tbl>
      <w:tblPr>
        <w:tblW w:w="5578" w:type="dxa"/>
        <w:jc w:val="left"/>
        <w:tblInd w:w="0" w:type="dxa"/>
        <w:tblLayout w:type="fixed"/>
        <w:tblCellMar>
          <w:top w:w="0" w:type="dxa"/>
          <w:left w:w="0" w:type="dxa"/>
          <w:bottom w:w="0" w:type="dxa"/>
          <w:right w:w="0" w:type="dxa"/>
        </w:tblCellMar>
      </w:tblPr>
      <w:tblGrid>
        <w:gridCol w:w="2795"/>
        <w:gridCol w:w="60"/>
        <w:gridCol w:w="136"/>
        <w:gridCol w:w="1038"/>
        <w:gridCol w:w="60"/>
        <w:gridCol w:w="60"/>
        <w:gridCol w:w="159"/>
        <w:gridCol w:w="1210"/>
        <w:gridCol w:w="60"/>
      </w:tblGrid>
      <w:tr>
        <w:trPr/>
        <w:tc>
          <w:tcPr>
            <w:tcW w:w="2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May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August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5,462,047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5,355,918</w:t>
            </w:r>
          </w:p>
        </w:tc>
        <w:tc>
          <w:tcPr>
            <w:tcW w:w="60" w:type="dxa"/>
            <w:tcBorders/>
            <w:shd w:fill="CCEEFF" w:val="cle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10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2,021,711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ind w:left="0" w:right="0" w:hanging="0"/>
              <w:jc w:val="left"/>
              <w:rPr/>
            </w:pPr>
            <w:r>
              <w:rPr/>
              <w:t> </w:t>
            </w:r>
          </w:p>
        </w:tc>
        <w:tc>
          <w:tcPr>
            <w:tcW w:w="12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1,296,988</w:t>
            </w:r>
          </w:p>
        </w:tc>
        <w:tc>
          <w:tcPr>
            <w:tcW w:w="60" w:type="dxa"/>
            <w:tcBorders/>
            <w:shd w:fill="FFFFFF" w:val="clear"/>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7,380,178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8,531,012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14,863,936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15,183,918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98" w:type="dxa"/>
        <w:jc w:val="left"/>
        <w:tblInd w:w="0" w:type="dxa"/>
        <w:tblLayout w:type="fixed"/>
        <w:tblCellMar>
          <w:top w:w="0" w:type="dxa"/>
          <w:left w:w="0" w:type="dxa"/>
          <w:bottom w:w="0" w:type="dxa"/>
          <w:right w:w="0" w:type="dxa"/>
        </w:tblCellMar>
      </w:tblPr>
      <w:tblGrid>
        <w:gridCol w:w="1190"/>
        <w:gridCol w:w="60"/>
        <w:gridCol w:w="141"/>
        <w:gridCol w:w="1075"/>
        <w:gridCol w:w="67"/>
        <w:gridCol w:w="67"/>
        <w:gridCol w:w="141"/>
        <w:gridCol w:w="1075"/>
        <w:gridCol w:w="60"/>
        <w:gridCol w:w="60"/>
        <w:gridCol w:w="132"/>
        <w:gridCol w:w="1006"/>
        <w:gridCol w:w="63"/>
        <w:gridCol w:w="63"/>
        <w:gridCol w:w="132"/>
        <w:gridCol w:w="1006"/>
        <w:gridCol w:w="6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May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7"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4,480,033</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13,839,998</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12,240,359</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Brazil</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2,058,788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5,955,542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4,418,778</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India</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6,570,057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10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5,684,908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17,428,202</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16,600,711</w:t>
            </w:r>
          </w:p>
        </w:tc>
        <w:tc>
          <w:tcPr>
            <w:tcW w:w="6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3,448,899</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10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10,215,532</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7,166,981</w:t>
            </w:r>
          </w:p>
        </w:tc>
        <w:tc>
          <w:tcPr>
            <w:tcW w:w="60"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7,657,885</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7,341,392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22,081,992</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21,492,193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24,215,662</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21,508,563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69,521,265</w:t>
            </w:r>
          </w:p>
        </w:tc>
        <w:tc>
          <w:tcPr>
            <w:tcW w:w="6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61,919,022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consist of property and equipment. These assets are periodically reviewed to assure the net realizable value from the estimated future production based on forecasted sales exceeds the carrying value of the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joint venture operations, including equity in income, fees for services and related dividends, are primarily related to ZERUST®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36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the Company is subject to various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May 31, 2026, the amount of liability, if any, with respect to these matters, individually or in the aggregate, will not materially affect the Company’s consolidated results of operations, financial position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275"/>
        <w:gridCol w:w="43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4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disclosures of cash flow information consisted of:</w:t>
      </w:r>
    </w:p>
    <w:p>
      <w:pPr>
        <w:pStyle w:val="TextBody"/>
        <w:bidi w:val="0"/>
        <w:spacing w:before="0" w:after="0"/>
        <w:ind w:left="0" w:right="0" w:hanging="0"/>
        <w:jc w:val="left"/>
        <w:rPr>
          <w:caps w:val="false"/>
          <w:smallCaps w:val="false"/>
        </w:rPr>
      </w:pPr>
      <w:r>
        <w:rPr>
          <w:caps w:val="false"/>
          <w:smallCaps w:val="false"/>
        </w:rPr>
        <w:t> </w:t>
      </w:r>
    </w:p>
    <w:tbl>
      <w:tblPr>
        <w:tblW w:w="6953" w:type="dxa"/>
        <w:jc w:val="left"/>
        <w:tblInd w:w="0" w:type="dxa"/>
        <w:tblLayout w:type="fixed"/>
        <w:tblCellMar>
          <w:top w:w="0" w:type="dxa"/>
          <w:left w:w="0" w:type="dxa"/>
          <w:bottom w:w="0" w:type="dxa"/>
          <w:right w:w="0" w:type="dxa"/>
        </w:tblCellMar>
      </w:tblPr>
      <w:tblGrid>
        <w:gridCol w:w="1745"/>
        <w:gridCol w:w="60"/>
        <w:gridCol w:w="182"/>
        <w:gridCol w:w="1014"/>
        <w:gridCol w:w="87"/>
        <w:gridCol w:w="87"/>
        <w:gridCol w:w="182"/>
        <w:gridCol w:w="1014"/>
        <w:gridCol w:w="60"/>
        <w:gridCol w:w="60"/>
        <w:gridCol w:w="145"/>
        <w:gridCol w:w="986"/>
        <w:gridCol w:w="70"/>
        <w:gridCol w:w="70"/>
        <w:gridCol w:w="145"/>
        <w:gridCol w:w="986"/>
        <w:gridCol w:w="60"/>
      </w:tblGrid>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6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May 31,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0" w:type="dxa"/>
            <w:tcBorders>
              <w:bottom w:val="single" w:sz="2" w:space="0" w:color="000000"/>
            </w:tcBorders>
            <w:tcMar>
              <w:bottom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ind w:left="0" w:right="0" w:hanging="0"/>
              <w:jc w:val="left"/>
              <w:rPr/>
            </w:pPr>
            <w:r>
              <w:rPr/>
              <w:t>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203,872</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600,489</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421,471</w:t>
            </w:r>
          </w:p>
        </w:tc>
        <w:tc>
          <w:tcPr>
            <w:tcW w:w="60" w:type="dxa"/>
            <w:tcBorders/>
            <w:shd w:fill="CCEEFF" w:val="clear"/>
            <w:vAlign w:val="center"/>
          </w:tcPr>
          <w:p>
            <w:pPr>
              <w:pStyle w:val="TableContents"/>
              <w:bidi w:val="0"/>
              <w:spacing w:before="0" w:after="283"/>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taxes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341,802</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10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1,033,321</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1,142,529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w:t>
            </w:r>
          </w:p>
        </w:tc>
        <w:tc>
          <w:tcPr>
            <w:tcW w:w="15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for the three and nine months ended May 31, 2026 was $392,802 and $733,321, respectively, compared to $410,461 and $903,529, respectively, for the three and nine months ended May 31, 2025. The expense was largely due to foreign operations. The Company has federal and state tax credit carry forwards, net operating loss carry forwards and foreign tax carry forwards. The Company has recorded a full valuation allowance against the U.S. deferred tax assets as of May 31, 2026 and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275"/>
        <w:gridCol w:w="491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w:t>
            </w:r>
          </w:p>
        </w:tc>
        <w:tc>
          <w:tcPr>
            <w:tcW w:w="4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OTHER INCOME </w:t>
            </w:r>
            <w:r>
              <w:rPr>
                <w:rFonts w:ascii="Times New Roman;Times;serif" w:hAnsi="Times New Roman;Times;serif"/>
                <w:sz w:val="20"/>
              </w:rPr>
              <w:t xml:space="preserve">– </w:t>
            </w:r>
            <w:r>
              <w:rPr>
                <w:rFonts w:ascii="Times New Roman;Times;serif" w:hAnsi="Times New Roman;Times;serif"/>
                <w:b/>
                <w:sz w:val="20"/>
              </w:rPr>
              <w:t>EMPLOYEE RETENTION CREDIT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2025, the Company received $1,139,756 in cash as a result of Employee Retention Credits (ERC), which are refundable tax credits against certain employment taxes initially made available under the Coronavirus Aid, Relief, and Economic Security Act. The ERC was received in cash and was claimed under the suspension test criteria based on the Company’s determination that it met the eligibility requirements. In accordance with the Company’s accounting policy, the ERC payments have been recognized as Other Income in the period in which the cash was received, as the Company determined that all relevant criteria for recognition had been met. The ERC represents a one-time benefit and does not constitute recurring operational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Additionally, the Company earned $181,529 in interest income related to the ERC payments, which was recorded as Interest Income during the three and nine months ended May 31, 2025. The ERC payments of $1,139,756 are recorded as Other Income in the consolidated statements of operations, while the interest income of $181,529 is recorded separately under Interest Income in the consolidated statements of operations for the three and nine months ended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ERC income or related interest income was recognized during the three and nine months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275"/>
        <w:gridCol w:w="234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17.</w:t>
            </w:r>
          </w:p>
        </w:tc>
        <w:tc>
          <w:tcPr>
            <w:tcW w:w="23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 HELD FOR SALE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third quarter of fiscal 2026, the Company committed to a plan to sell its Beachwood, Ohio facility, which has historically been used by the Company's Zerust segment. The Company engaged a commercial real estate broker, listed the property for sale, and concluded that all criteria for classification as held for sale under ASC 360 were met during the third quarter of fiscal 2026. The Company's accounting policy for assets held for sale is described in Note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the Company reclassified the carrying value of the property, $869,407, from property, plant and equipment, net, to assets held for sale on the condensed consolidated balance sheet as of May 31, 2026. Depreciation ceased upon classification of such property and assets as assets held for sale. The Company measured the assets held for sale at the lower of: (i) carrying value or (ii) fair value, less estimated costs to sell and determined no impairment loss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May 26, 2026, the Company received a non-binding letter of intent to purchase the property for $1,150,000 in cash, subject to a customary diligence period and execution of a definitive purchase and sale agreement. The Company expects the sale of the property to close during fiscal 2027, although it is working to complete the transaction before the end of fiscal 2026 if practicable. There can be no assurance that the sale will be completed on the terms described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7"/>
        <w:gridCol w:w="9468"/>
      </w:tblGrid>
      <w:tr>
        <w:trPr/>
        <w:tc>
          <w:tcPr>
            <w:tcW w:w="73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94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bookmarkStart w:id="10" w:name="i2"/>
            <w:bookmarkEnd w:id="10"/>
            <w:r>
              <w:rPr>
                <w:rFonts w:ascii="Times New Roman;Times;serif" w:hAnsi="Times New Roman;Times;serif"/>
                <w:b/>
                <w:sz w:val="20"/>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hAnsi="Times New Roman"/>
          <w:i/>
          <w:caps w:val="false"/>
          <w:smallCaps w:val="false"/>
          <w:sz w:val="20"/>
        </w:rPr>
        <w:t>Part I. Item 2.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r>
        <w:rPr>
          <w:rFonts w:ascii="Times New Roman" w:hAnsi="Times New Roman"/>
          <w:i/>
          <w:caps w:val="false"/>
          <w:smallCaps w:val="false"/>
          <w:sz w:val="20"/>
        </w:rPr>
        <w:t>Forward-Looking Statements</w:t>
      </w:r>
      <w:r>
        <w:rPr>
          <w:rFonts w:ascii="Times New Roman" w:hAnsi="Times New Roman"/>
          <w:caps w:val="false"/>
          <w:smallCaps w:val="false"/>
          <w:sz w:val="20"/>
        </w:rPr>
        <w:t>” in this report and under “</w:t>
      </w:r>
      <w:r>
        <w:rPr>
          <w:rFonts w:ascii="Times New Roman" w:hAnsi="Times New Roman"/>
          <w:i/>
          <w:caps w:val="false"/>
          <w:smallCaps w:val="false"/>
          <w:sz w:val="20"/>
        </w:rPr>
        <w:t>Part 1. Item 1A. Risk Factors</w:t>
      </w:r>
      <w:r>
        <w:rPr>
          <w:rFonts w:ascii="Times New Roman" w:hAnsi="Times New Roman"/>
          <w:caps w:val="false"/>
          <w:smallCaps w:val="false"/>
          <w:sz w:val="20"/>
        </w:rPr>
        <w:t>” in our annual report on Form 10-K for the fiscal year ended August 31, 2025. The following discussion of the results of the operations and financial condition of NTIC should be read in conjunction with NTIC’s consolidated financial statements and the related notes thereto included under the heading “</w:t>
      </w:r>
      <w:r>
        <w:rPr>
          <w:rFonts w:ascii="Times New Roman" w:hAnsi="Times New Roman"/>
          <w:i/>
          <w:caps w:val="false"/>
          <w:smallCaps w:val="false"/>
          <w:sz w:val="20"/>
        </w:rPr>
        <w:t>Part I. Item 1. Financial Statements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develops and markets proprietary, environmentally 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general industrial, mechanical, mining, agricultural, and retail consumer markets for over 50 years and, more recently, has also expanded into the oil and gas industry. Additionally, NTIC markets and sells a portfolio of proprietary bio-based and certified compostable (fully biodegradable) polymer resin compounds and finished products under the Natur-Tec® brand. These sustainable packaging products are intended to reduce NTIC’s customers’ carbon footprint and provide environmentally sound waste disposal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ZERUST® rust and corrosion inhibiting products include plastic and paper packaging, liquids, coatings, rust removers, cleaners, and diffusers as well as engineered solutions designed specifically for the industries it serves. NTIC also offers worldwide, on-site, technical consulting for rust and corrosion prevention issues. In North America, NTIC sells its ZERUST® corrosion prevention solutions through a network of independent distributors and agents supported by a direct sales force.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ZERUST® corrosion prevention solutions through its wholly owned subsidiary in China, NTIC (Shanghai) Co., Ltd. (NTIC China), its wholly owned subsidiary in India, HNTI Limited (Zerust India), its wholly owned subsidiary in the United Arab Emirates, Zerust Integrity Solutions Trading LLC (ZIS UAE), its majority-owned joint venture holding company for NTIC’s joint venture investments in the Association of Southeast Asian Nations (ASEAN) region, NTI Asean LLC (NTI Asean), its majority-owned subsidiary in Brazil, Zerust Provenção de Corrosão S.A. (Zerust Brazil), and certain majority-owned and wholly owned subsidiaries, and joint venture arrangements in North America, Europe, and Asia. NTIC also sells products directly to its European joint venture partners through its wholly owned subsidiary in Germany, NTIC Europe GmbH (NTI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 During the nine months ended May 31, 2026, NTIC continued to make strategic investments in its ZERUST® oil and gas sales infrastructure specifically to support ZIS UAE.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markets and sells its ZERUST® rust and corrosion prevention solutions to customers in the oil and gas industry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run through calendar 2028 with an estimated total value of approximately R$70 million (US$13.1 million). This includes approximately R$40 million (US$7.5 million) in materials and approximately R$30 million (US$5.6 million) in engineering and field services. The amount and timing of revenue anticipated to be generated under this agreement may materially and positively affect NTIC’s future quarterly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coatings, injection molding, thermoforming, profile extrusion and engineered plastics. These resin compounds are certified to be fully biodegradable in a commercial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 In first quarter of fiscal 2026, NTIC entered into a preferred supplier agreement with the nation’s leading specialized distributor for a foodservice and industrial packaging company, which NTIC expects to translate into higher Natur-Tec® sales in fiscal 2026 compared to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Internationally, NTIC sells its Natur-Tec® resin compounds and finished products both directly and through its wholly owned subsidiary in China and majority-owned subsidiaries in India and Sri Lanka, and through distributors and certain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Financial Overview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Highlights of NTIC’s financial results for the three and nine months ended May 31, 2026 include the following, with increases or decreases in each case as compared to the respective prior fiscal year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consolidated net sales increased 12.6% and 12.3% during the three and nine months ended May 31, 2026, respectively, compared to the three and nine months ended May 31, 2025 primarily due to increased sales and demand for ZERUST® and Natur-Tec® products. During the nine months ended May 31, 2026, 74.9% of NTIC’s consolidated net sales were derived from sales of ZERUST® products and services, which increased 15.0%. 25.1% of NTIC’s consolidated net sales were derived from sales of Natur-Tec® products, which increased 5.0%.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goods sold as a percentage of net sales increased to 66.4% during the three months ended May 31, 2026, compared to 61.6% during the three months ended May 31, 2025, and increased to 64.9% during the nine months ended May 31, 2026, compared to 62.5% during the prior fiscal period. The increase for the three and nine month comparison was primarily due to slightly higher raw material prices and discounts on selling prices.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income from joint venture operations increased 12.2% and 7.7% to $2,550,960 and $6,868,902 during the three and nine months ended May 31, 2026, respectively, compared to $2,272,912 and $6,377,617 during the three and nine months ended May 31, 2025, respectively, primarily due to an increase in sales at NTIC’s joint ventures. Net sales at NTIC’s joint ventures, which are not consolidated with NTIC’s net sales, increased 15.1% and 11.8% to $26,707,572 and $74,722,581 during the three and nine months ended May 31, 2026, respectively, compared to $23,211,613 and $66,848,498 during the three and nine months ended May 31, 2025, respectively.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total operating expenses increased 5.3% and 5.2% to $10,178,794 and $29,421,842 during the three and nine months ended May 31, 2026, respectively, compared to $9,665,165 and $27,954,669 for the three and nine months ended May 31, 2025, respectively. These increases were primarily due to strategic investments in ZERUST® oil and gas marketing and sales efforts, including personnel expenses and the corresponding benefits, as well as increased travel and professional fees.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NTIC’s net loss attributable to NTIC was $263,291, or $0.03 per diluted common share, for the three months ended May 31, 2026, compared to net income attributable to NTIC of $121,775, or $0.01 per diluted common share, for the three months ended May 31, 2025. NTIC’s net loss attributable to NTIC of $60,795, or $0.01 per diluted common share, for the nine months ended May 31, 2026, compared to net income attributable to NTIC of $1,117,185, or $0.12 per diluted common share, for the nine months ended May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On April 24, 2026, NTIC announced that the Board of Directors has suspended NTIC’s quarterly cash dividend on its common stock, beginning with its quarterly cash dividend for the third quarter of fiscal 2026, to focus on the reduction of its outstanding debt. The Board of Directors previously had reduced NTIC’s quarterly cash dividend to $0.01 per share beginning with the quarterly cash dividend for its third quarter of fiscal 2025. The length of NTIC’s suspension of its quarterly cash dividend is currently unknown, and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NTIC’s outstanding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2026, NTIC incurred additional costs related to tariffs and expects such costs to continue throughout fiscal 2026. Management has implemented, and expects to continue to implement, proactive measures to mitigate inflationary and supply chain pressures resulting from tariffs through a combination of supplier diversification, regional sourcing initiatives, cost reduction programs, and manufacturing optimization. Management continues to monitor global trade developments and evaluate opportunities to further reduce its exposure to tariffs by localizing production and developing alternative sourcing options where practicable. With respect to NTIC China, a majority of its production and sales are for local consumption. Accordingly, management believes that NTIC China’s exposure to tariffs, including those imposed by the United States, is limited. However, given the complex and evolving nature of global trade policy, there can be no assurance that tariffs or other trade restrictions will not adversely affect NTIC’s net sales, gross margins, or operating results in future periods. Tariffs have had a particular impact on NTIC’s Natur-Tec® business, which relies on the global procurement of raw materials and finished goods. These factors may affect production economics, customer pricing, and competitive positioning, particularly in markets where NTIC competes with local producers not subject to comparable tariff exposure.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Results of Operations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results of operations for the three and nine months ended May 31, 2026 and 2025.</w:t>
      </w:r>
    </w:p>
    <w:p>
      <w:pPr>
        <w:pStyle w:val="TextBody"/>
        <w:bidi w:val="0"/>
        <w:spacing w:before="0" w:after="0"/>
        <w:ind w:left="0" w:right="0" w:hanging="0"/>
        <w:jc w:val="left"/>
        <w:rPr>
          <w:caps w:val="false"/>
          <w:smallCaps w:val="false"/>
        </w:rPr>
      </w:pPr>
      <w:r>
        <w:rPr>
          <w:caps w:val="false"/>
          <w:smallCaps w:val="false"/>
        </w:rPr>
        <w:t> </w:t>
      </w:r>
    </w:p>
    <w:tbl>
      <w:tblPr>
        <w:tblW w:w="9968" w:type="dxa"/>
        <w:jc w:val="left"/>
        <w:tblInd w:w="0" w:type="dxa"/>
        <w:tblLayout w:type="fixed"/>
        <w:tblCellMar>
          <w:top w:w="0" w:type="dxa"/>
          <w:left w:w="0" w:type="dxa"/>
          <w:bottom w:w="0" w:type="dxa"/>
          <w:right w:w="0" w:type="dxa"/>
        </w:tblCellMar>
      </w:tblPr>
      <w:tblGrid>
        <w:gridCol w:w="3500"/>
        <w:gridCol w:w="60"/>
        <w:gridCol w:w="125"/>
        <w:gridCol w:w="950"/>
        <w:gridCol w:w="60"/>
        <w:gridCol w:w="60"/>
        <w:gridCol w:w="106"/>
        <w:gridCol w:w="678"/>
        <w:gridCol w:w="185"/>
        <w:gridCol w:w="60"/>
        <w:gridCol w:w="125"/>
        <w:gridCol w:w="950"/>
        <w:gridCol w:w="60"/>
        <w:gridCol w:w="60"/>
        <w:gridCol w:w="106"/>
        <w:gridCol w:w="678"/>
        <w:gridCol w:w="185"/>
        <w:gridCol w:w="60"/>
        <w:gridCol w:w="125"/>
        <w:gridCol w:w="845"/>
        <w:gridCol w:w="80"/>
        <w:gridCol w:w="60"/>
        <w:gridCol w:w="60"/>
        <w:gridCol w:w="605"/>
        <w:gridCol w:w="18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23"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21,508,563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2,707,099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16,072,498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13,249,123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2,823,375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1,517,174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546,860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1,033,786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1,302,598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(268,812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4,647,548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4,593,226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4,324,275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3,933,696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1,206,971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1,138,243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968" w:type="dxa"/>
        <w:jc w:val="left"/>
        <w:tblInd w:w="0" w:type="dxa"/>
        <w:tblLayout w:type="fixed"/>
        <w:tblCellMar>
          <w:top w:w="0" w:type="dxa"/>
          <w:left w:w="0" w:type="dxa"/>
          <w:bottom w:w="0" w:type="dxa"/>
          <w:right w:w="0" w:type="dxa"/>
        </w:tblCellMar>
      </w:tblPr>
      <w:tblGrid>
        <w:gridCol w:w="3500"/>
        <w:gridCol w:w="60"/>
        <w:gridCol w:w="125"/>
        <w:gridCol w:w="950"/>
        <w:gridCol w:w="60"/>
        <w:gridCol w:w="60"/>
        <w:gridCol w:w="106"/>
        <w:gridCol w:w="678"/>
        <w:gridCol w:w="185"/>
        <w:gridCol w:w="60"/>
        <w:gridCol w:w="125"/>
        <w:gridCol w:w="950"/>
        <w:gridCol w:w="60"/>
        <w:gridCol w:w="60"/>
        <w:gridCol w:w="106"/>
        <w:gridCol w:w="678"/>
        <w:gridCol w:w="185"/>
        <w:gridCol w:w="60"/>
        <w:gridCol w:w="125"/>
        <w:gridCol w:w="845"/>
        <w:gridCol w:w="80"/>
        <w:gridCol w:w="60"/>
        <w:gridCol w:w="60"/>
        <w:gridCol w:w="605"/>
        <w:gridCol w:w="18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223"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Sales</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69,521,265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61,919,022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7,602,243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45,136,589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38,701,045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6,435,544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in income from joint ventures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3,839,960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2,720,637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1,119,323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Fees for services provided to joint ventures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3,028,942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3,656,980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n/a</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(628,038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13,732,822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661,700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12,085,935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11,113,008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ind w:left="0" w:right="0" w:hanging="0"/>
              <w:jc w:val="left"/>
              <w:rPr/>
            </w:pPr>
            <w:r>
              <w:rPr/>
              <w:t> </w:t>
            </w:r>
          </w:p>
        </w:tc>
        <w:tc>
          <w:tcPr>
            <w:tcW w:w="6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972,927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3,770,539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6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(167,454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Net Sales</w:t>
      </w:r>
      <w:r>
        <w:rPr>
          <w:rFonts w:ascii="Times New Roman" w:hAnsi="Times New Roman"/>
          <w:caps w:val="false"/>
          <w:smallCaps w:val="false"/>
          <w:sz w:val="20"/>
        </w:rPr>
        <w:t>. NTIC’s consolidated net sales increased 12.6% and 12.3% to $24,215,662 and $69,521,265 during the three and nine months ended May 31, 2026, respectively, compared to the three and nine months ended May 31, 2025, respectively. These increases were primarily due to increased sales and demand for both Zerust® and Natur-Tec® products during the current fiscal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net sales by product segment for the three and nine months ended May 31, 2026 and 2025:</w:t>
      </w:r>
    </w:p>
    <w:p>
      <w:pPr>
        <w:pStyle w:val="TextBody"/>
        <w:bidi w:val="0"/>
        <w:spacing w:before="0" w:after="0"/>
        <w:ind w:left="0" w:right="0" w:hanging="0"/>
        <w:jc w:val="left"/>
        <w:rPr>
          <w:caps w:val="false"/>
          <w:smallCaps w:val="false"/>
        </w:rPr>
      </w:pPr>
      <w:r>
        <w:rPr>
          <w:caps w:val="false"/>
          <w:smallCaps w:val="false"/>
        </w:rPr>
        <w:t> </w:t>
      </w:r>
    </w:p>
    <w:tbl>
      <w:tblPr>
        <w:tblW w:w="7059" w:type="dxa"/>
        <w:jc w:val="left"/>
        <w:tblInd w:w="0" w:type="dxa"/>
        <w:tblLayout w:type="fixed"/>
        <w:tblCellMar>
          <w:top w:w="0" w:type="dxa"/>
          <w:left w:w="0" w:type="dxa"/>
          <w:bottom w:w="0" w:type="dxa"/>
          <w:right w:w="0" w:type="dxa"/>
        </w:tblCellMar>
      </w:tblPr>
      <w:tblGrid>
        <w:gridCol w:w="1895"/>
        <w:gridCol w:w="60"/>
        <w:gridCol w:w="139"/>
        <w:gridCol w:w="1056"/>
        <w:gridCol w:w="66"/>
        <w:gridCol w:w="66"/>
        <w:gridCol w:w="139"/>
        <w:gridCol w:w="1056"/>
        <w:gridCol w:w="60"/>
        <w:gridCol w:w="60"/>
        <w:gridCol w:w="132"/>
        <w:gridCol w:w="1006"/>
        <w:gridCol w:w="63"/>
        <w:gridCol w:w="63"/>
        <w:gridCol w:w="132"/>
        <w:gridCol w:w="1006"/>
        <w:gridCol w:w="60"/>
      </w:tblGrid>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2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6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119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ind w:left="0" w:right="0" w:hanging="0"/>
              <w:jc w:val="left"/>
              <w:rPr/>
            </w:pPr>
            <w:r>
              <w:rPr/>
              <w:t> </w:t>
            </w:r>
          </w:p>
        </w:tc>
        <w:tc>
          <w:tcPr>
            <w:tcW w:w="1138"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ZERUST® sales</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18,145,611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52,095,200</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45,316,457</w:t>
            </w:r>
          </w:p>
        </w:tc>
        <w:tc>
          <w:tcPr>
            <w:tcW w:w="60" w:type="dxa"/>
            <w:tcBorders/>
            <w:shd w:fill="CCEE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Natur-Tec® sales</w:t>
            </w:r>
          </w:p>
        </w:tc>
        <w:tc>
          <w:tcPr>
            <w:tcW w:w="60"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6,070,051</w:t>
            </w:r>
          </w:p>
        </w:tc>
        <w:tc>
          <w:tcPr>
            <w:tcW w:w="6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5,779,926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17,426,065</w:t>
            </w:r>
          </w:p>
        </w:tc>
        <w:tc>
          <w:tcPr>
            <w:tcW w:w="6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16,602,565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24,215,662</w:t>
            </w:r>
          </w:p>
        </w:tc>
        <w:tc>
          <w:tcPr>
            <w:tcW w:w="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21,508,563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69,521,265</w:t>
            </w:r>
          </w:p>
        </w:tc>
        <w:tc>
          <w:tcPr>
            <w:tcW w:w="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61,919,022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May 31, 2026, 74.9% of NTIC’s consolidated net sales, were derived from sales of ZERUST® products and services. Sales of ZERUST® products and services increased 15.4% and 15.0% to $18,145,611 and $52,095,200 during the three and nine months ended May 31, 2026, respectively, compared to $15,728,637 and $45,316,457 during the three and nine months ended May 31, 2025, respectively. These increases were primarily due to increased demand for ZERUST® oil and gas products and ZERUST® industrial products during the current fiscal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NTIC’s net sales of ZERUST® products for the three and nine months ended May 31, 2026 and 2025:</w:t>
      </w:r>
    </w:p>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2465"/>
        <w:gridCol w:w="60"/>
        <w:gridCol w:w="125"/>
        <w:gridCol w:w="950"/>
        <w:gridCol w:w="60"/>
        <w:gridCol w:w="60"/>
        <w:gridCol w:w="125"/>
        <w:gridCol w:w="950"/>
        <w:gridCol w:w="60"/>
        <w:gridCol w:w="60"/>
        <w:gridCol w:w="125"/>
        <w:gridCol w:w="845"/>
        <w:gridCol w:w="60"/>
        <w:gridCol w:w="60"/>
        <w:gridCol w:w="90"/>
        <w:gridCol w:w="575"/>
        <w:gridCol w:w="18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May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industrial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15,926,269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14,440,591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1,485,678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oil &amp; gas net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2,219,342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1,288,046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931,296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ZERUST®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18,145,611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15,728,637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2,416,974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2465"/>
        <w:gridCol w:w="60"/>
        <w:gridCol w:w="125"/>
        <w:gridCol w:w="950"/>
        <w:gridCol w:w="60"/>
        <w:gridCol w:w="60"/>
        <w:gridCol w:w="125"/>
        <w:gridCol w:w="950"/>
        <w:gridCol w:w="60"/>
        <w:gridCol w:w="60"/>
        <w:gridCol w:w="125"/>
        <w:gridCol w:w="845"/>
        <w:gridCol w:w="60"/>
        <w:gridCol w:w="60"/>
        <w:gridCol w:w="90"/>
        <w:gridCol w:w="575"/>
        <w:gridCol w:w="18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4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May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industrial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44,816,138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40,965,696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3,850,442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ZERUST® oil &amp; gas net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7,279,062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4,350,761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2,928,301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6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ZERUST®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52,095,200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45,316,457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6,778,743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industrial net sales increased 10.3% and 9.4% during the three and nine months ended May 31, 2026, respectively, compared to the same prior fiscal year periods, primarily due to increased demand for North American ZERUST® and NTI China ZERUST® industrial products during the current fiscal year periods. Overall, demand for ZERUST® products and services depends heavily on the overall health of the markets in which NTIC sells its products, including the automotive, construction, agriculture, and mining markets, in particular.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oil and gas net sales increased 72.3% and 67.3% during the three and nine months ended May 31, 2026, respectively, compared to the same prior fiscal year periods primarily due to increased demand, primarily in the Middle East and Brazil. However, the ongoing geopolitical conflict and related disruptions affecting energy markets and shipping routes in the Middle East may increase the volatility of future customer demand, project timing, and order patterns for NTIC’s oil and gas products and services. In addition, NTIC anticipates that its sales of ZERUST® products and services into the oil and gas industry will continue to remain subject to significant volatility from quarter to quarter as sales are recognized.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 For example, in November 2025, Zerust Brazil secured a three-year offshore oil and gas production asset preservation contract with a leading global engineering, procurement, and construction company to provide advanced corrosion protection solutions for floating production storage and offloading units. The project under this agreement is expected to run through calendar 2028 with an estimated total value of approximately R$70 million (US$13.1 million). This includes approximately R$40 million (US$7.5 million) in materials and approximately R$30 million (US$5.6 million) in engineering and field services. The amount and timing of revenue anticipated to be generated under this agreement may materially and positively affect NTIC’s future quarterly sales and other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and nine months ended May 31, 2026, 25.1% of NTIC’s consolidated net sales were derived from sales of Natur-Tec® products, compared to 26.9% and 26.8% during the three and nine months ended May 31, 2025, respectively. Sales of Natur-Tec® products increased 5.0% to $6,070,051 during the three months ended May 31, 2026 compared to $5,779,926 during the three months ended May 31, 2025. Sales of Natur-Tec® products increased 5.0% to $17,426,065 during the nine months ended May 31, 2026 compared to $16,602,565 during the nine months ended May 31, 2025. These increases were primarily due to timing differences in sales specifically to customers in North America. The market for biodegradable plastics is expanding worldwide, driven by increasing environmental awareness, regulatory support for sustainable materials, and growing demand for eco-friendly alternatives. As consumers and industries seek to reduce plastic waste, biodegradable plastics offer a viable solution, particularly in sectors like packaging, agriculture, and consumer goods. This trend is further supported by government policies promoting sustainable practices and by advances in biodegradable technology, which make these materials more accessible and cost-effective.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Cost of Goods Sold</w:t>
      </w:r>
      <w:r>
        <w:rPr>
          <w:rFonts w:ascii="Times New Roman" w:hAnsi="Times New Roman"/>
          <w:caps w:val="false"/>
          <w:smallCaps w:val="false"/>
          <w:sz w:val="20"/>
        </w:rPr>
        <w:t>. Cost of goods sold increased 21.3% and 16.6% for the three and nine months ended May 31, 2026, respectively, compared to the three and nine months ended May 31, 2025 primarily due to the increase in sales and higher raw material prices. Cost of goods sold as a percentage of net sales was 66.4% and 64.9% for the three and nine months ended May 31, 2026, respectively, compared to 61.6% and 62.5% during each of the three and nine months ended May 31, 2025, respectively. The increase for the three- and nine-month comparisons was primarily due to slightly higher raw material prices and discounts on selling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Equity in Income from Joint Ventures.</w:t>
      </w:r>
      <w:r>
        <w:rPr>
          <w:rFonts w:ascii="Times New Roman" w:hAnsi="Times New Roman"/>
          <w:caps w:val="false"/>
          <w:smallCaps w:val="false"/>
          <w:sz w:val="20"/>
        </w:rPr>
        <w:t xml:space="preserve"> NTIC’s equity in income from joint ventures increased 56.4% and 41.1% to $1,517,174 and $3,839,960 during the three and nine months ended May 31, 2026, respectively, compared to $970,314 and $2,720,637 during the three and nine months ended May 31, 2025, respectively, primarily due to a modification of the fees for services due to tax planning in the nine months ended May 31, 2026 for two joint ventures which resulted in a decrease in fees for services and an increase in equity income for both entities. NTIC’s equity in income from joint ventures fluctuates primarily based on net sales and profitability of the joint ventures during the respective periods. Additionally, of the total equity in income from joint ventures, NTIC had equity in income from joint ventures of $1,681,054 attributable to EXCOR during the nine months ended May 31, 2026, compared to $1,340,674 attributable to EXCOR during the nine months ended May 31, 2025. This increase was due to the modification of fees noted above. NTIC had equity in income from all other joint ventures of $2,158,906 during the nine months ended May 31, 2026, compared to $1,379,963 during the nine months ended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Fees for Services Provided to Joint Ventures.</w:t>
      </w:r>
      <w:r>
        <w:rPr>
          <w:rFonts w:ascii="Times New Roman" w:hAnsi="Times New Roman"/>
          <w:caps w:val="false"/>
          <w:smallCaps w:val="false"/>
          <w:sz w:val="20"/>
        </w:rPr>
        <w:t xml:space="preserve"> NTIC recognized fee income for services provided to joint ventures of $1,033,786 and $3,028,942 during the three and nine months ended May 31, 2026, respectively, compared to $1,302,598 and $3,656,980 during the three and nine months ended May 31, 2025, respectively, representing decreases of 20.6% and 17.2%, respectively, primarily due to a modification of the fees for services plans due to tax planning in fiscal 2026 for two joint ventures, which resulted in a decrease in fees for services and an increase in equity in income for both entities. Fee income for services provided to joint ventures is traditionally a function of the sales made by NTIC’s joint ventures; however, at various joint ventures, the fee income for services is a fixed amount that does not fluctuate with the change in sales experienced by certain joint ventures during the three and nine months ended May 31, 2025, specifically EXCOR. Net sales at the joint ventures increased 15.1% and 11.8% to $26,707,572 and $74,722,581 during the three and nine months ended May 31, 2026, respectively, compared to $23,211,613 and $66,848,498 during the three and nine months ended May 31, 2025, respectively. These increases were primarily due to increases in demand for products at most joint ventures. Net sales of NTIC’s joint ventures are not included in NTIC’s product sales and are not included in NTIC’s consolidated financial statements. Of the total fee income for services provided to joint ventures, fees of $74,081 were attributable to EXCOR during the nine months ended May 31, 2026, as only one month of fees were recorded before the change in fees was made, compared to fees of $626,999 attributable to EXCOR during the nine months ended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Selling Expenses</w:t>
      </w:r>
      <w:r>
        <w:rPr>
          <w:rFonts w:ascii="Times New Roman" w:hAnsi="Times New Roman"/>
          <w:caps w:val="false"/>
          <w:smallCaps w:val="false"/>
          <w:sz w:val="20"/>
        </w:rPr>
        <w:t>.  NTIC’s selling expenses increased 1.2% and 5.1% during the three and nine months ended May 31, 2026, respectively, compared to the same respective periods in fiscal 2025 primarily due to increased personnel expense and strategic investments in ZERUST® oil &amp; gas marketing and sales efforts during the current fiscal year periods compared to the same prior fiscal year periods. Selling expenses as a percentage of net sales, decreased to 19.2% and 19.8% for the three and nine months ended May 31, 2026, respectively, compared to 21.4% and 21.1% for the three and nine months ended May 31, 2025, respectively, primarily due to increased net sales, partially offset by increased 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General and Administrative Expenses</w:t>
      </w:r>
      <w:r>
        <w:rPr>
          <w:rFonts w:ascii="Times New Roman" w:hAnsi="Times New Roman"/>
          <w:caps w:val="false"/>
          <w:smallCaps w:val="false"/>
          <w:sz w:val="20"/>
        </w:rPr>
        <w:t>. NTIC’s general and administrative expenses increased 9.9% and 8.8% for the three and nine months ended May 31, 2026, respectively, compared to the same respective periods in fiscal 2025 primarily due to increased professional services and travel and personnel expenses, which relate in part to increased information technology infrastructure, during the current fiscal year periods compared to the same prior fiscal year periods. As a percentage of net sales, general and administrative expenses decreased to 17.9% and 17.4% for the three and nine months ended May 31, 2026, respectively, from 18.3% and 17.9% for the same respective periods in fiscal 2025 primarily due to increased net sales, partially offset by increased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Research and Development Expenses</w:t>
      </w:r>
      <w:r>
        <w:rPr>
          <w:rFonts w:ascii="Times New Roman" w:hAnsi="Times New Roman"/>
          <w:caps w:val="false"/>
          <w:smallCaps w:val="false"/>
          <w:sz w:val="20"/>
        </w:rPr>
        <w:t>. NTIC's research and development expenses increased 6.0% for the three months ended May 31, 2026 compared to the same prior fiscal year period and decreased 4.4% for the nine months ended May 31, 2026 compared to the same prior fiscal year period. The increase for the three-month comparison was primarily due to an increase in personnel expenses and the decrease for the nine-month comparison was primarily due to the transition of expenses from research and development to selling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Income</w:t>
      </w:r>
      <w:r>
        <w:rPr>
          <w:rFonts w:ascii="Times New Roman" w:hAnsi="Times New Roman"/>
          <w:caps w:val="false"/>
          <w:smallCaps w:val="false"/>
          <w:sz w:val="20"/>
        </w:rPr>
        <w:t>. NTIC's interest income increased to $64,089 for the three months ended May 31, 2026 compared to $37,821 for the three months ended May 31, 2025 and decreased to $166,899 for the nine months ended May 31, 2026 compared to $273,544 for the nine months ended May 31, 2025. The increase for the three-month comparison was primarily due to changes in invested cash balances and rates of return at various subsidiaries. The decrease for the nine-month comparison was primarily due to interest income recognized during the prior fiscal year period related to the payment of the employee retention credit (ERC), which did not repeat in the current fiscal year period, as well as changes in invested cash balances and rates of return at various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Interest Expense</w:t>
      </w:r>
      <w:r>
        <w:rPr>
          <w:rFonts w:ascii="Times New Roman" w:hAnsi="Times New Roman"/>
          <w:caps w:val="false"/>
          <w:smallCaps w:val="false"/>
          <w:sz w:val="20"/>
        </w:rPr>
        <w:t xml:space="preserve">. NTIC's interest expense increased to $203,872 and $600,489 during the three and nine months ended May 31, 2026, respectively, compared to $162,096 and $421,471 during the three and nine months ended May 31, 2025, respectively. These increases were primarily due to increased outstanding average borrowings during the current fiscal year periods.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Income</w:t>
      </w:r>
      <w:r>
        <w:rPr>
          <w:rFonts w:ascii="Times New Roman" w:hAnsi="Times New Roman"/>
          <w:caps w:val="false"/>
          <w:smallCaps w:val="false"/>
          <w:sz w:val="20"/>
        </w:rPr>
        <w:t>. NTIC recognized $1,139,756 in other income during the nine months ended May 31, 2025 due to the receipt of the ERC payment. No other income was recognized during the current fiscal year periods. The ERC payment was a one-time event and does not represent recurring operational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Before Income Tax Expense</w:t>
      </w:r>
      <w:r>
        <w:rPr>
          <w:rFonts w:ascii="Times New Roman" w:hAnsi="Times New Roman"/>
          <w:caps w:val="false"/>
          <w:smallCaps w:val="false"/>
          <w:sz w:val="20"/>
        </w:rPr>
        <w:t>. NTIC had income before income tax expense of $375,547 and $1,398,146 for the three and nine months ended May 31, 2026, respectively, compared to $742,912 and $2,632,754 for the three and nine months ended May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Income Tax Expense</w:t>
      </w:r>
      <w:r>
        <w:rPr>
          <w:rFonts w:ascii="Times New Roman" w:hAnsi="Times New Roman"/>
          <w:caps w:val="false"/>
          <w:smallCaps w:val="false"/>
          <w:sz w:val="20"/>
        </w:rPr>
        <w:t>. Income tax expense was $392,802 and $733,321 for the three and nine months ended May 31, 2026, respectively, compared to $410,461 and $903,529 during the three and nine months ended May 31, 2025, respectively. Income tax expense was calculated based on management’s estimate of NTIC’s annual effective income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$29,415,417 and $27,667,432 as of May 31, 2026 and August 31, 2025, respectively. To the extent undistributed earnings of NTIC’s joint ventures are distributed in the future, they are not expected to result in any material additional income tax liability after the application of foreign tax credits.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Net (Loss) Income Attributable to NTIC</w:t>
      </w:r>
      <w:r>
        <w:rPr>
          <w:rFonts w:ascii="Times New Roman" w:hAnsi="Times New Roman"/>
          <w:caps w:val="false"/>
          <w:smallCaps w:val="false"/>
          <w:sz w:val="20"/>
        </w:rPr>
        <w:t>. Net loss attributable to NTIC was $263,291, or $0.03 per diluted common share, for the three months ended May 31, 2026, compared to $121,775, or $0.01 per diluted common share, for the three months ended May 31, 2025.  Net loss attributable to NTIC was $60,795, or $0.01 per diluted common share, for the nine months ended May 31, 2026, compared to net income attributable to NTIC of $1,117,185, or $0.12 per diluted common share, for the nine months ended May 31, 2025. These decreases in net income attributable to NTIC were primarily due to the decreases in other income, increases in operating expenses, and increases in interest expense, partially offset by the increases in gross profit and increases in joint venture operating income, in each case in the current fiscal year periods compared to the prior fiscal year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anticipates that its earnings will continue to be adversely affected to some extent by inflation and worldwide supply chain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Other Comprehensive Income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Foreign Currency Translations Adjustment. </w:t>
      </w:r>
      <w:r>
        <w:rPr>
          <w:rFonts w:ascii="Times New Roman" w:hAnsi="Times New Roman"/>
          <w:caps w:val="false"/>
          <w:smallCaps w:val="false"/>
          <w:sz w:val="20"/>
        </w:rPr>
        <w:t>The changes in the foreign currency translations adjustment were due to the fluctuation of the U.S. dollar compared to the Euro and other foreign currencies during the three and nine months ended May 31, 2026 compared to the same respective periods in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Sources of Cash and Working Capital</w:t>
      </w:r>
      <w:r>
        <w:rPr>
          <w:rFonts w:ascii="Times New Roman" w:hAnsi="Times New Roman"/>
          <w:caps w:val="false"/>
          <w:smallCaps w:val="false"/>
          <w:sz w:val="20"/>
        </w:rPr>
        <w:t>.  NTIC’s working capital, defined as current assets less current liabilities, was $19,991,590 as of May 31, 2026, reflecting $7,275,981 in cash and cash equivalents, $11,763,555 outstanding under NTIC’s line of credit, and $3,014,086 outstanding under the current portion of NTIC’s term loans, compared to $20,438,722 as of August 31, 2025, reflecting $7,250,523 in cash and cash equivalents, $9,329,021 outstanding under NTIC’s line of credit, and $2,820,835 of outstanding term loan designated as current liabilities. NTIC’s working capital has decreased in the current fiscal year period as compared to prior fiscal year periods due in part to a reduction in distributions of earnings from its joint ventures, including in particular its EXCOR joint venture in Germany. Management intends to focus strategically on reducing NTIC’s debt through positive operating cash flows and improving working capital efficiencies during the remainder of fiscal 2026 and into fiscal 2027.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part of this strategic focus to reduce outstanding debt, on April 24, 2026, NTIC announced that its Board of Directors has suspended NTIC’s quarterly cash dividend on its common stock, beginning with its quarterly cash dividend for the third quarter of fiscal 2026. No assurance can be provided as to if and when NTIC’s quarterly cash dividends will be reinstated.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believes that a combination of its existing cash and cash equivalents, forecasted cash flows from future operations, anticipated distributions of earnings from NTIC’s joint ventures,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any cash dividends, and any stock repurchases for at least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remainder of fiscal 2026, subject to available cash resources, NTIC expects to continue to invest through its use of working capital in Zerust India, NTIC China,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also may use some of its available capital resources to acquire the remaining ownership interests of joint ventures not owned by NTIC as they become available or appropriate and for the formation of one or more new subsidiaries to assume the operations of a joint venture. Some of these joint venture transitions may materially impact NTIC’s results of operations for a particular reporting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in each case as available or determined appropriate by NTIC. There is no assurance that any financing transaction will be available on terms acceptable to NTIC or at all or that any financing transaction will not be dilutive to NTIC’s current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Credit Agreement with JPMorgan Chase Bank, N.A.</w:t>
      </w:r>
      <w:r>
        <w:rPr>
          <w:rFonts w:ascii="Times New Roman" w:hAnsi="Times New Roman"/>
          <w:caps w:val="false"/>
          <w:smallCaps w:val="false"/>
          <w:sz w:val="20"/>
        </w:rPr>
        <w:t xml:space="preserve"> NTIC is party to a Credit Agreement (as amended, the Credit Agreement) with JPMorgan Chase Bank, N.A. (JPM), which provides NTIC with a senior secured revolving line of credit (the Credit Facility) of up to $12.0 million, which includes a $5.0 million sublimit for standby letters of credit. Borrowings of $11,763,555 and $9,329,021 were outstanding under the Credit Facility as of May 31, 2026 and August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17, 2025, NTIC and JPM renewed NTIC's Credit Agreement to extend the maturity date of the Credit Facility from January 5, 2026 to February 5,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30, 2026, NTIC and JPM entered into an amendment to the Credit Agreement, which increased the availability under the Credit Facility from $10.0 million to $12.0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amount under the Credit Facility, together with all accrued unpaid interest and other amounts owing thereunder, if any, will be payable in full on the maturity date, unless the Credit Facility is extended or renewed or terminated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In March 2026, NTIC elected to convert its outstanding borrowings under the Credit Facility from the CB Floating Rate to the Adjusted SOFR Rate. The weighted average interest rate was 6.20% and 6.65% for the nine months ended May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secure the Credit Agreement, NTIC assigned JPM a continuing security interest in all of its right, title and interest in collateral made up of the assets of NTIC.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contains customary affirmative and negative covenants, including, among other matters, limitations on NTIC's ability to incur additional debt, grant liens, engage in certain business operations and transactions, make certain investments, modify its organizational documents or form any new subsidiaries, subject to certain exceptions. Further, the Credit Agreement contains a negative covenant that restricts the ability of NTIC to redeem or repurchase its common stock or pay dividends if the result of which would cause an event of default under the Credit Agreement. The Credit Agreement also requires NTIC to maintain a Fixed Charge Coverage Ratio of at least 1.25 to 1.00. The term "Fixed Charge Coverage Ratio" means the ratio, computed for NTIC on a consolidated basis, of net income plus income tax expense, plus amortization expense, plus depreciation expense, plus interest expense, and plus dividends received from joint ventures, minus unfinanced capital expenditures and equity in income from joint ventures, all computed for the twelve month period then ending, to scheduled principal payments made, plus scheduled finance lease payments made, plus interest expense paid, plus income tax expense paid, and plus cash distributions and dividends paid, all computed for the same twelve month period then 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was not in compliance with the Fixed Charge Coverage Ratio covenant under the Credit Agreement as of May 31, 2026. The Credit Agreement requires NTIC to maintain a Fixed Charge Coverage Ratio of at least 1.25 to 1.00, and NTIC's Fixed Charge Coverage Ratio was 0.68 to 1.00 as of May 31, 2026. On July 7, 2026, NTIC obtained a waiver from JPM with respect to such noncompliance for the period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Credit Agreement also contains customary events of default, including, without limitation, payment defaults, material inaccuracy of representations and warranties, covenant defaults, bankruptcy and insolvency proceedings, cross-defaults to certain other agreements, breach of any financial covenant and change of control. Upon the occurrence and during the continuance of any event of default, JPM may accelerate the payment of the obligations thereunder and exercise various other customary default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Other Credit Arrangements</w:t>
      </w:r>
      <w:r>
        <w:rPr>
          <w:rFonts w:ascii="Times New Roman" w:hAnsi="Times New Roman"/>
          <w:caps w:val="false"/>
          <w:smallCaps w:val="false"/>
          <w:sz w:val="20"/>
        </w:rPr>
        <w:t>. On each of April 27, 2026 and May 28, 2026, NTIC's wholly owned subsidiary in China, NTIC China, renewed its loan agreement with China Construction Bank Corporation. Each term loan provides NTIC China with a RMB 10,000,000 (USD $1.40 million). The term loans mature in April 2027 and May 2027, respectively, and it is anticipated that each term loan will be extended for an additional one-year period at maturity, although there can be no assurance that it will be able to do so. Each term loan bears interest at the one-year Loan Prime Rate (LPR) minus 75 basis points, fixed at the LPR in effect on the business day prior to the loan's effective date and held constant for the 12-month term, resulting in an annual interest rate of 3.25% for each loan, with interest due monthly. Both term loans are secured by an office building owned by NTIC China and the loan agreements contain certain financial and other covenants. NTIC China was in compliance with all covenants under the loan agreements as of May 31, 2026. The outstanding balance as of May 31, 2026 for both term loans was a total of USD $2,955,083.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30, 2025, NTIC’s majority owned subsidiary in India, Natur-Tec India, entered into a Foreign Currency Term Loan Agreement with IDFC FIRST Bank Limited (the Bank). The term loan provides Natur-Tec India with a facility of INR 500 lakhs (USD $600,000) to finance the purchase of land in Chennai, India. The loan was disbursed on August 30, 2025 for INR 461 lakhs (USD $522,545) and is repayable in 85 monthly installments to a US dollar account of USD $7,899 each beginning October 5, 2025 and continuing through September 5, 2032. Borrowings bear interest at a fixed rate of 6.45% per annum. The loan is secured by a lien over Natur-Tec India’s cash deposits with the Bank totaling INR 476 lakhs (USD $539,731), and the related land purchase, which was registered in November 2025. The outstanding balance as of May 31, 2026 was INR 425.7 lakhs (USD $448,239), of which INR 56.0 lakhs (USD $59,003) was classified as current and INR 369.6 lakhs (USD $389,236) as long-term. The term loan contains customary affirmative and negative covenants applicable to Natur-Tec India, including, among other matters, restrictions on incurring additional indebtedness, creating liens, or changing the nature of its business. Natur-Tec India was in compliance with all covenants under the term loan agreement as of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Uses of Cash and Cash Flow</w:t>
      </w:r>
      <w:r>
        <w:rPr>
          <w:rFonts w:ascii="Times New Roman" w:hAnsi="Times New Roman"/>
          <w:caps w:val="false"/>
          <w:smallCaps w:val="false"/>
          <w:sz w:val="20"/>
        </w:rPr>
        <w:t>. Net cash used in operating activities during the nine months ended May 31, 2026 was $758,572, which resulted principally from equity in income from joint ventures and changes in assets and liabilities, partially offset by NTIC’s net income, dividends received from joint ventures, depreciation and amortization expense and stock-based compensation. Net cash provided by operating activities during the nine months ended May 31, 2025 was $3,808,450, which resulted principally from NTIC’s net income, trade receivables, dividends received from joint ventures, and stock-based compensation, and was partially offset by equity in income from joint ventures.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experienced an increase in trade receivables and an increase in inventory as of May 31, 2026, compared to August 31, 2025. Trade receivables increased by $241,305, primarily due to the timing of sales and collections, while inventory increased by $313,531, primarily due to the timing of purchases, production and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trade receivables decreased an average of 5 days to an average of 71 days from balances outstanding from these customers as of May 31, 2026 from an average of 76 days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receivables for services provided to joint ventures as of May 31, 2026 increased $15,108 compared to August 31, 2025, and the average days to pay increased an average of 24 days to an average of 97 days from an average of 73 days as of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 for the nine months ended May 31, 2026 was $1,240,226, which was primarily the result of purchases of property and equipment and investments in intangibles. Net cash used in investing activities for the nine months ended May 31, 2025 was $3,378,123, which was primarily the result of the investments in intangible assets and purchases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 for the nine months ended May 31, 2026 was $1,951,460, primarily due to borrowings under the line of credit and proceeds from NTIC’s employee stock purchase plan, partially offset by repayments on the line of credit, dividends paid to shareholders and dividends paid to non-controlling interests. Net cash provided by financing activities for the nine months ended May 31, 2025 was $1,459,221, which resulted from net payments under the line of credit and proceeds from NTIC’s employee stock purchase plan, and was partially offset by dividends paid to shareholders and dividends received by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Share Repurchase Plan</w:t>
      </w:r>
      <w:r>
        <w:rPr>
          <w:rFonts w:ascii="Times New Roman" w:hAnsi="Times New Roman"/>
          <w:caps w:val="false"/>
          <w:smallCaps w:val="false"/>
          <w:sz w:val="20"/>
        </w:rPr>
        <w:t>. 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 As of May 31, 2026, up to $2,640,548 in shares of NTIC common stock remained available for repurchase under NTIC’s stock repurchase program. No repurchases occurred during the nine months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Cash Dividends</w:t>
      </w:r>
      <w:r>
        <w:rPr>
          <w:rFonts w:ascii="Times New Roman" w:hAnsi="Times New Roman"/>
          <w:caps w:val="false"/>
          <w:smallCaps w:val="false"/>
          <w:sz w:val="20"/>
        </w:rPr>
        <w:t>. During the nine months ended May 31, 2026, NTIC’s Board of Directors declared cash dividends on the following dates in the following amounts to the following holders of NTIC’s common stock:</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1475"/>
        <w:gridCol w:w="60"/>
        <w:gridCol w:w="172"/>
        <w:gridCol w:w="523"/>
        <w:gridCol w:w="60"/>
        <w:gridCol w:w="1430"/>
        <w:gridCol w:w="60"/>
        <w:gridCol w:w="1640"/>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Declaration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6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 Date</w:t>
            </w:r>
          </w:p>
        </w:tc>
      </w:tr>
      <w:tr>
        <w:trPr/>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15,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29, 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12, 2025</w:t>
            </w:r>
          </w:p>
        </w:tc>
      </w:tr>
      <w:tr>
        <w:trPr/>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14,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28, 2026</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24, 2026, NTIC announced the suspension of its quarterly cash dividend on its common stock, beginning with its quarterly cash dividend for the third quarter of fiscal 2026, to focus on the reduction of its outstanding debt. Therefore, NTIC did not declare a cash dividend during the quarter ended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nine months ended May 31, 2025, NTIC’s Board of Directors declared cash dividends on the following dates in the following amounts to the following holders of NTIC’s common stock:</w:t>
      </w:r>
    </w:p>
    <w:p>
      <w:pPr>
        <w:pStyle w:val="TextBody"/>
        <w:bidi w:val="0"/>
        <w:spacing w:before="0" w:after="0"/>
        <w:ind w:left="0" w:right="0" w:hanging="0"/>
        <w:jc w:val="left"/>
        <w:rPr>
          <w:caps w:val="false"/>
          <w:smallCaps w:val="false"/>
        </w:rPr>
      </w:pPr>
      <w:r>
        <w:rPr>
          <w:caps w:val="false"/>
          <w:smallCaps w:val="false"/>
        </w:rPr>
        <w:t> </w:t>
      </w:r>
    </w:p>
    <w:tbl>
      <w:tblPr>
        <w:tblW w:w="5420" w:type="dxa"/>
        <w:jc w:val="left"/>
        <w:tblInd w:w="0" w:type="dxa"/>
        <w:tblLayout w:type="fixed"/>
        <w:tblCellMar>
          <w:top w:w="0" w:type="dxa"/>
          <w:left w:w="0" w:type="dxa"/>
          <w:bottom w:w="28" w:type="dxa"/>
          <w:right w:w="0" w:type="dxa"/>
        </w:tblCellMar>
      </w:tblPr>
      <w:tblGrid>
        <w:gridCol w:w="1475"/>
        <w:gridCol w:w="60"/>
        <w:gridCol w:w="172"/>
        <w:gridCol w:w="523"/>
        <w:gridCol w:w="60"/>
        <w:gridCol w:w="1430"/>
        <w:gridCol w:w="60"/>
        <w:gridCol w:w="1640"/>
      </w:tblGrid>
      <w:tr>
        <w:trPr/>
        <w:tc>
          <w:tcPr>
            <w:tcW w:w="14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Declaration Date</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3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Record Date</w:t>
            </w:r>
          </w:p>
        </w:tc>
        <w:tc>
          <w:tcPr>
            <w:tcW w:w="60" w:type="dxa"/>
            <w:tcBorders/>
            <w:tcMar>
              <w:bottom w:w="0" w:type="dxa"/>
            </w:tcMar>
            <w:vAlign w:val="center"/>
          </w:tcPr>
          <w:p>
            <w:pPr>
              <w:pStyle w:val="TableContents"/>
              <w:bidi w:val="0"/>
              <w:spacing w:before="0" w:after="283"/>
              <w:ind w:left="0" w:right="0" w:hanging="0"/>
              <w:jc w:val="center"/>
              <w:rPr/>
            </w:pPr>
            <w:r>
              <w:rPr/>
              <w:t> </w:t>
            </w:r>
          </w:p>
        </w:tc>
        <w:tc>
          <w:tcPr>
            <w:tcW w:w="16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Payable Date</w:t>
            </w:r>
          </w:p>
        </w:tc>
      </w:tr>
      <w:tr>
        <w:trPr/>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16, 2024</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October 30, 2024</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November 13, 2024</w:t>
            </w:r>
          </w:p>
        </w:tc>
      </w:tr>
      <w:tr>
        <w:trPr/>
        <w:tc>
          <w:tcPr>
            <w:tcW w:w="147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15, 2025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0.07</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January 29, 2025</w:t>
            </w:r>
          </w:p>
        </w:tc>
        <w:tc>
          <w:tcPr>
            <w:tcW w:w="60" w:type="dxa"/>
            <w:tcBorders/>
            <w:shd w:fill="FFFFFF" w:val="clear"/>
            <w:tcMar>
              <w:bottom w:w="0" w:type="dxa"/>
            </w:tcMar>
            <w:vAlign w:val="center"/>
          </w:tcPr>
          <w:p>
            <w:pPr>
              <w:pStyle w:val="TableContents"/>
              <w:bidi w:val="0"/>
              <w:spacing w:before="0" w:after="283"/>
              <w:ind w:left="0" w:right="0" w:hanging="0"/>
              <w:jc w:val="center"/>
              <w:rPr/>
            </w:pPr>
            <w:r>
              <w:rPr/>
              <w:t> </w:t>
            </w:r>
          </w:p>
        </w:tc>
        <w:tc>
          <w:tcPr>
            <w:tcW w:w="16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February 12, 2025</w:t>
            </w:r>
          </w:p>
        </w:tc>
      </w:tr>
      <w:tr>
        <w:trPr/>
        <w:tc>
          <w:tcPr>
            <w:tcW w:w="147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16,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0.01</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April 30, 2025</w:t>
            </w:r>
          </w:p>
        </w:tc>
        <w:tc>
          <w:tcPr>
            <w:tcW w:w="60" w:type="dxa"/>
            <w:tcBorders/>
            <w:shd w:fill="CCEEFF" w:val="clear"/>
            <w:tcMar>
              <w:bottom w:w="0" w:type="dxa"/>
            </w:tcMar>
            <w:vAlign w:val="center"/>
          </w:tcPr>
          <w:p>
            <w:pPr>
              <w:pStyle w:val="TableContents"/>
              <w:bidi w:val="0"/>
              <w:spacing w:before="0" w:after="283"/>
              <w:ind w:left="0" w:right="0" w:hanging="0"/>
              <w:jc w:val="center"/>
              <w:rPr/>
            </w:pPr>
            <w:r>
              <w:rPr/>
              <w:t> </w:t>
            </w:r>
          </w:p>
        </w:tc>
        <w:tc>
          <w:tcPr>
            <w:tcW w:w="16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May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declaration of future dividends is not guaranteed and will be determined by NTIC’s Board of Directors in light of conditions then existing, including NTIC’s earnings, financial condition, cash requirements, restrictions in financial agreements, business conditions, and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Capital Expenditures and Commitments</w:t>
      </w:r>
      <w:r>
        <w:rPr>
          <w:rFonts w:ascii="Times New Roman" w:hAnsi="Times New Roman"/>
          <w:caps w:val="false"/>
          <w:smallCaps w:val="false"/>
          <w:sz w:val="20"/>
        </w:rPr>
        <w:t>. NTIC spent $1,052,761 on capital expenditures during the nine months ended May 31, 2026, which related primarily to investments in land at a planned new facility for Natur-Tec India in Chennai, India. NTIC expects to spend an aggregate of approximately $600,000 to $900,000 on capital expenditures during the remainder of fiscal 2026, which it expects will relate primarily to construction of new buildings and warehouses in India and Brazil, as well as the purchase of new equipment and facility improvements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Inflation and Seasonality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inflation in the United States and abroad historically has had minimal effect on NTIC, it adversely affected NTIC’s gross margins during the three and nine months of fiscal 2026. NTIC believes there is some seasonality in its business. NTIC’s net sales in the second fiscal quarter are typically adversely affected by the long Chinese New Year, the North American holiday season and overall less corrosion taking place at lower winter temperatures worldwide.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exposed to some market risk stemming from changes in foreign currency exchange rates, commodity prices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raw materials used in NTIC’s products are exposed to commodity price changes. The primary commodity price exposures are with a variety of plastic and bioplastic resins.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outstanding advances under NTIC’s Credit Facility with JPM bear interest at a floating rate, at the option of NTIC, equal to either the CB Floating Rate or the Adjusted SOFR Rate, as defined above. In March 2026, NTIC elected to convert its outstanding borrowings under the Credit Facility from the CB Floating Rate to the Adjusted SOFR Rate. The weighted average interest rate was 6.20% and 6.65% for the nine months ended May 31, 2026 and 2025, respectively. Borrowings of $11,763,555 were outstanding under the Credit Facility as of May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Both term loans undertaken by NTIC China with China Construction Bank Corporation have an annual interest rate of 3.25% with interest due monthly. The current outstanding balance as of May 31, 2026 for both term loans is a total of USD $2,955,083.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Foreign Currency Term Loan taken out with IDFC FIRST Bank Limited bears interest at a fixed rate of 6.45% per annum. The outstanding balance as of May 31, 2026 was $448,239.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have been no material changes to NTIC’s critical accounting policies and estimates from the information provided in “</w:t>
      </w:r>
      <w:r>
        <w:rPr>
          <w:rFonts w:ascii="Times New Roman" w:hAnsi="Times New Roman"/>
          <w:i/>
          <w:caps w:val="false"/>
          <w:smallCaps w:val="false"/>
          <w:sz w:val="20"/>
        </w:rPr>
        <w:t>Part II. Item 7,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r>
        <w:rPr>
          <w:rFonts w:ascii="Times New Roman" w:hAnsi="Times New Roman"/>
          <w:i/>
          <w:caps w:val="false"/>
          <w:smallCaps w:val="false"/>
          <w:sz w:val="20"/>
        </w:rPr>
        <w:t>Critical Accounting Policies and Estimates</w:t>
      </w:r>
      <w:r>
        <w:rPr>
          <w:rFonts w:ascii="Times New Roman" w:hAnsi="Times New Roman"/>
          <w:caps w:val="false"/>
          <w:smallCaps w:val="false"/>
          <w:sz w:val="20"/>
        </w:rPr>
        <w:t>” included in NTIC’s annual report on Form 10-K for the fiscal year ended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3 to NTIC’s consolidated financial statements for a discussion of 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and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“outlook,”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the U.S.-Israel-Iran conflict and the closure of the Strait of Hormuz, which have had immediate and substantial effects on global trade, energy markets and financial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changes to trade regulation, quotas, duties, or tariffs, caused by the changing U.S. and geopolitical environments or otherwise;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current worldwide economic conditions, including in particular in the United States, Europe, India and China, and in the automotive industry, and the effect of inflation, recessionary indicators and any turmoil and disruption in the global credit, financial and banking markets or the perception of adverse conditions on NTIC’s business and the business of NTIC’s customers, suppliers, vendors and other third parties with whom NTIC conducts business;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slowdowns within the automotive industry and decreased exports of automotive products resulting from tariffs between the U.S. and both Mexico and Canada on NTIC’s business and the evolution of the automotive industry towards electric vehicles;</w:t>
            </w:r>
          </w:p>
        </w:tc>
      </w:tr>
    </w:tbl>
    <w:p>
      <w:pPr>
        <w:pStyle w:val="TextBody"/>
        <w:bidi w:val="0"/>
        <w:spacing w:before="0" w:after="0"/>
        <w:ind w:left="0" w:right="0" w:hanging="0"/>
        <w:jc w:val="left"/>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60"/>
        <w:gridCol w:w="170"/>
        <w:gridCol w:w="9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worldwide disruption in supply chains on NTIC’s business, operating results and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disruptions to distribution channels for NTIC’s products and disruptions to our customers, suppliers and subcontractors, as well as the global economy and financial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effects of the ongoing war between Russia and Ukraine, conflicts in the Middle East and sanctions against Russia by U.S. and European governments on energy prices, which have adversely affected our joint venture sales, and on commodity price fluctuations, which have decreased our margins and the margins of our joint ventures and resulted in decreased joint venture profitability, which will likely continue through the end of fiscal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Oil prices, which may affect sales of NTIC’s ZERUST® products and services to the oil and gas industry, and which may be impacted by the ongoing war between Russia and Ukraine and the conflicts in the Middle East;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operations in China and the risks associated therewith, including trade or other issues that may result from increasing tensions between the U.S. and China, including the implementation of higher tariffs;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Risks associated with NTIC’s international operations and exposure to fluctuations in foreign currency exchange rates, import duties, taxes, and tariffs;</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dependence on the success of its joint ventures and fees and dividend distributions that NTIC receives from them;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relationships with its joint ventures and its ability to maintain those relationships, especially in light of the importance of NTIC’s joint ventures to NTIC’s business, operating results and financial condition, as well as anticipated succession planning issues, and risks associated with possible future acquisitions of the remaining ownership interests of certain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the cost and availability of raw materials, including resins and other commodities, due to higher demand and freight costs, supply chain disruptions and the impact of government sanctions;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60"/>
        <w:gridCol w:w="170"/>
        <w:gridCol w:w="9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ability to introduce new products and services that respond to changing market conditions and customer demand;</w:t>
            </w:r>
          </w:p>
        </w:tc>
      </w:tr>
    </w:tbl>
    <w:p>
      <w:pPr>
        <w:pStyle w:val="TextBody"/>
        <w:bidi w:val="0"/>
        <w:spacing w:before="0" w:after="0"/>
        <w:ind w:left="0" w:right="0" w:hanging="0"/>
        <w:jc w:val="left"/>
        <w:rPr>
          <w:caps w:val="false"/>
          <w:smallCaps w:val="false"/>
        </w:rPr>
      </w:pPr>
      <w:r>
        <w:rPr>
          <w:caps w:val="false"/>
          <w:smallCaps w:val="false"/>
        </w:rPr>
        <w:t> </w:t>
      </w:r>
    </w:p>
    <w:tbl>
      <w:tblPr>
        <w:tblW w:w="9820" w:type="dxa"/>
        <w:jc w:val="left"/>
        <w:tblInd w:w="0" w:type="dxa"/>
        <w:tblLayout w:type="fixed"/>
        <w:tblCellMar>
          <w:top w:w="0" w:type="dxa"/>
          <w:left w:w="0" w:type="dxa"/>
          <w:bottom w:w="0" w:type="dxa"/>
          <w:right w:w="0" w:type="dxa"/>
        </w:tblCellMar>
      </w:tblPr>
      <w:tblGrid>
        <w:gridCol w:w="60"/>
        <w:gridCol w:w="170"/>
        <w:gridCol w:w="9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Market acceptance of NTIC’s existing and new products, especially in light of existing and new competitive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Maturation of certain existing markets for NTIC’s ZERUST® products and services and NTIC’s ability to grow market share and succeed in penetrating other existing and new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Increased competition, especially with respect to NTIC’s ZERUST® products and services, and the effect of such competition on NTIC’s and its joint ventures’ pricing, net sales, and margins;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enforcement or lack thereof of rules and regulations favorable to the market for biodegradable plastics and the Trump administration’s reversal of certain policies related to the market for biodegradable plastics;</w:t>
            </w:r>
          </w:p>
        </w:tc>
      </w:tr>
    </w:tbl>
    <w:p>
      <w:pPr>
        <w:pStyle w:val="TextBody"/>
        <w:bidi w:val="0"/>
        <w:spacing w:before="0" w:after="0"/>
        <w:ind w:left="0" w:right="0" w:hanging="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60"/>
        <w:gridCol w:w="170"/>
        <w:gridCol w:w="9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reliance upon and its relationships with its distributors, independent sales representatives, and joint ventures;</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reliance upon suppliers;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Zerust Brazil’s ability to perform and realize revenue and other benefits under its three-year offshore oil and gas production asset preservation contract with a global engineering, procurement, and construction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costs and effects of complying with laws and regulations and changes in tax, fiscal, government, and other regulatory policies, including rules relating to environmental, health, and safety matters;</w:t>
            </w:r>
          </w:p>
        </w:tc>
      </w:tr>
    </w:tbl>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170"/>
        <w:gridCol w:w="9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Unforeseen product quality or other problems in the development, production, and usage of new and existing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70"/>
        <w:gridCol w:w="77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Unforeseen production expenses incurred in connection with new customers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Rapid advancements in artificial intelligence (AI) technologies, which may disrupt our industry at an accelerated pace and adversely affect our competitive position, customer expectations, and operational performance if we fail to adapt or implement AI innovations effectively or if competitors leverage AI more effectively or quickly;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of or changes in executive management or key employees and the need to hire and train local support in a timely manner in order to support customer needs;</w:t>
            </w:r>
          </w:p>
        </w:tc>
      </w:tr>
    </w:tbl>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Ability of management to manage around unplanned events;</w:t>
            </w:r>
          </w:p>
        </w:tc>
      </w:tr>
    </w:tbl>
    <w:p>
      <w:pPr>
        <w:pStyle w:val="TextBody"/>
        <w:bidi w:val="0"/>
        <w:spacing w:before="0" w:after="0"/>
        <w:ind w:left="0" w:right="0" w:hanging="0"/>
        <w:jc w:val="left"/>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60"/>
        <w:gridCol w:w="170"/>
        <w:gridCol w:w="2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Pending and future litigation;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reliance on its intellectual property rights and the absence of infringement of the intellectual property rights of others;</w:t>
            </w:r>
          </w:p>
        </w:tc>
      </w:tr>
    </w:tbl>
    <w:p>
      <w:pPr>
        <w:pStyle w:val="TextBody"/>
        <w:bidi w:val="0"/>
        <w:spacing w:before="0" w:after="0"/>
        <w:ind w:left="0" w:right="0" w:hanging="0"/>
        <w:jc w:val="left"/>
        <w:rPr>
          <w:caps w:val="false"/>
          <w:smallCaps w:val="false"/>
        </w:rPr>
      </w:pPr>
      <w:r>
        <w:rPr>
          <w:caps w:val="false"/>
          <w:smallCaps w:val="false"/>
        </w:rPr>
        <w:t> </w:t>
      </w:r>
    </w:p>
    <w:tbl>
      <w:tblPr>
        <w:tblW w:w="9655" w:type="dxa"/>
        <w:jc w:val="left"/>
        <w:tblInd w:w="0" w:type="dxa"/>
        <w:tblLayout w:type="fixed"/>
        <w:tblCellMar>
          <w:top w:w="0" w:type="dxa"/>
          <w:left w:w="0" w:type="dxa"/>
          <w:bottom w:w="0" w:type="dxa"/>
          <w:right w:w="0" w:type="dxa"/>
        </w:tblCellMar>
      </w:tblPr>
      <w:tblGrid>
        <w:gridCol w:w="60"/>
        <w:gridCol w:w="170"/>
        <w:gridCol w:w="94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applicable laws or regulations and NTIC’s failure to comply with applicable laws, rules, and regulations;</w:t>
            </w:r>
          </w:p>
        </w:tc>
      </w:tr>
    </w:tbl>
    <w:p>
      <w:pPr>
        <w:pStyle w:val="TextBody"/>
        <w:bidi w:val="0"/>
        <w:spacing w:before="0" w:after="0"/>
        <w:ind w:left="0" w:right="0" w:hanging="0"/>
        <w:jc w:val="left"/>
        <w:rPr>
          <w:caps w:val="false"/>
          <w:smallCaps w:val="false"/>
        </w:rPr>
      </w:pPr>
      <w:r>
        <w:rPr>
          <w:caps w:val="false"/>
          <w:smallCaps w:val="false"/>
        </w:rPr>
        <w:t> </w:t>
      </w:r>
    </w:p>
    <w:tbl>
      <w:tblPr>
        <w:tblW w:w="8695" w:type="dxa"/>
        <w:jc w:val="left"/>
        <w:tblInd w:w="0" w:type="dxa"/>
        <w:tblLayout w:type="fixed"/>
        <w:tblCellMar>
          <w:top w:w="0" w:type="dxa"/>
          <w:left w:w="0" w:type="dxa"/>
          <w:bottom w:w="0" w:type="dxa"/>
          <w:right w:w="0" w:type="dxa"/>
        </w:tblCellMar>
      </w:tblPr>
      <w:tblGrid>
        <w:gridCol w:w="60"/>
        <w:gridCol w:w="170"/>
        <w:gridCol w:w="8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Changes in generally accepted accounting principles and the effect of new accounting pronouncements;</w:t>
            </w:r>
          </w:p>
        </w:tc>
      </w:tr>
    </w:tbl>
    <w:p>
      <w:pPr>
        <w:pStyle w:val="TextBody"/>
        <w:bidi w:val="0"/>
        <w:spacing w:before="0" w:after="0"/>
        <w:ind w:left="0" w:right="0" w:hanging="0"/>
        <w:jc w:val="left"/>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NTIC’s effective tax rate;</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 of extreme weather conditions on NTIC’s operating results;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NTIC’s reliance upon its management information systems and risks associated with its implementation of a new Enterprise Resource Planning system.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2025 under the heading “</w:t>
      </w:r>
      <w:r>
        <w:rPr>
          <w:rFonts w:ascii="Times New Roman" w:hAnsi="Times New Roman"/>
          <w:i/>
          <w:caps w:val="false"/>
          <w:smallCaps w:val="false"/>
          <w:sz w:val="20"/>
        </w:rPr>
        <w:t>Part I. Item 1A. Risk Factors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740"/>
        <w:gridCol w:w="6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6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bookmarkStart w:id="11" w:name="i3"/>
            <w:bookmarkEnd w:id="1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is exposed to some market risk stemming from changes in foreign currency exchange rates, tariffs, commodity prices and interest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tariff environment is complex and evolving. NTIC’s business incurred in the nine months ended May 31, 2026, and expects to continue to incur throughout fiscal 2026, additional costs as it relates to tariffs. NTIC has taken and will continue to take action to mitigate inflationary pressures caused by tariffs through a combination of targeted price increases, supplier diversification and other strategic sourcing adjustments, cost reductions, and manufacturing optimization. With respect to NTIC China, specifically, the majority of NTIC China’s production and sales are for local consumption; and therefore, NTIC believes NTIC China’s exposure to tariffs, included those imposed by the United States is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Some raw materials used in NTIC’s products are exposed to commodity price changes. The primary commodity price exposures are with a variety of plastic resins.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interest rate risk, borrowings under the Credit Agreement bear interest at a floating rate, at the option of NTIC, equal to either the CB Floating Rate or the Adjusted SOFR Rate. The term “CB Floating Rate” means the greater of the Prime Rate in the United States or 2.50%. The term “Adjusted SOFR Rate” means the term secured overnight financing rate for either one, three or six months (depending on the interest period selected by NTIC) plus 0.10% per annum. With respect to any borrowings using an Adjusted SOFR Rate, there is an applicable margin of 2.35% applied per annum. There is no applicable margin with respect to borrowings using a CB Floating Rate. In March 2026, NTIC elected to convert its outstanding borrowings under the Credit Facility from the CB Floating Rate to the Adjusted SOFR Rate. The weighted average interest rate was 6.20% for the nine months ended May 31, 2026. Borrowings of $11,763,555 were outstanding under the Credit Facility as of May 31, 2026. The two term loans undertaken by NTIC China with China Construction Bank Corporation have annual interest rates of 3.25%, with interest due monthly. The outstanding balance as of May 31, 2026 for both term loans is a total of USD $2,955,083. In addition, the foreign currency term loan entered into by Natur-Tec India with IDFC FIRST Bank Limited bears interest at a fixed rate of 6.45% per annum. The outstanding balance as of May 31, 2026 for this term loan is USD $448,239.</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85"/>
        <w:gridCol w:w="291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ITEM 4. </w:t>
            </w:r>
          </w:p>
        </w:tc>
        <w:tc>
          <w:tcPr>
            <w:tcW w:w="29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bookmarkStart w:id="12" w:name="i4"/>
            <w:bookmarkEnd w:id="1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60" w:right="0" w:hanging="116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was no change in NTIC’s internal control over financial reporting that occurred during the quarter ended May 31, 2026 that has materially affected or is reasonably likely to materially affect NTIC’s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w:t>
      </w:r>
      <w:r>
        <w:rPr>
          <w:rFonts w:ascii="Times New Roman" w:hAnsi="Times New Roman"/>
          <w:b/>
          <w:caps w:val="false"/>
          <w:smallCaps w:val="false"/>
          <w:sz w:val="20"/>
        </w:rPr>
        <w:t>OTHER INFORMATION</w:t>
      </w:r>
      <w:bookmarkStart w:id="13" w:name="pt2"/>
      <w:bookmarkEnd w:id="13"/>
    </w:p>
    <w:p>
      <w:pPr>
        <w:pStyle w:val="TextBody"/>
        <w:bidi w:val="0"/>
        <w:spacing w:before="0" w:after="0"/>
        <w:ind w:left="0" w:right="0" w:hanging="0"/>
        <w:jc w:val="left"/>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40"/>
        <w:gridCol w:w="21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bookmarkStart w:id="14" w:name="a2i1"/>
            <w:bookmarkEnd w:id="14"/>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See Note 13 to NTIC’s consolidated financial statements in </w:t>
      </w:r>
      <w:r>
        <w:rPr>
          <w:rFonts w:ascii="Times New Roman" w:hAnsi="Times New Roman"/>
          <w:i/>
          <w:caps w:val="false"/>
          <w:smallCaps w:val="false"/>
          <w:sz w:val="20"/>
        </w:rPr>
        <w:t>Part I. Item 1. Financial Statements</w:t>
      </w:r>
      <w:r>
        <w:rPr>
          <w:rFonts w:ascii="Times New Roman" w:hAnsi="Times New Roman"/>
          <w:caps w:val="false"/>
          <w:smallCaps w:val="false"/>
          <w:sz w:val="20"/>
        </w:rPr>
        <w:t xml:space="preserve"> of this report.</w:t>
      </w:r>
    </w:p>
    <w:p>
      <w:pPr>
        <w:pStyle w:val="TextBody"/>
        <w:bidi w:val="0"/>
        <w:spacing w:before="0" w:after="0"/>
        <w:ind w:left="0" w:right="0" w:hanging="0"/>
        <w:jc w:val="left"/>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875"/>
        <w:gridCol w:w="1445"/>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w:t>
            </w:r>
          </w:p>
        </w:tc>
        <w:tc>
          <w:tcPr>
            <w:tcW w:w="14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bookmarkStart w:id="15" w:name="a2i1a"/>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Although Item 1A. is inapplicable to NTIC as a smaller reporting company, NTIC hereby discloses the following updated risk factor: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Geopolitical instability in the Middle East and disruptions in global petrochemical and supply chain markets could adversely affect our business,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NTIC has operations, customers and business activities in the Middle East, including through our Zerust Integrity Solutions oil and gas efforts. Instability in the region could disrupt customer activity, delay projects, impair logistics, increase costs and adversely affect the ability of customers and business partners to satisfy their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addition, volatility in petrochemical markets and broader supply chain disruptions could increase raw material and freight costs, lengthen lead times, reduce product availability and adversely affect our sales, margins and profitability.</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740"/>
        <w:gridCol w:w="684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68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bookmarkStart w:id="16" w:name="a2i2"/>
            <w:bookmarkEnd w:id="1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May 31, 2026, NTIC did not issue any shares of its common stock or other equity securities of NTIC that were not registered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Issuer Purchases of Equity Securities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shows NTIC’s third quarter of fiscal 2026 stock repurchase activity.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344"/>
        <w:gridCol w:w="60"/>
        <w:gridCol w:w="348"/>
        <w:gridCol w:w="726"/>
        <w:gridCol w:w="60"/>
        <w:gridCol w:w="60"/>
        <w:gridCol w:w="711"/>
        <w:gridCol w:w="711"/>
        <w:gridCol w:w="60"/>
        <w:gridCol w:w="60"/>
        <w:gridCol w:w="922"/>
        <w:gridCol w:w="1930"/>
        <w:gridCol w:w="60"/>
        <w:gridCol w:w="60"/>
        <w:gridCol w:w="690"/>
        <w:gridCol w:w="2137"/>
        <w:gridCol w:w="266"/>
      </w:tblGrid>
      <w:tr>
        <w:trPr/>
        <w:tc>
          <w:tcPr>
            <w:tcW w:w="1344"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0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Number of Shares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 Units) Purchased</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42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Price Paid Per Share (or Unit)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852"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Number of Shares (or Units) Purchased As Part of Publicly Announced Plans or Programs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827"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Maximum Number of Shares (or Units) that May Yet Be Purchased Under the Plans or Programs</w:t>
            </w:r>
          </w:p>
        </w:tc>
        <w:tc>
          <w:tcPr>
            <w:tcW w:w="266" w:type="dxa"/>
            <w:tcBorders>
              <w:bottom w:val="single" w:sz="2" w:space="0" w:color="000000"/>
            </w:tcBorders>
            <w:vAlign w:val="center"/>
          </w:tcPr>
          <w:p>
            <w:pPr>
              <w:pStyle w:val="TableContents"/>
              <w:bidi w:val="0"/>
              <w:spacing w:before="0" w:after="283"/>
              <w:jc w:val="left"/>
              <w:rPr/>
            </w:pPr>
            <w:r>
              <w:rPr/>
              <w:t> </w:t>
            </w:r>
          </w:p>
        </w:tc>
      </w:tr>
      <w:tr>
        <w:trPr/>
        <w:tc>
          <w:tcPr>
            <w:tcW w:w="13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March 1, 2026 through March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 w:type="dxa"/>
            <w:tcBorders/>
            <w:shd w:fill="CCEEFF" w:val="clear"/>
            <w:tcMar>
              <w:bottom w:w="0" w:type="dxa"/>
            </w:tcMar>
            <w:vAlign w:val="center"/>
          </w:tcPr>
          <w:p>
            <w:pPr>
              <w:pStyle w:val="TableContents"/>
              <w:bidi w:val="0"/>
              <w:spacing w:before="0" w:after="283"/>
              <w:ind w:left="0" w:right="0" w:hanging="0"/>
              <w:jc w:val="left"/>
              <w:rPr/>
            </w:pPr>
            <w:r>
              <w:rPr/>
              <w:t> </w:t>
            </w:r>
          </w:p>
        </w:tc>
        <w:tc>
          <w:tcPr>
            <w:tcW w:w="19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April 1, 2026 through April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 w:type="dxa"/>
            <w:tcBorders/>
            <w:shd w:fill="FFFFFF" w:val="clear"/>
            <w:tcMar>
              <w:bottom w:w="0" w:type="dxa"/>
            </w:tcMar>
            <w:vAlign w:val="center"/>
          </w:tcPr>
          <w:p>
            <w:pPr>
              <w:pStyle w:val="TableContents"/>
              <w:bidi w:val="0"/>
              <w:spacing w:before="0" w:after="283"/>
              <w:ind w:left="0" w:right="0" w:hanging="0"/>
              <w:jc w:val="left"/>
              <w:rPr/>
            </w:pPr>
            <w:r>
              <w:rPr/>
              <w:t> </w:t>
            </w:r>
          </w:p>
        </w:tc>
        <w:tc>
          <w:tcPr>
            <w:tcW w:w="19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4"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May 1, 2026 through May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48" w:type="dxa"/>
            <w:tcBorders/>
            <w:shd w:fill="CCEEFF" w:val="clear"/>
            <w:tcMar>
              <w:bottom w:w="0" w:type="dxa"/>
            </w:tcMar>
            <w:vAlign w:val="center"/>
          </w:tcPr>
          <w:p>
            <w:pPr>
              <w:pStyle w:val="TableContents"/>
              <w:bidi w:val="0"/>
              <w:spacing w:before="0" w:after="283"/>
              <w:ind w:left="0" w:right="0" w:hanging="0"/>
              <w:jc w:val="left"/>
              <w:rPr/>
            </w:pPr>
            <w:r>
              <w:rPr/>
              <w:t> </w:t>
            </w:r>
          </w:p>
        </w:tc>
        <w:tc>
          <w:tcPr>
            <w:tcW w:w="72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71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2" w:type="dxa"/>
            <w:tcBorders/>
            <w:shd w:fill="CCEEFF" w:val="clear"/>
            <w:tcMar>
              <w:bottom w:w="0" w:type="dxa"/>
            </w:tcMar>
            <w:vAlign w:val="center"/>
          </w:tcPr>
          <w:p>
            <w:pPr>
              <w:pStyle w:val="TableContents"/>
              <w:bidi w:val="0"/>
              <w:spacing w:before="0" w:after="283"/>
              <w:ind w:left="0" w:right="0" w:hanging="0"/>
              <w:jc w:val="left"/>
              <w:rPr/>
            </w:pPr>
            <w:r>
              <w:rPr/>
              <w:t> </w:t>
            </w:r>
          </w:p>
        </w:tc>
        <w:tc>
          <w:tcPr>
            <w:tcW w:w="193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90" w:type="dxa"/>
            <w:tcBorders/>
            <w:shd w:fill="CCEEFF" w:val="clear"/>
            <w:tcMar>
              <w:bottom w:w="0" w:type="dxa"/>
            </w:tcMar>
            <w:vAlign w:val="center"/>
          </w:tcPr>
          <w:p>
            <w:pPr>
              <w:pStyle w:val="TableContents"/>
              <w:bidi w:val="0"/>
              <w:spacing w:before="0" w:after="283"/>
              <w:ind w:left="0" w:right="0" w:hanging="0"/>
              <w:jc w:val="left"/>
              <w:rPr/>
            </w:pPr>
            <w:r>
              <w:rPr/>
              <w:t> </w:t>
            </w:r>
          </w:p>
        </w:tc>
        <w:tc>
          <w:tcPr>
            <w:tcW w:w="21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66"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44"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48" w:type="dxa"/>
            <w:tcBorders/>
            <w:shd w:fill="FFFFFF" w:val="clear"/>
            <w:tcMar>
              <w:bottom w:w="0" w:type="dxa"/>
            </w:tcMar>
            <w:vAlign w:val="center"/>
          </w:tcPr>
          <w:p>
            <w:pPr>
              <w:pStyle w:val="TableContents"/>
              <w:bidi w:val="0"/>
              <w:spacing w:before="0" w:after="283"/>
              <w:ind w:left="0" w:right="0" w:hanging="0"/>
              <w:jc w:val="left"/>
              <w:rPr/>
            </w:pPr>
            <w:r>
              <w:rPr/>
              <w:t> </w:t>
            </w:r>
          </w:p>
        </w:tc>
        <w:tc>
          <w:tcPr>
            <w:tcW w:w="72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1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2" w:type="dxa"/>
            <w:tcBorders/>
            <w:shd w:fill="FFFFFF" w:val="clear"/>
            <w:tcMar>
              <w:bottom w:w="0" w:type="dxa"/>
            </w:tcMar>
            <w:vAlign w:val="center"/>
          </w:tcPr>
          <w:p>
            <w:pPr>
              <w:pStyle w:val="TableContents"/>
              <w:bidi w:val="0"/>
              <w:spacing w:before="0" w:after="283"/>
              <w:ind w:left="0" w:right="0" w:hanging="0"/>
              <w:jc w:val="left"/>
              <w:rPr/>
            </w:pPr>
            <w:r>
              <w:rPr/>
              <w:t> </w:t>
            </w:r>
          </w:p>
        </w:tc>
        <w:tc>
          <w:tcPr>
            <w:tcW w:w="193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90" w:type="dxa"/>
            <w:tcBorders/>
            <w:shd w:fill="FFFFFF" w:val="clear"/>
            <w:tcMar>
              <w:bottom w:w="0" w:type="dxa"/>
            </w:tcMar>
            <w:vAlign w:val="center"/>
          </w:tcPr>
          <w:p>
            <w:pPr>
              <w:pStyle w:val="TableContents"/>
              <w:bidi w:val="0"/>
              <w:spacing w:before="0" w:after="283"/>
              <w:ind w:left="0" w:right="0" w:hanging="0"/>
              <w:jc w:val="left"/>
              <w:rPr/>
            </w:pPr>
            <w:r>
              <w:rPr/>
              <w:t> </w:t>
            </w:r>
          </w:p>
        </w:tc>
        <w:tc>
          <w:tcPr>
            <w:tcW w:w="21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266"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_______________________</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(1)         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(2)         As of May 31, 2026, up to $2,640,548 in shares of NTIC common stock remained available for repurchase under NTIC’s stock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375" w:type="dxa"/>
        <w:jc w:val="left"/>
        <w:tblInd w:w="0" w:type="dxa"/>
        <w:tblLayout w:type="fixed"/>
        <w:tblCellMar>
          <w:top w:w="0" w:type="dxa"/>
          <w:left w:w="0" w:type="dxa"/>
          <w:bottom w:w="0" w:type="dxa"/>
          <w:right w:w="0" w:type="dxa"/>
        </w:tblCellMar>
      </w:tblPr>
      <w:tblGrid>
        <w:gridCol w:w="740"/>
        <w:gridCol w:w="363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36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bookmarkStart w:id="17" w:name="a2i3"/>
            <w:bookmarkEnd w:id="1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40"/>
        <w:gridCol w:w="275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7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bookmarkStart w:id="18" w:name="a2i4"/>
            <w:bookmarkEnd w:id="1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40"/>
        <w:gridCol w:w="219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bookmarkStart w:id="19" w:name="a2i5"/>
            <w:bookmarkEnd w:id="1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Rule 10b5-1 Plan and Non-Rule 10b5-1 Trading Arrangement Adoptions, Terminations, and Modifications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three months ended May 31, 2026, none of NTIC’s directors or “officers” (as defined in Rule 16a-1(f) under the Exchange Act) adopted or terminated a “Rule 10b5-1 trading arrangement” or “non-Rule 10b5-1 trading arrangement,” as each term is defined in Item 408 of SEC Regulation S-K.</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40"/>
        <w:gridCol w:w="965"/>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9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bookmarkStart w:id="20" w:name="a2i6"/>
            <w:bookmarkEnd w:id="20"/>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exhibits are being filed or furnished with this quarterly report on Form 10-Q:</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13"/>
        <w:gridCol w:w="60"/>
        <w:gridCol w:w="9432"/>
      </w:tblGrid>
      <w:tr>
        <w:trPr/>
        <w:tc>
          <w:tcPr>
            <w:tcW w:w="713"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432"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w:t>
            </w:r>
          </w:p>
        </w:tc>
      </w:tr>
      <w:tr>
        <w:trPr/>
        <w:tc>
          <w:tcPr>
            <w:tcW w:w="713" w:type="dxa"/>
            <w:tcBorders/>
            <w:tcMar>
              <w:bottom w:w="0" w:type="dxa"/>
            </w:tcMar>
            <w:vAlign w:val="center"/>
          </w:tcPr>
          <w:p>
            <w:pPr>
              <w:pStyle w:val="TableContents"/>
              <w:bidi w:val="0"/>
              <w:spacing w:before="0" w:after="0"/>
              <w:ind w:left="0" w:right="0" w:hanging="0"/>
              <w:jc w:val="center"/>
              <w:rPr/>
            </w:pPr>
            <w:hyperlink w:anchor="ex_982446.htm">
              <w:r>
                <w:rPr>
                  <w:rStyle w:val="InternetLink"/>
                  <w:rFonts w:ascii="Times New Roman" w:hAnsi="Times New Roman"/>
                  <w:caps w:val="false"/>
                  <w:smallCaps w:val="false"/>
                  <w:sz w:val="20"/>
                </w:rPr>
                <w:t>31.1</w:t>
              </w:r>
            </w:hyperlink>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0"/>
              <w:ind w:left="0" w:right="0" w:hanging="0"/>
              <w:jc w:val="left"/>
              <w:rPr/>
            </w:pPr>
            <w:hyperlink w:anchor="ex_982446.htm">
              <w:r>
                <w:rPr>
                  <w:rStyle w:val="InternetLink"/>
                  <w:rFonts w:ascii="Times New Roman" w:hAnsi="Times New Roman"/>
                  <w:caps w:val="false"/>
                  <w:smallCaps w:val="false"/>
                  <w:sz w:val="20"/>
                </w:rPr>
                <w:t>Certification of President and Chief Executive Officer pursuant to SEC Rule 13a-14(a), as adopted pursuant to Section 302 of the Sarbanes-Oxley Act of 2002 (filed herewith)</w:t>
              </w:r>
            </w:hyperlink>
          </w:p>
        </w:tc>
      </w:tr>
      <w:tr>
        <w:trPr/>
        <w:tc>
          <w:tcPr>
            <w:tcW w:w="7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283"/>
              <w:jc w:val="left"/>
              <w:rPr/>
            </w:pPr>
            <w:r>
              <w:rPr/>
              <w:t> </w:t>
            </w:r>
          </w:p>
        </w:tc>
      </w:tr>
      <w:tr>
        <w:trPr/>
        <w:tc>
          <w:tcPr>
            <w:tcW w:w="713" w:type="dxa"/>
            <w:tcBorders/>
            <w:tcMar>
              <w:bottom w:w="0" w:type="dxa"/>
            </w:tcMar>
            <w:vAlign w:val="center"/>
          </w:tcPr>
          <w:p>
            <w:pPr>
              <w:pStyle w:val="TableContents"/>
              <w:bidi w:val="0"/>
              <w:spacing w:before="0" w:after="0"/>
              <w:ind w:left="0" w:right="0" w:hanging="0"/>
              <w:jc w:val="center"/>
              <w:rPr/>
            </w:pPr>
            <w:hyperlink w:anchor="ex_982447.htm">
              <w:r>
                <w:rPr>
                  <w:rStyle w:val="InternetLink"/>
                  <w:rFonts w:ascii="Times New Roman" w:hAnsi="Times New Roman"/>
                  <w:caps w:val="false"/>
                  <w:smallCaps w:val="false"/>
                  <w:sz w:val="20"/>
                </w:rPr>
                <w:t>31.2</w:t>
              </w:r>
            </w:hyperlink>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0"/>
              <w:ind w:left="0" w:right="0" w:hanging="0"/>
              <w:jc w:val="left"/>
              <w:rPr/>
            </w:pPr>
            <w:hyperlink w:anchor="ex_982447.htm">
              <w:r>
                <w:rPr>
                  <w:rStyle w:val="InternetLink"/>
                  <w:rFonts w:ascii="Times New Roman" w:hAnsi="Times New Roman"/>
                  <w:caps w:val="false"/>
                  <w:smallCaps w:val="false"/>
                  <w:sz w:val="20"/>
                </w:rPr>
                <w:t>Certification of Chief Financial Officer pursuant to SEC Rule 13a-14(a), as adopted pursuant to Section 302 of the Sarbanes-Oxley Act of 2002 (filed herewith)</w:t>
              </w:r>
            </w:hyperlink>
          </w:p>
        </w:tc>
      </w:tr>
      <w:tr>
        <w:trPr/>
        <w:tc>
          <w:tcPr>
            <w:tcW w:w="7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283"/>
              <w:jc w:val="left"/>
              <w:rPr/>
            </w:pPr>
            <w:r>
              <w:rPr/>
              <w:t> </w:t>
            </w:r>
          </w:p>
        </w:tc>
      </w:tr>
      <w:tr>
        <w:trPr/>
        <w:tc>
          <w:tcPr>
            <w:tcW w:w="713" w:type="dxa"/>
            <w:tcBorders/>
            <w:tcMar>
              <w:bottom w:w="0" w:type="dxa"/>
            </w:tcMar>
            <w:vAlign w:val="center"/>
          </w:tcPr>
          <w:p>
            <w:pPr>
              <w:pStyle w:val="TableContents"/>
              <w:bidi w:val="0"/>
              <w:spacing w:before="0" w:after="0"/>
              <w:ind w:left="0" w:right="0" w:hanging="0"/>
              <w:jc w:val="center"/>
              <w:rPr/>
            </w:pPr>
            <w:hyperlink w:anchor="ex_982448.htm">
              <w:r>
                <w:rPr>
                  <w:rStyle w:val="InternetLink"/>
                  <w:rFonts w:ascii="Times New Roman" w:hAnsi="Times New Roman"/>
                  <w:caps w:val="false"/>
                  <w:smallCaps w:val="false"/>
                  <w:sz w:val="20"/>
                </w:rPr>
                <w:t>32.1</w:t>
              </w:r>
            </w:hyperlink>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0"/>
              <w:ind w:left="0" w:right="0" w:hanging="0"/>
              <w:jc w:val="left"/>
              <w:rPr/>
            </w:pPr>
            <w:hyperlink w:anchor="ex_982448.htm">
              <w:r>
                <w:rPr>
                  <w:rStyle w:val="InternetLink"/>
                  <w:rFonts w:ascii="Times New Roman" w:hAnsi="Times New Roman"/>
                  <w:caps w:val="false"/>
                  <w:smallCaps w:val="false"/>
                  <w:sz w:val="20"/>
                </w:rPr>
                <w:t>Certification of President and Chief Executive Officer pursuant to 18 U.S.C. Section 1350, as adopted pursuant to Section 906 of the Sarbanes-Oxley Act of 2002 (furnished herewith)</w:t>
              </w:r>
            </w:hyperlink>
          </w:p>
        </w:tc>
      </w:tr>
      <w:tr>
        <w:trPr/>
        <w:tc>
          <w:tcPr>
            <w:tcW w:w="7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283"/>
              <w:jc w:val="left"/>
              <w:rPr/>
            </w:pPr>
            <w:r>
              <w:rPr/>
              <w:t> </w:t>
            </w:r>
          </w:p>
        </w:tc>
      </w:tr>
      <w:tr>
        <w:trPr/>
        <w:tc>
          <w:tcPr>
            <w:tcW w:w="713" w:type="dxa"/>
            <w:tcBorders/>
            <w:tcMar>
              <w:bottom w:w="0" w:type="dxa"/>
            </w:tcMar>
            <w:vAlign w:val="center"/>
          </w:tcPr>
          <w:p>
            <w:pPr>
              <w:pStyle w:val="TableContents"/>
              <w:bidi w:val="0"/>
              <w:spacing w:before="0" w:after="0"/>
              <w:ind w:left="0" w:right="0" w:hanging="0"/>
              <w:jc w:val="center"/>
              <w:rPr/>
            </w:pPr>
            <w:hyperlink w:anchor="ex_982449.htm">
              <w:r>
                <w:rPr>
                  <w:rStyle w:val="InternetLink"/>
                  <w:rFonts w:ascii="Times New Roman" w:hAnsi="Times New Roman"/>
                  <w:caps w:val="false"/>
                  <w:smallCaps w:val="false"/>
                  <w:sz w:val="20"/>
                </w:rPr>
                <w:t>32.2</w:t>
              </w:r>
            </w:hyperlink>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0"/>
              <w:ind w:left="0" w:right="0" w:hanging="0"/>
              <w:jc w:val="left"/>
              <w:rPr/>
            </w:pPr>
            <w:hyperlink w:anchor="ex_982449.htm">
              <w:r>
                <w:rPr>
                  <w:rStyle w:val="InternetLink"/>
                  <w:rFonts w:ascii="Times New Roman" w:hAnsi="Times New Roman"/>
                  <w:caps w:val="false"/>
                  <w:smallCaps w:val="false"/>
                  <w:sz w:val="20"/>
                </w:rPr>
                <w:t>Certification of Chief Financial Officer pursuant to 18 U.S.C. Section 1350, as adopted pursuant to Section 906 of the Sarbanes-Oxley Act of 2002 (furnished herewith)</w:t>
              </w:r>
            </w:hyperlink>
          </w:p>
        </w:tc>
      </w:tr>
      <w:tr>
        <w:trPr/>
        <w:tc>
          <w:tcPr>
            <w:tcW w:w="7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283"/>
              <w:jc w:val="left"/>
              <w:rPr/>
            </w:pPr>
            <w:r>
              <w:rPr/>
              <w:t> </w:t>
            </w:r>
          </w:p>
        </w:tc>
      </w:tr>
      <w:tr>
        <w:trPr/>
        <w:tc>
          <w:tcPr>
            <w:tcW w:w="71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materials from NTIC’s Quarterly Report on Form 10-Q for the fiscal quarter ended May 31, 2026, formatted in Inline XBRL (Extensible Business Reporting Language): (i) the unaudited Consolidated Balance Sheets, (ii) the unaudited Consolidated Statements of Operations, (iii) the unaudited Consolidated Statements of Comprehensive Income, (iv) the unaudited Consolidated Statements of Equity, (v) the unaudited Consolidated Statements of Cash Flows, and (vi) Notes to Consolidated Financial Statements (filed herewith)</w:t>
            </w:r>
          </w:p>
        </w:tc>
      </w:tr>
      <w:tr>
        <w:trPr/>
        <w:tc>
          <w:tcPr>
            <w:tcW w:w="71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283"/>
              <w:jc w:val="left"/>
              <w:rPr/>
            </w:pPr>
            <w:r>
              <w:rPr/>
              <w:t> </w:t>
            </w:r>
          </w:p>
        </w:tc>
      </w:tr>
      <w:tr>
        <w:trPr/>
        <w:tc>
          <w:tcPr>
            <w:tcW w:w="713"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43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1" w:name="sig"/>
      <w:bookmarkEnd w:id="2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2"/>
        <w:gridCol w:w="8231"/>
        <w:gridCol w:w="212"/>
      </w:tblGrid>
      <w:tr>
        <w:trPr/>
        <w:tc>
          <w:tcPr>
            <w:tcW w:w="1762" w:type="dxa"/>
            <w:tcBorders/>
            <w:vAlign w:val="center"/>
          </w:tcPr>
          <w:p>
            <w:pPr>
              <w:pStyle w:val="TableContents"/>
              <w:bidi w:val="0"/>
              <w:spacing w:before="0" w:after="283"/>
              <w:jc w:val="left"/>
              <w:rPr/>
            </w:pPr>
            <w:r>
              <w:rPr/>
              <w:t> </w:t>
            </w:r>
          </w:p>
        </w:tc>
        <w:tc>
          <w:tcPr>
            <w:tcW w:w="8443" w:type="dxa"/>
            <w:gridSpan w:val="2"/>
            <w:tcBorders/>
            <w:vAlign w:val="center"/>
          </w:tcPr>
          <w:p>
            <w:pPr>
              <w:pStyle w:val="TableContents"/>
              <w:bidi w:val="0"/>
              <w:spacing w:before="0" w:after="283"/>
              <w:jc w:val="left"/>
              <w:rPr>
                <w:b/>
              </w:rPr>
            </w:pPr>
            <w:r>
              <w:rPr>
                <w:b/>
              </w:rPr>
              <w:t>NORTHERN TECHNOLOGIES INTERNATIONAL CORPORATION</w:t>
            </w:r>
          </w:p>
        </w:tc>
      </w:tr>
      <w:tr>
        <w:trPr/>
        <w:tc>
          <w:tcPr>
            <w:tcW w:w="1762" w:type="dxa"/>
            <w:tcBorders/>
            <w:vAlign w:val="center"/>
          </w:tcPr>
          <w:p>
            <w:pPr>
              <w:pStyle w:val="TableContents"/>
              <w:bidi w:val="0"/>
              <w:spacing w:before="0" w:after="283"/>
              <w:jc w:val="left"/>
              <w:rPr/>
            </w:pPr>
            <w:r>
              <w:rPr/>
              <w:t> </w:t>
            </w:r>
          </w:p>
        </w:tc>
        <w:tc>
          <w:tcPr>
            <w:tcW w:w="8443" w:type="dxa"/>
            <w:gridSpan w:val="2"/>
            <w:tcBorders/>
            <w:vAlign w:val="center"/>
          </w:tcPr>
          <w:p>
            <w:pPr>
              <w:pStyle w:val="TableContents"/>
              <w:bidi w:val="0"/>
              <w:spacing w:before="0" w:after="283"/>
              <w:jc w:val="left"/>
              <w:rPr/>
            </w:pPr>
            <w:r>
              <w:rPr/>
              <w:t> </w:t>
            </w:r>
          </w:p>
        </w:tc>
      </w:tr>
      <w:tr>
        <w:trPr/>
        <w:tc>
          <w:tcPr>
            <w:tcW w:w="1762" w:type="dxa"/>
            <w:tcBorders/>
            <w:vAlign w:val="center"/>
          </w:tcPr>
          <w:p>
            <w:pPr>
              <w:pStyle w:val="TableContents"/>
              <w:bidi w:val="0"/>
              <w:spacing w:before="0" w:after="283"/>
              <w:jc w:val="left"/>
              <w:rPr/>
            </w:pPr>
            <w:r>
              <w:rPr/>
              <w:t> </w:t>
            </w:r>
          </w:p>
        </w:tc>
        <w:tc>
          <w:tcPr>
            <w:tcW w:w="8231" w:type="dxa"/>
            <w:tcBorders>
              <w:bottom w:val="single" w:sz="2" w:space="0" w:color="000000"/>
            </w:tcBorders>
            <w:tcMar>
              <w:bottom w:w="28" w:type="dxa"/>
            </w:tcMar>
            <w:vAlign w:val="center"/>
          </w:tcPr>
          <w:p>
            <w:pPr>
              <w:pStyle w:val="TableContents"/>
              <w:bidi w:val="0"/>
              <w:spacing w:before="0" w:after="283"/>
              <w:jc w:val="left"/>
              <w:rPr/>
            </w:pPr>
            <w:r>
              <w:rPr/>
              <w:t>/s/ Matthew C. Wolsfeld</w:t>
            </w:r>
          </w:p>
        </w:tc>
        <w:tc>
          <w:tcPr>
            <w:tcW w:w="212" w:type="dxa"/>
            <w:tcBorders/>
            <w:vAlign w:val="center"/>
          </w:tcPr>
          <w:p>
            <w:pPr>
              <w:pStyle w:val="TableContents"/>
              <w:bidi w:val="0"/>
              <w:spacing w:before="0" w:after="283"/>
              <w:jc w:val="left"/>
              <w:rPr/>
            </w:pPr>
            <w:r>
              <w:rPr/>
              <w:t> </w:t>
            </w:r>
          </w:p>
        </w:tc>
      </w:tr>
      <w:tr>
        <w:trPr/>
        <w:tc>
          <w:tcPr>
            <w:tcW w:w="1762" w:type="dxa"/>
            <w:tcBorders/>
            <w:vAlign w:val="center"/>
          </w:tcPr>
          <w:p>
            <w:pPr>
              <w:pStyle w:val="TableContents"/>
              <w:bidi w:val="0"/>
              <w:spacing w:before="0" w:after="283"/>
              <w:jc w:val="left"/>
              <w:rPr/>
            </w:pPr>
            <w:r>
              <w:rPr/>
              <w:t>Date: July 9, 2026    </w:t>
            </w:r>
          </w:p>
        </w:tc>
        <w:tc>
          <w:tcPr>
            <w:tcW w:w="8443" w:type="dxa"/>
            <w:gridSpan w:val="2"/>
            <w:tcBorders/>
            <w:vAlign w:val="center"/>
          </w:tcPr>
          <w:p>
            <w:pPr>
              <w:pStyle w:val="TableContents"/>
              <w:bidi w:val="0"/>
              <w:spacing w:before="0" w:after="283"/>
              <w:jc w:val="left"/>
              <w:rPr/>
            </w:pPr>
            <w:r>
              <w:rPr/>
              <w:t>Matthew C. Wolsfeld, CPA</w:t>
            </w:r>
          </w:p>
        </w:tc>
      </w:tr>
      <w:tr>
        <w:trPr/>
        <w:tc>
          <w:tcPr>
            <w:tcW w:w="1762" w:type="dxa"/>
            <w:tcBorders/>
            <w:vAlign w:val="center"/>
          </w:tcPr>
          <w:p>
            <w:pPr>
              <w:pStyle w:val="TableContents"/>
              <w:bidi w:val="0"/>
              <w:spacing w:before="0" w:after="283"/>
              <w:jc w:val="left"/>
              <w:rPr/>
            </w:pPr>
            <w:r>
              <w:rPr/>
              <w:t> </w:t>
            </w:r>
          </w:p>
        </w:tc>
        <w:tc>
          <w:tcPr>
            <w:tcW w:w="8443" w:type="dxa"/>
            <w:gridSpan w:val="2"/>
            <w:tcBorders/>
            <w:vAlign w:val="center"/>
          </w:tcPr>
          <w:p>
            <w:pPr>
              <w:pStyle w:val="TableContents"/>
              <w:bidi w:val="0"/>
              <w:spacing w:before="0" w:after="283"/>
              <w:jc w:val="left"/>
              <w:rPr/>
            </w:pPr>
            <w:r>
              <w:rPr/>
              <w:t>Chief Financial Officer</w:t>
            </w:r>
          </w:p>
        </w:tc>
      </w:tr>
      <w:tr>
        <w:trPr/>
        <w:tc>
          <w:tcPr>
            <w:tcW w:w="1762" w:type="dxa"/>
            <w:tcBorders/>
            <w:vAlign w:val="center"/>
          </w:tcPr>
          <w:p>
            <w:pPr>
              <w:pStyle w:val="TableContents"/>
              <w:bidi w:val="0"/>
              <w:spacing w:before="0" w:after="283"/>
              <w:jc w:val="left"/>
              <w:rPr/>
            </w:pPr>
            <w:r>
              <w:rPr/>
              <w:t> </w:t>
            </w:r>
          </w:p>
        </w:tc>
        <w:tc>
          <w:tcPr>
            <w:tcW w:w="8443" w:type="dxa"/>
            <w:gridSpan w:val="2"/>
            <w:tcBorders/>
            <w:vAlign w:val="center"/>
          </w:tcPr>
          <w:p>
            <w:pPr>
              <w:pStyle w:val="TableContents"/>
              <w:bidi w:val="0"/>
              <w:spacing w:before="0" w:after="283"/>
              <w:jc w:val="left"/>
              <w:rPr/>
            </w:pPr>
            <w:r>
              <w:rPr/>
              <w:t>(Principal Financial and Accounting Officer and Duly Authorized to Sign on Behalf of the Registrant)</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2" w:name="ex_982446.htm"/>
      <w:bookmarkStart w:id="23" w:name="ksex_982446"/>
      <w:bookmarkEnd w:id="22"/>
      <w:bookmarkEnd w:id="23"/>
      <w:r>
        <w:rPr>
          <w:rFonts w:ascii="Times New Roman" w:hAnsi="Times New Roman"/>
          <w:b/>
          <w:caps w:val="false"/>
          <w:smallCaps w:val="false"/>
          <w:sz w:val="20"/>
        </w:rPr>
        <w:t>Exhibit 31.1</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302(a)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G. Patrick Lynch, certify that:</w:t>
      </w:r>
    </w:p>
    <w:p>
      <w:pPr>
        <w:pStyle w:val="TextBody"/>
        <w:bidi w:val="0"/>
        <w:spacing w:before="0" w:after="0"/>
        <w:ind w:left="16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170"/>
        <w:gridCol w:w="84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Northern Technologies International Corporation;</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160" w:right="0" w:hanging="0"/>
        <w:jc w:val="left"/>
        <w:rPr>
          <w:caps w:val="false"/>
          <w:smallCaps w:val="false"/>
        </w:rPr>
      </w:pPr>
      <w:r>
        <w:rPr>
          <w:caps w:val="false"/>
          <w:smallCaps w:val="false"/>
        </w:rPr>
        <w:t> </w:t>
      </w:r>
    </w:p>
    <w:tbl>
      <w:tblPr>
        <w:tblW w:w="5619" w:type="dxa"/>
        <w:jc w:val="left"/>
        <w:tblInd w:w="0" w:type="dxa"/>
        <w:tblLayout w:type="fixed"/>
        <w:tblCellMar>
          <w:top w:w="0" w:type="dxa"/>
          <w:left w:w="0" w:type="dxa"/>
          <w:bottom w:w="0" w:type="dxa"/>
          <w:right w:w="0" w:type="dxa"/>
        </w:tblCellMar>
      </w:tblPr>
      <w:tblGrid>
        <w:gridCol w:w="2000"/>
        <w:gridCol w:w="3510"/>
        <w:gridCol w:w="109"/>
      </w:tblGrid>
      <w:tr>
        <w:trPr/>
        <w:tc>
          <w:tcPr>
            <w:tcW w:w="2000" w:type="dxa"/>
            <w:tcBorders/>
            <w:vAlign w:val="center"/>
          </w:tcPr>
          <w:p>
            <w:pPr>
              <w:pStyle w:val="TableContents"/>
              <w:bidi w:val="0"/>
              <w:spacing w:before="0" w:after="283"/>
              <w:jc w:val="left"/>
              <w:rPr/>
            </w:pPr>
            <w:r>
              <w:rPr/>
              <w:t>Date:  July 9, 2026   </w:t>
            </w:r>
          </w:p>
        </w:tc>
        <w:tc>
          <w:tcPr>
            <w:tcW w:w="3510" w:type="dxa"/>
            <w:tcBorders>
              <w:bottom w:val="single" w:sz="2" w:space="0" w:color="000000"/>
            </w:tcBorders>
            <w:tcMar>
              <w:bottom w:w="28" w:type="dxa"/>
            </w:tcMar>
            <w:vAlign w:val="center"/>
          </w:tcPr>
          <w:p>
            <w:pPr>
              <w:pStyle w:val="TableContents"/>
              <w:bidi w:val="0"/>
              <w:spacing w:before="0" w:after="283"/>
              <w:jc w:val="left"/>
              <w:rPr/>
            </w:pPr>
            <w:r>
              <w:rPr/>
              <w:t>/s/ G. Patrick Lynch</w:t>
            </w:r>
          </w:p>
        </w:tc>
        <w:tc>
          <w:tcPr>
            <w:tcW w:w="109"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G. Patrick Lynch</w:t>
            </w:r>
          </w:p>
        </w:tc>
      </w:tr>
      <w:tr>
        <w:trPr/>
        <w:tc>
          <w:tcPr>
            <w:tcW w:w="2000"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President and Chief Executive Officer</w:t>
            </w:r>
          </w:p>
        </w:tc>
      </w:tr>
      <w:tr>
        <w:trPr/>
        <w:tc>
          <w:tcPr>
            <w:tcW w:w="2000" w:type="dxa"/>
            <w:tcBorders/>
            <w:vAlign w:val="center"/>
          </w:tcPr>
          <w:p>
            <w:pPr>
              <w:pStyle w:val="TableContents"/>
              <w:bidi w:val="0"/>
              <w:spacing w:before="0" w:after="283"/>
              <w:jc w:val="left"/>
              <w:rPr/>
            </w:pPr>
            <w:r>
              <w:rPr/>
              <w:t> </w:t>
            </w:r>
          </w:p>
        </w:tc>
        <w:tc>
          <w:tcPr>
            <w:tcW w:w="3619" w:type="dxa"/>
            <w:gridSpan w:val="2"/>
            <w:tcBorders/>
            <w:vAlign w:val="center"/>
          </w:tcPr>
          <w:p>
            <w:pPr>
              <w:pStyle w:val="TableContents"/>
              <w:bidi w:val="0"/>
              <w:spacing w:before="0" w:after="283"/>
              <w:jc w:val="left"/>
              <w:rPr/>
            </w:pPr>
            <w:r>
              <w:rPr/>
              <w:t>(principal executive officer)</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4" w:name="ex_982447.htm"/>
      <w:bookmarkStart w:id="25" w:name="ksex_982447"/>
      <w:bookmarkEnd w:id="24"/>
      <w:bookmarkEnd w:id="25"/>
      <w:r>
        <w:rPr>
          <w:rFonts w:ascii="Times New Roman" w:hAnsi="Times New Roman"/>
          <w:b/>
          <w:caps w:val="false"/>
          <w:smallCaps w:val="false"/>
          <w:sz w:val="20"/>
        </w:rPr>
        <w:t>Exhibit 31.2</w:t>
      </w:r>
      <w:r>
        <w:br w:type="page"/>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PURSUANT TO SECTION 302(a)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Matthew C. Wolsfeld, certify that:</w:t>
      </w:r>
    </w:p>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170"/>
        <w:gridCol w:w="843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4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Northern Technologies International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779" w:type="dxa"/>
        <w:jc w:val="left"/>
        <w:tblInd w:w="0" w:type="dxa"/>
        <w:tblLayout w:type="fixed"/>
        <w:tblCellMar>
          <w:top w:w="0" w:type="dxa"/>
          <w:left w:w="0" w:type="dxa"/>
          <w:bottom w:w="0" w:type="dxa"/>
          <w:right w:w="0" w:type="dxa"/>
        </w:tblCellMar>
      </w:tblPr>
      <w:tblGrid>
        <w:gridCol w:w="2240"/>
        <w:gridCol w:w="2476"/>
        <w:gridCol w:w="63"/>
      </w:tblGrid>
      <w:tr>
        <w:trPr/>
        <w:tc>
          <w:tcPr>
            <w:tcW w:w="2240" w:type="dxa"/>
            <w:tcBorders/>
            <w:vAlign w:val="center"/>
          </w:tcPr>
          <w:p>
            <w:pPr>
              <w:pStyle w:val="TableContents"/>
              <w:bidi w:val="0"/>
              <w:spacing w:before="0" w:after="283"/>
              <w:jc w:val="left"/>
              <w:rPr/>
            </w:pPr>
            <w:r>
              <w:rPr/>
              <w:t>Date: July 9, 2026        </w:t>
            </w:r>
          </w:p>
        </w:tc>
        <w:tc>
          <w:tcPr>
            <w:tcW w:w="2476" w:type="dxa"/>
            <w:tcBorders>
              <w:bottom w:val="single" w:sz="2" w:space="0" w:color="000000"/>
            </w:tcBorders>
            <w:tcMar>
              <w:bottom w:w="28" w:type="dxa"/>
            </w:tcMar>
            <w:vAlign w:val="center"/>
          </w:tcPr>
          <w:p>
            <w:pPr>
              <w:pStyle w:val="TableContents"/>
              <w:bidi w:val="0"/>
              <w:spacing w:before="0" w:after="283"/>
              <w:jc w:val="left"/>
              <w:rPr/>
            </w:pPr>
            <w:r>
              <w:rPr/>
              <w:t>/s/ Matthew C. Wolsfeld</w:t>
            </w:r>
          </w:p>
        </w:tc>
        <w:tc>
          <w:tcPr>
            <w:tcW w:w="63" w:type="dxa"/>
            <w:tcBorders/>
            <w:vAlign w:val="center"/>
          </w:tcPr>
          <w:p>
            <w:pPr>
              <w:pStyle w:val="TableContents"/>
              <w:bidi w:val="0"/>
              <w:spacing w:before="0" w:after="283"/>
              <w:jc w:val="left"/>
              <w:rPr/>
            </w:pPr>
            <w:r>
              <w:rPr/>
              <w:t> </w:t>
            </w:r>
          </w:p>
        </w:tc>
      </w:tr>
      <w:tr>
        <w:trPr/>
        <w:tc>
          <w:tcPr>
            <w:tcW w:w="224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Matthew C. Wolsfeld</w:t>
            </w:r>
          </w:p>
        </w:tc>
      </w:tr>
      <w:tr>
        <w:trPr/>
        <w:tc>
          <w:tcPr>
            <w:tcW w:w="224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Chief Financial Officer</w:t>
            </w:r>
          </w:p>
        </w:tc>
      </w:tr>
      <w:tr>
        <w:trPr/>
        <w:tc>
          <w:tcPr>
            <w:tcW w:w="2240" w:type="dxa"/>
            <w:tcBorders/>
            <w:vAlign w:val="center"/>
          </w:tcPr>
          <w:p>
            <w:pPr>
              <w:pStyle w:val="TableContents"/>
              <w:bidi w:val="0"/>
              <w:spacing w:before="0" w:after="283"/>
              <w:jc w:val="left"/>
              <w:rPr/>
            </w:pPr>
            <w:r>
              <w:rPr/>
              <w:t> </w:t>
            </w:r>
          </w:p>
        </w:tc>
        <w:tc>
          <w:tcPr>
            <w:tcW w:w="2539" w:type="dxa"/>
            <w:gridSpan w:val="2"/>
            <w:tcBorders/>
            <w:vAlign w:val="center"/>
          </w:tcPr>
          <w:p>
            <w:pPr>
              <w:pStyle w:val="TableContents"/>
              <w:bidi w:val="0"/>
              <w:spacing w:before="0" w:after="283"/>
              <w:jc w:val="left"/>
              <w:rPr/>
            </w:pPr>
            <w:r>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6" w:name="ex_982448.htm"/>
      <w:bookmarkStart w:id="27" w:name="ksex_982448"/>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PURSUANT TO 18 U.S.C. SECTION 1350, AS ADOPTED PURSUANT TO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Northern Technologies International Corporation (the “Company”) for the period ended May 31, 2026,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3605" w:type="dxa"/>
        <w:jc w:val="left"/>
        <w:tblInd w:w="0" w:type="dxa"/>
        <w:tblLayout w:type="fixed"/>
        <w:tblCellMar>
          <w:top w:w="0" w:type="dxa"/>
          <w:left w:w="0" w:type="dxa"/>
          <w:bottom w:w="28" w:type="dxa"/>
          <w:right w:w="0" w:type="dxa"/>
        </w:tblCellMar>
      </w:tblPr>
      <w:tblGrid>
        <w:gridCol w:w="3530"/>
        <w:gridCol w:w="75"/>
      </w:tblGrid>
      <w:tr>
        <w:trPr/>
        <w:tc>
          <w:tcPr>
            <w:tcW w:w="35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G. Patrick Lynch                                          </w:t>
            </w:r>
          </w:p>
        </w:tc>
        <w:tc>
          <w:tcPr>
            <w:tcW w:w="75" w:type="dxa"/>
            <w:tcBorders/>
            <w:tcMar>
              <w:bottom w:w="0" w:type="dxa"/>
            </w:tcMar>
            <w:vAlign w:val="center"/>
          </w:tcPr>
          <w:p>
            <w:pPr>
              <w:pStyle w:val="TableContents"/>
              <w:bidi w:val="0"/>
              <w:spacing w:before="0" w:after="283"/>
              <w:jc w:val="left"/>
              <w:rPr/>
            </w:pPr>
            <w:r>
              <w:rPr/>
              <w:t> </w:t>
            </w:r>
          </w:p>
        </w:tc>
      </w:tr>
      <w:tr>
        <w:trPr/>
        <w:tc>
          <w:tcPr>
            <w:tcW w:w="3605"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 Patrick. Lynch</w:t>
            </w:r>
          </w:p>
        </w:tc>
      </w:tr>
      <w:tr>
        <w:trPr/>
        <w:tc>
          <w:tcPr>
            <w:tcW w:w="3605"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3605"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Circle Pines,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9, 2026</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8" w:name="ex_982449.htm"/>
      <w:bookmarkStart w:id="29" w:name="ksex_982449"/>
      <w:bookmarkEnd w:id="28"/>
      <w:bookmarkEnd w:id="2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 PURSUANT TO 18 U.S.C. SECTION 1350, AS ADOPTED PURSUANT TO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SECTION 906 OF THE SARBANES-OXLEY ACT OF 2002</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Northern Technologies International Corporation (the “Company”) for the period ended May 31, 2026,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60"/>
        <w:gridCol w:w="245"/>
        <w:gridCol w:w="959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2239" w:type="dxa"/>
        <w:jc w:val="left"/>
        <w:tblInd w:w="0" w:type="dxa"/>
        <w:tblLayout w:type="fixed"/>
        <w:tblCellMar>
          <w:top w:w="0" w:type="dxa"/>
          <w:left w:w="0" w:type="dxa"/>
          <w:bottom w:w="28" w:type="dxa"/>
          <w:right w:w="0" w:type="dxa"/>
        </w:tblCellMar>
      </w:tblPr>
      <w:tblGrid>
        <w:gridCol w:w="2159"/>
        <w:gridCol w:w="80"/>
      </w:tblGrid>
      <w:tr>
        <w:trPr/>
        <w:tc>
          <w:tcPr>
            <w:tcW w:w="2159"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Matthew C. Wolsfeld</w:t>
            </w:r>
          </w:p>
        </w:tc>
        <w:tc>
          <w:tcPr>
            <w:tcW w:w="80" w:type="dxa"/>
            <w:tcBorders/>
            <w:tcMar>
              <w:bottom w:w="0" w:type="dxa"/>
            </w:tcMar>
            <w:vAlign w:val="center"/>
          </w:tcPr>
          <w:p>
            <w:pPr>
              <w:pStyle w:val="TableContents"/>
              <w:bidi w:val="0"/>
              <w:spacing w:before="0" w:after="283"/>
              <w:jc w:val="left"/>
              <w:rPr/>
            </w:pPr>
            <w:r>
              <w:rPr/>
              <w:t> </w:t>
            </w:r>
          </w:p>
        </w:tc>
      </w:tr>
      <w:tr>
        <w:trPr/>
        <w:tc>
          <w:tcPr>
            <w:tcW w:w="2239"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C. Wolsfeld</w:t>
            </w:r>
          </w:p>
        </w:tc>
      </w:tr>
      <w:tr>
        <w:trPr/>
        <w:tc>
          <w:tcPr>
            <w:tcW w:w="2239"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2239" w:type="dxa"/>
            <w:gridSpan w:val="2"/>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Circle Pines,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July 9,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21113</Words>
  <Characters>116769</Characters>
  <CharactersWithSpaces>140395</CharactersWithSpaces>
  <Paragraphs>7747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