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120" w:right="2320" w:hanging="4112"/>
        <w:spacing w:after="0" w:line="476" w:lineRule="auto"/>
        <w:tabs>
          <w:tab w:leader="none" w:pos="29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2017</w:t>
      </w:r>
    </w:p>
    <w:p>
      <w:pPr>
        <w:spacing w:after="0" w:line="3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8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4201 Woodland Road</w:t>
            </w:r>
          </w:p>
        </w:tc>
        <w:tc>
          <w:tcPr>
            <w:tcW w:w="3680" w:type="dxa"/>
            <w:vAlign w:val="bottom"/>
          </w:tcPr>
          <w:p>
            <w:pPr>
              <w:spacing w:after="0"/>
              <w:rPr>
                <w:sz w:val="24"/>
                <w:szCs w:val="24"/>
                <w:color w:val="auto"/>
              </w:rPr>
            </w:pPr>
          </w:p>
        </w:tc>
      </w:tr>
      <w:tr>
        <w:trPr>
          <w:trHeight w:val="216"/>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P.O. Box 69</w:t>
            </w:r>
          </w:p>
        </w:tc>
        <w:tc>
          <w:tcPr>
            <w:tcW w:w="3680" w:type="dxa"/>
            <w:vAlign w:val="bottom"/>
          </w:tcPr>
          <w:p>
            <w:pPr>
              <w:spacing w:after="0"/>
              <w:rPr>
                <w:sz w:val="18"/>
                <w:szCs w:val="18"/>
                <w:color w:val="auto"/>
              </w:rPr>
            </w:pPr>
          </w:p>
        </w:tc>
      </w:tr>
      <w:tr>
        <w:trPr>
          <w:trHeight w:val="220"/>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Circle Pines, Minnesota</w:t>
            </w:r>
          </w:p>
        </w:tc>
        <w:tc>
          <w:tcPr>
            <w:tcW w:w="3680" w:type="dxa"/>
            <w:vAlign w:val="bottom"/>
          </w:tcPr>
          <w:p>
            <w:pPr>
              <w:jc w:val="right"/>
              <w:ind w:right="1330"/>
              <w:spacing w:after="0"/>
              <w:rPr>
                <w:sz w:val="20"/>
                <w:szCs w:val="20"/>
                <w:color w:val="auto"/>
              </w:rPr>
            </w:pPr>
            <w:r>
              <w:rPr>
                <w:rFonts w:ascii="Arial" w:cs="Arial" w:eastAsia="Arial" w:hAnsi="Arial"/>
                <w:sz w:val="18"/>
                <w:szCs w:val="18"/>
                <w:b w:val="1"/>
                <w:bCs w:val="1"/>
                <w:color w:val="auto"/>
              </w:rPr>
              <w:t>55014</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4"/>
              </w:rPr>
              <w:t>(Zip Code)</w:t>
            </w:r>
          </w:p>
        </w:tc>
      </w:tr>
      <w:tr>
        <w:trPr>
          <w:trHeight w:val="418"/>
        </w:trPr>
        <w:tc>
          <w:tcPr>
            <w:tcW w:w="5820" w:type="dxa"/>
            <w:vAlign w:val="bottom"/>
          </w:tcPr>
          <w:p>
            <w:pPr>
              <w:jc w:val="center"/>
              <w:ind w:left="3650"/>
              <w:spacing w:after="0"/>
              <w:rPr>
                <w:sz w:val="20"/>
                <w:szCs w:val="20"/>
                <w:color w:val="auto"/>
              </w:rPr>
            </w:pPr>
            <w:r>
              <w:rPr>
                <w:rFonts w:ascii="Arial" w:cs="Arial" w:eastAsia="Arial" w:hAnsi="Arial"/>
                <w:sz w:val="18"/>
                <w:szCs w:val="18"/>
                <w:b w:val="1"/>
                <w:bCs w:val="1"/>
                <w:color w:val="auto"/>
                <w:w w:val="90"/>
              </w:rPr>
              <w:t>(763) 225-6600</w:t>
            </w:r>
          </w:p>
        </w:tc>
        <w:tc>
          <w:tcPr>
            <w:tcW w:w="3680" w:type="dxa"/>
            <w:vAlign w:val="bottom"/>
          </w:tcPr>
          <w:p>
            <w:pPr>
              <w:spacing w:after="0"/>
              <w:rPr>
                <w:sz w:val="24"/>
                <w:szCs w:val="24"/>
                <w:color w:val="auto"/>
              </w:rPr>
            </w:pPr>
          </w:p>
        </w:tc>
      </w:tr>
      <w:tr>
        <w:trPr>
          <w:trHeight w:val="230"/>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414"/>
        </w:trPr>
        <w:tc>
          <w:tcPr>
            <w:tcW w:w="5820" w:type="dxa"/>
            <w:vAlign w:val="bottom"/>
          </w:tcPr>
          <w:p>
            <w:pPr>
              <w:jc w:val="center"/>
              <w:ind w:right="1310"/>
              <w:spacing w:after="0"/>
              <w:rPr>
                <w:sz w:val="20"/>
                <w:szCs w:val="20"/>
                <w:color w:val="auto"/>
              </w:rPr>
            </w:pPr>
            <w:r>
              <w:rPr>
                <w:rFonts w:ascii="Arial" w:cs="Arial" w:eastAsia="Arial" w:hAnsi="Arial"/>
                <w:sz w:val="18"/>
                <w:szCs w:val="18"/>
                <w:color w:val="auto"/>
                <w:w w:val="90"/>
              </w:rPr>
              <w:t>Title of each class</w:t>
            </w:r>
          </w:p>
        </w:tc>
        <w:tc>
          <w:tcPr>
            <w:tcW w:w="3680" w:type="dxa"/>
            <w:vAlign w:val="bottom"/>
          </w:tcPr>
          <w:p>
            <w:pPr>
              <w:jc w:val="center"/>
              <w:ind w:left="4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8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Common Stock, par value $0.02 per share</w:t>
            </w:r>
          </w:p>
        </w:tc>
        <w:tc>
          <w:tcPr>
            <w:tcW w:w="368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820" w:type="dxa"/>
            <w:vAlign w:val="bottom"/>
          </w:tcPr>
          <w:p>
            <w:pPr>
              <w:spacing w:after="0"/>
              <w:rPr>
                <w:sz w:val="20"/>
                <w:szCs w:val="20"/>
                <w:color w:val="auto"/>
              </w:rPr>
            </w:pPr>
          </w:p>
        </w:tc>
        <w:tc>
          <w:tcPr>
            <w:tcW w:w="368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(Nasdaq Global Market)</w:t>
            </w:r>
          </w:p>
        </w:tc>
      </w:tr>
    </w:tbl>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7" w:lineRule="exact"/>
        <w:rPr>
          <w:sz w:val="24"/>
          <w:szCs w:val="24"/>
          <w:color w:val="auto"/>
        </w:rPr>
      </w:pPr>
    </w:p>
    <w:p>
      <w:pPr>
        <w:ind w:left="320" w:right="1300" w:firstLine="4"/>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740" w:firstLine="30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1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300" w:type="dxa"/>
        <w:tblCellMar>
          <w:top w:w="0" w:type="dxa"/>
          <w:left w:w="0" w:type="dxa"/>
          <w:bottom w:w="0" w:type="dxa"/>
          <w:right w:w="0" w:type="dxa"/>
        </w:tblCellMar>
      </w:tblPr>
      <w:tr>
        <w:trPr>
          <w:trHeight w:val="249"/>
        </w:trPr>
        <w:tc>
          <w:tcPr>
            <w:tcW w:w="2380" w:type="dxa"/>
            <w:vAlign w:val="bottom"/>
          </w:tcPr>
          <w:p>
            <w:pPr>
              <w:jc w:val="center"/>
              <w:ind w:right="15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19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980" w:type="dxa"/>
            <w:vAlign w:val="bottom"/>
          </w:tcPr>
          <w:p>
            <w:pPr>
              <w:jc w:val="center"/>
              <w:ind w:right="1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2540" w:type="dxa"/>
            <w:vAlign w:val="bottom"/>
          </w:tcPr>
          <w:p>
            <w:pPr>
              <w:ind w:left="3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30"/>
        </w:trPr>
        <w:tc>
          <w:tcPr>
            <w:tcW w:w="2380" w:type="dxa"/>
            <w:vAlign w:val="bottom"/>
            <w:vMerge w:val="restart"/>
          </w:tcPr>
          <w:p>
            <w:pPr>
              <w:jc w:val="center"/>
              <w:ind w:right="13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1900" w:type="dxa"/>
            <w:vAlign w:val="bottom"/>
          </w:tcPr>
          <w:p>
            <w:pPr>
              <w:spacing w:after="0"/>
              <w:rPr>
                <w:sz w:val="20"/>
                <w:szCs w:val="20"/>
                <w:color w:val="auto"/>
              </w:rPr>
            </w:pPr>
          </w:p>
        </w:tc>
        <w:tc>
          <w:tcPr>
            <w:tcW w:w="3980" w:type="dxa"/>
            <w:vAlign w:val="bottom"/>
          </w:tcPr>
          <w:p>
            <w:pPr>
              <w:jc w:val="center"/>
              <w:ind w:right="30"/>
              <w:spacing w:after="0"/>
              <w:rPr>
                <w:sz w:val="20"/>
                <w:szCs w:val="20"/>
                <w:color w:val="auto"/>
              </w:rPr>
            </w:pPr>
            <w:r>
              <w:rPr>
                <w:rFonts w:ascii="Arial" w:cs="Arial" w:eastAsia="Arial" w:hAnsi="Arial"/>
                <w:sz w:val="18"/>
                <w:szCs w:val="18"/>
                <w:color w:val="auto"/>
                <w:w w:val="91"/>
              </w:rPr>
              <w:t>(Do not check if a smaller reporting company)</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8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firstLine="3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2017 (the last business day of the registrant’s second fiscal quarter) as reported by the Nasdaq Global Market on that date was $58.6 million.</w:t>
      </w:r>
    </w:p>
    <w:p>
      <w:pPr>
        <w:sectPr>
          <w:pgSz w:w="11900" w:h="16838" w:orient="portrait"/>
          <w:cols w:equalWidth="0" w:num="1">
            <w:col w:w="11420"/>
          </w:cols>
          <w:pgMar w:left="240" w:top="490" w:right="239" w:bottom="0" w:gutter="0" w:footer="0" w:header="0"/>
        </w:sectPr>
      </w:pPr>
    </w:p>
    <w:bookmarkStart w:id="1" w:name="page2"/>
    <w:bookmarkEnd w:id="1"/>
    <w:p>
      <w:pPr>
        <w:ind w:left="320"/>
        <w:spacing w:after="0"/>
        <w:rPr>
          <w:sz w:val="20"/>
          <w:szCs w:val="20"/>
          <w:color w:val="auto"/>
        </w:rPr>
      </w:pPr>
      <w:r>
        <w:rPr>
          <w:rFonts w:ascii="Arial" w:cs="Arial" w:eastAsia="Arial" w:hAnsi="Arial"/>
          <w:sz w:val="18"/>
          <w:szCs w:val="18"/>
          <w:color w:val="auto"/>
        </w:rPr>
        <w:t>As of November 20, 2017, 4,537,408 shares of common stock of the registrant were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12"/>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2018 Annual Meeting of Stockholders to be held January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YEAR ENDED AUGUST 31, 2017</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4"/>
          </w:tcPr>
          <w:p>
            <w:pPr>
              <w:ind w:left="1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gridSpan w:val="2"/>
          </w:tcPr>
          <w:p>
            <w:pPr>
              <w:jc w:val="center"/>
              <w:ind w:left="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00" w:type="dxa"/>
            <w:vAlign w:val="bottom"/>
            <w:gridSpan w:val="2"/>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420" w:type="dxa"/>
            <w:vAlign w:val="bottom"/>
            <w:gridSpan w:val="17"/>
          </w:tcPr>
          <w:p>
            <w:pPr>
              <w:spacing w:after="0"/>
              <w:rPr>
                <w:sz w:val="24"/>
                <w:szCs w:val="24"/>
                <w:color w:val="auto"/>
              </w:rPr>
            </w:pPr>
          </w:p>
        </w:tc>
        <w:tc>
          <w:tcPr>
            <w:tcW w:w="400" w:type="dxa"/>
            <w:vAlign w:val="bottom"/>
            <w:gridSpan w:val="3"/>
          </w:tcPr>
          <w:p>
            <w:pPr>
              <w:jc w:val="center"/>
              <w:ind w:left="2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Item 1A.</w:t>
              </w:r>
            </w:hyperlink>
          </w:p>
        </w:tc>
        <w:tc>
          <w:tcPr>
            <w:tcW w:w="420" w:type="dxa"/>
            <w:vAlign w:val="bottom"/>
          </w:tcPr>
          <w:p>
            <w:pPr>
              <w:spacing w:after="0"/>
              <w:rPr>
                <w:sz w:val="24"/>
                <w:szCs w:val="24"/>
                <w:color w:val="auto"/>
              </w:rPr>
            </w:pPr>
          </w:p>
        </w:tc>
        <w:tc>
          <w:tcPr>
            <w:tcW w:w="1260" w:type="dxa"/>
            <w:vAlign w:val="bottom"/>
            <w:gridSpan w:val="3"/>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8020" w:type="dxa"/>
            <w:vAlign w:val="bottom"/>
            <w:gridSpan w:val="15"/>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4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PROPERTIES</w:t>
              </w:r>
            </w:hyperlink>
          </w:p>
        </w:tc>
        <w:tc>
          <w:tcPr>
            <w:tcW w:w="1760" w:type="dxa"/>
            <w:vAlign w:val="bottom"/>
            <w:gridSpan w:val="6"/>
          </w:tcPr>
          <w:p>
            <w:pPr>
              <w:spacing w:after="0"/>
              <w:rPr>
                <w:sz w:val="24"/>
                <w:szCs w:val="24"/>
                <w:color w:val="auto"/>
              </w:rPr>
            </w:pPr>
          </w:p>
        </w:tc>
        <w:tc>
          <w:tcPr>
            <w:tcW w:w="6460" w:type="dxa"/>
            <w:vAlign w:val="bottom"/>
            <w:gridSpan w:val="10"/>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500" w:type="dxa"/>
            <w:vAlign w:val="bottom"/>
            <w:gridSpan w:val="2"/>
          </w:tcPr>
          <w:p>
            <w:pPr>
              <w:spacing w:after="0"/>
              <w:rPr>
                <w:sz w:val="24"/>
                <w:szCs w:val="24"/>
                <w:color w:val="auto"/>
              </w:rPr>
            </w:pPr>
          </w:p>
        </w:tc>
        <w:tc>
          <w:tcPr>
            <w:tcW w:w="928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500" w:type="dxa"/>
            <w:vAlign w:val="bottom"/>
            <w:gridSpan w:val="2"/>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MINE SAFETY DISCLOSURES</w:t>
              </w:r>
            </w:hyperlink>
          </w:p>
        </w:tc>
        <w:tc>
          <w:tcPr>
            <w:tcW w:w="6840" w:type="dxa"/>
            <w:vAlign w:val="bottom"/>
            <w:gridSpan w:val="12"/>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4A.</w:t>
              </w:r>
            </w:hyperlink>
          </w:p>
        </w:tc>
        <w:tc>
          <w:tcPr>
            <w:tcW w:w="420" w:type="dxa"/>
            <w:vAlign w:val="bottom"/>
          </w:tcPr>
          <w:p>
            <w:pPr>
              <w:spacing w:after="0"/>
              <w:rPr>
                <w:sz w:val="24"/>
                <w:szCs w:val="24"/>
                <w:color w:val="auto"/>
              </w:rPr>
            </w:pPr>
          </w:p>
        </w:tc>
        <w:tc>
          <w:tcPr>
            <w:tcW w:w="3740" w:type="dxa"/>
            <w:vAlign w:val="bottom"/>
            <w:gridSpan w:val="10"/>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EXECUTIVE OFFICERS OF THE REGISTRANT</w:t>
              </w:r>
            </w:hyperlink>
          </w:p>
        </w:tc>
        <w:tc>
          <w:tcPr>
            <w:tcW w:w="5540" w:type="dxa"/>
            <w:vAlign w:val="bottom"/>
            <w:gridSpan w:val="8"/>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80" w:type="dxa"/>
            <w:vAlign w:val="bottom"/>
            <w:gridSpan w:val="18"/>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w:t>
              </w:r>
            </w:hyperlink>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20" w:type="dxa"/>
            <w:vAlign w:val="bottom"/>
            <w:gridSpan w:val="5"/>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9280" w:type="dxa"/>
            <w:vAlign w:val="bottom"/>
            <w:gridSpan w:val="18"/>
            <w:vMerge w:val="continue"/>
          </w:tcPr>
          <w:p>
            <w:pPr>
              <w:spacing w:after="0"/>
              <w:rPr>
                <w:sz w:val="24"/>
                <w:szCs w:val="24"/>
                <w:color w:val="auto"/>
              </w:rPr>
            </w:pPr>
          </w:p>
        </w:tc>
        <w:tc>
          <w:tcPr>
            <w:tcW w:w="400" w:type="dxa"/>
            <w:vAlign w:val="bottom"/>
            <w:gridSpan w:val="3"/>
            <w:vMerge w:val="restart"/>
          </w:tcPr>
          <w:p>
            <w:pPr>
              <w:jc w:val="center"/>
              <w:ind w:left="1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8260" w:type="dxa"/>
            <w:vAlign w:val="bottom"/>
            <w:tcBorders>
              <w:top w:val="single" w:sz="8" w:color="0000EE"/>
            </w:tcBorders>
            <w:gridSpan w:val="15"/>
            <w:vMerge w:val="restart"/>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PURCHASES OF EQUITY SECURITIES</w:t>
              </w:r>
            </w:hyperlink>
          </w:p>
        </w:tc>
        <w:tc>
          <w:tcPr>
            <w:tcW w:w="1020" w:type="dxa"/>
            <w:vAlign w:val="bottom"/>
            <w:gridSpan w:val="3"/>
            <w:vMerge w:val="restart"/>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60" w:type="dxa"/>
            <w:vAlign w:val="bottom"/>
            <w:tcBorders>
              <w:top w:val="single" w:sz="8" w:color="0000EE"/>
            </w:tcBorders>
            <w:gridSpan w:val="15"/>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500" w:type="dxa"/>
            <w:vAlign w:val="bottom"/>
            <w:gridSpan w:val="2"/>
          </w:tcPr>
          <w:p>
            <w:pPr>
              <w:spacing w:after="0"/>
              <w:rPr>
                <w:sz w:val="24"/>
                <w:szCs w:val="24"/>
                <w:color w:val="auto"/>
              </w:rPr>
            </w:pPr>
          </w:p>
        </w:tc>
        <w:tc>
          <w:tcPr>
            <w:tcW w:w="2440" w:type="dxa"/>
            <w:vAlign w:val="bottom"/>
            <w:tcBorders>
              <w:top w:val="single" w:sz="8" w:color="0000EE"/>
            </w:tcBorders>
            <w:gridSpan w:val="6"/>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3"/>
          </w:tcPr>
          <w:p>
            <w:pPr>
              <w:spacing w:after="0"/>
              <w:rPr>
                <w:sz w:val="24"/>
                <w:szCs w:val="24"/>
                <w:color w:val="auto"/>
              </w:rPr>
            </w:pPr>
          </w:p>
        </w:tc>
        <w:tc>
          <w:tcPr>
            <w:tcW w:w="6180" w:type="dxa"/>
            <w:vAlign w:val="bottom"/>
            <w:gridSpan w:val="9"/>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7.</w:t>
              </w:r>
            </w:hyperlink>
          </w:p>
        </w:tc>
        <w:tc>
          <w:tcPr>
            <w:tcW w:w="500" w:type="dxa"/>
            <w:vAlign w:val="bottom"/>
            <w:gridSpan w:val="2"/>
          </w:tcPr>
          <w:p>
            <w:pPr>
              <w:spacing w:after="0"/>
              <w:rPr>
                <w:sz w:val="24"/>
                <w:szCs w:val="24"/>
                <w:color w:val="auto"/>
              </w:rPr>
            </w:pPr>
          </w:p>
        </w:tc>
        <w:tc>
          <w:tcPr>
            <w:tcW w:w="928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59">
              <w:r>
                <w:rPr>
                  <w:rFonts w:ascii="Arial" w:cs="Arial" w:eastAsia="Arial" w:hAnsi="Arial"/>
                  <w:sz w:val="18"/>
                  <w:szCs w:val="18"/>
                  <w:color w:val="0000EE"/>
                  <w:w w:val="83"/>
                </w:rPr>
                <w:t>Item 7A.</w:t>
              </w:r>
            </w:hyperlink>
          </w:p>
        </w:tc>
        <w:tc>
          <w:tcPr>
            <w:tcW w:w="4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8.</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3140" w:type="dxa"/>
            <w:vAlign w:val="bottom"/>
            <w:gridSpan w:val="5"/>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Item 9.</w:t>
              </w:r>
            </w:hyperlink>
          </w:p>
        </w:tc>
        <w:tc>
          <w:tcPr>
            <w:tcW w:w="500" w:type="dxa"/>
            <w:vAlign w:val="bottom"/>
            <w:gridSpan w:val="2"/>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CHANGES IN AND DISAGREEMENTS WITH ACCOUNTANTS ON ACCOUNTING AND FINANCIAL DISCLOSURE</w:t>
              </w:r>
            </w:hyperlink>
          </w:p>
        </w:tc>
        <w:tc>
          <w:tcPr>
            <w:tcW w:w="180" w:type="dxa"/>
            <w:vAlign w:val="bottom"/>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87">
              <w:r>
                <w:rPr>
                  <w:rFonts w:ascii="Arial" w:cs="Arial" w:eastAsia="Arial" w:hAnsi="Arial"/>
                  <w:sz w:val="18"/>
                  <w:szCs w:val="18"/>
                  <w:color w:val="0000EE"/>
                  <w:w w:val="83"/>
                </w:rPr>
                <w:t>Item 9A.</w:t>
              </w:r>
            </w:hyperlink>
          </w:p>
        </w:tc>
        <w:tc>
          <w:tcPr>
            <w:tcW w:w="4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87">
              <w:r>
                <w:rPr>
                  <w:rFonts w:ascii="Arial" w:cs="Arial" w:eastAsia="Arial" w:hAnsi="Arial"/>
                  <w:sz w:val="18"/>
                  <w:szCs w:val="18"/>
                  <w:color w:val="0000EE"/>
                  <w:w w:val="83"/>
                </w:rPr>
                <w:t>Item 9B.</w:t>
              </w:r>
            </w:hyperlink>
          </w:p>
        </w:tc>
        <w:tc>
          <w:tcPr>
            <w:tcW w:w="420" w:type="dxa"/>
            <w:vAlign w:val="bottom"/>
          </w:tcPr>
          <w:p>
            <w:pPr>
              <w:spacing w:after="0"/>
              <w:rPr>
                <w:sz w:val="24"/>
                <w:szCs w:val="24"/>
                <w:color w:val="auto"/>
              </w:rPr>
            </w:pPr>
          </w:p>
        </w:tc>
        <w:tc>
          <w:tcPr>
            <w:tcW w:w="1880" w:type="dxa"/>
            <w:vAlign w:val="bottom"/>
            <w:gridSpan w:val="4"/>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OTHER INFORMATION</w:t>
              </w:r>
            </w:hyperlink>
          </w:p>
        </w:tc>
        <w:tc>
          <w:tcPr>
            <w:tcW w:w="720" w:type="dxa"/>
            <w:vAlign w:val="bottom"/>
            <w:gridSpan w:val="3"/>
          </w:tcPr>
          <w:p>
            <w:pPr>
              <w:spacing w:after="0"/>
              <w:rPr>
                <w:sz w:val="24"/>
                <w:szCs w:val="24"/>
                <w:color w:val="auto"/>
              </w:rPr>
            </w:pPr>
          </w:p>
        </w:tc>
        <w:tc>
          <w:tcPr>
            <w:tcW w:w="6680" w:type="dxa"/>
            <w:vAlign w:val="bottom"/>
            <w:gridSpan w:val="11"/>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jc w:val="center"/>
              <w:ind w:left="13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20" w:type="dxa"/>
            <w:vAlign w:val="bottom"/>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10.</w:t>
              </w:r>
            </w:hyperlink>
          </w:p>
        </w:tc>
        <w:tc>
          <w:tcPr>
            <w:tcW w:w="928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60" w:type="dxa"/>
            <w:vAlign w:val="bottom"/>
            <w:tcBorders>
              <w:left w:val="single" w:sz="8" w:color="0000EE"/>
            </w:tcBorders>
            <w:gridSpan w:val="6"/>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20" w:type="dxa"/>
            <w:vAlign w:val="bottom"/>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11.</w:t>
              </w:r>
            </w:hyperlink>
          </w:p>
        </w:tc>
        <w:tc>
          <w:tcPr>
            <w:tcW w:w="928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400" w:type="dxa"/>
            <w:vAlign w:val="bottom"/>
            <w:gridSpan w:val="3"/>
          </w:tcPr>
          <w:p>
            <w:pPr>
              <w:jc w:val="center"/>
              <w:ind w:left="13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580" w:type="dxa"/>
            <w:vAlign w:val="bottom"/>
            <w:tcBorders>
              <w:left w:val="single" w:sz="8" w:color="0000EE"/>
            </w:tcBorders>
            <w:gridSpan w:val="8"/>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20" w:type="dxa"/>
            <w:vAlign w:val="bottom"/>
            <w:gridSpan w:val="5"/>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12.</w:t>
              </w:r>
            </w:hyperlink>
          </w:p>
        </w:tc>
        <w:tc>
          <w:tcPr>
            <w:tcW w:w="802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SECURITY OWNERSHIP OF CERTAIN BENEFICIAL OWNERS AND MANAGEMENT AND RELATED</w:t>
              </w:r>
            </w:hyperlink>
          </w:p>
        </w:tc>
        <w:tc>
          <w:tcPr>
            <w:tcW w:w="1260" w:type="dxa"/>
            <w:vAlign w:val="bottom"/>
            <w:gridSpan w:val="4"/>
          </w:tcPr>
          <w:p>
            <w:pPr>
              <w:spacing w:after="0"/>
              <w:rPr>
                <w:sz w:val="24"/>
                <w:szCs w:val="24"/>
                <w:color w:val="auto"/>
              </w:rPr>
            </w:pPr>
          </w:p>
        </w:tc>
        <w:tc>
          <w:tcPr>
            <w:tcW w:w="400" w:type="dxa"/>
            <w:vAlign w:val="bottom"/>
            <w:gridSpan w:val="3"/>
            <w:vMerge w:val="restart"/>
          </w:tcPr>
          <w:p>
            <w:pPr>
              <w:jc w:val="center"/>
              <w:ind w:left="13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9280" w:type="dxa"/>
            <w:vAlign w:val="bottom"/>
            <w:gridSpan w:val="18"/>
            <w:vMerge w:val="restart"/>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STOCKHOLDER MATTERS</w:t>
              </w:r>
            </w:hyperlink>
          </w:p>
        </w:tc>
        <w:tc>
          <w:tcPr>
            <w:tcW w:w="4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20" w:type="dxa"/>
            <w:vAlign w:val="bottom"/>
          </w:tcPr>
          <w:p>
            <w:pPr>
              <w:spacing w:after="0"/>
              <w:rPr>
                <w:sz w:val="7"/>
                <w:szCs w:val="7"/>
                <w:color w:val="auto"/>
              </w:rPr>
            </w:pPr>
          </w:p>
        </w:tc>
        <w:tc>
          <w:tcPr>
            <w:tcW w:w="9280" w:type="dxa"/>
            <w:vAlign w:val="bottom"/>
            <w:gridSpan w:val="18"/>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36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Item 13.</w:t>
              </w:r>
            </w:hyperlink>
          </w:p>
        </w:tc>
        <w:tc>
          <w:tcPr>
            <w:tcW w:w="420" w:type="dxa"/>
            <w:vAlign w:val="bottom"/>
            <w:gridSpan w:val="2"/>
          </w:tcPr>
          <w:p>
            <w:pPr>
              <w:spacing w:after="0"/>
              <w:rPr>
                <w:sz w:val="24"/>
                <w:szCs w:val="24"/>
                <w:color w:val="auto"/>
              </w:rPr>
            </w:pPr>
          </w:p>
        </w:tc>
        <w:tc>
          <w:tcPr>
            <w:tcW w:w="8580" w:type="dxa"/>
            <w:vAlign w:val="bottom"/>
            <w:gridSpan w:val="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880" w:type="dxa"/>
            <w:vAlign w:val="bottom"/>
          </w:tcPr>
          <w:p>
            <w:pPr>
              <w:spacing w:after="0"/>
              <w:rPr>
                <w:sz w:val="24"/>
                <w:szCs w:val="24"/>
                <w:color w:val="auto"/>
              </w:rPr>
            </w:pPr>
          </w:p>
        </w:tc>
        <w:tc>
          <w:tcPr>
            <w:tcW w:w="280" w:type="dxa"/>
            <w:vAlign w:val="bottom"/>
            <w:tcBorders>
              <w:top w:val="single" w:sz="8" w:color="auto"/>
            </w:tcBorders>
            <w:gridSpan w:val="2"/>
          </w:tcPr>
          <w:p>
            <w:pPr>
              <w:jc w:val="center"/>
              <w:ind w:left="1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86</w:t>
              </w:r>
            </w:hyperlink>
          </w:p>
        </w:tc>
        <w:tc>
          <w:tcPr>
            <w:tcW w:w="8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Item 14.</w:t>
              </w:r>
            </w:hyperlink>
          </w:p>
        </w:tc>
        <w:tc>
          <w:tcPr>
            <w:tcW w:w="420" w:type="dxa"/>
            <w:vAlign w:val="bottom"/>
            <w:gridSpan w:val="2"/>
          </w:tcPr>
          <w:p>
            <w:pPr>
              <w:spacing w:after="0"/>
              <w:rPr>
                <w:sz w:val="24"/>
                <w:szCs w:val="24"/>
                <w:color w:val="auto"/>
              </w:rPr>
            </w:pPr>
          </w:p>
        </w:tc>
        <w:tc>
          <w:tcPr>
            <w:tcW w:w="7700" w:type="dxa"/>
            <w:vAlign w:val="bottom"/>
            <w:gridSpan w:val="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880" w:type="dxa"/>
            <w:vAlign w:val="bottom"/>
          </w:tcPr>
          <w:p>
            <w:pPr>
              <w:spacing w:after="0"/>
              <w:rPr>
                <w:sz w:val="24"/>
                <w:szCs w:val="24"/>
                <w:color w:val="auto"/>
              </w:rPr>
            </w:pPr>
          </w:p>
        </w:tc>
        <w:tc>
          <w:tcPr>
            <w:tcW w:w="1160" w:type="dxa"/>
            <w:vAlign w:val="bottom"/>
            <w:gridSpan w:val="3"/>
          </w:tcPr>
          <w:p>
            <w:pPr>
              <w:jc w:val="center"/>
              <w:ind w:left="89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86</w:t>
              </w:r>
            </w:hyperlink>
          </w:p>
        </w:tc>
        <w:tc>
          <w:tcPr>
            <w:tcW w:w="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PART IV</w:t>
              </w:r>
            </w:hyperlink>
          </w:p>
        </w:tc>
        <w:tc>
          <w:tcPr>
            <w:tcW w:w="700" w:type="dxa"/>
            <w:vAlign w:val="bottom"/>
            <w:gridSpan w:val="3"/>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jc w:val="center"/>
              <w:ind w:left="89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8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15.</w:t>
              </w:r>
            </w:hyperlink>
          </w:p>
        </w:tc>
        <w:tc>
          <w:tcPr>
            <w:tcW w:w="420" w:type="dxa"/>
            <w:vAlign w:val="bottom"/>
            <w:gridSpan w:val="2"/>
          </w:tcPr>
          <w:p>
            <w:pPr>
              <w:spacing w:after="0"/>
              <w:rPr>
                <w:sz w:val="24"/>
                <w:szCs w:val="24"/>
                <w:color w:val="auto"/>
              </w:rPr>
            </w:pPr>
          </w:p>
        </w:tc>
        <w:tc>
          <w:tcPr>
            <w:tcW w:w="4060" w:type="dxa"/>
            <w:vAlign w:val="bottom"/>
            <w:gridSpan w:val="2"/>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EXHIBITS, FINANCIAL STATEMENT SCHEDULES</w:t>
              </w:r>
            </w:hyperlink>
          </w:p>
        </w:tc>
        <w:tc>
          <w:tcPr>
            <w:tcW w:w="4520" w:type="dxa"/>
            <w:vAlign w:val="bottom"/>
            <w:gridSpan w:val="2"/>
          </w:tcPr>
          <w:p>
            <w:pPr>
              <w:spacing w:after="0"/>
              <w:rPr>
                <w:sz w:val="24"/>
                <w:szCs w:val="24"/>
                <w:color w:val="auto"/>
              </w:rPr>
            </w:pPr>
          </w:p>
        </w:tc>
        <w:tc>
          <w:tcPr>
            <w:tcW w:w="1160" w:type="dxa"/>
            <w:vAlign w:val="bottom"/>
            <w:gridSpan w:val="3"/>
          </w:tcPr>
          <w:p>
            <w:pPr>
              <w:jc w:val="center"/>
              <w:ind w:left="89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jc w:val="center"/>
              <w:ind w:left="89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80" w:type="dxa"/>
            <w:vAlign w:val="bottom"/>
          </w:tcPr>
          <w:p>
            <w:pPr>
              <w:spacing w:after="0"/>
              <w:rPr>
                <w:sz w:val="24"/>
                <w:szCs w:val="24"/>
                <w:color w:val="auto"/>
              </w:rPr>
            </w:pPr>
          </w:p>
        </w:tc>
      </w:tr>
      <w:tr>
        <w:trPr>
          <w:trHeight w:val="453"/>
        </w:trPr>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3"/>
          </w:tcPr>
          <w:p>
            <w:pPr>
              <w:jc w:val="right"/>
              <w:ind w:right="2460"/>
              <w:spacing w:after="0"/>
              <w:rPr>
                <w:sz w:val="20"/>
                <w:szCs w:val="20"/>
                <w:color w:val="auto"/>
              </w:rPr>
            </w:pPr>
            <w:r>
              <w:rPr>
                <w:rFonts w:ascii="Arial" w:cs="Arial" w:eastAsia="Arial" w:hAnsi="Arial"/>
                <w:sz w:val="18"/>
                <w:szCs w:val="18"/>
                <w:color w:val="auto"/>
              </w:rPr>
              <w:t>____________________</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-1671320</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-1534160</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75"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more recently,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42" w:lineRule="exact"/>
        <w:rPr>
          <w:sz w:val="20"/>
          <w:szCs w:val="20"/>
          <w:color w:val="auto"/>
        </w:rPr>
      </w:pPr>
    </w:p>
    <w:p>
      <w:pPr>
        <w:ind w:right="60"/>
        <w:spacing w:after="0" w:line="214" w:lineRule="auto"/>
        <w:rPr>
          <w:sz w:val="20"/>
          <w:szCs w:val="20"/>
          <w:color w:val="auto"/>
        </w:rPr>
      </w:pPr>
      <w:r>
        <w:rPr>
          <w:rFonts w:ascii="Arial" w:cs="Arial" w:eastAsia="Arial" w:hAnsi="Arial"/>
          <w:sz w:val="17"/>
          <w:szCs w:val="17"/>
          <w:color w:val="auto"/>
        </w:rPr>
        <w:t>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183" w:lineRule="exact"/>
        <w:rPr>
          <w:sz w:val="20"/>
          <w:szCs w:val="20"/>
          <w:color w:val="auto"/>
        </w:rPr>
      </w:pPr>
    </w:p>
    <w:p>
      <w:pPr>
        <w:ind w:right="100"/>
        <w:spacing w:after="0" w:line="209" w:lineRule="auto"/>
        <w:rPr>
          <w:sz w:val="20"/>
          <w:szCs w:val="20"/>
          <w:color w:val="auto"/>
        </w:rPr>
      </w:pPr>
      <w:r>
        <w:rPr>
          <w:rFonts w:ascii="Arial" w:cs="Arial" w:eastAsia="Arial" w:hAnsi="Arial"/>
          <w:sz w:val="17"/>
          <w:szCs w:val="17"/>
          <w:color w:val="auto"/>
        </w:rPr>
        <w:t>One of NTIC’s strategic initiatives is to expand into other markets for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technologies. Consequently, for the past several years, NTIC has focused significant sales and marketing efforts on the oil and gas industry, as that industry’s infrastructure consists primarily of metals that are highly susceptible to corrosion. NTIC believes that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will minimize maintenance downtime on critical oil and gas industry infrastructure, extend its service life, and reduce the risk of environmental pollution caused to corrosion-related leaks.</w:t>
      </w:r>
    </w:p>
    <w:p>
      <w:pPr>
        <w:spacing w:after="0" w:line="179" w:lineRule="exact"/>
        <w:rPr>
          <w:sz w:val="20"/>
          <w:szCs w:val="20"/>
          <w:color w:val="auto"/>
        </w:rPr>
      </w:pPr>
    </w:p>
    <w:p>
      <w:pPr>
        <w:spacing w:after="0" w:line="196"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in several countries either directly, through its subsidiaries, or indirectly, through its joint venture partners and third parties.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very long sales cycle, often including multi-year trial periods with each customer, and then followed by a slow integration process thereafter.</w:t>
      </w:r>
    </w:p>
    <w:p>
      <w:pPr>
        <w:spacing w:after="0" w:line="179" w:lineRule="exact"/>
        <w:rPr>
          <w:sz w:val="20"/>
          <w:szCs w:val="20"/>
          <w:color w:val="auto"/>
        </w:rPr>
      </w:pPr>
    </w:p>
    <w:p>
      <w:pPr>
        <w:ind w:right="40"/>
        <w:spacing w:after="0" w:line="210" w:lineRule="auto"/>
        <w:rPr>
          <w:sz w:val="20"/>
          <w:szCs w:val="20"/>
          <w:color w:val="auto"/>
        </w:rPr>
      </w:pPr>
      <w:r>
        <w:rPr>
          <w:rFonts w:ascii="Arial" w:cs="Arial" w:eastAsia="Arial" w:hAnsi="Arial"/>
          <w:sz w:val="17"/>
          <w:szCs w:val="17"/>
          <w:color w:val="auto"/>
        </w:rPr>
        <w:t>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biobased and compostable plastics are manufactured using NTIC’s patented and/or proprietary technologies and are intended to replace conventional plastics.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pet waste collection bags, cutlery and coated paper products. In North America, NTIC markets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products. Internationally, NTIC sells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NTIC’s Subsidiaries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November 15, 2017, the country in which the subsidiary is organized and NTIC’s ownership percentage in each subsidiary: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8580" w:type="dxa"/>
            <w:vAlign w:val="bottom"/>
            <w:gridSpan w:val="2"/>
          </w:tcPr>
          <w:p>
            <w:pPr>
              <w:ind w:left="3580"/>
              <w:spacing w:after="0"/>
              <w:rPr>
                <w:sz w:val="20"/>
                <w:szCs w:val="20"/>
                <w:color w:val="auto"/>
              </w:rPr>
            </w:pPr>
            <w:r>
              <w:rPr>
                <w:rFonts w:ascii="Arial" w:cs="Arial" w:eastAsia="Arial" w:hAnsi="Arial"/>
                <w:sz w:val="18"/>
                <w:szCs w:val="18"/>
                <w:b w:val="1"/>
                <w:bCs w:val="1"/>
                <w:color w:val="auto"/>
              </w:rPr>
              <w:t>Subsidiary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Mexico</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India</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Germany</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these subsidiaries are fully consolidated in NTIC’s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participates in a total of 20 active joint venture arrangements located across North America, Europe and Asia. Each of these joint ventures generally manufactures and markets products for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15, 2017,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580" w:type="dxa"/>
            <w:vAlign w:val="bottom"/>
            <w:gridSpan w:val="2"/>
          </w:tcPr>
          <w:p>
            <w:pPr>
              <w:ind w:left="3460"/>
              <w:spacing w:after="0"/>
              <w:rPr>
                <w:sz w:val="20"/>
                <w:szCs w:val="20"/>
                <w:color w:val="auto"/>
              </w:rPr>
            </w:pPr>
            <w:r>
              <w:rPr>
                <w:rFonts w:ascii="Arial" w:cs="Arial" w:eastAsia="Arial" w:hAnsi="Arial"/>
                <w:sz w:val="18"/>
                <w:szCs w:val="18"/>
                <w:b w:val="1"/>
                <w:bCs w:val="1"/>
                <w:color w:val="auto"/>
              </w:rPr>
              <w:t>Joint Venture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France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148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99"/>
              </w:rPr>
              <w:t xml:space="preserve">Taiwan </w:t>
            </w:r>
            <w:r>
              <w:rPr>
                <w:rFonts w:ascii="Arial" w:cs="Arial" w:eastAsia="Arial" w:hAnsi="Arial"/>
                <w:sz w:val="25"/>
                <w:szCs w:val="25"/>
                <w:color w:val="auto"/>
                <w:w w:val="99"/>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EXCOR KORROSIONSSCHUTZ – TECHNOLOGIEN UND PRODUKTE GMBH</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Germany</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148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98"/>
              </w:rPr>
              <w:t xml:space="preserve">Singapore </w:t>
            </w:r>
            <w:r>
              <w:rPr>
                <w:rFonts w:ascii="Arial" w:cs="Arial" w:eastAsia="Arial" w:hAnsi="Arial"/>
                <w:sz w:val="25"/>
                <w:szCs w:val="25"/>
                <w:color w:val="auto"/>
                <w:w w:val="98"/>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Sweden</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Russia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148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8"/>
              </w:rPr>
              <w:t xml:space="preserve">South Korea </w:t>
            </w:r>
            <w:r>
              <w:rPr>
                <w:rFonts w:ascii="Arial" w:cs="Arial" w:eastAsia="Arial" w:hAnsi="Arial"/>
                <w:sz w:val="25"/>
                <w:szCs w:val="25"/>
                <w:color w:val="auto"/>
                <w:w w:val="98"/>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OY</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Finland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HARITA-NTI LTD</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India</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02"/>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United</w:t>
            </w:r>
          </w:p>
        </w:tc>
        <w:tc>
          <w:tcPr>
            <w:tcW w:w="1360" w:type="dxa"/>
            <w:vAlign w:val="bottom"/>
            <w:shd w:val="clear" w:color="auto" w:fill="CCEEFF"/>
          </w:tcPr>
          <w:p>
            <w:pPr>
              <w:spacing w:after="0"/>
              <w:rPr>
                <w:sz w:val="17"/>
                <w:szCs w:val="17"/>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(U.K.) LTD.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Kingdom</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EXCOR-ZERUST S.R.O.</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Czech Republic</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SP. Z.O.O.</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Poland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SPECIALTY TECH CO. LTD.</w:t>
            </w:r>
          </w:p>
        </w:tc>
        <w:tc>
          <w:tcPr>
            <w:tcW w:w="148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9"/>
              </w:rPr>
              <w:t xml:space="preserve">Thailand </w:t>
            </w:r>
            <w:r>
              <w:rPr>
                <w:rFonts w:ascii="Arial" w:cs="Arial" w:eastAsia="Arial" w:hAnsi="Arial"/>
                <w:sz w:val="25"/>
                <w:szCs w:val="25"/>
                <w:color w:val="auto"/>
                <w:w w:val="99"/>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CHONG WAH-NTIA SDN. BHD.</w:t>
            </w:r>
          </w:p>
        </w:tc>
        <w:tc>
          <w:tcPr>
            <w:tcW w:w="148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rPr>
              <w:t xml:space="preserve">Malaysia </w:t>
            </w:r>
            <w:r>
              <w:rPr>
                <w:rFonts w:ascii="Arial" w:cs="Arial" w:eastAsia="Arial" w:hAnsi="Arial"/>
                <w:sz w:val="25"/>
                <w:szCs w:val="25"/>
                <w:color w:val="auto"/>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NTIA ZERUST PHILIPPINES, INC.</w:t>
            </w:r>
          </w:p>
        </w:tc>
        <w:tc>
          <w:tcPr>
            <w:tcW w:w="148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rPr>
              <w:t xml:space="preserve">Philippines </w:t>
            </w:r>
            <w:r>
              <w:rPr>
                <w:rFonts w:ascii="Arial" w:cs="Arial" w:eastAsia="Arial" w:hAnsi="Arial"/>
                <w:sz w:val="25"/>
                <w:szCs w:val="25"/>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Turkey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Ukraine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8"/>
        </w:trPr>
        <w:tc>
          <w:tcPr>
            <w:tcW w:w="858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1480" w:type="dxa"/>
            <w:vAlign w:val="bottom"/>
            <w:gridSpan w:val="2"/>
          </w:tcPr>
          <w:p>
            <w:pPr>
              <w:jc w:val="center"/>
              <w:ind w:right="80"/>
              <w:spacing w:after="0" w:line="217" w:lineRule="exact"/>
              <w:rPr>
                <w:sz w:val="20"/>
                <w:szCs w:val="20"/>
                <w:color w:val="auto"/>
              </w:rPr>
            </w:pPr>
            <w:r>
              <w:rPr>
                <w:rFonts w:ascii="Arial" w:cs="Arial" w:eastAsia="Arial" w:hAnsi="Arial"/>
                <w:sz w:val="16"/>
                <w:szCs w:val="16"/>
                <w:color w:val="auto"/>
                <w:w w:val="97"/>
              </w:rPr>
              <w:t xml:space="preserve">Indonesia </w:t>
            </w:r>
            <w:r>
              <w:rPr>
                <w:rFonts w:ascii="Arial" w:cs="Arial" w:eastAsia="Arial" w:hAnsi="Arial"/>
                <w:sz w:val="25"/>
                <w:szCs w:val="25"/>
                <w:color w:val="auto"/>
                <w:w w:val="97"/>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bl>
    <w:p>
      <w:pPr>
        <w:spacing w:after="0"/>
        <w:rPr>
          <w:sz w:val="20"/>
          <w:szCs w:val="20"/>
          <w:color w:val="auto"/>
        </w:rPr>
      </w:pPr>
      <w:r>
        <w:rPr>
          <w:rFonts w:ascii="Arial" w:cs="Arial" w:eastAsia="Arial" w:hAnsi="Arial"/>
          <w:sz w:val="18"/>
          <w:szCs w:val="18"/>
          <w:color w:val="auto"/>
        </w:rPr>
        <w:t>____________________</w:t>
      </w:r>
    </w:p>
    <w:p>
      <w:pPr>
        <w:spacing w:after="0" w:line="209"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Indirect ownership interest through NTI Asean.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it in the notes to NTIC’s consolidated financial statements and in this section of this report.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more information regarding NTIC’s joint ventures and their effect on NTIC’s operating results, see NTIC’s consolidated financial statements in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and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of this report.</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On January 2, 2015, NTIC announced that, effective as of December 31, 2014, it is selling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 China through the wholly-owned subsidiary, NTIC (Shanghai) Co., Ltd., and has terminated its joint venture agreements with Tianjin-Zerust Anticorrosion Co., Ltd. (Tianjin Zerust). NTIC and NTI Asean have filed a lawsuit in China against Mr. Tao Meng, the former joint venture entity’s other shareholder, and his spouse, seeking, among other things, an orderly liquidation of Tianjin Zerust. NTIC indirectly has a 30% ownership interest in Tianjin Zerust through its 60% owned holding company subsidiary, NTI Asean. NTIC’s historical operating results have been volatile as a result of the ongoing transition of Chinese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NTIC derives revenues directly and/or indirectly through its subsidiaries and joint ventures from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w:t>
      </w:r>
    </w:p>
    <w:p>
      <w:pPr>
        <w:spacing w:after="0" w:line="1" w:lineRule="exact"/>
        <w:rPr>
          <w:sz w:val="20"/>
          <w:szCs w:val="20"/>
          <w:color w:val="auto"/>
        </w:rPr>
      </w:pPr>
    </w:p>
    <w:p>
      <w:pPr>
        <w:ind w:right="20"/>
        <w:spacing w:after="0" w:line="198"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In fiscal 2017, 82.9% of NTIC’s consolidated net sales were derived from developing, manufacturing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NTIC’s consolidated net sales in fiscal 2017 included $32,789,283 in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an increase of 18.9% over such sales in fiscal 2016.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7" w:name="page8"/>
    <w:bookmarkEnd w:id="7"/>
    <w:p>
      <w:pPr>
        <w:ind w:right="80"/>
        <w:spacing w:after="0" w:line="219"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Electron scanning shows that once the contents are removed 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05" w:lineRule="exact"/>
        <w:rPr>
          <w:sz w:val="20"/>
          <w:szCs w:val="20"/>
          <w:color w:val="auto"/>
        </w:rPr>
      </w:pPr>
    </w:p>
    <w:p>
      <w:pPr>
        <w:spacing w:after="0" w:line="202" w:lineRule="auto"/>
        <w:rPr>
          <w:sz w:val="20"/>
          <w:szCs w:val="20"/>
          <w:color w:val="auto"/>
        </w:rPr>
      </w:pPr>
      <w:r>
        <w:rPr>
          <w:rFonts w:ascii="Arial" w:cs="Arial" w:eastAsia="Arial" w:hAnsi="Arial"/>
          <w:sz w:val="18"/>
          <w:szCs w:val="18"/>
          <w:color w:val="auto"/>
        </w:rPr>
        <w:t>NTIC was first to develop the means of infusing volatile corrosion inhibiting chemical systems (VCIs) into polyethylene and polypropylene resins. Combining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chemical systems with polyethylene and polypropylene resins permitted NTIC to introduce a line of plastic packaging products in the form of low and high-density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plastic and paper packaging products come in various thicknesses, strength enhancements, protection types, shapes and sizes. This product line also includes items such as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03" w:lineRule="exact"/>
        <w:rPr>
          <w:sz w:val="20"/>
          <w:szCs w:val="20"/>
          <w:color w:val="auto"/>
        </w:rPr>
      </w:pPr>
    </w:p>
    <w:p>
      <w:pPr>
        <w:ind w:right="100"/>
        <w:spacing w:after="0" w:line="213" w:lineRule="auto"/>
        <w:rPr>
          <w:sz w:val="20"/>
          <w:szCs w:val="20"/>
          <w:color w:val="auto"/>
        </w:rPr>
      </w:pPr>
      <w:r>
        <w:rPr>
          <w:rFonts w:ascii="Arial" w:cs="Arial" w:eastAsia="Arial" w:hAnsi="Arial"/>
          <w:sz w:val="17"/>
          <w:szCs w:val="17"/>
          <w:i w:val="1"/>
          <w:iCs w:val="1"/>
          <w:color w:val="auto"/>
        </w:rPr>
        <w:t>Liquids and Coatings</w:t>
      </w:r>
      <w:r>
        <w:rPr>
          <w:rFonts w:ascii="Arial" w:cs="Arial" w:eastAsia="Arial" w:hAnsi="Arial"/>
          <w:sz w:val="17"/>
          <w:szCs w:val="17"/>
          <w:color w:val="auto"/>
        </w:rPr>
        <w:t>. NTIC’s corrosion prevention solutions include a line of metal surface treatment liquids and coatings, which are oil, water or bio-solvent based, and are marketed under brand names including Axxatec</w:t>
      </w:r>
      <w:r>
        <w:rPr>
          <w:rFonts w:ascii="Arial" w:cs="Arial" w:eastAsia="Arial" w:hAnsi="Arial"/>
          <w:sz w:val="28"/>
          <w:szCs w:val="28"/>
          <w:color w:val="auto"/>
          <w:vertAlign w:val="superscript"/>
        </w:rPr>
        <w:t>™</w:t>
      </w:r>
      <w:r>
        <w:rPr>
          <w:rFonts w:ascii="Arial" w:cs="Arial" w:eastAsia="Arial" w:hAnsi="Arial"/>
          <w:sz w:val="17"/>
          <w:szCs w:val="17"/>
          <w:color w:val="auto"/>
        </w:rPr>
        <w:t>, Axxanol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Z-Maxx</w:t>
      </w:r>
      <w:r>
        <w:rPr>
          <w:rFonts w:ascii="Arial" w:cs="Arial" w:eastAsia="Arial" w:hAnsi="Arial"/>
          <w:sz w:val="28"/>
          <w:szCs w:val="28"/>
          <w:color w:val="auto"/>
          <w:vertAlign w:val="superscript"/>
        </w:rPr>
        <w:t>™</w:t>
      </w:r>
      <w:r>
        <w:rPr>
          <w:rFonts w:ascii="Arial" w:cs="Arial" w:eastAsia="Arial" w:hAnsi="Arial"/>
          <w:sz w:val="17"/>
          <w:szCs w:val="17"/>
          <w:color w:val="auto"/>
        </w:rPr>
        <w:t>. These liquids and coatings provide powerful corrosion protection in aggressive environments, such as salt air, high humidity and/or high temperatures. Products are formulated for most metal types and protection levels. For exceptionally harsh environments, customers may choose to use a combination of NTIC’s liquids and coatings with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plastic and/or paper products to achieve robust corrosion protection during manufacturing, shipping and warehousing stages.</w:t>
      </w:r>
    </w:p>
    <w:p>
      <w:pPr>
        <w:spacing w:after="0" w:line="20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name.</w:t>
      </w:r>
    </w:p>
    <w:p>
      <w:pPr>
        <w:spacing w:after="0" w:line="28" w:lineRule="exact"/>
        <w:rPr>
          <w:sz w:val="20"/>
          <w:szCs w:val="20"/>
          <w:color w:val="auto"/>
        </w:rPr>
      </w:pPr>
    </w:p>
    <w:p>
      <w:pPr>
        <w:ind w:right="40"/>
        <w:spacing w:after="0" w:line="220"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Plastabs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Tube Strip. These diffusers are designed to protect metals within enclosures, like switch gearboxes and electronic cabinets, or can be used as added protection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69" w:right="259" w:bottom="1440" w:gutter="0" w:footer="0" w:header="0"/>
        </w:sectPr>
      </w:pPr>
    </w:p>
    <w:bookmarkStart w:id="8" w:name="page9"/>
    <w:bookmarkEnd w:id="8"/>
    <w:p>
      <w:pPr>
        <w:ind w:right="260"/>
        <w:spacing w:after="0" w:line="202" w:lineRule="auto"/>
        <w:rPr>
          <w:sz w:val="20"/>
          <w:szCs w:val="20"/>
          <w:color w:val="auto"/>
        </w:rPr>
      </w:pPr>
      <w:r>
        <w:rPr>
          <w:rFonts w:ascii="Arial" w:cs="Arial" w:eastAsia="Arial" w:hAnsi="Arial"/>
          <w:sz w:val="17"/>
          <w:szCs w:val="17"/>
          <w:i w:val="1"/>
          <w:iCs w:val="1"/>
          <w:color w:val="auto"/>
        </w:rPr>
        <w:t>Z-CIS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Technical Services</w:t>
      </w:r>
      <w:r>
        <w:rPr>
          <w:rFonts w:ascii="Arial" w:cs="Arial" w:eastAsia="Arial" w:hAnsi="Arial"/>
          <w:sz w:val="17"/>
          <w:szCs w:val="17"/>
          <w:color w:val="auto"/>
        </w:rPr>
        <w:t>. As an on-going effort to help NTIC’s customers improve and control their processes in terms of corrosion management, NTIC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and offers unique corrosion management and consulting services to target customers. This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inhibition system (known as Z-CIS</w:t>
      </w:r>
      <w:r>
        <w:rPr>
          <w:rFonts w:ascii="Arial" w:cs="Arial" w:eastAsia="Arial" w:hAnsi="Arial"/>
          <w:sz w:val="28"/>
          <w:szCs w:val="28"/>
          <w:color w:val="auto"/>
          <w:vertAlign w:val="superscript"/>
        </w:rPr>
        <w:t>®</w:t>
      </w:r>
      <w:r>
        <w:rPr>
          <w:rFonts w:ascii="Arial" w:cs="Arial" w:eastAsia="Arial" w:hAnsi="Arial"/>
          <w:sz w:val="17"/>
          <w:szCs w:val="17"/>
          <w:color w:val="auto"/>
        </w:rPr>
        <w:t>) leverages NTIC’s global network to dispatch highly-trained technical service engineers to customer sites to solve complex corrosion problems.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system.</w:t>
      </w:r>
    </w:p>
    <w:p>
      <w:pPr>
        <w:spacing w:after="0" w:line="48"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i w:val="1"/>
          <w:iCs w:val="1"/>
          <w:color w:val="auto"/>
        </w:rPr>
        <w:t>ZERUST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Corrosion Prevention Solutions Designed Specifically for the Oil and Gas Industry</w:t>
      </w:r>
      <w:r>
        <w:rPr>
          <w:rFonts w:ascii="Arial" w:cs="Arial" w:eastAsia="Arial" w:hAnsi="Arial"/>
          <w:sz w:val="17"/>
          <w:szCs w:val="17"/>
          <w:color w:val="auto"/>
        </w:rPr>
        <w:t>. NTIC has developed proprietary engineered corrosion</w:t>
      </w:r>
      <w:r>
        <w:rPr>
          <w:rFonts w:ascii="Arial" w:cs="Arial" w:eastAsia="Arial" w:hAnsi="Arial"/>
          <w:sz w:val="17"/>
          <w:szCs w:val="17"/>
          <w:i w:val="1"/>
          <w:iCs w:val="1"/>
          <w:color w:val="auto"/>
        </w:rPr>
        <w:t xml:space="preserve"> </w:t>
      </w:r>
      <w:r>
        <w:rPr>
          <w:rFonts w:ascii="Arial" w:cs="Arial" w:eastAsia="Arial" w:hAnsi="Arial"/>
          <w:sz w:val="17"/>
          <w:szCs w:val="17"/>
          <w:color w:val="auto"/>
        </w:rPr>
        <w:t>inhibiting solutions specifically for the mitigation of corrosion of the types of capital assets used in the petroleum and chemical process industries and has targeted the sale of these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solutions to potential customers in the oil and gas industry. NTIC’s consolidated net sales in fiscal 2017 included $1,720,162 in sales made to customers in the oil and gas industry, a slight decrease of 1.1% over such sales in fiscal 2016. This decrease is set against volatile crude oil prices in the past 18 months that have negatively affected client budgets.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NTIC believes that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186" w:lineRule="exact"/>
        <w:rPr>
          <w:sz w:val="20"/>
          <w:szCs w:val="20"/>
          <w:color w:val="auto"/>
        </w:rPr>
      </w:pPr>
    </w:p>
    <w:p>
      <w:pPr>
        <w:ind w:right="100"/>
        <w:spacing w:after="0" w:line="196" w:lineRule="auto"/>
        <w:rPr>
          <w:sz w:val="20"/>
          <w:szCs w:val="20"/>
          <w:color w:val="auto"/>
        </w:rPr>
      </w:pPr>
      <w:r>
        <w:rPr>
          <w:rFonts w:ascii="Arial" w:cs="Arial" w:eastAsia="Arial" w:hAnsi="Arial"/>
          <w:sz w:val="17"/>
          <w:szCs w:val="17"/>
          <w:color w:val="auto"/>
        </w:rPr>
        <w:t>NTIC’s rust and corrosion inhibiting products for the oil and gas industry include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Flange Savers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ReCAST-R VCI Dispensers, Zerust ReCAST-SSB solutions and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chemicals, including Zerion chemicals, in addition to many of the standard industrial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previously described.</w:t>
      </w:r>
    </w:p>
    <w:p>
      <w:pPr>
        <w:spacing w:after="0" w:line="179"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Flange Savers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specially designed covers that have been impregnated with a proprietary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Flange Savers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18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ReCAST-R VCI Dispensers protect the interior surfaces of aboveground storage tank roofs by delivering proprietary inhibitor formulations into the vapor space between the surface of the product and the tank roof. Certain grades of oil contain sulphur and emit corrosive acid gas vapors that destroy the internal surfaces of aboveground storage tank roofs and their support structures above the stored product. Each system is tailored to a customer’s requirements, depending upon specific environmental conditions, product stored, tank diameter and type of metal and can be applied on both new and existing tank roofs.</w:t>
      </w:r>
    </w:p>
    <w:p>
      <w:pPr>
        <w:spacing w:after="0" w:line="182"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tank bottom spaces that are susceptible to significant corrosion. Tank bottoms are typically made of steel plates which are in direct contact with the foundation surface that may be concrete, sand/soil and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solutions provide effective protection even to areas that cannot be addressed with CP. This is an engineered solution where each system is tailored to a customer’s requirements depending on factors including the tank foundation design, specific environmental conditions, and tank diameter.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Zerion line of powder based inhibitor solutions include:</w:t>
      </w:r>
    </w:p>
    <w:p>
      <w:pPr>
        <w:spacing w:after="0" w:line="111" w:lineRule="exact"/>
        <w:rPr>
          <w:sz w:val="20"/>
          <w:szCs w:val="20"/>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Zerion FVS is a unique inhibitor blend that is used in the SSB Solutions. This “best-in-class” product has been successfully deployed at multiple client sites in the North and South America as well as parts of Asia.</w:t>
      </w:r>
    </w:p>
    <w:p>
      <w:pPr>
        <w:spacing w:after="0" w:line="17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good for sealed void spaces, protection of large/complex assets like heat exchangers and heater-treaters.</w:t>
      </w:r>
    </w:p>
    <w:p>
      <w:pPr>
        <w:spacing w:after="0" w:line="181" w:lineRule="exact"/>
        <w:rPr>
          <w:rFonts w:ascii="Arial" w:cs="Arial" w:eastAsia="Arial" w:hAnsi="Arial"/>
          <w:sz w:val="18"/>
          <w:szCs w:val="18"/>
          <w:color w:val="auto"/>
        </w:rPr>
      </w:pPr>
    </w:p>
    <w:p>
      <w:pPr>
        <w:ind w:left="660" w:hanging="328"/>
        <w:spacing w:after="0" w:line="2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allows VCIs to release while conserving a Sol-V proprietary blend of soluble corrosion inhibitors (SCIs) until water enters the system. Typical applications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18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b w:val="1"/>
          <w:bCs w:val="1"/>
          <w:i w:val="1"/>
          <w:iCs w:val="1"/>
          <w:color w:val="auto"/>
        </w:rPr>
        <w:t>Natur-Tec</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Resin Compounds and Finished Products. </w:t>
      </w:r>
      <w:r>
        <w:rPr>
          <w:rFonts w:ascii="Arial" w:cs="Arial" w:eastAsia="Arial" w:hAnsi="Arial"/>
          <w:sz w:val="17"/>
          <w:szCs w:val="17"/>
          <w:color w:val="auto"/>
        </w:rPr>
        <w:t>NTIC manufactures and sells a range of biobased and compostable (fully biodegradable) polymer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resin compounds and finished products under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NTIC’s consolidated net sales in fiscal 2017 included $6,779,840 in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resins and finished products, an increase of 26.6% over such sales in fiscal 2016. Market drivers such as volatile petroleum prices, reduced dependence on foreign oil, reduced carbon footprints, and environmentally responsible end-of-life solutions have increased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6"/>
          <w:szCs w:val="16"/>
          <w:i w:val="1"/>
          <w:iCs w:val="1"/>
          <w:color w:val="auto"/>
        </w:rPr>
        <w:t xml:space="preserve">Resin Compounds. </w:t>
      </w: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resin compounds are produced by blending commercially available base resins, such as Ecoflex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BASF, Ingeo</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w:t>
      </w:r>
      <w:r>
        <w:rPr>
          <w:rFonts w:ascii="Arial" w:cs="Arial" w:eastAsia="Arial" w:hAnsi="Arial"/>
          <w:sz w:val="16"/>
          <w:szCs w:val="16"/>
          <w:i w:val="1"/>
          <w:iCs w:val="1"/>
          <w:color w:val="auto"/>
        </w:rPr>
        <w:t xml:space="preserve"> </w:t>
      </w:r>
      <w:r>
        <w:rPr>
          <w:rFonts w:ascii="Arial" w:cs="Arial" w:eastAsia="Arial" w:hAnsi="Arial"/>
          <w:sz w:val="16"/>
          <w:szCs w:val="16"/>
          <w:color w:val="auto"/>
        </w:rPr>
        <w:t>from NatureWorks LLC, with organic and inorganic fillers, and proprietary polymer modifiers and compatabilizers,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10" w:name="page11"/>
    <w:bookmarkEnd w:id="10"/>
    <w:p>
      <w:pPr>
        <w:ind w:right="620"/>
        <w:spacing w:after="0" w:line="204"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are available in several grades tailored for a variety of applications, such as blown-film extrusion, extrusion coating and injection molding.</w:t>
      </w:r>
    </w:p>
    <w:p>
      <w:pPr>
        <w:spacing w:after="0" w:line="179"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flexible film resin compounds are fully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Vincotte in Europe.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film resin compounds can be used to produce film for applications, such as bags, including compost bags, lawn and leaf bags, pet waste bags and carry-out bags, agricultural film and consumer and industrial packaging.</w:t>
      </w:r>
    </w:p>
    <w:p>
      <w:pPr>
        <w:spacing w:after="0" w:line="184" w:lineRule="exact"/>
        <w:rPr>
          <w:sz w:val="20"/>
          <w:szCs w:val="20"/>
          <w:color w:val="auto"/>
        </w:rPr>
      </w:pPr>
    </w:p>
    <w:p>
      <w:pPr>
        <w:ind w:right="60"/>
        <w:spacing w:after="0" w:line="185" w:lineRule="auto"/>
        <w:rPr>
          <w:sz w:val="20"/>
          <w:szCs w:val="20"/>
          <w:color w:val="auto"/>
        </w:rPr>
      </w:pPr>
      <w:r>
        <w:rPr>
          <w:rFonts w:ascii="Arial" w:cs="Arial" w:eastAsia="Arial" w:hAnsi="Arial"/>
          <w:sz w:val="18"/>
          <w:szCs w:val="18"/>
          <w:color w:val="auto"/>
        </w:rPr>
        <w:t>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 requirements of international standards for compostable plastics, such as ASTM D6400.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 compounds provide good adhesion to paper, an excellent print surface and good heat seal strength and the coating material is suitable for food contact applications including both hot and cold applications.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 compounds can be used for coating paper and paperboards for the manufacture of disposable cups, plates and other food service ware items.</w:t>
      </w:r>
    </w:p>
    <w:p>
      <w:pPr>
        <w:spacing w:after="0" w:line="186" w:lineRule="exact"/>
        <w:rPr>
          <w:sz w:val="20"/>
          <w:szCs w:val="20"/>
          <w:color w:val="auto"/>
        </w:rPr>
      </w:pPr>
    </w:p>
    <w:p>
      <w:pPr>
        <w:ind w:right="20"/>
        <w:spacing w:after="0" w:line="193" w:lineRule="auto"/>
        <w:rPr>
          <w:sz w:val="20"/>
          <w:szCs w:val="20"/>
          <w:color w:val="auto"/>
        </w:rPr>
      </w:pPr>
      <w:r>
        <w:rPr>
          <w:rFonts w:ascii="Arial" w:cs="Arial" w:eastAsia="Arial" w:hAnsi="Arial"/>
          <w:sz w:val="17"/>
          <w:szCs w:val="17"/>
          <w:color w:val="auto"/>
        </w:rPr>
        <w:t>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are biobased and compostable and are designed to replace conventional plastic materials for injection molded plastic applications.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 D6400 and EN 13432.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biobased injection molding resin compounds are made with at least 90% of biobased/renewable resource-based materials per the ASTM D6866 standard and are meant to enhance sustainability by replacing petroleum-based plastics.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179"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and compostable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and food and consumer goods packaging that are currently marketed under 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brands.</w:t>
      </w:r>
    </w:p>
    <w:p>
      <w:pPr>
        <w:spacing w:after="0" w:line="35" w:lineRule="exact"/>
        <w:rPr>
          <w:sz w:val="20"/>
          <w:szCs w:val="20"/>
          <w:color w:val="auto"/>
        </w:rPr>
      </w:pPr>
    </w:p>
    <w:p>
      <w:pPr>
        <w:ind w:right="220"/>
        <w:spacing w:after="0" w:line="186" w:lineRule="auto"/>
        <w:rPr>
          <w:sz w:val="20"/>
          <w:szCs w:val="20"/>
          <w:color w:val="auto"/>
        </w:rPr>
      </w:pPr>
      <w:r>
        <w:rPr>
          <w:rFonts w:ascii="Arial" w:cs="Arial" w:eastAsia="Arial" w:hAnsi="Arial"/>
          <w:sz w:val="17"/>
          <w:szCs w:val="17"/>
          <w:color w:val="auto"/>
        </w:rPr>
        <w:t>The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line offers 15 different compostable trash bag sizes, from 3-gallon to 96-gallon.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are manufactured from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flexible film resin compounds and thus are fully biodegradable and compostable.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w:t>
      </w:r>
    </w:p>
    <w:p>
      <w:pPr>
        <w:spacing w:after="0" w:line="215" w:lineRule="auto"/>
        <w:rPr>
          <w:sz w:val="20"/>
          <w:szCs w:val="20"/>
          <w:color w:val="auto"/>
        </w:rPr>
      </w:pPr>
      <w:r>
        <w:rPr>
          <w:rFonts w:ascii="Arial" w:cs="Arial" w:eastAsia="Arial" w:hAnsi="Arial"/>
          <w:sz w:val="18"/>
          <w:szCs w:val="18"/>
          <w:color w:val="auto"/>
        </w:rPr>
        <w:t>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cutlery can be composted along with food scraps in zero-waste programs.</w:t>
      </w:r>
    </w:p>
    <w:p>
      <w:pPr>
        <w:spacing w:after="0" w:line="84"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Both Natur-Bag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fully certified compostable, and carry the BPI Compostable logo in the United States and the Vincotte OK Compost logo in Europe. Furthermore, these products were also independently tested and approved for use in organic waste diversion systems by Cedar Grove, one of the largest compost operators in the United States.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6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06"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the United States, NTIC markets its ZERUST</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products and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performance requirements.</w:t>
      </w:r>
    </w:p>
    <w:p>
      <w:pPr>
        <w:spacing w:after="0" w:line="20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 In China, NTIC sells its products and services through NTIC China. NTIC has formed a wholly-owned subsidiary in Mexico to conduct its business there.</w:t>
      </w:r>
    </w:p>
    <w:p>
      <w:pPr>
        <w:spacing w:after="0" w:line="13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With respect to the sales and marketing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to customers in the oil and gas industry will involve long sales cycles, likely including multi-year trial periods with each customer and a slow integration process thereafter.</w:t>
      </w:r>
    </w:p>
    <w:p>
      <w:pPr>
        <w:spacing w:after="0" w:line="18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In the United States, NTIC markets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national and regional distributors and independent manufacturer’s sales representatives and three NTIC direct sales employees as of August 31, 2017.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include individual consumers and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include film extruders and injection molders who would purchase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to manufacture and sell their own finished biobased and compostable end products, such as film, bags and cutlery.</w:t>
      </w:r>
    </w:p>
    <w:p>
      <w:pPr>
        <w:spacing w:after="0" w:line="40" w:lineRule="exact"/>
        <w:rPr>
          <w:sz w:val="20"/>
          <w:szCs w:val="20"/>
          <w:color w:val="auto"/>
        </w:rPr>
      </w:pPr>
    </w:p>
    <w:p>
      <w:pPr>
        <w:spacing w:after="0" w:line="209" w:lineRule="auto"/>
        <w:rPr>
          <w:sz w:val="20"/>
          <w:szCs w:val="20"/>
          <w:color w:val="auto"/>
        </w:rPr>
      </w:pPr>
      <w:r>
        <w:rPr>
          <w:rFonts w:ascii="Arial" w:cs="Arial" w:eastAsia="Arial" w:hAnsi="Arial"/>
          <w:sz w:val="17"/>
          <w:szCs w:val="17"/>
          <w:color w:val="auto"/>
        </w:rPr>
        <w:t>Internationally, NTIC uses Natur-Tec India, and its joint ventures and a network of international distributors to market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In November 2014, NTIC entered into an agreement with NatureWorks LLC for joint marketing and sales of Ingeo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based packaging solutions to customers in India. With recent Indian government mandates banning the use of non-biodegradable plastics in certain types of food and consumer packaging, NTIC expects the market in India for bioplastic packaging solutions to continue to grow substantially.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While NTIC is unaware of any third parties with which NTIC competes on a worldwide basis with respect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distribution networks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Nonetheless, the commoditization of certain of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have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20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and confidence in old approaches, as well as the complexity of the buying organizations. Some of NTIC’s competitors with respect to its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w:t>
      </w:r>
    </w:p>
    <w:p>
      <w:pPr>
        <w:spacing w:after="0" w:line="4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NTIC spent $2,912,393 in fiscal 2017 relating to its research and development activities, compared to $4,724,596 in fiscal 2016. NTIC anticipates that it will spend between $2,500,000 and $3,000,000 in fiscal 2018 on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United States covering various corrosion inhibiting technologies, systems and applications, and now owns several patents in these areas. These patents, as well as patent applications, have been extended to the countries of strategic relevance to NTIC including, such countries as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6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 &amp; Design®, NATUR-BAG® and NATUR-WARE®, ZERION®, AUTOFOG®, FLANGE SAVER®, ACTIVPAK®. NTIC also has a registered trademark on the use of the Color Yellow with respect to corrosion inhibiting packaging. Furthermore, NTI®, ZERUST®, EXCOR®, the Color Yellow® and NTI ASEAN®, as well as other marks have been registered in the European Union with several new applications pending.</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Manufacturing</w:t>
      </w:r>
    </w:p>
    <w:p>
      <w:pPr>
        <w:spacing w:after="0" w:line="206" w:lineRule="exact"/>
        <w:rPr>
          <w:sz w:val="20"/>
          <w:szCs w:val="20"/>
          <w:color w:val="auto"/>
        </w:rPr>
      </w:pPr>
    </w:p>
    <w:p>
      <w:pPr>
        <w:jc w:val="both"/>
        <w:ind w:right="540"/>
        <w:spacing w:after="0" w:line="210"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are manufactured according to NTIC’s specifications primarily by selected independent sub-contractors under trade secrecy agreements and/or license agreements. In addition, NTIC manufactures select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consisting primarily of liquids and powders, in-house at its corporate headquarters location in Circle Pines, Minnesota.</w:t>
      </w:r>
    </w:p>
    <w:p>
      <w:pPr>
        <w:spacing w:after="0" w:line="180" w:lineRule="exact"/>
        <w:rPr>
          <w:sz w:val="20"/>
          <w:szCs w:val="20"/>
          <w:color w:val="auto"/>
        </w:rPr>
      </w:pPr>
    </w:p>
    <w:p>
      <w:pPr>
        <w:jc w:val="both"/>
        <w:ind w:right="320"/>
        <w:spacing w:after="0" w:line="256" w:lineRule="auto"/>
        <w:rPr>
          <w:sz w:val="20"/>
          <w:szCs w:val="20"/>
          <w:color w:val="auto"/>
        </w:rPr>
      </w:pPr>
      <w:r>
        <w:rPr>
          <w:rFonts w:ascii="Arial" w:cs="Arial" w:eastAsia="Arial" w:hAnsi="Arial"/>
          <w:sz w:val="16"/>
          <w:szCs w:val="16"/>
          <w:color w:val="auto"/>
        </w:rPr>
        <w:t>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produced at facilities in India, China, Malaysia and California, USA.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manufactured using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by selected sub-contractors.</w:t>
      </w:r>
    </w:p>
    <w:p>
      <w:pPr>
        <w:spacing w:after="0" w:line="5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 respect to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 in obtaining such base resins. In addition, a few raw materials and purchased parts used in NTIC’s rust and corrosion inhibiting products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had an order backlog of $668,000 as of August 31, 2017, compared to $1,106,000 as of August 31, 2016, which was generally across all business units and which these sales will be realized during first quarter of fiscal 2018. These are orders that are held by NTIC pending release instructions from the customers to be used in just-in-time production. Customers generally place orders on an “as needed” basis and expect delivery within a relatively short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06"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do not require further FDA approval prior to the sale of its products.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August 31, 2017, NTIC had 71 full-time employees located in North America, consisting of 26 in sales and marketing, 25 in research and development and lab, 14 in administration and 6 in production. As of August 31, 2017, NTIC’s wholly-owned subsidiary in China had 31 full-time employees, its majority-owned subsidiary in Brazil had 20 full-time employees, its majority-owned subsidiary in India had 6 full-time employees, its wholly owned subsidiary in Mexico had no employees and its holding company, NTI Asean, had no full-time employees. There are no unions representing NTIC’s employees and NTIC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 or obtained at the SEC Public Reference Room in Washington, D.C. Information regarding the operation of the Public Reference Room may be obtained by calling the SEC at 1-800-SEC-0330.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6" w:name="page17"/>
    <w:bookmarkEnd w:id="16"/>
    <w:p>
      <w:pPr>
        <w:ind w:left="244" w:right="560" w:hanging="244"/>
        <w:spacing w:after="0" w:line="277"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47" w:lineRule="exact"/>
        <w:rPr>
          <w:rFonts w:ascii="Arial" w:cs="Arial" w:eastAsia="Arial" w:hAnsi="Arial"/>
          <w:sz w:val="18"/>
          <w:szCs w:val="18"/>
          <w:color w:val="auto"/>
        </w:rPr>
      </w:pPr>
    </w:p>
    <w:p>
      <w:pPr>
        <w:ind w:left="244" w:hanging="244"/>
        <w:spacing w:after="0" w:line="233" w:lineRule="auto"/>
        <w:tabs>
          <w:tab w:leader="none" w:pos="2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variability in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of joint venture in turn, subject NTIC’s earnings to quarterly fluctuations;</w:t>
      </w:r>
    </w:p>
    <w:p>
      <w:pPr>
        <w:spacing w:after="0" w:line="202" w:lineRule="exact"/>
        <w:rPr>
          <w:rFonts w:ascii="Arial" w:cs="Arial" w:eastAsia="Arial" w:hAnsi="Arial"/>
          <w:sz w:val="16"/>
          <w:szCs w:val="16"/>
          <w:color w:val="auto"/>
        </w:rPr>
      </w:pPr>
    </w:p>
    <w:p>
      <w:pPr>
        <w:ind w:left="244" w:right="360" w:hanging="244"/>
        <w:spacing w:after="0" w:line="277"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244" w:right="120" w:hanging="244"/>
        <w:spacing w:after="0" w:line="277"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the referendum vote of the United Kingdom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244" w:right="180" w:hanging="244"/>
        <w:spacing w:after="0" w:line="277"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244" w:right="80" w:hanging="244"/>
        <w:spacing w:after="0" w:line="209"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businesses and products and services, including in particular NTIC’s ability and the ability of NTIC’s joint ventures to sell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3"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01" w:lineRule="exact"/>
        <w:rPr>
          <w:rFonts w:ascii="Arial" w:cs="Arial" w:eastAsia="Arial" w:hAnsi="Arial"/>
          <w:sz w:val="18"/>
          <w:szCs w:val="18"/>
          <w:color w:val="auto"/>
        </w:rPr>
      </w:pPr>
    </w:p>
    <w:p>
      <w:pPr>
        <w:ind w:left="244" w:right="360" w:hanging="244"/>
        <w:spacing w:after="0" w:line="204"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179" w:lineRule="exact"/>
        <w:rPr>
          <w:rFonts w:ascii="Arial" w:cs="Arial" w:eastAsia="Arial" w:hAnsi="Arial"/>
          <w:sz w:val="18"/>
          <w:szCs w:val="18"/>
          <w:color w:val="auto"/>
        </w:rPr>
      </w:pPr>
    </w:p>
    <w:p>
      <w:pPr>
        <w:ind w:left="244" w:right="60" w:hanging="244"/>
        <w:spacing w:after="0" w:line="204"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2"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1"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32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04"/>
          </w:cols>
          <w:pgMar w:left="896" w:top="692" w:right="299" w:bottom="1440" w:gutter="0" w:footer="0" w:header="0"/>
        </w:sectPr>
      </w:pPr>
    </w:p>
    <w:bookmarkStart w:id="17" w:name="page18"/>
    <w:bookmarkEnd w:id="17"/>
    <w:p>
      <w:pPr>
        <w:ind w:left="900" w:right="8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all these events on NTIC’s business and future operating results;</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NTIC’s effective tax rate;</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including most recently Hurricanes Harvey, Irma and Maria;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and China, and in the automotive industry, may negatively impact NTIC’s business, operating results and financial condition.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and world economies may suffer from uncertainty, volatility, disruption and other adverse conditions, and those conditions may adversely impact the business community and the financial markets. Adverse economic and financial market conditions may negatively affect NTIC’s customers and its markets, and thus negatively impact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continue to be weak or even deteriorate, then NTIC’s business, financial condition and operating results, including its ability to grow and expand its business and operations, could be materially and adversely affected.</w:t>
      </w:r>
    </w:p>
    <w:p>
      <w:pPr>
        <w:spacing w:after="0" w:line="17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NTIC’s operating results are especially dependent upon the economic health of the economies in the United States, Europe and China. Since a significant portion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are sold to customers in the automotive industry, adverse economic conditions affecting the automotive industry, in particular, may result in another adverse effect on NTIC’s net sales and its other operating results. Accordingly, any weakness in the global economy, and in particular in the United States, Europe and China, and in the automotive industry, may negatively impact NTIC’s business, operating results and financial condition.</w:t>
      </w:r>
    </w:p>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and it is not known how the recent withdrawal by the United States from the Trans-Pacific Partnership trade agreement may also affect NTIC’s suppliers. NTIC is unable to predict the prospects for a global economic recovery, but the longer the duration of such adverse and uncertain economic conditions, the greater the risks NTIC faces in operating its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9" w:name="page20"/>
    <w:bookmarkEnd w:id="19"/>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2017, NTIC recognized $5,452,687 in fees and $6,377,054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$5,898,908 during fiscal 2017, NTIC had equity in income from joint ventures of $4,185,988 attributable to EXCOR. Of the total fee income for services provided to joint ventures of $5,452,687 during fiscal 2017, fees of $838,628 was attributable to EXCOR. Accordingly, if sales of NTIC’s products and services by this joint venture were to decline significantly or if NTIC’s relationships with this joint venture were to deteriorate significantly such that it terminated or were not motivated to sell NTIC’s products and services, NTIC’s operating results likely would be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b w:val="1"/>
          <w:bCs w:val="1"/>
          <w:i w:val="1"/>
          <w:iCs w:val="1"/>
          <w:color w:val="auto"/>
        </w:rPr>
        <w:t>The termination of NTIC’s joint venture agreements with Tianjin Zerust and the operations of NTIC China have had a material adverse effect on NTIC’s operating results.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as of December 31, 2014, NTIC terminated its joint venture agreements with Tianjin Zerust, initiated the process to liquidate the joint venture entity and established a wholly-owned subsidiary to conduct business in China. NTIC’s consolidated financial statements include the financial results of NTIC China beginning with the second quarter of fiscal 2015. Tianjin Zerust was individually significant to NTIC’s consolidated assets and income. Accordingly, the termination of NTIC’s joint venture agreements with Tianjin Zerust have adversely affected NTIC’s operating results, including in particular, its equity in income, fee income for services provided to joint ventures, and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prior and ongoing litigation is expensive and has had an adverse effect on NTIC’s business and operating results.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Litigation is expensive and often uncertain. NTIC commenced litigation against Cortec Corporation alleging, among other things, that Cortec Corporation aided and abetted breaches of duties and contractual commitments owed to NTIC and NTI Asean related to Tianjin Zerust. NTIC incurred significant expenses in connection with this litigation until September 20, 2017, when the United States District Court for the Northern District of Ohio dismissed with prejudice all claims asserted by NTIC in the lawsuit. NTIC chose not to appeal the Court’s dismissal of the case; and accordingly, anticipates that this litigation will no longer adversely affect its operating results after the first quarter of fiscal 2018. Although NTIC has also commenced litigation against Mr. Tao Meng, Tianjin Zerust’s other shareholder, and his spouse in order to force the liquidation of Tianjin Zerust, NTIC does not anticipate that the expenses in connection with this ongoing litigation will be significant. However, no assurance can be provided that such expenses will remain insignificant.</w:t>
      </w:r>
    </w:p>
    <w:p>
      <w:pPr>
        <w:spacing w:after="0" w:line="167"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sells products and services directly, through its wholly-owned and majority-owned subsidiaries,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subjects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ind w:right="60"/>
        <w:spacing w:after="0" w:line="254" w:lineRule="auto"/>
        <w:rPr>
          <w:sz w:val="20"/>
          <w:szCs w:val="20"/>
          <w:color w:val="auto"/>
        </w:rPr>
      </w:pPr>
      <w:r>
        <w:rPr>
          <w:rFonts w:ascii="Arial" w:cs="Arial" w:eastAsia="Arial" w:hAnsi="Arial"/>
          <w:sz w:val="18"/>
          <w:szCs w:val="18"/>
          <w:color w:val="auto"/>
        </w:rPr>
        <w:t>Several factors, including the implications of “Brexit” as described below, implications of withdrawal by the U.S. from, or revision to, international trade agreements, including the potential withdrawal from NAFTA,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NTIC sells its products directly or indirectly through NTIC China, Zerust Brazil, Natur-Tec India, Zerust Mexico,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92" w:lineRule="exact"/>
        <w:rPr>
          <w:sz w:val="20"/>
          <w:szCs w:val="20"/>
          <w:color w:val="auto"/>
        </w:rPr>
      </w:pPr>
    </w:p>
    <w:p>
      <w:pPr>
        <w:ind w:left="660" w:right="2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or terrorist 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Furthermore, in June 2016, the United Kingdom held a referendum in which voters approved an exit from the European Union, commonly referred to as “Brexit.” As a result of the referendum, negotiations have commenced to determine the future terms of the United Kingdom’s relationship with the European Union, including the terms of trade between the United Kingdom and the European Union either during a transitional period or more permanently. Although it is unknown what those terms will be, it is possible that there will be greater restrictions on the movement of goods and people between the United Kingdom and European Union countries and increased regulatory complexities, which could affect NTIC’s ability to sell its products in certain European Union countries. Brexit could lead to legal uncertainty and potentially divergent national laws and regulations as the United Kingdom determines which European Union laws to replace or replicate. Brexit could adversely affect European and worldwide economic and market conditions and could contribute to instability in global financial and foreign exchange markets, including volatility in the value of the British pound and Euro. In addition, other European countries may seek to conduct referenda with respect to continuing membership with the European Union. NTIC does not know to what extent these changes will impact its business. Any of these effects of Brexit, and others that NTIC cannot anticipate, could adversely affect its business, operations and financial results.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12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7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NTIC’s revenue and earnings.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which has led to decreased pricing and smaller margins for NTIC. Recently, NTIC has experienced lower margins on its contracts with Chinese automotive customers. NTIC anticipates that such intense competition likely will continue and that new competitors may emerge, including plastic extrusion companies, which would continue to adversely affect NTIC’s operating results.</w:t>
      </w:r>
    </w:p>
    <w:p>
      <w:pPr>
        <w:spacing w:after="0" w:line="157"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179"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generate a significant portion of NTIC’s net sales and the net sales of NTIC’s joint ventures. During fiscal 2017, 82.9%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right="10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8"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majority of NTIC’s research and development expense in fiscal 2017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35"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2018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5" w:name="page26"/>
    <w:bookmarkEnd w:id="25"/>
    <w:p>
      <w:pPr>
        <w:spacing w:after="0" w:line="269"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46"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0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NTIC’s dependence on manufacturing and logistical services provided by contractors could give rise to product defect or warranty liability.</w:t>
      </w:r>
    </w:p>
    <w:p>
      <w:pPr>
        <w:spacing w:after="0" w:line="23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NTIC uses certain third party manufacturers to produce some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products defects could harm NTIC’s reputation amongst its customers.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69" w:right="299" w:bottom="144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NTIC uses certain raw materials and components in its products, including in particular plastic resins, which are subject to price increases. Changes to international trade agreements could result in additional tariffs, duties or other charges on raw materials or components we import into the U.S. Increases in prices for raw materials and components used in NTIC’s products could adversely affect NTIC’s gross margins and other operating results.</w:t>
      </w:r>
    </w:p>
    <w:p>
      <w:pPr>
        <w:spacing w:after="0" w:line="123" w:lineRule="exact"/>
        <w:rPr>
          <w:sz w:val="20"/>
          <w:szCs w:val="20"/>
          <w:color w:val="auto"/>
        </w:rPr>
      </w:pPr>
    </w:p>
    <w:p>
      <w:pPr>
        <w:ind w:right="600"/>
        <w:spacing w:after="0" w:line="204"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02"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finished products.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may grow its business through additional joint ventures, alliances and acquisitions, which could be risky and harm its business.</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8" w:name="page29"/>
    <w:bookmarkEnd w:id="28"/>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1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5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3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right="240"/>
        <w:spacing w:after="0" w:line="210" w:lineRule="auto"/>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NTIC’s business if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are involved, even if the cause of such events was not related to NTIC’s products.</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spacing w:after="0" w:line="133" w:lineRule="exact"/>
        <w:rPr>
          <w:sz w:val="20"/>
          <w:szCs w:val="20"/>
          <w:color w:val="auto"/>
        </w:rPr>
      </w:pPr>
    </w:p>
    <w:p>
      <w:pPr>
        <w:ind w:right="60"/>
        <w:spacing w:after="0" w:line="204" w:lineRule="auto"/>
        <w:rPr>
          <w:sz w:val="20"/>
          <w:szCs w:val="20"/>
          <w:color w:val="auto"/>
        </w:rPr>
      </w:pPr>
      <w:r>
        <w:rPr>
          <w:rFonts w:ascii="Arial" w:cs="Arial" w:eastAsia="Arial" w:hAnsi="Arial"/>
          <w:sz w:val="18"/>
          <w:szCs w:val="18"/>
          <w:color w:val="auto"/>
        </w:rPr>
        <w:t>In the past, NTIC has experienced some seasonality with respect to the sale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with sales during parts of the second and third fiscal quarters being adversely affected by winter in the United States. In addition, the sale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particularly in the United States, have been and may continue to be hampered by low global crude oil prices, which NTIC believes constrains capital improvement budgets of its existing and prospective customers and may result in personnel turnover at its oil and gas customers or prospects.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weather could have a material adverse effect on our business.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business could be materially and adversely affected by severe weather. Our customers, including in particular our oil and gas customers, may have operations located in parts of the southern United States or other places and may be adversely affected by hurricanes and tropical storms, resulting in reduced demand for our products and services or increased operating costs. Furthermore, our customers and raw material suppliers’ operations may be adversely affected by such hurricanes and other extreme or seasonal weather conditions. Adverse weather can also directly impede our own operations. Repercussions of severe weather conditions may include:</w:t>
      </w:r>
    </w:p>
    <w:p>
      <w:pPr>
        <w:spacing w:after="0" w:line="188" w:lineRule="exact"/>
        <w:rPr>
          <w:sz w:val="20"/>
          <w:szCs w:val="20"/>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curtailment of services or reduced demand for products;</w:t>
      </w:r>
    </w:p>
    <w:p>
      <w:pPr>
        <w:spacing w:after="0" w:line="23" w:lineRule="exact"/>
        <w:rPr>
          <w:rFonts w:ascii="Arial" w:cs="Arial" w:eastAsia="Arial" w:hAnsi="Arial"/>
          <w:sz w:val="18"/>
          <w:szCs w:val="18"/>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weather-related damage to facilities and equipment, resulting in suspension of operations;</w:t>
      </w:r>
    </w:p>
    <w:p>
      <w:pPr>
        <w:spacing w:after="0" w:line="9" w:lineRule="exact"/>
        <w:rPr>
          <w:rFonts w:ascii="Arial" w:cs="Arial" w:eastAsia="Arial" w:hAnsi="Arial"/>
          <w:sz w:val="18"/>
          <w:szCs w:val="18"/>
          <w:color w:val="auto"/>
        </w:rPr>
      </w:pPr>
    </w:p>
    <w:p>
      <w:pPr>
        <w:ind w:left="700" w:right="640" w:hanging="327"/>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deliver equipment, personnel and products to job sites in accordance with contract schedules or increased transportation or other operating costs; and</w:t>
      </w: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delay our operations and materially increase our operating and capital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as a whole. NTIC’s current management, other than its President and Chief Executive Officer, does not have any material stock ownership in NTIC.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69"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0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manufacture, sale and use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are in compliance with all FDA requirements. However, failure to comply with FDA regulations could subject NTIC to administrative, civil or criminal penalties.</w:t>
      </w:r>
    </w:p>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business could be negatively impacted by cyber security threats.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a quarterly basis, NTIC typically provides projected annual financial information, including its anticipated annual net sales and net earnings. These financial projections are based on management’s then-current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25" w:lineRule="exact"/>
        <w:rPr>
          <w:sz w:val="20"/>
          <w:szCs w:val="20"/>
          <w:color w:val="auto"/>
        </w:rPr>
      </w:pPr>
    </w:p>
    <w:p>
      <w:pPr>
        <w:spacing w:after="0" w:line="207" w:lineRule="auto"/>
        <w:rPr>
          <w:sz w:val="20"/>
          <w:szCs w:val="20"/>
          <w:color w:val="auto"/>
        </w:rPr>
      </w:pPr>
      <w:r>
        <w:rPr>
          <w:rFonts w:ascii="Arial" w:cs="Arial" w:eastAsia="Arial" w:hAnsi="Arial"/>
          <w:sz w:val="17"/>
          <w:szCs w:val="17"/>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 of the typical size of individual orders and overall size of NTIC’s net sales derived from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timing of one or more orders can materially affect NTIC’s quarterly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the comparisons to prior year quarters. Furthermore, since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carry higher margins than other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amount of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has concluded that NTIC’s internal control over financial reporting was effective as of August 31, 2017, no assurance can be provided that NTIC’s management will reach a similar conclusion as of any later date. NTIC’s failure to maintain effective internal control over financial reporting may have an adverse effect on its stock price.</w:t>
      </w:r>
    </w:p>
    <w:p>
      <w:pPr>
        <w:spacing w:after="0" w:line="182"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business is subject to a number of other miscellaneous risks that may adversely affect NTIC’s operating results, financial condition or business, such as natural or man-made disasters, an unexpected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 of shares of NTIC’s common stock being traded on a daily basis is often very low and on some trading days, there is no trading volume at all. During fiscal 2017, the daily trading volume ranged from zero shares to 44,502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2017, the sale price of NTIC’s common stock ranged from a low of $12.60 per share to a high of $19.30 per share, and the daily trading volume ranged from zero shares to 44,502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 its annual projected financial guidance.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November 15, 2017, NTIC had 4,537,408 shares of common stock outstanding, of which 19.6%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November 15, 2017, Inter Alia Holding Company, or Inter Alia, beneficially owned approximately 13.3%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 Additionally, NTIC has contract warehousing agreements in place in California and Indiana to hold and release stock products to customers. NTIC’s subsidiaries in Brazil, India, Mexico and China all lease office, warehouse and laboratory space. NTIC’s management considers its current properties suitable and adequate for its current and foreseeable needs.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August 31, 2017, NTIC is not able to reasonably estimate the amount of any recovery to NTI Asean, if any.</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April 21, 2015, NTIC and NTI Asean initiated a lawsuit in the District Court for the Second Judicial District, County of Ramsey, State of Minnesota against Cortec Corporation (Cortec) alleging, among other things, that Cortec Corporation aided and abetted breaches of duties and contractual commitments owed to NTIC and NTI Asean related to NTIC’s joint venture in China, Tianjin Zerust. After fully litigating the case through discovery and dispositive motion practice, on February 16, 2017, the Minnesota court denied both sides’ motions for summary judgment and, </w:t>
      </w:r>
      <w:r>
        <w:rPr>
          <w:rFonts w:ascii="Arial" w:cs="Arial" w:eastAsia="Arial" w:hAnsi="Arial"/>
          <w:sz w:val="17"/>
          <w:szCs w:val="17"/>
          <w:i w:val="1"/>
          <w:iCs w:val="1"/>
          <w:color w:val="auto"/>
        </w:rPr>
        <w:t>sua sponte</w:t>
      </w:r>
      <w:r>
        <w:rPr>
          <w:rFonts w:ascii="Arial" w:cs="Arial" w:eastAsia="Arial" w:hAnsi="Arial"/>
          <w:sz w:val="17"/>
          <w:szCs w:val="17"/>
          <w:color w:val="auto"/>
        </w:rPr>
        <w:t>, dismissed without prejudice NTIC’s and NTI Asean’s claims based on a non-exclusive forum-selection clause contained in a 2005 settlement agreement between NTIC and Cortec. While NTIC had strong arguments to appeal the Minnesota court’s decision, an appeal would have meant a significant delay to the resolution of the dispute. On April 21, 2017, NTIC re-filed the lawsuit in the United States District Court for the Northern District of Ohio. On September 20, 2017, following a jury trial that commenced on September 18, 2017, the United States District Court for the Northern District of Ohio dismissed with prejudice all claims asserted by NTIC in the lawsuit. NTIC chose not to appeal the Court’s dismissal of the case.</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NTIC is subject to various ongoing or threatened legal actions and proceedings, including those that arise in the ordinary course of business, which may include employment matters and breach of contract disputes. Such matters are subject to many uncertainties and to outcomes that are not predictable with assurance and that may not be known for extended periods of time. In the opinion of management, the outcome of such routine ongoing litigation is not expected to have a material adverse effect on NTIC’s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50</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43</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 and Corporate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ind w:right="14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15, 2017,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48</w:t>
            </w:r>
          </w:p>
        </w:tc>
        <w:tc>
          <w:tcPr>
            <w:tcW w:w="730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Vice President and Director – Global Market Development – Natur-Tec</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44</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Director – Global Market Development – Oil &amp; Gas</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cash dividends were declared by NTIC’s Board of Directors during the fiscal year ended August 31, 2017. On November 20, 2017, NTIC’s Board of Directors declared a cash dividend of $0.10 per share of NTIC’s common stock, payable on December 21, 2017 to stockholders of record on December 8, 2017.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2017, there were 174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2017.</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fourth quarter of fiscal 2017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 (or</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Purchased as Part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Shares</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Average Price Paid Per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34"/>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(or Units) Purchased</w:t>
            </w:r>
          </w:p>
        </w:tc>
        <w:tc>
          <w:tcPr>
            <w:tcW w:w="21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Share (or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r>
      <w:tr>
        <w:trPr>
          <w:trHeight w:val="21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2017 through June 30, 2017</w:t>
            </w:r>
          </w:p>
        </w:tc>
        <w:tc>
          <w:tcPr>
            <w:tcW w:w="18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July 1, 2017 through July 31, 2017</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August 1, 2017 through August 31, 2017</w:t>
            </w:r>
          </w:p>
        </w:tc>
        <w:tc>
          <w:tcPr>
            <w:tcW w:w="18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720" w:right="400" w:hanging="658"/>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720" w:right="540" w:hanging="65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August 31, 2017, up to $2,640,548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tables set forth certain of NTIC’s selected consolidated financial data as of the dates and for the years indicated. The selected consolidated financial data was derived from NTIC’s consolidated financial statements. The audited consolidated financial statements as of August 31, 2017 and 2016 and for the fiscal years ended August 31, 2017 and 2016 are included elsewhere in this report. The audited consolidated financial statements as of August 31, 2015, 2014 and 2013 and for the fiscal years ended August 31, 2015, 2014 and 2013 are not included in this report. Historical results are not necessarily indicative of the results to be expected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Fiscal Year Ended August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36,346,645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30,211,660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27,491,392</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23,601,514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19,724,205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sales, to joint ventures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3,222,478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2,721,905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2,831,301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3,224,594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39,569,123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32,933,565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30,322,693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26,826,108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26,316,511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22,320,156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20,555,932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17,803,153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13,252,612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10,613,409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9,766,761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9,022,955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5,898,908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4,743,831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5,936,565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5,920,603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5,237,711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5,452,687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5,137,710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5,715,491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8,142,863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joint venture operations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11,351,595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9,881,541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11,652,056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14,063,466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12,590,691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9,283,310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6,255,353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5,820,748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5,221,738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7,807,563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8,232,369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8,399,146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6,801,545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5,993,176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2,912,393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4,724,596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4,047,279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4,368,752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3,815,515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20,003,266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19,212,318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18,267,173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16,392,035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14,654,367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4,600,941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1,282,551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3,151,644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43,539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42,115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34,835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Impairment on investment at carrying value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(1,883,668)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4,624,098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(572,182)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3,166,034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6,663,074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5,617,501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699,519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626,120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648,674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1,124,662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3,924,579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(1,198,302)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2,517,360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5,538,412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4,753,501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502,453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(330,788)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727,789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1,432,040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1,386,607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NTIC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3,422,126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1,789,571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4,106,372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3,366,894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Net income (loss) attributable to NTIC per common</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Weighted-average common shares assumed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4,528,611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4,537,504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4,521,788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4,454,836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4,577,359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4,537,504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4,649,060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4,579,498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4,475,895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6,360,201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3,395,274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2,623,981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3,766,984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2,243,864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2,027,441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26,067,618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20,942,171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19,275,612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22,319,966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56,612,693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51,070,050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51,565,648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54,057,775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49,053,949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4,894,617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3,994,102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3,671,841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2,857,448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2,540,973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3,019,702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48,860,628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44,543,975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44,874,105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45,753,863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40,733,672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51,718,076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47,075,948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47,893,807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49,591,120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44,534,601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Fiscal Year Ended August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5,735,691</w:t>
            </w:r>
          </w:p>
        </w:tc>
        <w:tc>
          <w:tcPr>
            <w:tcW w:w="1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2,055,607</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(755,545)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7,422,912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1,910,702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1,901,224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1,752,842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used in by financing activities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(1,814,418)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(1,563,867)</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equivalents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1. Business—Forward-Looking Statements” and under the heading “Part I. Item 1A. Risk Factors</w:t>
      </w:r>
      <w:r>
        <w:rPr>
          <w:rFonts w:ascii="Arial" w:cs="Arial" w:eastAsia="Arial" w:hAnsi="Arial"/>
          <w:sz w:val="17"/>
          <w:szCs w:val="17"/>
          <w:color w:val="auto"/>
        </w:rPr>
        <w:t>.” The following discussion of the results of the operations and financial condition of NTIC should be read in conjunction with NTIC’s consolidated financial statements and the related notes thereto included under “</w:t>
      </w:r>
      <w:r>
        <w:rPr>
          <w:rFonts w:ascii="Arial" w:cs="Arial" w:eastAsia="Arial" w:hAnsi="Arial"/>
          <w:sz w:val="17"/>
          <w:szCs w:val="17"/>
          <w:i w:val="1"/>
          <w:iCs w:val="1"/>
          <w:color w:val="auto"/>
        </w:rPr>
        <w:t>Part II. Item 8. Financial Statements and Supplementary Data</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61" w:lineRule="exact"/>
        <w:rPr>
          <w:rFonts w:ascii="Arial" w:cs="Arial" w:eastAsia="Arial" w:hAnsi="Arial"/>
          <w:sz w:val="18"/>
          <w:szCs w:val="18"/>
          <w:color w:val="auto"/>
        </w:rPr>
      </w:pPr>
    </w:p>
    <w:p>
      <w:pPr>
        <w:jc w:val="both"/>
        <w:ind w:left="660" w:right="4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NTIC’s Subsidiaries and Joint Venture Network</w:t>
      </w:r>
      <w:r>
        <w:rPr>
          <w:rFonts w:ascii="Arial" w:cs="Arial" w:eastAsia="Arial" w:hAnsi="Arial"/>
          <w:sz w:val="18"/>
          <w:szCs w:val="18"/>
          <w:color w:val="auto"/>
        </w:rPr>
        <w:t>. This section provides a brief overview of NTIC’s subsidiaries and its joint venture network, the</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ventures which are considered individually significant to NTIC’s consolidated assets and income and how NTIC’s joint ventures are accounted for by NTIC.</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Financial Overview</w:t>
      </w:r>
      <w:r>
        <w:rPr>
          <w:rFonts w:ascii="Arial" w:cs="Arial" w:eastAsia="Arial" w:hAnsi="Arial"/>
          <w:sz w:val="16"/>
          <w:szCs w:val="16"/>
          <w:color w:val="auto"/>
        </w:rPr>
        <w:t>. This section provides a brief summary of NTIC’s financial results and financial condition for fiscal 2017 compared to 2016.</w:t>
      </w:r>
    </w:p>
    <w:p>
      <w:pPr>
        <w:spacing w:after="0" w:line="248" w:lineRule="exact"/>
        <w:rPr>
          <w:rFonts w:ascii="Arial" w:cs="Arial" w:eastAsia="Arial" w:hAnsi="Arial"/>
          <w:sz w:val="16"/>
          <w:szCs w:val="16"/>
          <w:color w:val="auto"/>
        </w:rPr>
      </w:pPr>
    </w:p>
    <w:p>
      <w:pPr>
        <w:ind w:left="660" w:right="5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This section provides an analysis of the significant line items in NTIC’s consolidated statements of operations.</w:t>
      </w:r>
    </w:p>
    <w:p>
      <w:pPr>
        <w:spacing w:after="0" w:line="225" w:lineRule="exact"/>
        <w:rPr>
          <w:rFonts w:ascii="Arial" w:cs="Arial" w:eastAsia="Arial" w:hAnsi="Arial"/>
          <w:sz w:val="18"/>
          <w:szCs w:val="18"/>
          <w:color w:val="auto"/>
        </w:rPr>
      </w:pPr>
    </w:p>
    <w:p>
      <w:pPr>
        <w:ind w:left="660" w:right="52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25" w:lineRule="exact"/>
        <w:rPr>
          <w:rFonts w:ascii="Arial" w:cs="Arial" w:eastAsia="Arial" w:hAnsi="Arial"/>
          <w:sz w:val="18"/>
          <w:szCs w:val="18"/>
          <w:color w:val="auto"/>
        </w:rPr>
      </w:pPr>
    </w:p>
    <w:p>
      <w:pPr>
        <w:ind w:left="660" w:right="48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176" w:lineRule="exact"/>
        <w:rPr>
          <w:rFonts w:ascii="Arial" w:cs="Arial" w:eastAsia="Arial" w:hAnsi="Arial"/>
          <w:sz w:val="18"/>
          <w:szCs w:val="18"/>
          <w:color w:val="auto"/>
        </w:rPr>
      </w:pPr>
    </w:p>
    <w:p>
      <w:pPr>
        <w:ind w:left="660" w:right="3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references Note 2 to NTIC’s consolidated financial statements, which summarizes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issued accounting pronouncements on NTIC’s results of operations and financial condition.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55"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183" w:lineRule="exact"/>
        <w:rPr>
          <w:sz w:val="20"/>
          <w:szCs w:val="20"/>
          <w:color w:val="auto"/>
        </w:rPr>
      </w:pPr>
    </w:p>
    <w:p>
      <w:pPr>
        <w:ind w:right="80"/>
        <w:spacing w:after="0" w:line="204" w:lineRule="auto"/>
        <w:rPr>
          <w:sz w:val="20"/>
          <w:szCs w:val="20"/>
          <w:color w:val="auto"/>
        </w:rPr>
      </w:pPr>
      <w:r>
        <w:rPr>
          <w:rFonts w:ascii="Arial" w:cs="Arial" w:eastAsia="Arial" w:hAnsi="Arial"/>
          <w:sz w:val="18"/>
          <w:szCs w:val="18"/>
          <w:color w:val="auto"/>
        </w:rPr>
        <w:t>One of NTIC’s strategic initiatives is to expand into and penetrate other markets for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64" w:lineRule="exact"/>
        <w:rPr>
          <w:sz w:val="20"/>
          <w:szCs w:val="20"/>
          <w:color w:val="auto"/>
        </w:rPr>
      </w:pPr>
    </w:p>
    <w:p>
      <w:pPr>
        <w:ind w:right="60"/>
        <w:spacing w:after="0" w:line="213"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products. Internationally, NTIC sells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November 15, 2017, the country in which the subsidiary is organized and NTIC’s ownership percentage in each subsidiary: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8580" w:type="dxa"/>
            <w:vAlign w:val="bottom"/>
            <w:gridSpan w:val="2"/>
          </w:tcPr>
          <w:p>
            <w:pPr>
              <w:ind w:left="3580"/>
              <w:spacing w:after="0"/>
              <w:rPr>
                <w:sz w:val="20"/>
                <w:szCs w:val="20"/>
                <w:color w:val="auto"/>
              </w:rPr>
            </w:pPr>
            <w:r>
              <w:rPr>
                <w:rFonts w:ascii="Arial" w:cs="Arial" w:eastAsia="Arial" w:hAnsi="Arial"/>
                <w:sz w:val="18"/>
                <w:szCs w:val="18"/>
                <w:b w:val="1"/>
                <w:bCs w:val="1"/>
                <w:color w:val="auto"/>
              </w:rPr>
              <w:t>Subsidiary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Mexico</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India</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Germany</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it in the notes to NTIC’s consolidated financial statements and in this section of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NTIC’s consolidated net sales increased 20.1% during fiscal 2017 compared to fiscal 2016. This increase was primarily a result of an increase in sales of ZERUST® rust and corrosion inhibiting packaging products, sales to joint ventures and sales of Natur-Tec® products.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2017, 82.9%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18.9% to</w:t>
      </w:r>
    </w:p>
    <w:p>
      <w:pPr>
        <w:ind w:right="100"/>
        <w:spacing w:after="0" w:line="239" w:lineRule="auto"/>
        <w:rPr>
          <w:sz w:val="20"/>
          <w:szCs w:val="20"/>
          <w:color w:val="auto"/>
        </w:rPr>
      </w:pPr>
      <w:r>
        <w:rPr>
          <w:rFonts w:ascii="Arial" w:cs="Arial" w:eastAsia="Arial" w:hAnsi="Arial"/>
          <w:sz w:val="17"/>
          <w:szCs w:val="17"/>
          <w:color w:val="auto"/>
        </w:rPr>
        <w:t>$32,789,283 during fiscal 2017 compared to $27,577,566 during fiscal 2016. This increase was due to higher sales from existing customers for new and existing products as a result of increased demand. NTIC has focused its sales efforts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2017 included $1,720,162 of sales made to customers in the oil and gas industry compared to $1,739,607 for fiscal 2016. Overall demand for ZERUST® products and services depends heavily on the overall health of the markets in which NTIC sells its products, including the automotive, oil and gas, agriculture, and mining markets in particular.</w:t>
      </w:r>
    </w:p>
    <w:p>
      <w:pPr>
        <w:spacing w:after="0" w:line="179" w:lineRule="exact"/>
        <w:rPr>
          <w:sz w:val="20"/>
          <w:szCs w:val="20"/>
          <w:color w:val="auto"/>
        </w:rPr>
      </w:pPr>
    </w:p>
    <w:p>
      <w:pPr>
        <w:ind w:right="40"/>
        <w:spacing w:after="0" w:line="210" w:lineRule="auto"/>
        <w:rPr>
          <w:sz w:val="20"/>
          <w:szCs w:val="20"/>
          <w:color w:val="auto"/>
        </w:rPr>
      </w:pPr>
      <w:r>
        <w:rPr>
          <w:rFonts w:ascii="Arial" w:cs="Arial" w:eastAsia="Arial" w:hAnsi="Arial"/>
          <w:sz w:val="16"/>
          <w:szCs w:val="16"/>
          <w:color w:val="auto"/>
        </w:rPr>
        <w:t>During fiscal 2017, 17.1%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compared to 16.3% during fiscal 2016. Net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increased 26.6% to $6,779,840 during fiscal 2017 compared to fiscal 2016 primarily due to an increase in finished product sales in North America and finished product sales at NTIC’s majority owned subsidiary in India, Natur-Tec India Private Limited (Natur-Tec India).</w:t>
      </w:r>
    </w:p>
    <w:p>
      <w:pPr>
        <w:spacing w:after="0" w:line="2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 of goods sold as a percentage of net sales decreased to 66.5% during fiscal 2017 compared to 67.8% during fiscal 2016. This decrease was primarily as a result of increased net sales and cost reductions realized on the raw materials associated with NTIC’s ZERUST® industrial products.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NTIC’s equity in income from joint ventures increased 24.3% to $5,898,908 during fiscal 2017 compared to $4,743,831 during fiscal 2016. This increase was primarily due to a corresponding increase in net sales at the joint ventures, which were $101,261,132 during fiscal 2017, compared to $90,646,833 during fiscal 2016. The increase in the net sales of NTIC’s joint ventures was due primarily to higher sales from existing customers for new and existing products as a result of increased demand. The increase in net sales of NTIC’s joint ventures resulted in a corresponding increase in fees for services provided to joint ventures as such fees are a function of net sales of NTIC’s joint ventures.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NTIC’s total operating expenses increased $790,948, or 4.1%, to $20,003,266 during fiscal 2017 compared to $19,212,318 in fiscal 2016. This increase was primarily due: (i) an increase in legal expenses in North America related to the litigation against Cortec Corporation of $289,000; and (ii) an increase in NTIC’s management bonus accrual of $565,000.</w:t>
      </w:r>
    </w:p>
    <w:p>
      <w:pPr>
        <w:spacing w:after="0" w:line="18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NTIC spent $2,912,393 in fiscal 2017 in connection with its research and development activities, compared to $4,724,596 in fiscal 2016. NTIC anticipates that it will spend between $2,500,000 and $3,000,000 in fiscal 2018 on research and development activities. This significant decrease from fiscal 2016 is due to the transition of efforts from research and development to selling, general and administrative areas, specifically as they 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5" w:name="page46"/>
    <w:bookmarkEnd w:id="45"/>
    <w:p>
      <w:pPr>
        <w:ind w:right="160"/>
        <w:spacing w:after="0" w:line="264" w:lineRule="auto"/>
        <w:rPr>
          <w:sz w:val="20"/>
          <w:szCs w:val="20"/>
          <w:color w:val="auto"/>
        </w:rPr>
      </w:pPr>
      <w:r>
        <w:rPr>
          <w:rFonts w:ascii="Arial" w:cs="Arial" w:eastAsia="Arial" w:hAnsi="Arial"/>
          <w:sz w:val="18"/>
          <w:szCs w:val="18"/>
          <w:color w:val="auto"/>
        </w:rPr>
        <w:t>Net income (loss) attributable to NTIC increased to net income of $3,422,126, or $0.75 per diluted common share, for fiscal 2017 compared to net loss of $(867,514), or $(0.19) per diluted common share, for fiscal 2016. This increase was primarily the result of the increase in gross profit, partially offset by the increase in operating expenses.</w:t>
      </w:r>
    </w:p>
    <w:p>
      <w:pPr>
        <w:spacing w:after="0" w:line="181" w:lineRule="exact"/>
        <w:rPr>
          <w:sz w:val="20"/>
          <w:szCs w:val="20"/>
          <w:color w:val="auto"/>
        </w:rPr>
      </w:pPr>
    </w:p>
    <w:p>
      <w:pPr>
        <w:ind w:right="20"/>
        <w:spacing w:after="0" w:line="191" w:lineRule="auto"/>
        <w:rPr>
          <w:sz w:val="20"/>
          <w:szCs w:val="20"/>
          <w:color w:val="auto"/>
        </w:rPr>
      </w:pPr>
      <w:r>
        <w:rPr>
          <w:rFonts w:ascii="Arial" w:cs="Arial" w:eastAsia="Arial" w:hAnsi="Arial"/>
          <w:sz w:val="18"/>
          <w:szCs w:val="18"/>
          <w:color w:val="auto"/>
        </w:rPr>
        <w:t>NTIC anticipates that its quarterly net income will continue to remain subject to significant volatility primarily due to the financial performance of its subsidiaries and joint ventures and sales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products, which sales fluctuate more on a quarterly basis than the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NTIC also anticipates that its operating results will remain volatile primarily as a result of the changes in its Chinese operations.</w:t>
      </w:r>
    </w:p>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NTIC’s working capital was $21,172,997 at August 31, 2017, including $6,360,201, in cash and cash equivalents and $3,766,984 in available for sale securities, compared to $16,948,069 at August 31, 2016, including $3,395,274 in cash and cash equivalents and $2,243,864 in available for sale securities.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 cash dividends were declared by NTIC’s Board of Directors during the fiscal year ended August 31, 2017. On November 20, 2017, NTIC’s Board of Directors declared a cash dividend of $0.10 per share of NTIC’s common stock, payable on December 21, 2017 to stockholders of record on December 8, 2017.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173" w:lineRule="exact"/>
        <w:rPr>
          <w:sz w:val="20"/>
          <w:szCs w:val="20"/>
          <w:color w:val="auto"/>
        </w:rPr>
      </w:pPr>
    </w:p>
    <w:p>
      <w:pPr>
        <w:ind w:right="40"/>
        <w:spacing w:after="0" w:line="217"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6" w:name="page47"/>
    <w:bookmarkEnd w:id="46"/>
    <w:p>
      <w:pPr>
        <w:ind w:right="28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each joint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Fees for Services Provided to Joint Ventures</w:t>
      </w:r>
      <w:r>
        <w:rPr>
          <w:rFonts w:ascii="Arial" w:cs="Arial" w:eastAsia="Arial" w:hAnsi="Arial"/>
          <w:sz w:val="17"/>
          <w:szCs w:val="17"/>
          <w:color w:val="auto"/>
        </w:rPr>
        <w:t>. NTIC provides certain services to its joint ventures including consulting, legal, travel, insurance, technical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stock-based compensation, finance, legal, information technology and human resources functions.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any borrowings under NTIC’s line of credit with PNC Bank.</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Income tax expense includes federal income taxes, foreign withholding taxes, income tax of consolidated entities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state income tax and 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to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2017 and fiscal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34"/>
        </w:trPr>
        <w:tc>
          <w:tcPr>
            <w:tcW w:w="3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2017</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2016</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36,346,645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30,211,660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6,134,985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3,222,478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2,721,905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500,573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26,316,511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22,320,156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3,996,355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5,898,908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4,743,831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1,155,077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Fees for services provided to joint ventures</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5,452,687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5,137,710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314,977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Selling expenses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9,283,310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6,255,353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3,027,957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7,807,563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8,232,369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2,912,393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4,724,596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(1,812,203)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3"/>
              </w:rPr>
              <w:t>Impairment of investment at carrying value</w:t>
            </w: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1,883,668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1,883,668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20.1% to $39,569,123 during fiscal 2017 compared to $32,933,565 during fiscal 2016. NTIC’s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to unaffiliated customers excluding NTIC’s joint ventures increased 20.3% to $36,346,645 during fiscal 2017 compared to $30,211,660 during fiscal 2016. These increases were primarily a result of increased demand from the addition of new customers in North America and China and an increase in sales of our Natur-Tec® products. Net sales to joint ventures increased 18.4% to $3,222,478 in fiscal 2017 compared to fiscal 2016. This increase was due primarily to the increase in sales at the joint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2017 and fiscal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Fiscal 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Fiscal 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net sales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32,789,283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27,577,566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5,211,717</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5620" w:type="dxa"/>
            <w:vAlign w:val="bottom"/>
            <w:tcBorders>
              <w:bottom w:val="single" w:sz="8" w:color="CCEEFF"/>
            </w:tcBorders>
          </w:tcPr>
          <w:p>
            <w:pPr>
              <w:spacing w:after="0" w:line="230" w:lineRule="exact"/>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6,779,840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5,355,999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1,423,841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39,569,123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6,635,558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2017, 82.9%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18.9% to</w:t>
      </w:r>
    </w:p>
    <w:p>
      <w:pPr>
        <w:ind w:right="40"/>
        <w:spacing w:after="0" w:line="204" w:lineRule="auto"/>
        <w:rPr>
          <w:sz w:val="20"/>
          <w:szCs w:val="20"/>
          <w:color w:val="auto"/>
        </w:rPr>
      </w:pPr>
      <w:r>
        <w:rPr>
          <w:rFonts w:ascii="Arial" w:cs="Arial" w:eastAsia="Arial" w:hAnsi="Arial"/>
          <w:sz w:val="16"/>
          <w:szCs w:val="16"/>
          <w:color w:val="auto"/>
        </w:rPr>
        <w:t>$32,789,283 compared to $27,577,566 during fiscal 2016. This increase was due to increased demand from existing customers and the addition of new customers primarily in the industrial market, partially offset by a decrease in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joint venture net sales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fiscal 2017 and fiscal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Fiscal 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Fiscal 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industrial 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27,846,643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23,124,461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4,722,182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5580" w:type="dxa"/>
            <w:vAlign w:val="bottom"/>
          </w:tcPr>
          <w:p>
            <w:pPr>
              <w:spacing w:after="0" w:line="216" w:lineRule="exact"/>
              <w:rPr>
                <w:sz w:val="20"/>
                <w:szCs w:val="20"/>
                <w:color w:val="auto"/>
              </w:rPr>
            </w:pPr>
            <w:r>
              <w:rPr>
                <w:rFonts w:ascii="Arial" w:cs="Arial" w:eastAsia="Arial" w:hAnsi="Arial"/>
                <w:sz w:val="16"/>
                <w:szCs w:val="16"/>
                <w:color w:val="auto"/>
              </w:rPr>
              <w:t>ZERUST</w:t>
            </w:r>
            <w:r>
              <w:rPr>
                <w:rFonts w:ascii="Arial" w:cs="Arial" w:eastAsia="Arial" w:hAnsi="Arial"/>
                <w:sz w:val="25"/>
                <w:szCs w:val="25"/>
                <w:color w:val="auto"/>
                <w:vertAlign w:val="superscript"/>
              </w:rPr>
              <w:t>®</w:t>
            </w:r>
            <w:r>
              <w:rPr>
                <w:rFonts w:ascii="Arial" w:cs="Arial" w:eastAsia="Arial" w:hAnsi="Arial"/>
                <w:sz w:val="16"/>
                <w:szCs w:val="16"/>
                <w:color w:val="auto"/>
              </w:rPr>
              <w:t xml:space="preserve"> joint venture net sales</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3,222,478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2,713,498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508,980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558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&amp; gas net sales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1,720,162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1,739,607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70"/>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32,789,283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27,577,566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5,211,717</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18" w:lineRule="exact"/>
        <w:rPr>
          <w:sz w:val="20"/>
          <w:szCs w:val="20"/>
          <w:color w:val="auto"/>
        </w:rPr>
      </w:pPr>
    </w:p>
    <w:p>
      <w:pPr>
        <w:spacing w:after="0" w:line="183" w:lineRule="auto"/>
        <w:rPr>
          <w:sz w:val="20"/>
          <w:szCs w:val="20"/>
          <w:color w:val="auto"/>
        </w:rPr>
      </w:pPr>
      <w:r>
        <w:rPr>
          <w:rFonts w:ascii="Arial" w:cs="Arial" w:eastAsia="Arial" w:hAnsi="Arial"/>
          <w:sz w:val="17"/>
          <w:szCs w:val="17"/>
          <w:color w:val="auto"/>
        </w:rPr>
        <w:t>During fiscal 2017, 17.1% of NTIC’s consolidated net sales were derived from sales of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compared to 16.3% during fiscal 2016. Sales of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increased 26.6% to $6,779,840 during fiscal 2017 compared to $5,355,999 during fiscal 2016. This increase was due to the addition of new customers in North America and India as well as increased sales by existing distributors. Demand for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around the world depends primarily on market acceptance and the reach of NTIC’s distribution network. Because of the typical size of individual orders and overall size of NTIC’s net sales derived from sales of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the timing of one or more orders can materially affect NTIC’s quarterly sales of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and the comparisons to prior fiscal year quarters.</w:t>
      </w:r>
    </w:p>
    <w:p>
      <w:pPr>
        <w:spacing w:after="0" w:line="203" w:lineRule="exact"/>
        <w:rPr>
          <w:sz w:val="20"/>
          <w:szCs w:val="20"/>
          <w:color w:val="auto"/>
        </w:rPr>
      </w:pPr>
    </w:p>
    <w:p>
      <w:pPr>
        <w:ind w:right="200"/>
        <w:spacing w:after="0" w:line="305"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17.9% in fiscal 2017 compared to fiscal 2016 primarily as a result of the increase in net sales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Cost of goods sold as a percentage of net sales decreased to 66.5% during fiscal 2017 compared to 67.8% during fiscal 2016. This decrease was primarily as a result of increased net sales and cost reductions realized on the raw materials associated with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w:t>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Equity in Income from Joint Ventures</w:t>
      </w:r>
      <w:r>
        <w:rPr>
          <w:rFonts w:ascii="Arial" w:cs="Arial" w:eastAsia="Arial" w:hAnsi="Arial"/>
          <w:sz w:val="18"/>
          <w:szCs w:val="18"/>
          <w:color w:val="auto"/>
        </w:rPr>
        <w:t>. NTIC’s equity in income from joint ventures increased 24.3% to $5,898,908 during fiscal 2017 compared to $4,743,831</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2016. This increase was primarily a result of improved sales and profitability at the joint ventures. Specifically, of the total equity in income from joint ventures, NTIC had equity in income from joint ventures of $4,185,988 attributable to EXCOR during fiscal 2017 compared to $3,534,113 attributable to EXCOR during fiscal 2016. This increase was due to overall increases in sales and profitability at EXCOR. NTIC had equity in income of all other joint ventures of $1,712,920 during fiscal 2017 compared to $1,205,592 during fiscal 2016.</w:t>
      </w:r>
    </w:p>
    <w:p>
      <w:pPr>
        <w:spacing w:after="0" w:line="188"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$5,452,687 during fiscal 2017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$5,137,710 during fiscal 2016, representing an increase of 6.1% or $314,977. The increase in fees for services provided to joint ventures was a result of an increase in total sales at all joint ventures, which were $101,261,132 during fiscal 2017 compared to $90,646,833 during fiscal 2016, an increase of 11.7%.</w:t>
      </w:r>
    </w:p>
    <w:p>
      <w:pPr>
        <w:ind w:right="20"/>
        <w:spacing w:after="0" w:line="252" w:lineRule="auto"/>
        <w:rPr>
          <w:sz w:val="20"/>
          <w:szCs w:val="20"/>
          <w:color w:val="auto"/>
        </w:rPr>
      </w:pPr>
      <w:r>
        <w:rPr>
          <w:rFonts w:ascii="Arial" w:cs="Arial" w:eastAsia="Arial" w:hAnsi="Arial"/>
          <w:sz w:val="18"/>
          <w:szCs w:val="18"/>
          <w:color w:val="auto"/>
        </w:rPr>
        <w:t>Net sales of NTIC’s joint ventures increased due primarily to stronger economic trends and a stronger Euro. Sales of NTIC’s joint ventures are not included in NTIC’s product sales and are not combined with NTIC’s sales in NTIC’s consolidated financial statements or in any description of NTIC’s sales. Of NTIC’s fee income for services provided to joint ventures, $838,627 was attributable to EXCOR during fiscal 2017 compared to $845,857 attributable to EXCOR during fiscal 2016. The slight decrease in fee income for services provided to joint ventures attributable to EXCOR was primarily the result of foreign currency exchange rate fluctuations. NTIC received fee income for services provided to all of its other joint ventures of $4,614,060 during fiscal 2017 compared to $4,291,835 during fiscal 2016.</w:t>
      </w:r>
    </w:p>
    <w:p>
      <w:pPr>
        <w:spacing w:after="0" w:line="1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48.4% in fiscal 2017 compared to fiscal 2016 due primarily to increases in operating expenses at Zerust</w:t>
      </w:r>
      <w:r>
        <w:rPr>
          <w:rFonts w:ascii="Arial" w:cs="Arial" w:eastAsia="Arial" w:hAnsi="Arial"/>
          <w:sz w:val="16"/>
          <w:szCs w:val="16"/>
          <w:i w:val="1"/>
          <w:iCs w:val="1"/>
          <w:color w:val="auto"/>
        </w:rPr>
        <w:t xml:space="preserve"> </w:t>
      </w:r>
      <w:r>
        <w:rPr>
          <w:rFonts w:ascii="Arial" w:cs="Arial" w:eastAsia="Arial" w:hAnsi="Arial"/>
          <w:sz w:val="16"/>
          <w:szCs w:val="16"/>
          <w:color w:val="auto"/>
        </w:rPr>
        <w:t>Brazil and NTIC China, consisting primarily of selling and personnel expense associated with increased sales efforts, and the transition of expenses that were previously focused on research and development efforts, but now relate to selling, specifically as they relate to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business, since most of the expenses related to these business units are no longer in the research and development phase of product development. Selling expenses as a percentage of net sales increased to 23.5% in fiscal 2017 compared to 19.0% in fiscal 2016 primarily due to the increase in selling expenses, as previously described, partially offset by the increase in net sales as previously described.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49" w:name="page50"/>
    <w:bookmarkEnd w:id="49"/>
    <w:p>
      <w:pPr>
        <w:spacing w:after="0" w:line="272"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decreased by 5.2% in fiscal 2017 compared to fiscal 2016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cost savings initiatives, partially offset by: (i) the transition of expenses that were previously focused on research and development efforts, but now relate to general and administrative focus, specifically as they relate to Natur-Tec® products and the ZERUST® oil and gas business, since most of the expenses related to these business units are no longer in the research and development phase of product development; and (ii) an increase in legal expenses in North America related to the litigation against Cortec Corporation, which increased $289,000 for the fiscal year comparison. The general and administrative expenses as a percentage of net sales decreased to 19.7% for fiscal 2017 from 25.0% for fiscal 2016 due primarily to the increase in net sales and the decrease in general and administrative expenses as previously described.</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38.4% in fiscal 2017 compared to fiscal 2016. These decreases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due primarily to the transition of resources that were previously devoted towards research and development to selling and general and administrative efforts, as previously described.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$43,539 in fiscal 2017 compared to $42,115 in fiscal 2016. This was primarily due to slightly changing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investments during fiscal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$20,382 in fiscal 2017 compared to $13,261 in fiscal 2016. This decrease was primarily due to slightly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outstanding debt levels during fiscal 2017.</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Impairment on Investment at Carrying Value</w:t>
      </w:r>
      <w:r>
        <w:rPr>
          <w:rFonts w:ascii="Arial" w:cs="Arial" w:eastAsia="Arial" w:hAnsi="Arial"/>
          <w:sz w:val="17"/>
          <w:szCs w:val="17"/>
          <w:color w:val="auto"/>
        </w:rPr>
        <w:t>. NTIC’s impairment on investment at carrying value for fiscal 2016 was attributable to its investment in Tianjin</w:t>
      </w:r>
      <w:r>
        <w:rPr>
          <w:rFonts w:ascii="Arial" w:cs="Arial" w:eastAsia="Arial" w:hAnsi="Arial"/>
          <w:sz w:val="17"/>
          <w:szCs w:val="17"/>
          <w:i w:val="1"/>
          <w:iCs w:val="1"/>
          <w:color w:val="auto"/>
        </w:rPr>
        <w:t xml:space="preserve"> </w:t>
      </w:r>
      <w:r>
        <w:rPr>
          <w:rFonts w:ascii="Arial" w:cs="Arial" w:eastAsia="Arial" w:hAnsi="Arial"/>
          <w:sz w:val="17"/>
          <w:szCs w:val="17"/>
          <w:color w:val="auto"/>
        </w:rPr>
        <w:t>Zerust. Specifically, as of August 31, 2016, for accounting purposes, NTIC’s joint venture investment in Tianjin Zerust was fully impaired, based on additional information regarding the financial position of the investment that was obtained by NTIC through the legal proceeding in China that has been ongoing. As of August 31, 2016, the carrying value of Tianjin Zerust prior to impairment was $1,883,668, of which the net impact to NTIC was $1,130,201 based on the 60% ownership of NTI Asean. As of August 31, 2016, the carrying value, for accounting purposes, was $0.</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Income (Loss) Before Income Tax Expense</w:t>
      </w:r>
      <w:r>
        <w:rPr>
          <w:rFonts w:ascii="Arial" w:cs="Arial" w:eastAsia="Arial" w:hAnsi="Arial"/>
          <w:sz w:val="18"/>
          <w:szCs w:val="18"/>
          <w:color w:val="auto"/>
        </w:rPr>
        <w:t>. NTIC realized income before income tax expense of $4,624,098 for fiscal 2017 compared to loss before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$(572,182) for fiscal 2016.</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$699,519 for fiscal 2017 compared to $626,120 during fiscal 2016 for an effective rate of 15.1% and (109.4)%,</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NTIC’s annual effective income tax rate during fiscal 2017 and 2016 was lower than the statutory rate primarily due to foreign withholding taxes and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to reduce deferred tax assets to the amount expected to be realized when it is more likely than not that some portion or all of its deferred tax assets will not be realized. NTIC determined based on all available evidence, including historical data and projections of future results, that it is more likely than not that all of its deferred tax assets, except for its foreign tax credit carryforward, federal and Minnesota research and development credit carryforwards, and foreign net operating loss carryforwards will be fully realized. NTIC determined that its deferred tax asset related to foreign tax credit carryforwards will not be realized due to insufficient federal taxable income within the carryforward period and the fact that for ordering purposes the foreign tax credit carryforwards are not allowed to be utilized until after any current year foreign tax credits are utilized. In addition, based on historical data and future projections, NTIC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 NTIC determined that its deferred tax asset related to foreign net operating loss carryforwards will not be utilized due to insufficient taxable income within the carryforward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$17,960,860 and $17,779,912 as of August 31, 2017 and August 31, 2016,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changes in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fluctuations of the U.S. dollar compared to the Euro and other foreign currencies during fiscal 2017 compared to fiscal 2016</w:t>
      </w:r>
      <w:r>
        <w:rPr>
          <w:rFonts w:ascii="Arial" w:cs="Arial" w:eastAsia="Arial" w:hAnsi="Arial"/>
          <w:sz w:val="17"/>
          <w:szCs w:val="17"/>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2017, NTIC’s working capital was $21,172,997, including $6,360,201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$3,766,984 in available for sale securities, compared to working capital of $16,948,069, including $3,395,274 in cash and cash equivalents as of August 31, 2016 and $2,243,864 in available for sale securities.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August 31, 2017,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2017, NTIC was in compliance with all debt covenants.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January 11, 2017, PNC Bank extended the maturity date of the line of credit from January 7, 2017 to January 7, 2018 under substantially similar terms. It is anticipated that, as historically has been the practice, the line of credit will be renewed each year for one additional year for the immediate foreseeable future.</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fiscal 2018, NTIC expects to continue to invest in NTIC China, research and development and in marketing efforts and resources into the application of its corrosion prevention technology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1" w:name="page52"/>
    <w:bookmarkEnd w:id="51"/>
    <w:p>
      <w:pPr>
        <w:spacing w:after="0" w:line="302"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Uses of Cash and Cash Flow. </w:t>
      </w:r>
      <w:r>
        <w:rPr>
          <w:rFonts w:ascii="Arial" w:cs="Arial" w:eastAsia="Arial" w:hAnsi="Arial"/>
          <w:sz w:val="16"/>
          <w:szCs w:val="16"/>
          <w:color w:val="auto"/>
        </w:rPr>
        <w:t>Net cash provided by operating activities during fiscal 2017 was $5,735,691, which resulted principally from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joint ventures, net income, an increase in accounts payable and depreciation and amortization, partially offset by NTIC’s equity in income from joint ventures and an increase in trade receivables. Net cash used in operating activities during fiscal 2016 was $2,055,606, which resulted principally from the impairment of investment at carrying value, dividends received from joint ventures, depreciation and amortization and an increase in accounts payable, partially offset by NTIC’s net loss, equity in income from joint ventures and increases in receivables, inventories and accrued liabilities.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NTIC experienced an increase in receivables and inventory as of August 31, 2017 compared to August 31, 2016 due to the increase in sales and a desire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 more products to shorten lead times and anticipate customer demand. Trade receivables excluding joint ventures as of August 31, 2017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$1,157,311 compared to August 31, 2016, primarily related to miscellaneous differences in the timing of collections and the increase in sales.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excluding joint ventures balances as of August 31, 2017 increased 2 days to an average of 60 days from balances outstanding from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as of August 31, 2016. Outstanding trade receivables from joint ventures as of August 31, 2017 decreased $100,151 compared to August 31, 2016</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primarily due to the timing of payments. Outstanding balances from trade receivables from joint ventures decreased as of August 31, 2017 by an average of 28 days from an average of 107 days from balances outstanding from these customers compared to August 31, 2016. The significant average days outstanding of trade receivables from joint ventures as of August 31, 2017 were primarily due to the receivables balances at NTIC’s joint ventures in South Korea and Thailand.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ind w:right="160"/>
        <w:spacing w:after="0" w:line="308" w:lineRule="auto"/>
        <w:rPr>
          <w:sz w:val="20"/>
          <w:szCs w:val="20"/>
          <w:color w:val="auto"/>
        </w:rPr>
      </w:pPr>
      <w:r>
        <w:rPr>
          <w:rFonts w:ascii="Arial" w:cs="Arial" w:eastAsia="Arial" w:hAnsi="Arial"/>
          <w:sz w:val="17"/>
          <w:szCs w:val="17"/>
          <w:color w:val="auto"/>
        </w:rPr>
        <w:t>Outstanding receivables for services provided to joint ventures as of August 31, 2017 decreased $103,643 compared to August 31, 2016, which resulted in a decrease of 13 days of fees receivable outstanding as of August 31, 2017 to an average of 88 days compared to August 31, 2016.</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during fiscal 2017 was $2,607,915, which was primarily the result of cash used in the purchase of available for sale securities, additions to property and equipment, and additions to patents partially offset by cash provided by the sale of available for sale securities. Net cash provided by investing activities for fiscal 2016 was $995,240, which was primarily due to additions to property and equipment, purchase of available for sale securities and additions to patents.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used in financing activities for fiscal 2017 was $226,690, which resulted from a dividend paid to a non-controlling interest and the repurchase of common stock, partially offset by proceeds from NTIC’s employee stock purchase plan and stock option exercises. Net cash used in financing activities for fiscal 2016 was $270,247, which resulted from a dividend paid to a non-controlling interest and repurchases of common stock, partially offset by proceeds from NTIC’s employee stock purchase plan.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August 31, 2017, up to $2,640,548 in shares of NTIC common stock remained available for repurchase under NTIC’s stock repurchase program.</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No cash dividends were declared by NTIC’s Board of Directors during the fiscal year ended August 31, 2017. On November 20, 2017,</w:t>
      </w:r>
      <w:r>
        <w:rPr>
          <w:rFonts w:ascii="Arial" w:cs="Arial" w:eastAsia="Arial" w:hAnsi="Arial"/>
          <w:sz w:val="18"/>
          <w:szCs w:val="18"/>
          <w:i w:val="1"/>
          <w:iCs w:val="1"/>
          <w:color w:val="auto"/>
        </w:rPr>
        <w:t xml:space="preserve"> </w:t>
      </w:r>
      <w:r>
        <w:rPr>
          <w:rFonts w:ascii="Arial" w:cs="Arial" w:eastAsia="Arial" w:hAnsi="Arial"/>
          <w:sz w:val="18"/>
          <w:szCs w:val="18"/>
          <w:color w:val="auto"/>
        </w:rPr>
        <w:t>NTIC’s Board of Directors declared a cash dividend of $0.10 per share of NTIC’s common stock, payable on December 21, 2017 to stockholders of record on December 8, 2017.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8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$922,270 on capital expenditures during fiscal 2017 which related primarily to the purchase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expansion of its lab capabilities. NTIC expects to spend an aggregate of approximately $300,000 to $600,000 on capital expenditures during fiscal 2018, which it expects will relate primarily to the purchase of new equipment.</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Set forth below is information concerning NTIC’s known contractual obligations as of August 31, 2017 that are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by year starting with the twelve months ending August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vMerge w:val="restart"/>
          </w:tcPr>
          <w:p>
            <w:pPr>
              <w:jc w:val="right"/>
              <w:ind w:right="1590"/>
              <w:spacing w:after="0"/>
              <w:rPr>
                <w:sz w:val="20"/>
                <w:szCs w:val="20"/>
                <w:color w:val="auto"/>
              </w:rPr>
            </w:pPr>
            <w:r>
              <w:rPr>
                <w:rFonts w:ascii="Arial" w:cs="Arial" w:eastAsia="Arial" w:hAnsi="Arial"/>
                <w:sz w:val="18"/>
                <w:szCs w:val="18"/>
                <w:b w:val="1"/>
                <w:bCs w:val="1"/>
                <w:color w:val="auto"/>
              </w:rPr>
              <w:t>Contractual</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Less than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9"/>
              </w:rPr>
              <w:t>More than</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Obligations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1 Year</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3-5 Years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jc w:val="right"/>
              <w:ind w:right="2830"/>
              <w:spacing w:after="0"/>
              <w:rPr>
                <w:sz w:val="20"/>
                <w:szCs w:val="20"/>
                <w:color w:val="auto"/>
              </w:rPr>
            </w:pPr>
            <w:r>
              <w:rPr>
                <w:rFonts w:ascii="Arial" w:cs="Arial" w:eastAsia="Arial" w:hAnsi="Arial"/>
                <w:sz w:val="18"/>
                <w:szCs w:val="18"/>
                <w:color w:val="auto"/>
                <w:w w:val="91"/>
              </w:rPr>
              <w:t>Rent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702,427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47,884</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jc w:val="right"/>
              <w:ind w:right="347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702,427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264,919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47,884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that its net sales in second fiscal quarter were adversely affected by the long Chinese New Year, the holiday season and overall less corrosion taking place at lower winter temperatures worldwide.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2017,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and expenses incurred in support of its joint ventures as separate line items on the face of NTIC’s consolidated statements of operations. Expenses previously recorded as “Expenses incurred in support of joint ventures” have been reclassified as “General and administrative expenses” based on the reduction in direct costs associated with supporting the joint ventures. NTIC also records as separate line items trade receivables from joint ventures, receivables for fees for services provided to joint ventures and NTIC’s investments in joint ventures on its consolidated balance sheets.</w:t>
      </w:r>
    </w:p>
    <w:p>
      <w:pPr>
        <w:spacing w:after="0" w:line="17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20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 Expenses previously recorded as “Expenses incurred in support of joint ventures” have been reclassified as “General and administrative expenses” based on the reduction in direct costs associated with supporting the joint ventures.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See Note 14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subsidiaries, Northern Technologies Holding Company, LLC, NTIC (Shanghai) Co., Ltd., NTIC Europe GmbH and ZERUST-EXCOR MEXICO, S. de R.L. de C.V, and NTIC’s majority-owned subsidiary in Brazil, Zerust Prevenção de Corrosão S.A., NTIC’s majority-owned holding company, NTI Asean LLC, and NTIC’s majority-owned subsidiary in India, Natur-Tec India Private Limited. NTIC’s consolidated financial statements do not include the accounts of any of its joint ventures.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at Carrying Value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During fiscal 2016, NTIC created a reserve against the accounts receivable balance owed from Tianjin Zerust of $114,636 as, for accounting purposes, NTIC determined it to be uncollectible. NTIC’s allowance for uncollectible accounts was $40,000 as of August 31, 2017 and August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(excluding NTIC China, Zerust Brazil, Natur-Tec India, NTI Asean, Zerust Mexico, NTI Europe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 During fiscal 2016, NTIC China wrote off $198,887 of inventory that was prepared in anticipation for transitioning business from Tianjin Zerust to NTIC China during the initial formation of the entity, since not all of the business was converted and most of the inventory is customer specific. With respect to this inventory, it was determined that any remaining inventory as of August 31, 2016 that was made specific for untransitioned customers should be written down to $0.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2017, NTIC had no borrowings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09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74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900" w:type="dxa"/>
            <w:vAlign w:val="bottom"/>
            <w:gridSpan w:val="8"/>
          </w:tcPr>
          <w:p>
            <w:pPr>
              <w:spacing w:after="0"/>
              <w:rPr>
                <w:sz w:val="20"/>
                <w:szCs w:val="20"/>
                <w:color w:val="auto"/>
              </w:rPr>
            </w:pPr>
            <w:r>
              <w:rPr>
                <w:rFonts w:ascii="Arial" w:cs="Arial" w:eastAsia="Arial" w:hAnsi="Arial"/>
                <w:sz w:val="18"/>
                <w:szCs w:val="18"/>
                <w:color w:val="auto"/>
              </w:rPr>
              <w:t>The following items are included herein: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1090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42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Balance Sheets as of August 31, 2017 and 2016</w:t>
              </w:r>
            </w:hyperlink>
          </w:p>
        </w:tc>
        <w:tc>
          <w:tcPr>
            <w:tcW w:w="646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200" w:type="dxa"/>
            <w:vAlign w:val="bottom"/>
            <w:gridSpan w:val="5"/>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Operations for the years ended August 31, 2017 and 2016</w:t>
              </w:r>
            </w:hyperlink>
          </w:p>
        </w:tc>
        <w:tc>
          <w:tcPr>
            <w:tcW w:w="4700" w:type="dxa"/>
            <w:vAlign w:val="bottom"/>
            <w:gridSpan w:val="3"/>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 (Loss) for the years ended August 31, 2017 and 2016</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62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Equity for the years ended August 31, 2017 and 2016</w:t>
              </w:r>
            </w:hyperlink>
          </w:p>
        </w:tc>
        <w:tc>
          <w:tcPr>
            <w:tcW w:w="32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Cash Flows for the years ended August 31, 2017 and 2016</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4660" w:type="dxa"/>
            <w:vAlign w:val="bottom"/>
            <w:gridSpan w:val="2"/>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63-82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60" w:name="page61"/>
    <w:bookmarkEnd w:id="60"/>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as of August 31, 2017 and 2016, and the related consolidated statements of operations, comprehensive income (loss),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its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2017 and 2016 and the results of their operations and cash flows for the years then ended, in conformity with U.S. generally accepted accounting principles.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31, 2017</w:t>
            </w:r>
          </w:p>
        </w:tc>
        <w:tc>
          <w:tcPr>
            <w:tcW w:w="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August 31,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6,360,201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3,766,984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52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$40,000 at both August 31, 2017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5,912,631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4,755,320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691,752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1,302,944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7,456,552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7,711,287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26,067,618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20,942,171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20,035,074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1,756,565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23,185,413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22,852,007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2,676,610</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1,540,386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938,363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677,621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4,894,617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3,994,102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COMMITMENTS AND CONTINGENCIES (Note 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$0.02 par value per share; authorized 10,000,000 shares; issued and outstanding 4,535,018 and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4,533,416, respectively</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14,163,509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13,798,567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37,077,483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33,655,357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(2,471,064)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48,860,628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44,534,975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51,718,076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47,075,948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73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36,346,645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30,211,660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3,222,478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39,569,123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32,933,565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26,316,511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22,320,156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13,252,612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10,613,409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5,898,908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4,743,831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5,452,687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5,137,710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11,351,595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9,881,541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9,283,310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7,807,563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8,232,369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2,912,393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4,724,596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20,003,266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19,212,318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4,600,941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1,282,632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ON INVESTMENT AT CARRYING VALUE (Note 7)</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(1,883,668)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4,624,098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699,519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3,924,579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502,453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(LOSS) ATTRIBUTABLE TO NTIC</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3,422,126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(867,514)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(LOSS) ATTRIBUTABLE TO NTIC PER COMMON SHARE: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ASSUMED OUTSTANDING:</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4,528,611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4,537,504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4,577,359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4,537,504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3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3,924,579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OTHER COMPREHENSIVE INCOME (LOSS) – FOREIGN CURRENCY TRANSLATION ADJUSTMENT</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4,477,154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3,960,679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(696,320)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34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Retained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Controlling</w:t>
            </w:r>
          </w:p>
        </w:tc>
        <w:tc>
          <w:tcPr>
            <w:tcW w:w="2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AT AUGUST 31, 2015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13,441,264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34,522,871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3,019,702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47,893,807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68,522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Dividend received by non-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controlling interest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AT AUGUST 31, 2016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13,798,567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33,655,357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47,075,948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Stock option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received by non-</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controlling interest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3,422,126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538,553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7"/>
              </w:rPr>
              <w:t>BALANCE AT AUGUST 31, 2017</w:t>
            </w:r>
          </w:p>
        </w:tc>
        <w:tc>
          <w:tcPr>
            <w:tcW w:w="1100" w:type="dxa"/>
            <w:vAlign w:val="bottom"/>
          </w:tcPr>
          <w:p>
            <w:pPr>
              <w:jc w:val="right"/>
              <w:spacing w:after="0"/>
              <w:rPr>
                <w:sz w:val="20"/>
                <w:szCs w:val="20"/>
                <w:color w:val="auto"/>
              </w:rPr>
            </w:pPr>
            <w:r>
              <w:rPr>
                <w:rFonts w:ascii="Arial" w:cs="Arial" w:eastAsia="Arial" w:hAnsi="Arial"/>
                <w:sz w:val="18"/>
                <w:szCs w:val="18"/>
                <w:color w:val="auto"/>
              </w:rPr>
              <w:t>4,535,018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90,700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14,163,509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37,077,483</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(2,471,064)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2,857,448</w:t>
            </w:r>
          </w:p>
        </w:tc>
        <w:tc>
          <w:tcPr>
            <w:tcW w:w="10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51,718,076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3,924,579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Amortization expense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from joint ventures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(5,898,908)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8"/>
                <w:szCs w:val="18"/>
                <w:color w:val="auto"/>
              </w:rPr>
              <w:t>Dividends received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6,377,054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5,503,314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on investment at carrying value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8"/>
                <w:szCs w:val="18"/>
                <w:color w:val="auto"/>
              </w:rPr>
              <w:t>Loss on disposal of property and equipment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600"/>
              <w:spacing w:after="0"/>
              <w:rPr>
                <w:sz w:val="20"/>
                <w:szCs w:val="20"/>
                <w:color w:val="auto"/>
              </w:rPr>
            </w:pPr>
            <w:r>
              <w:rPr>
                <w:rFonts w:ascii="Arial" w:cs="Arial" w:eastAsia="Arial" w:hAnsi="Arial"/>
                <w:sz w:val="18"/>
                <w:szCs w:val="18"/>
                <w:color w:val="auto"/>
              </w:rPr>
              <w:t>Trade, excluding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(1,092,187)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Trade, joint ventures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600"/>
              <w:spacing w:after="0"/>
              <w:rPr>
                <w:sz w:val="20"/>
                <w:szCs w:val="20"/>
                <w:color w:val="auto"/>
              </w:rPr>
            </w:pPr>
            <w:r>
              <w:rPr>
                <w:rFonts w:ascii="Arial" w:cs="Arial" w:eastAsia="Arial" w:hAnsi="Arial"/>
                <w:sz w:val="18"/>
                <w:szCs w:val="18"/>
                <w:color w:val="auto"/>
              </w:rPr>
              <w:t>Fees for services provided to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103,643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305,268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payable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liabilities</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742,869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5,735,691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2,055,606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1,476,880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patents</w:t>
            </w:r>
          </w:p>
        </w:tc>
        <w:tc>
          <w:tcPr>
            <w:tcW w:w="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(2,607,915)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63,839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2,964,925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3,395,274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6,360,199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7600" w:type="dxa"/>
            <w:vAlign w:val="bottom"/>
            <w:gridSpan w:val="2"/>
          </w:tcPr>
          <w:p>
            <w:pPr>
              <w:jc w:val="right"/>
              <w:ind w:right="1710"/>
              <w:spacing w:after="0"/>
              <w:rPr>
                <w:sz w:val="20"/>
                <w:szCs w:val="20"/>
                <w:color w:val="auto"/>
              </w:rPr>
            </w:pPr>
            <w:r>
              <w:rPr>
                <w:rFonts w:ascii="Arial" w:cs="Arial" w:eastAsia="Arial" w:hAnsi="Arial"/>
                <w:sz w:val="18"/>
                <w:szCs w:val="18"/>
                <w:color w:val="auto"/>
              </w:rPr>
              <w:t>62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5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 and market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services in over 60 countries either directly or via a network of joint ventures, independent distributors and agents. The Company’s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certified compostable (fully biodegradable) polymer resin compounds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These products are intended to reduce the Company’s customers’ carbon footprint and provide environmentally sound disposal options. The Company’s two operating segments are ZERUST and Natur-Tec.</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participates, either directly or indirectly, in 20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NTIC evaluates its voting and variable interests in entities on a qualitative and quantitative basis. NTIC consolidates entities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and, NTIC’s majority-owned subsidiary in India, Natur-Tec India Private Limited (Natur-Tec India), NTIC’s majority-owned subsidiary in Brazil, Zerust Prevenção de Corrosão S.A. (Zerust Brazil) and NTIC’s majority-owned holding company, NTI Asean LLC (NTI Asean). NTIC’s consolidated financial statements do not include the accounts of any of its joint ventures.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90% of Natur-Tec India, 85% of Zerust Brazil and 60% of NTI Asean. The remaining ownership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non-controlling interests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the Company maintains control.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67" w:name="page68"/>
    <w:bookmarkEnd w:id="67"/>
    <w:p>
      <w:pPr>
        <w:ind w:right="6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from the sale of its products when persuasive evidence of an arrangement exists, the product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delivered, the price is fixed and determinable and collection of the resulting receivable is reasonably assured. These criteria are met when risk of loss and title pass to the customer, distributor or joint venture entity. Sales and use taxes charged to customers are reported on a net basis.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Trade Receivable </w:t>
      </w:r>
      <w:r>
        <w:rPr>
          <w:rFonts w:ascii="Arial" w:cs="Arial" w:eastAsia="Arial" w:hAnsi="Arial"/>
          <w:sz w:val="17"/>
          <w:szCs w:val="17"/>
          <w:color w:val="auto"/>
        </w:rPr>
        <w:t>– Payment terms for the Company’s unaffiliated customers are determined based on credit risk and vary by customer.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$40,000 as of August 31, 2017 and 2016.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Trade Receivables from Joint Ventures </w:t>
      </w:r>
      <w:r>
        <w:rPr>
          <w:rFonts w:ascii="Arial" w:cs="Arial" w:eastAsia="Arial" w:hAnsi="Arial"/>
          <w:sz w:val="16"/>
          <w:szCs w:val="16"/>
          <w:color w:val="auto"/>
        </w:rPr>
        <w:t>– Trade receivables from joint ventures arise from sales of products the Company makes to its joint ventures.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an allowance for doubtful accounts related to its joint venture receivables is not necessary as of August 31, 2017 or 2016.</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Fees for Services Provided to Joint Ventures – </w:t>
      </w:r>
      <w:r>
        <w:rPr>
          <w:rFonts w:ascii="Arial" w:cs="Arial" w:eastAsia="Arial" w:hAnsi="Arial"/>
          <w:sz w:val="17"/>
          <w:szCs w:val="17"/>
          <w:color w:val="auto"/>
        </w:rPr>
        <w:t>The Company provides services to its joint ventures including consulting, legal, travel, insurance,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8" w:name="page69"/>
    <w:bookmarkEnd w:id="68"/>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Buildings and improvements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Machinery and equipment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Patents and Trademarks </w:t>
      </w:r>
      <w:r>
        <w:rPr>
          <w:rFonts w:ascii="Arial" w:cs="Arial" w:eastAsia="Arial" w:hAnsi="Arial"/>
          <w:sz w:val="17"/>
          <w:szCs w:val="17"/>
          <w:color w:val="auto"/>
        </w:rPr>
        <w:t>– Patents and Trademarks, including acquisition costs, are stated at cost, less accumulated amortization. Amortization is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Investments in Joint Ventures </w:t>
      </w:r>
      <w:r>
        <w:rPr>
          <w:rFonts w:ascii="Arial" w:cs="Arial" w:eastAsia="Arial" w:hAnsi="Arial"/>
          <w:sz w:val="16"/>
          <w:szCs w:val="16"/>
          <w:color w:val="auto"/>
        </w:rPr>
        <w:t>- Investments in the Company’s joint ventures are accounted for using the equity method. Under the equity method,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recorded at cost and are adjusted for dividends, distributed and undistributed earnings and losses, changes in foreign currency exchange rates and additional investments. In the event the Company’s share of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have positive equity as of August 31, 2017 and 2016. The Company considers any of its joint ventures to be significant and discloses entity specific financial information if the joint venture’s income or assets make up more than 20% of the Company’s total assets or income.</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classifies distributions received from its joint ventures based on the nature of the distributions, generally, as a return on its investment in operating activities on the consolidated statement of cash flows.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Investment at Carrying Value </w:t>
      </w:r>
      <w:r>
        <w:rPr>
          <w:rFonts w:ascii="Arial" w:cs="Arial" w:eastAsia="Arial" w:hAnsi="Arial"/>
          <w:sz w:val="18"/>
          <w:szCs w:val="18"/>
          <w:color w:val="auto"/>
        </w:rPr>
        <w:t>– If the Company is no longer able to exercise significant influence over operating and financial policy of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9" w:name="page70"/>
    <w:bookmarkEnd w:id="69"/>
    <w:p>
      <w:pPr>
        <w:ind w:right="4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asset and liability method of accounting for income taxes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included in the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makes an adjustment to the deferred tax asset valuation allowance, which would reduce the provision for income taxes.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Foreign Currency Translation (Accumulated Other Comprehensive Income (Loss)) </w:t>
      </w:r>
      <w:r>
        <w:rPr>
          <w:rFonts w:ascii="Arial" w:cs="Arial" w:eastAsia="Arial" w:hAnsi="Arial"/>
          <w:sz w:val="16"/>
          <w:szCs w:val="16"/>
          <w:color w:val="auto"/>
        </w:rPr>
        <w:t>- The functional currency of NTIC China, Zerust Brazil, Natur-Tec India,</w:t>
      </w:r>
      <w:r>
        <w:rPr>
          <w:rFonts w:ascii="Arial" w:cs="Arial" w:eastAsia="Arial" w:hAnsi="Arial"/>
          <w:sz w:val="16"/>
          <w:szCs w:val="16"/>
          <w:i w:val="1"/>
          <w:iCs w:val="1"/>
          <w:color w:val="auto"/>
        </w:rPr>
        <w:t xml:space="preserve"> </w:t>
      </w:r>
      <w:r>
        <w:rPr>
          <w:rFonts w:ascii="Arial" w:cs="Arial" w:eastAsia="Arial" w:hAnsi="Arial"/>
          <w:sz w:val="16"/>
          <w:szCs w:val="16"/>
          <w:color w:val="auto"/>
        </w:rPr>
        <w:t>Zerust Mexico,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(excluding NTIC China, Zerust Brazil, Natur-Tec India, NTI Asean, Zerust Mexico, NTI Europe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from joint ventures reflected in the Company’s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70" w:name="page71"/>
    <w:bookmarkEnd w:id="70"/>
    <w:p>
      <w:pPr>
        <w:ind w:right="6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 of cash and cash equivalents, available for sale securities, short-term accounts and notes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payable, trade accounts payables, and other accrued expenses approximate fair value because of the short maturity of those instruments.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Company issues authorized but unissued shares of common stock upon the exercise of stock options.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 have been reclassified to conform to the current period presentation. Expenses previously recorded as “Expenses incurred in support of joint ventures” have been reclassified as “General and administrative expenses” based on the reduction in direct costs associated with supporting the joint ventures.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currently believes that the timeline established for implementation is attainable.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1" w:name="page72"/>
    <w:bookmarkEnd w:id="71"/>
    <w:p>
      <w:pPr>
        <w:spacing w:after="0" w:line="255" w:lineRule="auto"/>
        <w:rPr>
          <w:sz w:val="20"/>
          <w:szCs w:val="20"/>
          <w:color w:val="auto"/>
        </w:rPr>
      </w:pPr>
      <w:r>
        <w:rPr>
          <w:rFonts w:ascii="Arial" w:cs="Arial" w:eastAsia="Arial" w:hAnsi="Arial"/>
          <w:sz w:val="18"/>
          <w:szCs w:val="18"/>
          <w:color w:val="auto"/>
        </w:rPr>
        <w:t>During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19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Among other things, the amendments in ASU 2016-07 eliminate the requirement that when an investment qualifies for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currently assessing the impact that ASU 2016-09 will have on its consolidated financial statements.</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eliminates the diversity in practice related to the classification of certain cash receipts and payments for debt prepayments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2016-15 designates the appropriate cash flow classification, including requirements to allocate certain components of these cash receipts and payments among operating, investing and financing activities. The guidance is effective for fiscal years beginning December 15, 2017. Early adoption is permitted. The Company is currently evaluating the effects of adopting ASU 2016-15 on its consolidated financial statements, but the adoption is not expected to have a significant impact on its consolidated financial statements.</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0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1,452,396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5,709,636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6,258,891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7,456,552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7,711,287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0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6,847,177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6,528,252</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4,171,387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3,590,063</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11,328,929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10,428,680</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(3,969,267)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(3,152,808)</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5. PATENTS AND TRADEMARKS, NET</w:t>
            </w: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0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2,575,435</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(1,296,838)</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$119,033 and $119,032 for the years ended August 31, 2017 and 2016, respectively. Amortization expense is estimated to approximate $120,000 in each of the next five fiscal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that remain on the balance sheet on sales from the Company to its joint ventures and from joint ventures to other joint ventures have been eliminated for financial reporting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ventures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2017</w:t>
            </w:r>
          </w:p>
        </w:tc>
        <w:tc>
          <w:tcPr>
            <w:tcW w:w="11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51,518,210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22,142,514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29,375,696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55,633,891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24,301,194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31,332,697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10,648,507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181,210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40,334,607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19,831,627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20,502,980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20,035,074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9,915,816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10,119,258</w:t>
            </w: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17,960,860</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9,884,911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8,075,949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2017</w:t>
            </w:r>
          </w:p>
        </w:tc>
      </w:tr>
      <w:tr>
        <w:trPr>
          <w:trHeight w:val="223"/>
        </w:trPr>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101,261,132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39,849,757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61,411,375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44,861,300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21,133,632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23,727,668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11,839,933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8,369,728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3,470,205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5,898,908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4,185,988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1,712,920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Northern Technologies International Corporation's dividends received from joint ventures</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6,377,054</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5,379,062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2016</w:t>
            </w:r>
          </w:p>
        </w:tc>
        <w:tc>
          <w:tcPr>
            <w:tcW w:w="11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48,922,924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22,928,810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25,994,114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52,407,026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24,733,340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27,673,686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3,485,231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8,948,469</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100,783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21,248,109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18,624,434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19,840,774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10,624,056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9,216,728</w:t>
            </w: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17,779,912</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10,593,151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7,186,761</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2016</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90,646,833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35,138,214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55,508,619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40,440,726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18,635,421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21,805,305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9,534,771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7,049,462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2,485,309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4,743,831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3,534,113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1,209,718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9"/>
              </w:rPr>
              <w:t>Northern Technologies International Corporation’s dividends received from joint ventures</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5,503,314</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4,364,700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1,165,614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fiscal 2017 or fiscal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7. CHINA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was reported at carrying value based on the Company’s decreased level of influence over the entity, and the Company reclassified previously unrecognized gains on foreign currency translation from accumulated other comprehensive income. Any declines in the fair value were reflected as adjustments to the carrying value.</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it began the process of liquidating the joint venture entity on December 31, 2014, the Company has not received any proceeds from the assets of Tianjin Zerust. In addition, the Company has not received financial information or cooperation from its joint venture partner in determining the investment value for the year ended August 31, 2017 or 2016. During the fourth quarter of fiscal 2016, the Company obtained additional information regarding the financial position of the investment through the legal proceedings that have been ongoing (See Note 16). These circumstances resulted in the Company concluding an indication of impairment exists and that the fair value of the investment was $0 as of August 31, 2016 based on accounting principles generally accepted in the United States of America. See Note 16 regarding ongoing litigation involving Tianjin Zerust.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CORPORATE DEBT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revolving line of credit with PNC Bank of $3,000,000. No amounts were outstanding under the line of credit as of both August 31, 2017 and 2016.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The line of credit matures on January 7, 2018.</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2017, the Company was in compliance with all debt covenants.</w:t>
      </w:r>
    </w:p>
    <w:p>
      <w:pPr>
        <w:spacing w:after="0" w:line="15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August 31, 2017 and 2016 with PNC Bank. The availability of advances under the line of credit are reduced by the face amount of any letter of credit issued and outstanding (whether or not drawn) under the revolving credit facility.</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August 31, 2017, the Company had $89,543 of letters of credit with JP Morgan Chase Bank that are performance based and set to expire between 2020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2017, up to $2,640,548 in shares of common stock remained available for repurchase under the stock repurchase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5" w:name="page76"/>
    <w:bookmarkEnd w:id="75"/>
    <w:p>
      <w:pPr>
        <w:ind w:right="420"/>
        <w:spacing w:after="0" w:line="308" w:lineRule="auto"/>
        <w:rPr>
          <w:sz w:val="20"/>
          <w:szCs w:val="20"/>
          <w:color w:val="auto"/>
        </w:rPr>
      </w:pPr>
      <w:r>
        <w:rPr>
          <w:rFonts w:ascii="Arial" w:cs="Arial" w:eastAsia="Arial" w:hAnsi="Arial"/>
          <w:sz w:val="17"/>
          <w:szCs w:val="17"/>
          <w:color w:val="auto"/>
        </w:rPr>
        <w:t>During fiscal 2017, the Company repurchased and retired 14,525 shares of its common stock at an average price of $13.51 per share. During fiscal 2017, stock options to purchase an aggregate of 12,000 shares of common stock at an exercise price of $10.25 per share were exercised.</w:t>
      </w:r>
    </w:p>
    <w:p>
      <w:pPr>
        <w:spacing w:after="0" w:line="14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56,677 shares of its common stock to various employees and directors during fiscal 2017. The weighted average per share exercise price of the stock options is $13.40, which was equal to the fair market value of the Company’s common stock on the date of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to purchase shares of common stock were exercised during fiscal 2016.</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53,447 shares of its common stock to various employees and directors during fiscal 2016. The weighted average per share exercise price of the stock options is $14.85, which was equal to the fair market value of the Company’s common stock on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COMMON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common shares outstanding. Diluted net income (loss) per share assumes the exercise of stock options using the treasury stock method, if 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earnings per share computation: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7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1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3,422,126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Basic-weighted shares outstanding</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4,528,611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4,537,504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4,577,359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4,537,504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 income (loss) earnings per share:</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earnings per share:</w:t>
            </w:r>
          </w:p>
        </w:tc>
        <w:tc>
          <w:tcPr>
            <w:tcW w:w="2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48,067 options outstanding as of August 31, 2017 that were dilutive. 170,887 shares of common stock were excluded from the computation as of August 31, 2016 because the effect was anti-dilutive due to the Company’s net loss for fiscal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 these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August 31, 2017, only stock options and stock bonuses had been granted under the 2007 Plan.</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3,029 and 2,438 shares of common stock on September 1, 2016 and 2015, respectively, under the ESPP. The Company issued 1,098 and 3,144 shares on March 1, 2017 and 2016, respectively, under the ESPP.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 grants is determined at date of grant, using the Black-Scholes option pricing model with the assumptions listed below. The volatility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factor used in the Black-Scholes option pricing model is based on historical stock price fluctuations and the risk-free interest rate is based on U.S.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appropriate for the expected term. Dividend yield and expected volatility are estimated using historical amounts that are anticipated to be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values. Expected life of the option is based on the life of the option agreements. Based on these valuations, the Company recognized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of $391,664 and $427,437 during fiscal 2017 and fiscal 2016, respectively, related to the options that vested during such time period.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August 31, 2017, the total compensation cost for non-vested options not yet recognized in the Company’s consolidated statements of operations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$239,400. Stock-based compensation expense of $159,600 and $79,800 is expected to be recognized during fiscal 2018 and 2019, respectively,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as of August 31, 2017. Future option grants will impact the compensation expense recognized. Stock-based compensation expense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general and administrative expense on the consolidated statements of operations.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 2017</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4"/>
              </w:rPr>
              <w:t>August 31, 2016</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5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850"/>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Arial" w:cs="Arial" w:eastAsia="Arial" w:hAnsi="Arial"/>
                <w:sz w:val="18"/>
                <w:szCs w:val="18"/>
                <w:color w:val="auto"/>
              </w:rPr>
              <w:t>73</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241,734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53,447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Options terminated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Outstanding at August 31, 2016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283,181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2017</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307,858</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2017</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221,027</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942,314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per share fair value of options granted during fiscal 2017 and fiscal 2016 was $7.69 and $8.48, respectively. The weighted average remaining contractual life of the total options and exercisable options outstanding as of August 31, 2017 and 2016, was 6.77 years and 6.46 years,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60"/>
        <w:spacing w:after="0" w:line="225"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Natur-Tec</w:t>
      </w:r>
      <w:r>
        <w:rPr>
          <w:rFonts w:ascii="Arial" w:cs="Arial" w:eastAsia="Arial" w:hAnsi="Arial"/>
          <w:sz w:val="30"/>
          <w:szCs w:val="30"/>
          <w:color w:val="auto"/>
          <w:vertAlign w:val="superscript"/>
        </w:rPr>
        <w:t>®</w:t>
      </w:r>
      <w:r>
        <w:rPr>
          <w:rFonts w:ascii="Arial" w:cs="Arial" w:eastAsia="Arial" w:hAnsi="Arial"/>
          <w:sz w:val="18"/>
          <w:szCs w:val="18"/>
          <w:color w:val="auto"/>
        </w:rPr>
        <w:t>. The Company has been selling its proprietary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following tables present the Company’s business segment information in fiscal 2017 and fiscal 2016:</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2016</w:t>
            </w:r>
          </w:p>
        </w:tc>
      </w:tr>
      <w:tr>
        <w:trPr>
          <w:trHeight w:val="210"/>
        </w:trPr>
        <w:tc>
          <w:tcPr>
            <w:tcW w:w="85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32,789,283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27,577,566</w:t>
            </w:r>
          </w:p>
        </w:tc>
      </w:tr>
      <w:tr>
        <w:trPr>
          <w:trHeight w:val="230"/>
        </w:trPr>
        <w:tc>
          <w:tcPr>
            <w:tcW w:w="8580" w:type="dxa"/>
            <w:vAlign w:val="bottom"/>
            <w:tcBorders>
              <w:bottom w:val="single" w:sz="8" w:color="CCEEFF"/>
            </w:tcBorders>
          </w:tcPr>
          <w:p>
            <w:pPr>
              <w:spacing w:after="0" w:line="230" w:lineRule="exact"/>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6,779,840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5,355,999</w:t>
            </w:r>
          </w:p>
        </w:tc>
      </w:tr>
      <w:tr>
        <w:trPr>
          <w:trHeight w:val="21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The following table sets forth the Company’s cost of goods sold for fiscal 2017 and fiscal 2016 by segment:</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2016</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ZERUST®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18,996,264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15,588,133</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4,925,061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4,076,249</w:t>
            </w:r>
          </w:p>
        </w:tc>
      </w:tr>
      <w:tr>
        <w:trPr>
          <w:trHeight w:val="23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3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2,395,186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2,655,774</w:t>
            </w: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cost of goods sold</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26,316,511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22,320,156</w:t>
            </w: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Net sales by geographic location were as follows: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7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21,787,694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20,304,480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Outside the U.S.A. to: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3,222,478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2,721,905</w:t>
            </w:r>
          </w:p>
        </w:tc>
      </w:tr>
      <w:tr>
        <w:trPr>
          <w:trHeight w:val="230"/>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Unaffiliated customers</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14,558,951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9,907,180</w:t>
            </w:r>
          </w:p>
        </w:tc>
      </w:tr>
      <w:tr>
        <w:trPr>
          <w:trHeight w:val="223"/>
        </w:trPr>
        <w:tc>
          <w:tcPr>
            <w:tcW w:w="7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r>
      <w:tr>
        <w:trPr>
          <w:trHeight w:val="20"/>
        </w:trPr>
        <w:tc>
          <w:tcPr>
            <w:tcW w:w="7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2017 and fiscal 2016,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2016</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845,857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Poland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661,226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599,391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646,015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Sweden</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472,819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265,745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537,212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France</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329,805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352,393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India</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300,506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Czech</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237,062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United Kingdom</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295,761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386,761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252,578</w:t>
            </w:r>
          </w:p>
        </w:tc>
      </w:tr>
      <w:tr>
        <w:trPr>
          <w:trHeight w:val="23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377,962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384,385</w:t>
            </w:r>
          </w:p>
        </w:tc>
      </w:tr>
      <w:tr>
        <w:trPr>
          <w:trHeight w:val="210"/>
        </w:trPr>
        <w:tc>
          <w:tcPr>
            <w:tcW w:w="49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5,452,687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5,137,710</w:t>
            </w: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details on geographical information regarding equity in income from joint ventures.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geographical distribution of total long-lived assets and net sales is as follows: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At August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At August 31,</w:t>
            </w:r>
          </w:p>
        </w:tc>
      </w:tr>
      <w:tr>
        <w:trPr>
          <w:trHeight w:val="234"/>
        </w:trPr>
        <w:tc>
          <w:tcPr>
            <w:tcW w:w="8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253,931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54,646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66,938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India</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13,645</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7,047,675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8,219,955</w:t>
            </w: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8,554,469</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85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Ended August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 August</w:t>
            </w:r>
          </w:p>
        </w:tc>
      </w:tr>
      <w:tr>
        <w:trPr>
          <w:trHeight w:val="234"/>
        </w:trPr>
        <w:tc>
          <w:tcPr>
            <w:tcW w:w="8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31, 2016</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7,225,659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4,114,288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2,394,730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2,172,297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711,923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1,417,955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1,104,947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6,031,162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5,237,553</w:t>
            </w:r>
          </w:p>
        </w:tc>
      </w:tr>
      <w:tr>
        <w:trPr>
          <w:trHeight w:val="230"/>
        </w:trPr>
        <w:tc>
          <w:tcPr>
            <w:tcW w:w="8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21,787,694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20,304,480</w:t>
            </w:r>
          </w:p>
        </w:tc>
      </w:tr>
      <w:tr>
        <w:trPr>
          <w:trHeight w:val="223"/>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Total 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4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$202,559 and $215,785 for fiscal 2017 and fiscal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fiscal 2017 and fiscal 2016, the Company made consulting payments of $137,666 and $100,000, respectively, to Bioplastic Polymers LLC, an entity owned by Ramani Narayan, Ph.D., a director of the Company, and paid royalties of $10,136 and $31,463, respectively, based on net sales of the Company’s bioplastics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15. INCOME TAXES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color w:val="auto"/>
                <w:w w:val="94"/>
              </w:rPr>
              <w:t>The provision for income taxes for the fiscal years ended August 31, 2017 and 2016 consists of the following: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6"/>
        </w:trPr>
        <w:tc>
          <w:tcPr>
            <w:tcW w:w="8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8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60" w:type="dxa"/>
            <w:vAlign w:val="bottom"/>
          </w:tcPr>
          <w:p>
            <w:pPr>
              <w:ind w:left="200"/>
              <w:spacing w:after="0"/>
              <w:rPr>
                <w:sz w:val="20"/>
                <w:szCs w:val="20"/>
                <w:color w:val="auto"/>
              </w:rPr>
            </w:pPr>
            <w:r>
              <w:rPr>
                <w:rFonts w:ascii="Arial" w:cs="Arial" w:eastAsia="Arial" w:hAnsi="Arial"/>
                <w:sz w:val="18"/>
                <w:szCs w:val="18"/>
                <w:color w:val="auto"/>
              </w:rPr>
              <w:t>Federal</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647,000</w:t>
            </w:r>
          </w:p>
        </w:tc>
      </w:tr>
      <w:tr>
        <w:trPr>
          <w:trHeight w:val="210"/>
        </w:trPr>
        <w:tc>
          <w:tcPr>
            <w:tcW w:w="8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667,000</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16"/>
        </w:trPr>
        <w:tc>
          <w:tcPr>
            <w:tcW w:w="8260" w:type="dxa"/>
            <w:vAlign w:val="bottom"/>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r>
      <w:tr>
        <w:trPr>
          <w:trHeight w:val="210"/>
        </w:trPr>
        <w:tc>
          <w:tcPr>
            <w:tcW w:w="82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r>
      <w:tr>
        <w:trPr>
          <w:trHeight w:val="223"/>
        </w:trPr>
        <w:tc>
          <w:tcPr>
            <w:tcW w:w="8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626,000</w:t>
            </w:r>
          </w:p>
        </w:tc>
      </w:tr>
      <w:tr>
        <w:trPr>
          <w:trHeight w:val="20"/>
        </w:trPr>
        <w:tc>
          <w:tcPr>
            <w:tcW w:w="8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2017 and 2016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 and investment at carrying value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3,159,000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2,681,000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Foreign tax credit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(3,178,000)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989,000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1,620,000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(148,000)</w:t>
            </w: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103,000</w:t>
            </w:r>
          </w:p>
        </w:tc>
      </w:tr>
      <w:tr>
        <w:trPr>
          <w:trHeight w:val="223"/>
        </w:trPr>
        <w:tc>
          <w:tcPr>
            <w:tcW w:w="7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626,000</w:t>
            </w:r>
          </w:p>
        </w:tc>
      </w:tr>
      <w:tr>
        <w:trPr>
          <w:trHeight w:val="20"/>
        </w:trPr>
        <w:tc>
          <w:tcPr>
            <w:tcW w:w="7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$17,960,860 and $17,779,912 as of August 31, 2017 and 2016, respectively. During fiscal 2016, the Company recorded deferred income tax expense of $3,000 representing foreign withholding taxes to be paid with respect to the portion of the cumulative undistributed earnings of foreign joint ventures that it determined were not essentially permanent in duration.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U.S. income tax liability after the application of foreign tax credits.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The tax effect of the temporary differences and tax carryforwards comprising the net deferred taxes shown on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2017 and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August 31,</w:t>
            </w:r>
          </w:p>
        </w:tc>
        <w:tc>
          <w:tcPr>
            <w:tcW w:w="9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Inventory costs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95,300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joint venture expenses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87,000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1,317,700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1,332,000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210,600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6,105,700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5,679,000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credit and loss carryforwards</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3,473,100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3,214,300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11,624,600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10,823,000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(9,578,700)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(8,893,300)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after valuation allowance</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2,045,900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1,929,700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(215,600)</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(74,300)</w:t>
            </w:r>
          </w:p>
        </w:tc>
      </w:tr>
      <w:tr>
        <w:trPr>
          <w:trHeight w:val="210"/>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2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(289,900)</w:t>
            </w: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1,756,600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1,639,800</w:t>
            </w:r>
          </w:p>
        </w:tc>
      </w:tr>
      <w:tr>
        <w:trPr>
          <w:trHeight w:val="20"/>
        </w:trPr>
        <w:tc>
          <w:tcPr>
            <w:tcW w:w="6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August 31, 2017 the Company had foreign tax credit carryforwards of approximately $6,105,700 which will begin to expire if not utilized prior to August 31, 2021. In addition, the Company had federal and state tax credit carryforwards of $2,855,100 as of August 31, 2017 which begin to expire in fiscal 2019. These federal and state tax credit carryforwards consist primarily of federal and Minnesota research and development credit carryforwards. The Company also has foreign net operating loss carryforwards of $618,000 as of August 31, 2017 which begin to expire in fiscal 2020.</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August 31, 2017, the Company has recorded a valuation allowance of $6,105,700 with respect to the foreign tax credit carryforwards. In addition, the Company has recorded a valuation allowance of $2,855,100 with respect to federal and state tax credit carryforwards, and has recorded a valuation allowance of $618,000 with respect to the foreign net operating loss carryforwards.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August 31, 2016, the Company had recorded a valuation allowance of $5,679,000 with respect to the foreign tax credit carryforwards. In addition, the Company had recorded a valuation allowance of $2,643,300 with respect to federal and state tax credit carryforwards, and had recorded a valuation allowance of $571,000 with respect to the foreign net operating loss carryforwards.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federal and Minnesota research and development credit carryforwards, and foreign net operating loss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utilized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 The Company determined that its deferred tax asset related to foreign net operating loss carryforwards will not be utilized due to insufficient taxable income within the carryforward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following is a tabular reconciliation of the total amounts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Gross unrecognized tax benefits –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(decreases) - prior period tax positions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Gross unrecognized tax benefits – 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Fiscal Year Ended August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09"/>
        </w:trPr>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203,000</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238,000</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692" w:right="239" w:bottom="1440" w:gutter="0" w:footer="0" w:header="0"/>
        </w:sectPr>
      </w:pPr>
    </w:p>
    <w:p>
      <w:pPr>
        <w:spacing w:after="0" w:line="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as of both August 31, 2017 and August 31,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2017, the Company is no longer subject to federal, state, local, or foreign examinations by tax authorities for years prior to August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31, 2017, the Compensation Committee of the Board of Directors of the Company approved the material terms of an annual bonus plan for the Company’s executive officers as well as certain officers and employees for the fiscal year ending August 31, 2018. For fiscal 2018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2018 compared to a pre-established target EBITOI for fiscal 2018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2018.</w:t>
      </w:r>
    </w:p>
    <w:p>
      <w:pPr>
        <w:spacing w:after="0" w:line="17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August 26, 2016, the Compensation Committee of the Board of Directors of the Company approved the material terms of an annual bonus plan for the Company’s executive officers as well as certain officers and employees for the fiscal year ending August 31, 2017. For fiscal 2017 as in past years, the total amount available under the bonus plan for all plan participants, including executive officers, is dependent upon the Company’s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2017 compared to a pre-established target EBITOI for fiscal 2017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2017.</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color w:val="auto"/>
        </w:rPr>
        <w:t>Accrued bonuses as of August 31, 2017 and 2016 were $1,015,000 and $450,000, respectively.</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Thailand and India) accounted for 60.7% of the Company’s trade joint venture receivables as of August 31, 2017, and three joint ventures (consisting of the Company’s joint ventures in South Korea, India and Thailand) accounted for 55.8% of the Company’s trade joint venture receivables as of August 31, 2016.</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April 21, 2015, NTIC and NTI Asean initiated a lawsuit against Cortec Corporation alleging, among other things, that Cortec Corporation (Cortec) aided and abetted breaches of duties and contractual commitments owed to NTIC and NTI Asean related to NTIC’s joint venture in China, Tianjin Zerust. On September 20, 2017, following a jury trial that commenced on September 18, 2017, the United States District Court for the Northern District of Ohio dismissed with prejudice all claims asserted by the Company in the lawsuit. The Company chose not to appeal the Court’s dismissal of the case.</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August 31, 2017, the amount of liability, if any, with respect to these matters, individually or in the aggregate, will not materially affect the Company’s consolidated results of operations, financial position or cash flows.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84" w:name="page85"/>
    <w:bookmarkEnd w:id="84"/>
    <w:p>
      <w:pPr>
        <w:ind w:right="100"/>
        <w:spacing w:after="0" w:line="264" w:lineRule="auto"/>
        <w:rPr>
          <w:sz w:val="20"/>
          <w:szCs w:val="20"/>
          <w:color w:val="auto"/>
        </w:rPr>
      </w:pPr>
      <w:r>
        <w:rPr>
          <w:rFonts w:ascii="Arial" w:cs="Arial" w:eastAsia="Arial" w:hAnsi="Arial"/>
          <w:sz w:val="18"/>
          <w:szCs w:val="18"/>
          <w:color w:val="auto"/>
        </w:rPr>
        <w:t>The Company has leases for office and warehouse space in the United States of America, China, India, Germany and Brazil with monthly rents ranging from $814 to $11,539, which expire through August 31, 2023. Future minimum rents due under these leases are as follows for each of the next five years ended August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264,919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Fiscal 2019</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146,635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Fiscal 2020</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109,209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Fiscal 2021</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66,647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67,133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47,884</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702,427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17. STATEMENTS OF CASH FLOWS</w:t>
            </w: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August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699,519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610,000</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5"/>
              <w:spacing w:after="0"/>
              <w:rPr>
                <w:sz w:val="20"/>
                <w:szCs w:val="20"/>
                <w:color w:val="auto"/>
              </w:rPr>
            </w:pPr>
            <w:r>
              <w:rPr>
                <w:rFonts w:ascii="Arial" w:cs="Arial" w:eastAsia="Arial" w:hAnsi="Arial"/>
                <w:sz w:val="18"/>
                <w:szCs w:val="18"/>
                <w:color w:val="auto"/>
              </w:rPr>
              <w:t>20,382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defined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 Inputs are quoted prices in active markets for identical assets or liabilities.</w:t>
      </w:r>
    </w:p>
    <w:p>
      <w:pPr>
        <w:spacing w:after="0" w:line="23" w:lineRule="exact"/>
        <w:rPr>
          <w:sz w:val="20"/>
          <w:szCs w:val="20"/>
          <w:color w:val="auto"/>
        </w:rPr>
      </w:pPr>
    </w:p>
    <w:p>
      <w:pPr>
        <w:ind w:left="1640" w:right="20"/>
        <w:spacing w:after="0" w:line="281" w:lineRule="auto"/>
        <w:rPr>
          <w:sz w:val="20"/>
          <w:szCs w:val="20"/>
          <w:color w:val="auto"/>
        </w:rPr>
      </w:pP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and inputs (other than quoted prices) that are observable for the asset or liability, either directly or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2 - indirectly.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3 - Inputs are unobservable for the asset or liability.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Assets and Liabilities That Are Measured at Fair Value on a Recurring Basis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Fair Value Measurements</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Using Inputs 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380" w:type="dxa"/>
            <w:vAlign w:val="bottom"/>
            <w:gridSpan w:val="2"/>
          </w:tcPr>
          <w:p>
            <w:pPr>
              <w:ind w:left="80"/>
              <w:spacing w:after="0" w:line="178" w:lineRule="exact"/>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3,766,984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available for sale securities. These are valued using quoted market prices in an active market.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2017 or August 31, 2016. When a determination is made to classify an asset or liability within Level 3, the determination is based upon the significance of the unobservable inputs to the overall fair value measurement.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November 20, 2017, NTIC’s Board of Directors declared a cash dividend of $0.10 per share of NTIC’s common stock, payable on December 21, 2017 to stockholders of record on December 8, 2017.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2017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in the “Stock Ownership—Section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fourth quarter of fiscal 2017,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8" w:name="page89"/>
    <w:bookmarkEnd w:id="88"/>
    <w:p>
      <w:pPr>
        <w:ind w:right="8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2017. NTIC’s equity compensation plans as of August 31, 2017 were the Northern Technologies International Corporation Amended and Restated 2007 Stock Incentive Plan and the Northern Technologies International Corporation Employee Stock Purchase Plan. 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and other awards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(b)</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Number of Securities to</w:t>
            </w: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Future Issuance Under</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be Issued Upon Exercise</w:t>
            </w:r>
          </w:p>
        </w:tc>
        <w:tc>
          <w:tcPr>
            <w:tcW w:w="10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Exercise Price of</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Outstanding Options,</w:t>
            </w:r>
          </w:p>
        </w:tc>
        <w:tc>
          <w:tcPr>
            <w:tcW w:w="17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 Options,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 securities</w:t>
            </w: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Warrants and Rights</w:t>
            </w:r>
          </w:p>
        </w:tc>
        <w:tc>
          <w:tcPr>
            <w:tcW w:w="17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Warrants and Rights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306,358</w:t>
            </w:r>
            <w:r>
              <w:rPr>
                <w:rFonts w:ascii="Arial" w:cs="Arial" w:eastAsia="Arial" w:hAnsi="Arial"/>
                <w:sz w:val="24"/>
                <w:szCs w:val="24"/>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13.93</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237,172</w:t>
            </w:r>
            <w:r>
              <w:rPr>
                <w:rFonts w:ascii="Arial" w:cs="Arial" w:eastAsia="Arial" w:hAnsi="Arial"/>
                <w:sz w:val="24"/>
                <w:szCs w:val="24"/>
                <w:color w:val="auto"/>
                <w:vertAlign w:val="superscript"/>
              </w:rPr>
              <w:t>(3)</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80" w:type="dxa"/>
            <w:vAlign w:val="bottom"/>
            <w:tcBorders>
              <w:top w:val="single" w:sz="8" w:color="CCEEFF"/>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306,358</w:t>
            </w:r>
            <w:r>
              <w:rPr>
                <w:rFonts w:ascii="Arial" w:cs="Arial" w:eastAsia="Arial" w:hAnsi="Arial"/>
                <w:sz w:val="24"/>
                <w:szCs w:val="24"/>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13.93</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237,172</w:t>
            </w:r>
            <w:r>
              <w:rPr>
                <w:rFonts w:ascii="Arial" w:cs="Arial" w:eastAsia="Arial" w:hAnsi="Arial"/>
                <w:sz w:val="24"/>
                <w:szCs w:val="24"/>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-145415</wp:posOffset>
            </wp:positionV>
            <wp:extent cx="13804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-145415</wp:posOffset>
            </wp:positionV>
            <wp:extent cx="13290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-436880</wp:posOffset>
            </wp:positionV>
            <wp:extent cx="13804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-436880</wp:posOffset>
            </wp:positionV>
            <wp:extent cx="13290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720" w:right="160" w:hanging="658"/>
        <w:spacing w:after="0" w:line="261"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2017 under the Northern Technologies International Corporation Amended and Restated 2007 Stock Incentive Plan.</w:t>
      </w:r>
    </w:p>
    <w:p>
      <w:pPr>
        <w:spacing w:after="0" w:line="183" w:lineRule="exact"/>
        <w:rPr>
          <w:rFonts w:ascii="Arial" w:cs="Arial" w:eastAsia="Arial" w:hAnsi="Arial"/>
          <w:sz w:val="18"/>
          <w:szCs w:val="18"/>
          <w:color w:val="auto"/>
        </w:rPr>
      </w:pPr>
    </w:p>
    <w:p>
      <w:pPr>
        <w:ind w:left="720" w:right="60" w:hanging="658"/>
        <w:spacing w:after="0" w:line="22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1" w:lineRule="exact"/>
        <w:rPr>
          <w:rFonts w:ascii="Arial" w:cs="Arial" w:eastAsia="Arial" w:hAnsi="Arial"/>
          <w:sz w:val="18"/>
          <w:szCs w:val="18"/>
          <w:color w:val="auto"/>
        </w:rPr>
      </w:pPr>
    </w:p>
    <w:p>
      <w:pPr>
        <w:ind w:left="720" w:right="40" w:hanging="65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includes 187,669 shares remaining available at August 31, 2017 for future issuance under Northern Technologies International Corporation Amended and Restated 2007 Stock Incentive Plan and 49,503 shares available at August 31, 2017 for future issuance under the Northern Technologies International Corporation Employee Stock Purchase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center"/>
              <w:ind w:right="1480"/>
              <w:spacing w:after="0"/>
              <w:rPr>
                <w:sz w:val="20"/>
                <w:szCs w:val="20"/>
                <w:color w:val="auto"/>
              </w:rPr>
            </w:pPr>
            <w:r>
              <w:rPr>
                <w:rFonts w:ascii="Arial" w:cs="Arial" w:eastAsia="Arial" w:hAnsi="Arial"/>
                <w:sz w:val="18"/>
                <w:szCs w:val="18"/>
                <w:b w:val="1"/>
                <w:bCs w:val="1"/>
                <w:color w:val="auto"/>
                <w:w w:val="93"/>
              </w:rPr>
              <w:t>Method of Filing</w:t>
            </w:r>
          </w:p>
        </w:tc>
      </w:tr>
      <w:tr>
        <w:trPr>
          <w:trHeight w:val="385"/>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3.1</w:t>
            </w:r>
          </w:p>
        </w:tc>
        <w:tc>
          <w:tcPr>
            <w:tcW w:w="5560" w:type="dxa"/>
            <w:vAlign w:val="bottom"/>
          </w:tcPr>
          <w:p>
            <w:pPr>
              <w:ind w:left="80"/>
              <w:spacing w:after="0"/>
              <w:rPr>
                <w:sz w:val="20"/>
                <w:szCs w:val="20"/>
                <w:color w:val="auto"/>
              </w:rPr>
            </w:pPr>
            <w:r>
              <w:rPr>
                <w:rFonts w:ascii="Arial" w:cs="Arial" w:eastAsia="Arial" w:hAnsi="Arial"/>
                <w:sz w:val="18"/>
                <w:szCs w:val="18"/>
                <w:color w:val="auto"/>
              </w:rPr>
              <w:t>Restated Certificate of Incorporation of Northern Technologies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13"/>
          </w:tcPr>
          <w:p>
            <w:pPr>
              <w:jc w:val="center"/>
              <w:ind w:right="260"/>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3.1 to NTIC’s Quarterly</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International Corporation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14"/>
          </w:tcPr>
          <w:p>
            <w:pPr>
              <w:jc w:val="center"/>
              <w:ind w:right="200"/>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Report on Form 10-Q for the fiscal quarter ended February 28,</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2009 (File No. 001-11038)</w:t>
              </w:r>
            </w:hyperlink>
          </w:p>
        </w:tc>
        <w:tc>
          <w:tcPr>
            <w:tcW w:w="128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3.2</w:t>
            </w:r>
          </w:p>
        </w:tc>
        <w:tc>
          <w:tcPr>
            <w:tcW w:w="5560" w:type="dxa"/>
            <w:vAlign w:val="bottom"/>
          </w:tcPr>
          <w:p>
            <w:pPr>
              <w:ind w:left="80"/>
              <w:spacing w:after="0"/>
              <w:rPr>
                <w:sz w:val="20"/>
                <w:szCs w:val="20"/>
                <w:color w:val="auto"/>
              </w:rPr>
            </w:pPr>
            <w:r>
              <w:rPr>
                <w:rFonts w:ascii="Arial" w:cs="Arial" w:eastAsia="Arial" w:hAnsi="Arial"/>
                <w:sz w:val="18"/>
                <w:szCs w:val="18"/>
                <w:color w:val="auto"/>
                <w:w w:val="97"/>
              </w:rPr>
              <w:t>Amended and Restated Bylaws of Northern Technologies International</w:t>
            </w:r>
          </w:p>
        </w:tc>
        <w:tc>
          <w:tcPr>
            <w:tcW w:w="60" w:type="dxa"/>
            <w:vAlign w:val="bottom"/>
          </w:tcPr>
          <w:p>
            <w:pPr>
              <w:spacing w:after="0"/>
              <w:rPr>
                <w:sz w:val="24"/>
                <w:szCs w:val="24"/>
                <w:color w:val="auto"/>
              </w:rPr>
            </w:pPr>
          </w:p>
        </w:tc>
        <w:tc>
          <w:tcPr>
            <w:tcW w:w="4840" w:type="dxa"/>
            <w:vAlign w:val="bottom"/>
            <w:gridSpan w:val="15"/>
          </w:tcPr>
          <w:p>
            <w:pPr>
              <w:jc w:val="center"/>
              <w:ind w:right="60"/>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Corporation</w:t>
            </w: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on Form 8-K as filed with the Securities and Exchange</w:t>
              </w:r>
            </w:hyperlink>
          </w:p>
        </w:tc>
        <w:tc>
          <w:tcPr>
            <w:tcW w:w="6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12"/>
          </w:tcPr>
          <w:p>
            <w:pPr>
              <w:jc w:val="center"/>
              <w:ind w:right="360"/>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Commission on November 24, 2008 (File No. 001-11038)</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Specimen Stock Certificate Representing Common Stock of Northern</w:t>
            </w:r>
          </w:p>
        </w:tc>
        <w:tc>
          <w:tcPr>
            <w:tcW w:w="60" w:type="dxa"/>
            <w:vAlign w:val="bottom"/>
          </w:tcPr>
          <w:p>
            <w:pPr>
              <w:spacing w:after="0"/>
              <w:rPr>
                <w:sz w:val="24"/>
                <w:szCs w:val="24"/>
                <w:color w:val="auto"/>
              </w:rPr>
            </w:pPr>
          </w:p>
        </w:tc>
        <w:tc>
          <w:tcPr>
            <w:tcW w:w="4840" w:type="dxa"/>
            <w:vAlign w:val="bottom"/>
            <w:gridSpan w:val="15"/>
          </w:tcPr>
          <w:p>
            <w:pPr>
              <w:jc w:val="center"/>
              <w:ind w:right="60"/>
              <w:spacing w:after="0"/>
              <w:rPr>
                <w:sz w:val="20"/>
                <w:szCs w:val="20"/>
                <w:color w:val="auto"/>
              </w:rPr>
            </w:pPr>
            <w:r>
              <w:rPr>
                <w:rFonts w:ascii="Arial" w:cs="Arial" w:eastAsia="Arial" w:hAnsi="Arial"/>
                <w:sz w:val="18"/>
                <w:szCs w:val="18"/>
                <w:color w:val="auto"/>
                <w:w w:val="92"/>
              </w:rPr>
              <w:t>Incorporated by reference to Exhibit 4.1 to NTIC’s Registration</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Technologies International Corporation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14"/>
          </w:tcPr>
          <w:p>
            <w:pPr>
              <w:jc w:val="center"/>
              <w:ind w:right="200"/>
              <w:spacing w:after="0"/>
              <w:rPr>
                <w:sz w:val="20"/>
                <w:szCs w:val="20"/>
                <w:color w:val="auto"/>
              </w:rPr>
            </w:pPr>
            <w:r>
              <w:rPr>
                <w:rFonts w:ascii="Arial" w:cs="Arial" w:eastAsia="Arial" w:hAnsi="Arial"/>
                <w:sz w:val="18"/>
                <w:szCs w:val="18"/>
                <w:color w:val="auto"/>
                <w:w w:val="90"/>
              </w:rPr>
              <w:t>Statement on Form 10 (File No. 001-19331) (Filed on paper -</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40" w:type="dxa"/>
            <w:vAlign w:val="bottom"/>
            <w:gridSpan w:val="15"/>
          </w:tcPr>
          <w:p>
            <w:pPr>
              <w:jc w:val="center"/>
              <w:ind w:right="60"/>
              <w:spacing w:after="0"/>
              <w:rPr>
                <w:sz w:val="20"/>
                <w:szCs w:val="20"/>
                <w:color w:val="auto"/>
              </w:rPr>
            </w:pPr>
            <w:r>
              <w:rPr>
                <w:rFonts w:ascii="Arial" w:cs="Arial" w:eastAsia="Arial" w:hAnsi="Arial"/>
                <w:sz w:val="18"/>
                <w:szCs w:val="18"/>
                <w:color w:val="auto"/>
                <w:w w:val="92"/>
              </w:rPr>
              <w:t>hyperlink is not required pursuant to Rule 105 of Regulation S-T)</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10.1</w:t>
            </w:r>
          </w:p>
        </w:tc>
        <w:tc>
          <w:tcPr>
            <w:tcW w:w="5560" w:type="dxa"/>
            <w:vAlign w:val="bottom"/>
          </w:tcPr>
          <w:p>
            <w:pPr>
              <w:ind w:left="80"/>
              <w:spacing w:after="0"/>
              <w:rPr>
                <w:sz w:val="20"/>
                <w:szCs w:val="20"/>
                <w:color w:val="auto"/>
              </w:rPr>
            </w:pPr>
            <w:r>
              <w:rPr>
                <w:rFonts w:ascii="Arial" w:cs="Arial" w:eastAsia="Arial" w:hAnsi="Arial"/>
                <w:sz w:val="18"/>
                <w:szCs w:val="18"/>
                <w:color w:val="auto"/>
                <w:w w:val="94"/>
              </w:rPr>
              <w:t>Northern Technologies International Corporation Amended and Restated</w:t>
            </w:r>
          </w:p>
        </w:tc>
        <w:tc>
          <w:tcPr>
            <w:tcW w:w="4900" w:type="dxa"/>
            <w:vAlign w:val="bottom"/>
            <w:gridSpan w:val="16"/>
          </w:tcPr>
          <w:p>
            <w:pPr>
              <w:jc w:val="center"/>
              <w:ind w:right="20"/>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2007 Stock Incentive Plan*</w:t>
            </w: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9"/>
          </w:tcPr>
          <w:p>
            <w:pPr>
              <w:jc w:val="center"/>
              <w:ind w:right="460"/>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Commission on January 24, 2011 (File No. 001-11038)</w:t>
              </w:r>
            </w:hyperlink>
          </w:p>
        </w:tc>
        <w:tc>
          <w:tcPr>
            <w:tcW w:w="460" w:type="dxa"/>
            <w:vAlign w:val="bottom"/>
            <w:gridSpan w:val="6"/>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1" w:name="page92"/>
    <w:bookmarkEnd w:id="91"/>
    <w:p>
      <w:pPr>
        <w:ind w:left="200"/>
        <w:spacing w:after="0"/>
        <w:tabs>
          <w:tab w:leader="none" w:pos="1020" w:val="left"/>
          <w:tab w:leader="none" w:pos="8300" w:val="left"/>
        </w:tabs>
        <w:rPr>
          <w:sz w:val="20"/>
          <w:szCs w:val="20"/>
          <w:color w:val="auto"/>
        </w:rPr>
      </w:pPr>
      <w:r>
        <w:rPr>
          <w:rFonts w:ascii="Arial" w:cs="Arial" w:eastAsia="Arial" w:hAnsi="Arial"/>
          <w:sz w:val="18"/>
          <w:szCs w:val="18"/>
          <w:b w:val="1"/>
          <w:bCs w:val="1"/>
          <w:color w:val="auto"/>
        </w:rPr>
        <w:t>Item No.</w:t>
        <w:tab/>
        <w:t>Item</w:t>
      </w:r>
      <w:r>
        <w:rPr>
          <w:sz w:val="20"/>
          <w:szCs w:val="20"/>
          <w:color w:val="auto"/>
        </w:rPr>
        <w:tab/>
      </w: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10.2</w:t>
            </w:r>
          </w:p>
        </w:tc>
        <w:tc>
          <w:tcPr>
            <w:tcW w:w="5640" w:type="dxa"/>
            <w:vAlign w:val="bottom"/>
          </w:tcPr>
          <w:p>
            <w:pPr>
              <w:ind w:left="160"/>
              <w:spacing w:after="0"/>
              <w:rPr>
                <w:sz w:val="20"/>
                <w:szCs w:val="20"/>
                <w:color w:val="auto"/>
              </w:rPr>
            </w:pPr>
            <w:r>
              <w:rPr>
                <w:rFonts w:ascii="Arial" w:cs="Arial" w:eastAsia="Arial" w:hAnsi="Arial"/>
                <w:sz w:val="18"/>
                <w:szCs w:val="18"/>
                <w:color w:val="auto"/>
                <w:w w:val="98"/>
              </w:rPr>
              <w:t>Form of Incentive Stock Option Agreement for Northern Technologies</w:t>
            </w:r>
          </w:p>
        </w:tc>
        <w:tc>
          <w:tcPr>
            <w:tcW w:w="4900" w:type="dxa"/>
            <w:vAlign w:val="bottom"/>
            <w:tcBorders>
              <w:bottom w:val="single" w:sz="8" w:color="0000EE"/>
            </w:tcBorders>
            <w:gridSpan w:val="27"/>
          </w:tcPr>
          <w:p>
            <w:pPr>
              <w:jc w:val="center"/>
              <w:ind w:right="20"/>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 Exhibit 10.2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7"/>
          </w:tcPr>
          <w:p>
            <w:pPr>
              <w:jc w:val="center"/>
              <w:ind w:right="480"/>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on Form 8-K as filed with the Securities and Exchange</w:t>
              </w:r>
            </w:hyperlink>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10.3</w:t>
            </w:r>
          </w:p>
        </w:tc>
        <w:tc>
          <w:tcPr>
            <w:tcW w:w="10540" w:type="dxa"/>
            <w:vAlign w:val="bottom"/>
            <w:gridSpan w:val="28"/>
          </w:tcPr>
          <w:p>
            <w:pPr>
              <w:ind w:left="160"/>
              <w:spacing w:after="0"/>
              <w:rPr>
                <w:rFonts w:ascii="Arial" w:cs="Arial" w:eastAsia="Arial" w:hAnsi="Arial"/>
                <w:sz w:val="18"/>
                <w:szCs w:val="18"/>
                <w:color w:val="auto"/>
                <w:w w:val="91"/>
              </w:rPr>
            </w:pPr>
            <w:r>
              <w:rPr>
                <w:rFonts w:ascii="Arial" w:cs="Arial" w:eastAsia="Arial" w:hAnsi="Arial"/>
                <w:sz w:val="18"/>
                <w:szCs w:val="18"/>
                <w:color w:val="auto"/>
                <w:w w:val="91"/>
              </w:rPr>
              <w:t xml:space="preserve">Form of Non-Statutory Stock Option Agreement for Northern Technologies </w:t>
            </w:r>
            <w:hyperlink r:id="rId118">
              <w:r>
                <w:rPr>
                  <w:rFonts w:ascii="Arial" w:cs="Arial" w:eastAsia="Arial" w:hAnsi="Arial"/>
                  <w:sz w:val="18"/>
                  <w:szCs w:val="18"/>
                  <w:color w:val="0000EE"/>
                  <w:w w:val="91"/>
                </w:rPr>
                <w:t>Incorporated by reference to Exhibit 10.3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7"/>
          </w:tcPr>
          <w:p>
            <w:pPr>
              <w:jc w:val="center"/>
              <w:ind w:right="480"/>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on Form 8-K as filed with the Securities and Exchange</w:t>
              </w:r>
            </w:hyperlink>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10.4</w:t>
            </w:r>
          </w:p>
        </w:tc>
        <w:tc>
          <w:tcPr>
            <w:tcW w:w="5640" w:type="dxa"/>
            <w:vAlign w:val="bottom"/>
          </w:tcPr>
          <w:p>
            <w:pPr>
              <w:ind w:left="160"/>
              <w:spacing w:after="0"/>
              <w:rPr>
                <w:sz w:val="20"/>
                <w:szCs w:val="20"/>
                <w:color w:val="auto"/>
              </w:rPr>
            </w:pPr>
            <w:r>
              <w:rPr>
                <w:rFonts w:ascii="Arial" w:cs="Arial" w:eastAsia="Arial" w:hAnsi="Arial"/>
                <w:sz w:val="18"/>
                <w:szCs w:val="18"/>
                <w:color w:val="auto"/>
              </w:rPr>
              <w:t>Form of Restricted Stock Agreement for Northern Technologies</w:t>
            </w:r>
          </w:p>
        </w:tc>
        <w:tc>
          <w:tcPr>
            <w:tcW w:w="4900" w:type="dxa"/>
            <w:vAlign w:val="bottom"/>
            <w:tcBorders>
              <w:bottom w:val="single" w:sz="8" w:color="0000EE"/>
            </w:tcBorders>
            <w:gridSpan w:val="27"/>
          </w:tcPr>
          <w:p>
            <w:pPr>
              <w:jc w:val="center"/>
              <w:ind w:right="20"/>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Incorporated by reference to Exhibit 10.4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7"/>
          </w:tcPr>
          <w:p>
            <w:pPr>
              <w:jc w:val="center"/>
              <w:ind w:right="480"/>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on Form 8-K as filed with the Securities and Exchange</w:t>
              </w:r>
            </w:hyperlink>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10.5</w:t>
            </w:r>
          </w:p>
        </w:tc>
        <w:tc>
          <w:tcPr>
            <w:tcW w:w="5640" w:type="dxa"/>
            <w:vAlign w:val="bottom"/>
          </w:tcPr>
          <w:p>
            <w:pPr>
              <w:ind w:left="160"/>
              <w:spacing w:after="0"/>
              <w:rPr>
                <w:sz w:val="20"/>
                <w:szCs w:val="20"/>
                <w:color w:val="auto"/>
              </w:rPr>
            </w:pPr>
            <w:r>
              <w:rPr>
                <w:rFonts w:ascii="Arial" w:cs="Arial" w:eastAsia="Arial" w:hAnsi="Arial"/>
                <w:sz w:val="18"/>
                <w:szCs w:val="18"/>
                <w:color w:val="auto"/>
                <w:w w:val="90"/>
              </w:rPr>
              <w:t>Northern Technologies International Corporation Employee Stock Purchase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to Exhibit 10.11 to NTIC’s Annual</w:t>
              </w:r>
            </w:hyperlink>
          </w:p>
        </w:tc>
        <w:tc>
          <w:tcPr>
            <w:tcW w:w="2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EE"/>
            </w:tcBorders>
            <w:gridSpan w:val="23"/>
          </w:tcPr>
          <w:p>
            <w:pPr>
              <w:jc w:val="cente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Report on Form 10-KSB for the fiscal year ended August 31, 2006</w:t>
              </w:r>
            </w:hyperlink>
          </w:p>
        </w:tc>
        <w:tc>
          <w:tcPr>
            <w:tcW w:w="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(File No. 001-11038)</w:t>
              </w:r>
            </w:hyperlink>
          </w:p>
        </w:tc>
        <w:tc>
          <w:tcPr>
            <w:tcW w:w="1680" w:type="dxa"/>
            <w:vAlign w:val="bottom"/>
            <w:gridSpan w:val="11"/>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10.6</w:t>
            </w:r>
          </w:p>
        </w:tc>
        <w:tc>
          <w:tcPr>
            <w:tcW w:w="10540" w:type="dxa"/>
            <w:vAlign w:val="bottom"/>
            <w:gridSpan w:val="28"/>
          </w:tcPr>
          <w:p>
            <w:pPr>
              <w:ind w:left="160"/>
              <w:spacing w:after="0"/>
              <w:rPr>
                <w:rFonts w:ascii="Arial" w:cs="Arial" w:eastAsia="Arial" w:hAnsi="Arial"/>
                <w:sz w:val="18"/>
                <w:szCs w:val="18"/>
                <w:color w:val="auto"/>
                <w:w w:val="92"/>
              </w:rPr>
            </w:pPr>
            <w:r>
              <w:rPr>
                <w:rFonts w:ascii="Arial" w:cs="Arial" w:eastAsia="Arial" w:hAnsi="Arial"/>
                <w:sz w:val="18"/>
                <w:szCs w:val="18"/>
                <w:color w:val="auto"/>
                <w:w w:val="92"/>
              </w:rPr>
              <w:t xml:space="preserve">Material Terms of Northern Technologies International Corporation Annual </w:t>
            </w:r>
            <w:hyperlink r:id="rId121">
              <w:r>
                <w:rPr>
                  <w:rFonts w:ascii="Arial" w:cs="Arial" w:eastAsia="Arial" w:hAnsi="Arial"/>
                  <w:sz w:val="18"/>
                  <w:szCs w:val="18"/>
                  <w:color w:val="0000EE"/>
                  <w:w w:val="92"/>
                </w:rPr>
                <w:t>Incorporated by reference to Exhibit 10.6 to NTIC’s Annual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Bonus Plan*</w:t>
            </w: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gridSpan w:val="23"/>
          </w:tcPr>
          <w:p>
            <w:pPr>
              <w:jc w:val="center"/>
              <w:ind w:right="60"/>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on Form 10-K for the fiscal year ended August 31, 2015 (File No.</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780" w:type="dxa"/>
            <w:vAlign w:val="bottom"/>
            <w:tcBorders>
              <w:top w:val="single" w:sz="8" w:color="0000EE"/>
            </w:tcBorders>
            <w:gridSpan w:val="11"/>
          </w:tcPr>
          <w:p>
            <w:pPr>
              <w:jc w:val="center"/>
              <w:ind w:left="1870"/>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001-11038)</w:t>
              </w:r>
            </w:hyperlink>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10.7</w:t>
            </w:r>
          </w:p>
        </w:tc>
        <w:tc>
          <w:tcPr>
            <w:tcW w:w="5640" w:type="dxa"/>
            <w:vAlign w:val="bottom"/>
          </w:tcPr>
          <w:p>
            <w:pPr>
              <w:ind w:left="160"/>
              <w:spacing w:after="0"/>
              <w:rPr>
                <w:sz w:val="20"/>
                <w:szCs w:val="20"/>
                <w:color w:val="auto"/>
              </w:rPr>
            </w:pPr>
            <w:r>
              <w:rPr>
                <w:rFonts w:ascii="Arial" w:cs="Arial" w:eastAsia="Arial" w:hAnsi="Arial"/>
                <w:sz w:val="18"/>
                <w:szCs w:val="18"/>
                <w:color w:val="auto"/>
              </w:rPr>
              <w:t>Form of Indemnification Agreement between Northern Technologies</w:t>
            </w:r>
          </w:p>
        </w:tc>
        <w:tc>
          <w:tcPr>
            <w:tcW w:w="4900" w:type="dxa"/>
            <w:vAlign w:val="bottom"/>
            <w:tcBorders>
              <w:bottom w:val="single" w:sz="8" w:color="0000EE"/>
            </w:tcBorders>
            <w:gridSpan w:val="27"/>
          </w:tcPr>
          <w:p>
            <w:pPr>
              <w:jc w:val="center"/>
              <w:ind w:right="20"/>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by reference to Exhibit 10.1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International Corporation and its Directors and Officers*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7"/>
          </w:tcPr>
          <w:p>
            <w:pPr>
              <w:jc w:val="center"/>
              <w:ind w:right="480"/>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on Form 8-K as filed with the Securities and Exchange</w:t>
              </w:r>
            </w:hyperlink>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19"/>
          </w:tcPr>
          <w:p>
            <w:pPr>
              <w:jc w:val="center"/>
              <w:ind w:right="360"/>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Commission on November 24, 2008 (File No. 001-11038)</w:t>
              </w:r>
            </w:hyperlink>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10.8</w:t>
            </w:r>
          </w:p>
        </w:tc>
        <w:tc>
          <w:tcPr>
            <w:tcW w:w="5640" w:type="dxa"/>
            <w:vAlign w:val="bottom"/>
          </w:tcPr>
          <w:p>
            <w:pPr>
              <w:ind w:left="160"/>
              <w:spacing w:after="0"/>
              <w:rPr>
                <w:sz w:val="20"/>
                <w:szCs w:val="20"/>
                <w:color w:val="auto"/>
              </w:rPr>
            </w:pPr>
            <w:r>
              <w:rPr>
                <w:rFonts w:ascii="Arial" w:cs="Arial" w:eastAsia="Arial" w:hAnsi="Arial"/>
                <w:sz w:val="18"/>
                <w:szCs w:val="18"/>
                <w:color w:val="auto"/>
                <w:w w:val="98"/>
              </w:rPr>
              <w:t>Agreement dated as of May 25, 2009 between Northern Technologies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5"/>
          </w:tcPr>
          <w:p>
            <w:pPr>
              <w:jc w:val="cente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Incorporated by reference to Exhibit 10.2 to NTIC’s Quarterly</w:t>
              </w:r>
            </w:hyperlink>
          </w:p>
        </w:tc>
        <w:tc>
          <w:tcPr>
            <w:tcW w:w="2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International Corporation and Sunggyu Lee, Ph.D.*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bottom w:val="single" w:sz="8" w:color="0000EE"/>
            </w:tcBorders>
            <w:gridSpan w:val="19"/>
          </w:tcPr>
          <w:p>
            <w:pPr>
              <w:jc w:val="center"/>
              <w:ind w:right="20"/>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Report on Form 10-Q for the fiscal quarter ended May 31, 2009</w:t>
              </w:r>
            </w:hyperlink>
          </w:p>
        </w:tc>
        <w:tc>
          <w:tcPr>
            <w:tcW w:w="14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(File No. 001-11038)</w:t>
              </w:r>
            </w:hyperlink>
          </w:p>
        </w:tc>
        <w:tc>
          <w:tcPr>
            <w:tcW w:w="1680" w:type="dxa"/>
            <w:vAlign w:val="bottom"/>
            <w:gridSpan w:val="11"/>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10.9</w:t>
            </w:r>
          </w:p>
        </w:tc>
        <w:tc>
          <w:tcPr>
            <w:tcW w:w="5640" w:type="dxa"/>
            <w:vAlign w:val="bottom"/>
          </w:tcPr>
          <w:p>
            <w:pPr>
              <w:ind w:left="160"/>
              <w:spacing w:after="0"/>
              <w:rPr>
                <w:sz w:val="20"/>
                <w:szCs w:val="20"/>
                <w:color w:val="auto"/>
              </w:rPr>
            </w:pPr>
            <w:r>
              <w:rPr>
                <w:rFonts w:ascii="Arial" w:cs="Arial" w:eastAsia="Arial" w:hAnsi="Arial"/>
                <w:sz w:val="18"/>
                <w:szCs w:val="18"/>
                <w:color w:val="auto"/>
                <w:w w:val="99"/>
              </w:rPr>
              <w:t>Description of Non-Employee Director Compensation Arrangements*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Borders>
              <w:bottom w:val="single" w:sz="8" w:color="0000EE"/>
            </w:tcBorders>
            <w:gridSpan w:val="3"/>
          </w:tcPr>
          <w:p>
            <w:pPr>
              <w:jc w:val="cente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Filed herewith</w:t>
              </w:r>
            </w:hyperlink>
          </w:p>
        </w:tc>
        <w:tc>
          <w:tcPr>
            <w:tcW w:w="1920" w:type="dxa"/>
            <w:vAlign w:val="bottom"/>
            <w:gridSpan w:val="12"/>
          </w:tcPr>
          <w:p>
            <w:pPr>
              <w:spacing w:after="0"/>
              <w:rPr>
                <w:sz w:val="24"/>
                <w:szCs w:val="24"/>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10.10</w:t>
            </w:r>
          </w:p>
        </w:tc>
        <w:tc>
          <w:tcPr>
            <w:tcW w:w="5640" w:type="dxa"/>
            <w:vAlign w:val="bottom"/>
          </w:tcPr>
          <w:p>
            <w:pPr>
              <w:ind w:left="160"/>
              <w:spacing w:after="0"/>
              <w:rPr>
                <w:sz w:val="20"/>
                <w:szCs w:val="20"/>
                <w:color w:val="auto"/>
              </w:rPr>
            </w:pPr>
            <w:r>
              <w:rPr>
                <w:rFonts w:ascii="Arial" w:cs="Arial" w:eastAsia="Arial" w:hAnsi="Arial"/>
                <w:sz w:val="18"/>
                <w:szCs w:val="18"/>
                <w:color w:val="auto"/>
              </w:rPr>
              <w:t>Executive Employment Agreement dated as of November 18, 2011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3"/>
          </w:tcPr>
          <w:p>
            <w:pPr>
              <w:jc w:val="cente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Incorporated by reference to Exhibit 10.13 to NTIC’s Annual</w:t>
              </w:r>
            </w:hyperlink>
          </w:p>
        </w:tc>
        <w:tc>
          <w:tcPr>
            <w:tcW w:w="2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4"/>
              </w:rPr>
              <w:t>between Northern Technologies International Corporation and G. Patrick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7"/>
          </w:tcPr>
          <w:p>
            <w:pPr>
              <w:jc w:val="cente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Report on Form 10-K for the fiscal year ended August 31, 2011</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Lynch*</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20" w:type="dxa"/>
            <w:vAlign w:val="bottom"/>
            <w:gridSpan w:val="16"/>
          </w:tcPr>
          <w:p>
            <w:pPr>
              <w:jc w:val="center"/>
              <w:ind w:right="1680"/>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(File No. 001-11038)</w:t>
              </w:r>
            </w:hyperlink>
          </w:p>
        </w:tc>
      </w:tr>
      <w:tr>
        <w:trPr>
          <w:trHeight w:val="912"/>
        </w:trPr>
        <w:tc>
          <w:tcPr>
            <w:tcW w:w="880" w:type="dxa"/>
            <w:vAlign w:val="bottom"/>
          </w:tcPr>
          <w:p>
            <w:pPr>
              <w:spacing w:after="0"/>
              <w:rPr>
                <w:sz w:val="24"/>
                <w:szCs w:val="24"/>
                <w:color w:val="auto"/>
              </w:rPr>
            </w:pPr>
          </w:p>
        </w:tc>
        <w:tc>
          <w:tcPr>
            <w:tcW w:w="5640" w:type="dxa"/>
            <w:vAlign w:val="bottom"/>
          </w:tcPr>
          <w:p>
            <w:pPr>
              <w:ind w:left="47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88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715" w:right="239" w:bottom="1440" w:gutter="0" w:footer="0" w:header="0"/>
          <w:type w:val="continuous"/>
        </w:sectPr>
      </w:pPr>
    </w:p>
    <w:bookmarkStart w:id="92" w:name="page93"/>
    <w:bookmarkEnd w:id="92"/>
    <w:p>
      <w:pPr>
        <w:ind w:left="200"/>
        <w:spacing w:after="0"/>
        <w:tabs>
          <w:tab w:leader="none" w:pos="1020" w:val="left"/>
          <w:tab w:leader="none" w:pos="8300" w:val="left"/>
        </w:tabs>
        <w:rPr>
          <w:sz w:val="20"/>
          <w:szCs w:val="20"/>
          <w:color w:val="auto"/>
        </w:rPr>
      </w:pPr>
      <w:r>
        <w:rPr>
          <w:rFonts w:ascii="Arial" w:cs="Arial" w:eastAsia="Arial" w:hAnsi="Arial"/>
          <w:sz w:val="18"/>
          <w:szCs w:val="18"/>
          <w:b w:val="1"/>
          <w:bCs w:val="1"/>
          <w:color w:val="auto"/>
        </w:rPr>
        <w:t>Item No.</w:t>
        <w:tab/>
        <w:t>Item</w:t>
      </w:r>
      <w:r>
        <w:rPr>
          <w:sz w:val="20"/>
          <w:szCs w:val="20"/>
          <w:color w:val="auto"/>
        </w:rPr>
        <w:tab/>
      </w: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10.11</w:t>
            </w:r>
          </w:p>
        </w:tc>
        <w:tc>
          <w:tcPr>
            <w:tcW w:w="5640" w:type="dxa"/>
            <w:vAlign w:val="bottom"/>
          </w:tcPr>
          <w:p>
            <w:pPr>
              <w:ind w:left="160"/>
              <w:spacing w:after="0"/>
              <w:rPr>
                <w:sz w:val="20"/>
                <w:szCs w:val="20"/>
                <w:color w:val="auto"/>
              </w:rPr>
            </w:pPr>
            <w:r>
              <w:rPr>
                <w:rFonts w:ascii="Arial" w:cs="Arial" w:eastAsia="Arial" w:hAnsi="Arial"/>
                <w:sz w:val="18"/>
                <w:szCs w:val="18"/>
                <w:color w:val="auto"/>
                <w:w w:val="99"/>
              </w:rPr>
              <w:t>Confidential Information, Inventions Assignment, Noncompetition and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bottom w:val="single" w:sz="8" w:color="0000EE"/>
            </w:tcBorders>
            <w:gridSpan w:val="9"/>
          </w:tcPr>
          <w:p>
            <w:pPr>
              <w:jc w:val="cente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Incorporated by reference to Exhibit 10.14 to NTIC’s Annual</w:t>
              </w:r>
            </w:hyperlink>
          </w:p>
        </w:tc>
        <w:tc>
          <w:tcPr>
            <w:tcW w:w="24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9"/>
              </w:rPr>
              <w:t>Non-Solicitation Agreement dated as of November 18, 2011 between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3"/>
          </w:tcPr>
          <w:p>
            <w:pPr>
              <w:jc w:val="cente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Report on Form 10-K for the fiscal year ended August 31, 2011</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6"/>
              </w:rPr>
              <w:t>Northern Technologies International Corporation and G. Patrick Lynch*</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(File No. 001-11038)</w:t>
              </w:r>
            </w:hyperlink>
          </w:p>
        </w:tc>
        <w:tc>
          <w:tcPr>
            <w:tcW w:w="1680" w:type="dxa"/>
            <w:vAlign w:val="bottom"/>
            <w:gridSpan w:val="9"/>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5640" w:type="dxa"/>
            <w:vAlign w:val="bottom"/>
          </w:tcPr>
          <w:p>
            <w:pPr>
              <w:ind w:left="160"/>
              <w:spacing w:after="0"/>
              <w:rPr>
                <w:sz w:val="20"/>
                <w:szCs w:val="20"/>
                <w:color w:val="auto"/>
              </w:rPr>
            </w:pPr>
            <w:r>
              <w:rPr>
                <w:rFonts w:ascii="Arial" w:cs="Arial" w:eastAsia="Arial" w:hAnsi="Arial"/>
                <w:sz w:val="18"/>
                <w:szCs w:val="18"/>
                <w:color w:val="auto"/>
              </w:rPr>
              <w:t>Executive Employment Agreement dated as of November 18, 2011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9"/>
          </w:tcPr>
          <w:p>
            <w:pPr>
              <w:jc w:val="cente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Incorporated by reference to Exhibit 10.15 to NTIC’s Annual</w:t>
              </w:r>
            </w:hyperlink>
          </w:p>
        </w:tc>
        <w:tc>
          <w:tcPr>
            <w:tcW w:w="2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2"/>
              </w:rPr>
              <w:t>between Northern Technologies International Corporation and Matthew 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3"/>
          </w:tcPr>
          <w:p>
            <w:pPr>
              <w:jc w:val="cente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Report on Form 10-K for the fiscal year ended August 31, 2011</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Wolsfeld*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(File No. 001-11038)</w:t>
              </w:r>
            </w:hyperlink>
          </w:p>
        </w:tc>
        <w:tc>
          <w:tcPr>
            <w:tcW w:w="1680" w:type="dxa"/>
            <w:vAlign w:val="bottom"/>
            <w:gridSpan w:val="9"/>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5640" w:type="dxa"/>
            <w:vAlign w:val="bottom"/>
          </w:tcPr>
          <w:p>
            <w:pPr>
              <w:ind w:left="160"/>
              <w:spacing w:after="0"/>
              <w:rPr>
                <w:sz w:val="20"/>
                <w:szCs w:val="20"/>
                <w:color w:val="auto"/>
              </w:rPr>
            </w:pPr>
            <w:r>
              <w:rPr>
                <w:rFonts w:ascii="Arial" w:cs="Arial" w:eastAsia="Arial" w:hAnsi="Arial"/>
                <w:sz w:val="18"/>
                <w:szCs w:val="18"/>
                <w:color w:val="auto"/>
                <w:w w:val="99"/>
              </w:rPr>
              <w:t>Confidential Information, Inventions Assignment, Noncompetition and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9"/>
          </w:tcPr>
          <w:p>
            <w:pPr>
              <w:jc w:val="cente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Incorporated by reference to Exhibit 10.16 to NTIC’s Annual</w:t>
              </w:r>
            </w:hyperlink>
          </w:p>
        </w:tc>
        <w:tc>
          <w:tcPr>
            <w:tcW w:w="2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9"/>
              </w:rPr>
              <w:t>Non-Solicitation Agreement dated as of November 18, 2011 between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3"/>
          </w:tcPr>
          <w:p>
            <w:pPr>
              <w:jc w:val="cente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Report on Form 10-K for the fiscal year ended August 31, 2011</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Northern Technologies International Corporation and Matthew 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0"/>
          </w:tcPr>
          <w:p>
            <w:pPr>
              <w:jc w:val="center"/>
              <w:ind w:right="1680"/>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(File No. 001-11038)</w:t>
              </w:r>
            </w:hyperlink>
          </w:p>
        </w:tc>
      </w:tr>
      <w:tr>
        <w:trPr>
          <w:trHeight w:val="237"/>
        </w:trPr>
        <w:tc>
          <w:tcPr>
            <w:tcW w:w="88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Wolsfeld*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10.14</w:t>
            </w:r>
          </w:p>
        </w:tc>
        <w:tc>
          <w:tcPr>
            <w:tcW w:w="10540" w:type="dxa"/>
            <w:vAlign w:val="bottom"/>
            <w:gridSpan w:val="19"/>
          </w:tcPr>
          <w:p>
            <w:pPr>
              <w:ind w:left="160"/>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Committed Line of Credit Note dated as of January </w:t>
            </w:r>
            <w:hyperlink r:id="rId129">
              <w:r>
                <w:rPr>
                  <w:rFonts w:ascii="Arial" w:cs="Arial" w:eastAsia="Arial" w:hAnsi="Arial"/>
                  <w:sz w:val="18"/>
                  <w:szCs w:val="18"/>
                  <w:color w:val="0000EE"/>
                  <w:w w:val="91"/>
                </w:rPr>
                <w:t>Incorporated by reference to Exhibit 10.2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7"/>
              </w:rPr>
              <w:t>10, 2011 issued by Northern Technologies International Corporation to</w:t>
            </w: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1"/>
          </w:tcPr>
          <w:p>
            <w:pPr>
              <w:jc w:val="center"/>
              <w:ind w:right="460"/>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PNC Bank, National 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Commission on January 12, 2011 (File No. 001-11038)</w:t>
              </w:r>
            </w:hyperlink>
          </w:p>
        </w:tc>
        <w:tc>
          <w:tcPr>
            <w:tcW w:w="460" w:type="dxa"/>
            <w:vAlign w:val="bottom"/>
            <w:gridSpan w:val="6"/>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5640" w:type="dxa"/>
            <w:vAlign w:val="bottom"/>
          </w:tcPr>
          <w:p>
            <w:pPr>
              <w:ind w:left="160"/>
              <w:spacing w:after="0"/>
              <w:rPr>
                <w:sz w:val="20"/>
                <w:szCs w:val="20"/>
                <w:color w:val="auto"/>
              </w:rPr>
            </w:pPr>
            <w:r>
              <w:rPr>
                <w:rFonts w:ascii="Arial" w:cs="Arial" w:eastAsia="Arial" w:hAnsi="Arial"/>
                <w:sz w:val="18"/>
                <w:szCs w:val="18"/>
                <w:color w:val="auto"/>
              </w:rPr>
              <w:t>Loan Agreement dated as of January 10, 2011 between Northern</w:t>
            </w:r>
          </w:p>
        </w:tc>
        <w:tc>
          <w:tcPr>
            <w:tcW w:w="4900" w:type="dxa"/>
            <w:vAlign w:val="bottom"/>
            <w:gridSpan w:val="18"/>
          </w:tcPr>
          <w:p>
            <w:pPr>
              <w:jc w:val="center"/>
              <w:ind w:right="20"/>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Incorporated by reference to Exhibit 10.6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Technologies International Corporation and PNC Bank, National</w:t>
            </w: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1"/>
          </w:tcPr>
          <w:p>
            <w:pPr>
              <w:jc w:val="center"/>
              <w:ind w:right="460"/>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Commission on January 12, 2011 (File No. 001-11038)</w:t>
              </w:r>
            </w:hyperlink>
          </w:p>
        </w:tc>
        <w:tc>
          <w:tcPr>
            <w:tcW w:w="460" w:type="dxa"/>
            <w:vAlign w:val="bottom"/>
            <w:gridSpan w:val="6"/>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5640" w:type="dxa"/>
            <w:vAlign w:val="bottom"/>
          </w:tcPr>
          <w:p>
            <w:pPr>
              <w:ind w:left="160"/>
              <w:spacing w:after="0"/>
              <w:rPr>
                <w:sz w:val="20"/>
                <w:szCs w:val="20"/>
                <w:color w:val="auto"/>
              </w:rPr>
            </w:pPr>
            <w:r>
              <w:rPr>
                <w:rFonts w:ascii="Arial" w:cs="Arial" w:eastAsia="Arial" w:hAnsi="Arial"/>
                <w:sz w:val="18"/>
                <w:szCs w:val="18"/>
                <w:color w:val="auto"/>
                <w:w w:val="92"/>
              </w:rPr>
              <w:t>Waiver and First Amendment to Loan Documents dated as of January 10,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Incorporated by reference to Exhibit 10.6 to NTIC’s Quarterly</w:t>
              </w:r>
            </w:hyperlink>
          </w:p>
        </w:tc>
        <w:tc>
          <w:tcPr>
            <w:tcW w:w="2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gridSpan w:val="18"/>
          </w:tcPr>
          <w:p>
            <w:pPr>
              <w:jc w:val="cente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Report on Form 10-Q for the fiscal quarter ended November 30,</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Bank, National Association</w:t>
            </w: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2011 (File No. 001-11038)</w:t>
              </w:r>
            </w:hyperlink>
          </w:p>
        </w:tc>
        <w:tc>
          <w:tcPr>
            <w:tcW w:w="1340" w:type="dxa"/>
            <w:vAlign w:val="bottom"/>
            <w:tcBorders>
              <w:top w:val="single" w:sz="8" w:color="0000EE"/>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10.17</w:t>
            </w:r>
          </w:p>
        </w:tc>
        <w:tc>
          <w:tcPr>
            <w:tcW w:w="5640" w:type="dxa"/>
            <w:vAlign w:val="bottom"/>
          </w:tcPr>
          <w:p>
            <w:pPr>
              <w:ind w:left="160"/>
              <w:spacing w:after="0"/>
              <w:rPr>
                <w:sz w:val="20"/>
                <w:szCs w:val="20"/>
                <w:color w:val="auto"/>
              </w:rPr>
            </w:pPr>
            <w:r>
              <w:rPr>
                <w:rFonts w:ascii="Arial" w:cs="Arial" w:eastAsia="Arial" w:hAnsi="Arial"/>
                <w:sz w:val="18"/>
                <w:szCs w:val="18"/>
                <w:color w:val="auto"/>
                <w:w w:val="92"/>
              </w:rPr>
              <w:t>Waiver and Second Amendment to Loan Documents dated December 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Incorporated by reference to Exhibit 10.1 to NTIC’s Quarterly</w:t>
              </w:r>
            </w:hyperlink>
          </w:p>
        </w:tc>
        <w:tc>
          <w:tcPr>
            <w:tcW w:w="2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gridSpan w:val="18"/>
          </w:tcPr>
          <w:p>
            <w:pPr>
              <w:jc w:val="cente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Report on Form 10-Q for the fiscal quarter ended November 30,</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Bank, National Association</w:t>
            </w: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2012 (File No. 001-11038)</w:t>
              </w:r>
            </w:hyperlink>
          </w:p>
        </w:tc>
        <w:tc>
          <w:tcPr>
            <w:tcW w:w="1340" w:type="dxa"/>
            <w:vAlign w:val="bottom"/>
            <w:tcBorders>
              <w:top w:val="single" w:sz="8" w:color="0000EE"/>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88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5640" w:type="dxa"/>
            <w:vAlign w:val="bottom"/>
          </w:tcPr>
          <w:p>
            <w:pPr>
              <w:ind w:left="160"/>
              <w:spacing w:after="0"/>
              <w:rPr>
                <w:sz w:val="20"/>
                <w:szCs w:val="20"/>
                <w:color w:val="auto"/>
              </w:rPr>
            </w:pPr>
            <w:r>
              <w:rPr>
                <w:rFonts w:ascii="Arial" w:cs="Arial" w:eastAsia="Arial" w:hAnsi="Arial"/>
                <w:sz w:val="18"/>
                <w:szCs w:val="18"/>
                <w:color w:val="auto"/>
                <w:w w:val="95"/>
              </w:rPr>
              <w:t>Letter dated December 31, 2013 to Northern Technologies International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Incorporated by reference to Exhibit 10.1 to NTIC’s Quarterly</w:t>
              </w:r>
            </w:hyperlink>
          </w:p>
        </w:tc>
        <w:tc>
          <w:tcPr>
            <w:tcW w:w="2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Corporation from PNC Bank, National 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gridSpan w:val="15"/>
          </w:tcPr>
          <w:p>
            <w:pPr>
              <w:jc w:val="center"/>
              <w:ind w:right="200"/>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Report on Form 10-Q for the fiscal quarter ended February 28,</w:t>
              </w:r>
            </w:hyperlink>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gridSpan w:val="7"/>
          </w:tcPr>
          <w:p>
            <w:pPr>
              <w:jc w:val="center"/>
              <w:ind w:right="1280"/>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2014 (File No. 001-11038)</w:t>
              </w:r>
            </w:hyperlink>
          </w:p>
        </w:tc>
        <w:tc>
          <w:tcPr>
            <w:tcW w:w="200" w:type="dxa"/>
            <w:vAlign w:val="bottom"/>
            <w:gridSpan w:val="4"/>
          </w:tcPr>
          <w:p>
            <w:pPr>
              <w:spacing w:after="0"/>
              <w:rPr>
                <w:sz w:val="17"/>
                <w:szCs w:val="17"/>
                <w:color w:val="auto"/>
              </w:rPr>
            </w:pPr>
          </w:p>
        </w:tc>
      </w:tr>
      <w:tr>
        <w:trPr>
          <w:trHeight w:val="912"/>
        </w:trPr>
        <w:tc>
          <w:tcPr>
            <w:tcW w:w="880" w:type="dxa"/>
            <w:vAlign w:val="bottom"/>
          </w:tcPr>
          <w:p>
            <w:pPr>
              <w:spacing w:after="0"/>
              <w:rPr>
                <w:sz w:val="24"/>
                <w:szCs w:val="24"/>
                <w:color w:val="auto"/>
              </w:rPr>
            </w:pPr>
          </w:p>
        </w:tc>
        <w:tc>
          <w:tcPr>
            <w:tcW w:w="5640" w:type="dxa"/>
            <w:vAlign w:val="bottom"/>
          </w:tcPr>
          <w:p>
            <w:pPr>
              <w:ind w:left="47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88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715" w:right="239" w:bottom="1440" w:gutter="0" w:footer="0" w:header="0"/>
          <w:type w:val="continuous"/>
        </w:sectPr>
      </w:pPr>
    </w:p>
    <w:bookmarkStart w:id="93" w:name="page94"/>
    <w:bookmarkEnd w:id="93"/>
    <w:p>
      <w:pPr>
        <w:ind w:left="200"/>
        <w:spacing w:after="0"/>
        <w:tabs>
          <w:tab w:leader="none" w:pos="1020" w:val="left"/>
          <w:tab w:leader="none" w:pos="8300" w:val="left"/>
        </w:tabs>
        <w:rPr>
          <w:sz w:val="20"/>
          <w:szCs w:val="20"/>
          <w:color w:val="auto"/>
        </w:rPr>
      </w:pPr>
      <w:r>
        <w:rPr>
          <w:rFonts w:ascii="Arial" w:cs="Arial" w:eastAsia="Arial" w:hAnsi="Arial"/>
          <w:sz w:val="18"/>
          <w:szCs w:val="18"/>
          <w:b w:val="1"/>
          <w:bCs w:val="1"/>
          <w:color w:val="auto"/>
        </w:rPr>
        <w:t>Item No.</w:t>
        <w:tab/>
        <w:t>Item</w:t>
      </w:r>
      <w:r>
        <w:rPr>
          <w:sz w:val="20"/>
          <w:szCs w:val="20"/>
          <w:color w:val="auto"/>
        </w:rPr>
        <w:tab/>
      </w: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10.19</w:t>
            </w:r>
          </w:p>
        </w:tc>
        <w:tc>
          <w:tcPr>
            <w:tcW w:w="5640" w:type="dxa"/>
            <w:vAlign w:val="bottom"/>
          </w:tcPr>
          <w:p>
            <w:pPr>
              <w:ind w:left="160"/>
              <w:spacing w:after="0"/>
              <w:rPr>
                <w:sz w:val="20"/>
                <w:szCs w:val="20"/>
                <w:color w:val="auto"/>
              </w:rPr>
            </w:pPr>
            <w:r>
              <w:rPr>
                <w:rFonts w:ascii="Arial" w:cs="Arial" w:eastAsia="Arial" w:hAnsi="Arial"/>
                <w:sz w:val="18"/>
                <w:szCs w:val="18"/>
                <w:color w:val="auto"/>
              </w:rPr>
              <w:t>Letter dated January 8, 2015 to Northern Technologies International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Corporation from PNC Bank, National 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Report on Form 10-Q for the fiscal quarter ended February 28,</w:t>
              </w:r>
            </w:hyperlink>
          </w:p>
        </w:tc>
        <w:tc>
          <w:tcPr>
            <w:tcW w:w="1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2015 (File No. 001-11038)</w:t>
              </w:r>
            </w:hyperlink>
          </w:p>
        </w:tc>
        <w:tc>
          <w:tcPr>
            <w:tcW w:w="1480" w:type="dxa"/>
            <w:vAlign w:val="bottom"/>
            <w:gridSpan w:val="8"/>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10.20</w:t>
            </w:r>
          </w:p>
        </w:tc>
        <w:tc>
          <w:tcPr>
            <w:tcW w:w="5640" w:type="dxa"/>
            <w:vAlign w:val="bottom"/>
          </w:tcPr>
          <w:p>
            <w:pPr>
              <w:ind w:left="160"/>
              <w:spacing w:after="0"/>
              <w:rPr>
                <w:sz w:val="20"/>
                <w:szCs w:val="20"/>
                <w:color w:val="auto"/>
              </w:rPr>
            </w:pPr>
            <w:r>
              <w:rPr>
                <w:rFonts w:ascii="Arial" w:cs="Arial" w:eastAsia="Arial" w:hAnsi="Arial"/>
                <w:sz w:val="18"/>
                <w:szCs w:val="18"/>
                <w:color w:val="auto"/>
                <w:w w:val="95"/>
              </w:rPr>
              <w:t>Amendment to Loan Documents dated January 6, 2016 by and between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2"/>
              </w:rPr>
              <w:t>Northern Technologies International Corporation from PNC Bank, National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Report on Form 10-Q for the fiscal quarter ended February 29,</w:t>
              </w:r>
            </w:hyperlink>
          </w:p>
        </w:tc>
        <w:tc>
          <w:tcPr>
            <w:tcW w:w="1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Association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2016 (File No. 001-11038)</w:t>
              </w:r>
            </w:hyperlink>
          </w:p>
        </w:tc>
        <w:tc>
          <w:tcPr>
            <w:tcW w:w="1480" w:type="dxa"/>
            <w:vAlign w:val="bottom"/>
            <w:gridSpan w:val="8"/>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10.21</w:t>
            </w:r>
          </w:p>
        </w:tc>
        <w:tc>
          <w:tcPr>
            <w:tcW w:w="5640" w:type="dxa"/>
            <w:vAlign w:val="bottom"/>
          </w:tcPr>
          <w:p>
            <w:pPr>
              <w:ind w:left="160"/>
              <w:spacing w:after="0"/>
              <w:rPr>
                <w:sz w:val="20"/>
                <w:szCs w:val="20"/>
                <w:color w:val="auto"/>
              </w:rPr>
            </w:pPr>
            <w:r>
              <w:rPr>
                <w:rFonts w:ascii="Arial" w:cs="Arial" w:eastAsia="Arial" w:hAnsi="Arial"/>
                <w:sz w:val="18"/>
                <w:szCs w:val="18"/>
                <w:color w:val="auto"/>
                <w:w w:val="96"/>
              </w:rPr>
              <w:t>Letter Agreement effective as of January 11, 2017 between PNC Bank,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2"/>
              </w:rPr>
              <w:t>National Association and Northern Technologies International Corporation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Report on Form 10-Q for the fiscal quarter ended November 30,</w:t>
              </w:r>
            </w:hyperlink>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2016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10.22</w:t>
            </w:r>
          </w:p>
        </w:tc>
        <w:tc>
          <w:tcPr>
            <w:tcW w:w="5640" w:type="dxa"/>
            <w:vAlign w:val="bottom"/>
          </w:tcPr>
          <w:p>
            <w:pPr>
              <w:ind w:left="160"/>
              <w:spacing w:after="0"/>
              <w:rPr>
                <w:sz w:val="20"/>
                <w:szCs w:val="20"/>
                <w:color w:val="auto"/>
              </w:rPr>
            </w:pPr>
            <w:r>
              <w:rPr>
                <w:rFonts w:ascii="Arial" w:cs="Arial" w:eastAsia="Arial" w:hAnsi="Arial"/>
                <w:sz w:val="18"/>
                <w:szCs w:val="18"/>
                <w:color w:val="auto"/>
                <w:w w:val="91"/>
              </w:rPr>
              <w:t>Purchase and Sale Agreement dated as of July 14, 2014 between Northern</w:t>
            </w:r>
          </w:p>
        </w:tc>
        <w:tc>
          <w:tcPr>
            <w:tcW w:w="4900" w:type="dxa"/>
            <w:vAlign w:val="bottom"/>
            <w:tcBorders>
              <w:bottom w:val="single" w:sz="8" w:color="0000EE"/>
            </w:tcBorders>
            <w:gridSpan w:val="21"/>
          </w:tcPr>
          <w:p>
            <w:pPr>
              <w:jc w:val="center"/>
              <w:ind w:right="20"/>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Incorporated by reference to Exhibit 10.1 to NTIC’s Current Report</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8"/>
              </w:rPr>
              <w:t>Technologies International Corporation and Glenwillow Holdings, LLC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20" w:type="dxa"/>
            <w:vAlign w:val="bottom"/>
            <w:gridSpan w:val="15"/>
          </w:tcPr>
          <w:p>
            <w:pPr>
              <w:jc w:val="center"/>
              <w:ind w:right="480"/>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on Form 8-K as filed with the Securities and Exchange</w:t>
              </w:r>
            </w:hyperlink>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7"/>
          </w:tcPr>
          <w:p>
            <w:pPr>
              <w:jc w:val="cente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Commission on July 15, 2014 (File No. 001-11038)</w:t>
              </w:r>
            </w:hyperlink>
          </w:p>
        </w:tc>
        <w:tc>
          <w:tcPr>
            <w:tcW w:w="100" w:type="dxa"/>
            <w:vAlign w:val="bottom"/>
            <w:tcBorders>
              <w:top w:val="single" w:sz="8" w:color="0000EE"/>
            </w:tcBorders>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93"/>
              </w:rPr>
              <w:t>10.23</w:t>
            </w:r>
          </w:p>
        </w:tc>
        <w:tc>
          <w:tcPr>
            <w:tcW w:w="5640" w:type="dxa"/>
            <w:vAlign w:val="bottom"/>
          </w:tcPr>
          <w:p>
            <w:pPr>
              <w:ind w:left="160"/>
              <w:spacing w:after="0"/>
              <w:rPr>
                <w:sz w:val="20"/>
                <w:szCs w:val="20"/>
                <w:color w:val="auto"/>
              </w:rPr>
            </w:pPr>
            <w:r>
              <w:rPr>
                <w:rFonts w:ascii="Arial" w:cs="Arial" w:eastAsia="Arial" w:hAnsi="Arial"/>
                <w:sz w:val="18"/>
                <w:szCs w:val="18"/>
                <w:color w:val="auto"/>
                <w:w w:val="96"/>
              </w:rPr>
              <w:t>Consulting Agreement dated January 11, 2017 by and among Northern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by reference to Exhibit 10.2 to NTIC’s Quarterly</w:t>
              </w:r>
            </w:hyperlink>
          </w:p>
        </w:tc>
        <w:tc>
          <w:tcPr>
            <w:tcW w:w="20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w w:val="97"/>
              </w:rPr>
              <w:t>Technologies International Corporation, BioPlastic Polymers LLC,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Report on Form 10-Q for the fiscal quarter ended November 30,</w:t>
              </w:r>
            </w:hyperlink>
          </w:p>
        </w:tc>
      </w:tr>
      <w:tr>
        <w:trPr>
          <w:trHeight w:val="196"/>
        </w:trPr>
        <w:tc>
          <w:tcPr>
            <w:tcW w:w="88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Ramani Narayan, Ph.D.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5"/>
          </w:tcPr>
          <w:p>
            <w:pPr>
              <w:jc w:val="cente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2016 (File No. 001-11038)</w:t>
              </w:r>
            </w:hyperlink>
          </w:p>
        </w:tc>
        <w:tc>
          <w:tcPr>
            <w:tcW w:w="13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14.1</w:t>
            </w:r>
          </w:p>
        </w:tc>
        <w:tc>
          <w:tcPr>
            <w:tcW w:w="5640" w:type="dxa"/>
            <w:vAlign w:val="bottom"/>
          </w:tcPr>
          <w:p>
            <w:pPr>
              <w:ind w:left="160"/>
              <w:spacing w:after="0"/>
              <w:rPr>
                <w:sz w:val="20"/>
                <w:szCs w:val="20"/>
                <w:color w:val="auto"/>
              </w:rPr>
            </w:pPr>
            <w:r>
              <w:rPr>
                <w:rFonts w:ascii="Arial" w:cs="Arial" w:eastAsia="Arial" w:hAnsi="Arial"/>
                <w:sz w:val="18"/>
                <w:szCs w:val="18"/>
                <w:color w:val="auto"/>
              </w:rPr>
              <w:t>Code of Ethics</w:t>
            </w:r>
          </w:p>
        </w:tc>
        <w:tc>
          <w:tcPr>
            <w:tcW w:w="20" w:type="dxa"/>
            <w:vAlign w:val="bottom"/>
          </w:tcPr>
          <w:p>
            <w:pPr>
              <w:spacing w:after="0"/>
              <w:rPr>
                <w:sz w:val="24"/>
                <w:szCs w:val="24"/>
                <w:color w:val="auto"/>
              </w:rPr>
            </w:pPr>
          </w:p>
        </w:tc>
        <w:tc>
          <w:tcPr>
            <w:tcW w:w="4860" w:type="dxa"/>
            <w:vAlign w:val="bottom"/>
            <w:tcBorders>
              <w:bottom w:val="single" w:sz="8" w:color="0000EE"/>
            </w:tcBorders>
            <w:gridSpan w:val="19"/>
          </w:tcPr>
          <w:p>
            <w:pPr>
              <w:jc w:val="cente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Incorporated by reference to Exhibit 14.1 to NTIC’s Annual Report</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Borders>
              <w:bottom w:val="single" w:sz="8" w:color="0000EE"/>
            </w:tcBorders>
            <w:gridSpan w:val="17"/>
          </w:tcPr>
          <w:p>
            <w:pPr>
              <w:jc w:val="cente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on Form 10-KSB for the fiscal year ended August 31, 2004 (File</w:t>
              </w:r>
            </w:hyperlink>
          </w:p>
        </w:tc>
        <w:tc>
          <w:tcPr>
            <w:tcW w:w="12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12"/>
          </w:tcPr>
          <w:p>
            <w:pPr>
              <w:jc w:val="center"/>
              <w:ind w:right="1880"/>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No. 001-11038)</w:t>
              </w:r>
            </w:hyperlink>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21.1</w:t>
            </w:r>
          </w:p>
        </w:tc>
        <w:tc>
          <w:tcPr>
            <w:tcW w:w="5640" w:type="dxa"/>
            <w:vAlign w:val="bottom"/>
          </w:tcPr>
          <w:p>
            <w:pPr>
              <w:ind w:left="160"/>
              <w:spacing w:after="0"/>
              <w:rPr>
                <w:sz w:val="20"/>
                <w:szCs w:val="20"/>
                <w:color w:val="auto"/>
              </w:rPr>
            </w:pPr>
            <w:r>
              <w:rPr>
                <w:rFonts w:ascii="Arial" w:cs="Arial" w:eastAsia="Arial" w:hAnsi="Arial"/>
                <w:sz w:val="18"/>
                <w:szCs w:val="18"/>
                <w:color w:val="auto"/>
              </w:rPr>
              <w:t>Subsidiaries of the Registrant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Filed herewith</w:t>
              </w:r>
            </w:hyperlink>
          </w:p>
        </w:tc>
        <w:tc>
          <w:tcPr>
            <w:tcW w:w="40" w:type="dxa"/>
            <w:vAlign w:val="bottom"/>
            <w:tcBorders>
              <w:top w:val="single" w:sz="8" w:color="0000EE"/>
            </w:tcBorders>
          </w:tcPr>
          <w:p>
            <w:pPr>
              <w:spacing w:after="0"/>
              <w:rPr>
                <w:sz w:val="24"/>
                <w:szCs w:val="24"/>
                <w:color w:val="auto"/>
              </w:rPr>
            </w:pPr>
          </w:p>
        </w:tc>
        <w:tc>
          <w:tcPr>
            <w:tcW w:w="1880" w:type="dxa"/>
            <w:vAlign w:val="bottom"/>
            <w:gridSpan w:val="9"/>
          </w:tcPr>
          <w:p>
            <w:pPr>
              <w:spacing w:after="0"/>
              <w:rPr>
                <w:sz w:val="24"/>
                <w:szCs w:val="24"/>
                <w:color w:val="auto"/>
              </w:rPr>
            </w:pPr>
          </w:p>
        </w:tc>
      </w:tr>
      <w:tr>
        <w:trPr>
          <w:trHeight w:val="41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23.1</w:t>
            </w:r>
          </w:p>
        </w:tc>
        <w:tc>
          <w:tcPr>
            <w:tcW w:w="5640" w:type="dxa"/>
            <w:vAlign w:val="bottom"/>
          </w:tcPr>
          <w:p>
            <w:pPr>
              <w:ind w:left="160"/>
              <w:spacing w:after="0"/>
              <w:rPr>
                <w:sz w:val="20"/>
                <w:szCs w:val="20"/>
                <w:color w:val="auto"/>
              </w:rPr>
            </w:pPr>
            <w:r>
              <w:rPr>
                <w:rFonts w:ascii="Arial" w:cs="Arial" w:eastAsia="Arial" w:hAnsi="Arial"/>
                <w:sz w:val="18"/>
                <w:szCs w:val="18"/>
                <w:color w:val="auto"/>
              </w:rPr>
              <w:t>Consent of Baker Tilly Virchow Krause, LLP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Filed herewith</w:t>
              </w:r>
            </w:hyperlink>
          </w:p>
        </w:tc>
      </w:tr>
      <w:tr>
        <w:trPr>
          <w:trHeight w:val="438"/>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31.1</w:t>
            </w:r>
          </w:p>
        </w:tc>
        <w:tc>
          <w:tcPr>
            <w:tcW w:w="5640" w:type="dxa"/>
            <w:vAlign w:val="bottom"/>
          </w:tcPr>
          <w:p>
            <w:pPr>
              <w:ind w:left="160"/>
              <w:spacing w:after="0"/>
              <w:rPr>
                <w:sz w:val="20"/>
                <w:szCs w:val="20"/>
                <w:color w:val="auto"/>
              </w:rPr>
            </w:pPr>
            <w:r>
              <w:rPr>
                <w:rFonts w:ascii="Arial" w:cs="Arial" w:eastAsia="Arial" w:hAnsi="Arial"/>
                <w:sz w:val="18"/>
                <w:szCs w:val="18"/>
                <w:color w:val="auto"/>
                <w:w w:val="97"/>
              </w:rPr>
              <w:t>Certification of President and Chief Executive Officer Pursuant to SEC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5640" w:type="dxa"/>
            <w:vAlign w:val="bottom"/>
          </w:tcPr>
          <w:p>
            <w:pPr>
              <w:ind w:left="160"/>
              <w:spacing w:after="0" w:line="190" w:lineRule="exact"/>
              <w:rPr>
                <w:sz w:val="20"/>
                <w:szCs w:val="20"/>
                <w:color w:val="auto"/>
              </w:rPr>
            </w:pPr>
            <w:r>
              <w:rPr>
                <w:rFonts w:ascii="Arial" w:cs="Arial" w:eastAsia="Arial" w:hAnsi="Arial"/>
                <w:sz w:val="18"/>
                <w:szCs w:val="18"/>
                <w:color w:val="auto"/>
                <w:w w:val="91"/>
              </w:rPr>
              <w:t>Rule 13a-14(a), as adopted pursuant to Section 302 of the Sarbanes-Oxley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gridSpan w:val="11"/>
          </w:tcPr>
          <w:p>
            <w:pPr>
              <w:jc w:val="center"/>
              <w:ind w:right="1920"/>
              <w:spacing w:after="0" w:line="190"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Filed herewith</w:t>
              </w:r>
            </w:hyperlink>
          </w:p>
        </w:tc>
      </w:tr>
      <w:tr>
        <w:trPr>
          <w:trHeight w:val="237"/>
        </w:trPr>
        <w:tc>
          <w:tcPr>
            <w:tcW w:w="88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Act of 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880" w:type="dxa"/>
            <w:vAlign w:val="bottom"/>
          </w:tcPr>
          <w:p>
            <w:pPr>
              <w:jc w:val="center"/>
              <w:ind w:left="90"/>
              <w:spacing w:after="0"/>
              <w:rPr>
                <w:sz w:val="20"/>
                <w:szCs w:val="20"/>
                <w:color w:val="auto"/>
              </w:rPr>
            </w:pPr>
            <w:r>
              <w:rPr>
                <w:rFonts w:ascii="Arial" w:cs="Arial" w:eastAsia="Arial" w:hAnsi="Arial"/>
                <w:sz w:val="18"/>
                <w:szCs w:val="18"/>
                <w:color w:val="auto"/>
                <w:w w:val="85"/>
              </w:rPr>
              <w:t>31.2</w:t>
            </w:r>
          </w:p>
        </w:tc>
        <w:tc>
          <w:tcPr>
            <w:tcW w:w="5640" w:type="dxa"/>
            <w:vAlign w:val="bottom"/>
          </w:tcPr>
          <w:p>
            <w:pPr>
              <w:ind w:left="160"/>
              <w:spacing w:after="0"/>
              <w:rPr>
                <w:sz w:val="20"/>
                <w:szCs w:val="20"/>
                <w:color w:val="auto"/>
              </w:rPr>
            </w:pPr>
            <w:r>
              <w:rPr>
                <w:rFonts w:ascii="Arial" w:cs="Arial" w:eastAsia="Arial" w:hAnsi="Arial"/>
                <w:sz w:val="18"/>
                <w:szCs w:val="18"/>
                <w:color w:val="auto"/>
                <w:w w:val="92"/>
              </w:rPr>
              <w:t>Certification of Chief Financial Officer Pursuant to SEC Rule 13a-14(a),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Filed herewith</w:t>
              </w:r>
            </w:hyperlink>
          </w:p>
        </w:tc>
      </w:tr>
      <w:tr>
        <w:trPr>
          <w:trHeight w:val="237"/>
        </w:trPr>
        <w:tc>
          <w:tcPr>
            <w:tcW w:w="88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91"/>
        </w:trPr>
        <w:tc>
          <w:tcPr>
            <w:tcW w:w="880" w:type="dxa"/>
            <w:vAlign w:val="bottom"/>
          </w:tcPr>
          <w:p>
            <w:pPr>
              <w:spacing w:after="0"/>
              <w:rPr>
                <w:sz w:val="24"/>
                <w:szCs w:val="24"/>
                <w:color w:val="auto"/>
              </w:rPr>
            </w:pPr>
          </w:p>
        </w:tc>
        <w:tc>
          <w:tcPr>
            <w:tcW w:w="5640" w:type="dxa"/>
            <w:vAlign w:val="bottom"/>
          </w:tcPr>
          <w:p>
            <w:pPr>
              <w:ind w:left="47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88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715" w:right="239" w:bottom="1440" w:gutter="0" w:footer="0" w:header="0"/>
          <w:type w:val="continuous"/>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3140" w:type="dxa"/>
            <w:vAlign w:val="bottom"/>
            <w:tcBorders>
              <w:bottom w:val="single" w:sz="8" w:color="auto"/>
            </w:tcBorders>
            <w:gridSpan w:val="2"/>
          </w:tcPr>
          <w:p>
            <w:pPr>
              <w:jc w:val="center"/>
              <w:ind w:right="1760"/>
              <w:spacing w:after="0"/>
              <w:rPr>
                <w:sz w:val="20"/>
                <w:szCs w:val="20"/>
                <w:color w:val="auto"/>
              </w:rPr>
            </w:pPr>
            <w:r>
              <w:rPr>
                <w:rFonts w:ascii="Arial" w:cs="Arial" w:eastAsia="Arial" w:hAnsi="Arial"/>
                <w:sz w:val="18"/>
                <w:szCs w:val="18"/>
                <w:b w:val="1"/>
                <w:bCs w:val="1"/>
                <w:color w:val="auto"/>
                <w:w w:val="93"/>
              </w:rPr>
              <w:t>Method of Filing</w:t>
            </w:r>
          </w:p>
        </w:tc>
      </w:tr>
      <w:tr>
        <w:trPr>
          <w:trHeight w:val="385"/>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32.1</w:t>
            </w:r>
          </w:p>
        </w:tc>
        <w:tc>
          <w:tcPr>
            <w:tcW w:w="7320" w:type="dxa"/>
            <w:vAlign w:val="bottom"/>
          </w:tcPr>
          <w:p>
            <w:pPr>
              <w:ind w:left="80"/>
              <w:spacing w:after="0"/>
              <w:rPr>
                <w:sz w:val="20"/>
                <w:szCs w:val="20"/>
                <w:color w:val="auto"/>
              </w:rPr>
            </w:pPr>
            <w:r>
              <w:rPr>
                <w:rFonts w:ascii="Arial" w:cs="Arial" w:eastAsia="Arial" w:hAnsi="Arial"/>
                <w:sz w:val="18"/>
                <w:szCs w:val="18"/>
                <w:color w:val="auto"/>
              </w:rPr>
              <w:t>Certification of President and Chief Executive Officer Pursuant to Rule 18</w:t>
            </w:r>
          </w:p>
        </w:tc>
        <w:tc>
          <w:tcPr>
            <w:tcW w:w="3140" w:type="dxa"/>
            <w:vAlign w:val="bottom"/>
            <w:gridSpan w:val="2"/>
          </w:tcPr>
          <w:p>
            <w:pPr>
              <w:jc w:val="center"/>
              <w:ind w:right="1760"/>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Furnished herewith</w:t>
              </w:r>
            </w:hyperlink>
          </w:p>
        </w:tc>
      </w:tr>
      <w:tr>
        <w:trPr>
          <w:trHeight w:val="222"/>
        </w:trPr>
        <w:tc>
          <w:tcPr>
            <w:tcW w:w="9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U.S.C. Section 1350, as adopted pursuant to Section 906 of the Sarbanes-</w:t>
            </w:r>
          </w:p>
        </w:tc>
        <w:tc>
          <w:tcPr>
            <w:tcW w:w="1380" w:type="dxa"/>
            <w:vAlign w:val="bottom"/>
            <w:tcBorders>
              <w:top w:val="single" w:sz="8" w:color="0000EE"/>
            </w:tcBorders>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0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32.2</w:t>
            </w:r>
          </w:p>
        </w:tc>
        <w:tc>
          <w:tcPr>
            <w:tcW w:w="732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Rule 18 U.S.C. Section</w:t>
            </w:r>
          </w:p>
        </w:tc>
        <w:tc>
          <w:tcPr>
            <w:tcW w:w="3140" w:type="dxa"/>
            <w:vAlign w:val="bottom"/>
            <w:gridSpan w:val="2"/>
          </w:tcPr>
          <w:p>
            <w:pPr>
              <w:jc w:val="center"/>
              <w:ind w:right="1760"/>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Furnished herewith</w:t>
              </w:r>
            </w:hyperlink>
          </w:p>
        </w:tc>
      </w:tr>
      <w:tr>
        <w:trPr>
          <w:trHeight w:val="222"/>
        </w:trPr>
        <w:tc>
          <w:tcPr>
            <w:tcW w:w="9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1350, as adopted pursuant to Section 906 of the Sarbanes-Oxley Act of</w:t>
            </w:r>
          </w:p>
        </w:tc>
        <w:tc>
          <w:tcPr>
            <w:tcW w:w="1380" w:type="dxa"/>
            <w:vAlign w:val="bottom"/>
            <w:tcBorders>
              <w:top w:val="single" w:sz="8" w:color="0000EE"/>
            </w:tcBorders>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2002</w:t>
            </w: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6"/>
              </w:rPr>
              <w:t>101</w:t>
            </w:r>
          </w:p>
        </w:tc>
        <w:tc>
          <w:tcPr>
            <w:tcW w:w="7320" w:type="dxa"/>
            <w:vAlign w:val="bottom"/>
          </w:tcPr>
          <w:p>
            <w:pPr>
              <w:ind w:left="80"/>
              <w:spacing w:after="0"/>
              <w:rPr>
                <w:sz w:val="20"/>
                <w:szCs w:val="20"/>
                <w:color w:val="auto"/>
              </w:rPr>
            </w:pPr>
            <w:r>
              <w:rPr>
                <w:rFonts w:ascii="Arial" w:cs="Arial" w:eastAsia="Arial" w:hAnsi="Arial"/>
                <w:sz w:val="18"/>
                <w:szCs w:val="18"/>
                <w:color w:val="auto"/>
              </w:rPr>
              <w:t>The following materials from Northern Technologies International</w:t>
            </w:r>
          </w:p>
        </w:tc>
        <w:tc>
          <w:tcPr>
            <w:tcW w:w="3140" w:type="dxa"/>
            <w:vAlign w:val="bottom"/>
            <w:gridSpan w:val="2"/>
          </w:tcPr>
          <w:p>
            <w:pPr>
              <w:jc w:val="center"/>
              <w:ind w:right="1760"/>
              <w:spacing w:after="0"/>
              <w:rPr>
                <w:sz w:val="20"/>
                <w:szCs w:val="20"/>
                <w:color w:val="auto"/>
              </w:rPr>
            </w:pPr>
            <w:r>
              <w:rPr>
                <w:rFonts w:ascii="Arial" w:cs="Arial" w:eastAsia="Arial" w:hAnsi="Arial"/>
                <w:sz w:val="18"/>
                <w:szCs w:val="18"/>
                <w:color w:val="auto"/>
                <w:w w:val="94"/>
              </w:rPr>
              <w:t>Filed herewith</w:t>
            </w:r>
          </w:p>
        </w:tc>
      </w:tr>
      <w:tr>
        <w:trPr>
          <w:trHeight w:val="216"/>
        </w:trPr>
        <w:tc>
          <w:tcPr>
            <w:tcW w:w="96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Corporation’s Annual Report on Form 10-K for the fiscal year ended</w:t>
            </w: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August 31, 2017, formatted in XBRL (Extensible Business Reporting</w:t>
            </w: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ind w:left="1040"/>
        <w:spacing w:after="0"/>
        <w:rPr>
          <w:sz w:val="20"/>
          <w:szCs w:val="20"/>
          <w:color w:val="auto"/>
        </w:rPr>
      </w:pPr>
      <w:r>
        <w:rPr>
          <w:rFonts w:ascii="Arial" w:cs="Arial" w:eastAsia="Arial" w:hAnsi="Arial"/>
          <w:sz w:val="18"/>
          <w:szCs w:val="18"/>
          <w:color w:val="auto"/>
        </w:rPr>
        <w:t>Language): (i) the Consolidated Balance Sheets, (ii) the Consolidated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Statements of Operations, (iii) the Consolidated Statements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Comprehensive Income (Loss), (iv) the Consolidated Statements of Equity,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 the Consolidated Statements of Cash Flows, and (vi) Notes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6880" w:type="dxa"/>
            <w:vAlign w:val="bottom"/>
            <w:gridSpan w:val="2"/>
          </w:tcPr>
          <w:p>
            <w:pPr>
              <w:ind w:left="3120"/>
              <w:spacing w:after="0"/>
              <w:rPr>
                <w:sz w:val="20"/>
                <w:szCs w:val="20"/>
                <w:color w:val="auto"/>
              </w:rPr>
            </w:pPr>
            <w:r>
              <w:rPr>
                <w:rFonts w:ascii="Arial" w:cs="Arial" w:eastAsia="Arial" w:hAnsi="Arial"/>
                <w:sz w:val="18"/>
                <w:szCs w:val="18"/>
                <w:b w:val="1"/>
                <w:bCs w:val="1"/>
                <w:color w:val="auto"/>
              </w:rPr>
              <w:t>NORTHERN TECHNOLOGIES</w:t>
            </w:r>
          </w:p>
        </w:tc>
      </w:tr>
      <w:tr>
        <w:trPr>
          <w:trHeight w:val="234"/>
        </w:trPr>
        <w:tc>
          <w:tcPr>
            <w:tcW w:w="4540" w:type="dxa"/>
            <w:vAlign w:val="bottom"/>
          </w:tcPr>
          <w:p>
            <w:pPr>
              <w:spacing w:after="0"/>
              <w:rPr>
                <w:sz w:val="20"/>
                <w:szCs w:val="20"/>
                <w:color w:val="auto"/>
              </w:rPr>
            </w:pPr>
          </w:p>
        </w:tc>
        <w:tc>
          <w:tcPr>
            <w:tcW w:w="6880" w:type="dxa"/>
            <w:vAlign w:val="bottom"/>
            <w:gridSpan w:val="2"/>
          </w:tcPr>
          <w:p>
            <w:pPr>
              <w:ind w:left="3120"/>
              <w:spacing w:after="0"/>
              <w:rPr>
                <w:sz w:val="20"/>
                <w:szCs w:val="20"/>
                <w:color w:val="auto"/>
              </w:rPr>
            </w:pPr>
            <w:r>
              <w:rPr>
                <w:rFonts w:ascii="Arial" w:cs="Arial" w:eastAsia="Arial" w:hAnsi="Arial"/>
                <w:sz w:val="18"/>
                <w:szCs w:val="18"/>
                <w:b w:val="1"/>
                <w:bCs w:val="1"/>
                <w:color w:val="auto"/>
              </w:rPr>
              <w:t>INTERNATIONAL CORPORATION</w:t>
            </w:r>
          </w:p>
        </w:tc>
      </w:tr>
      <w:tr>
        <w:trPr>
          <w:trHeight w:val="648"/>
        </w:trPr>
        <w:tc>
          <w:tcPr>
            <w:tcW w:w="4540" w:type="dxa"/>
            <w:vAlign w:val="bottom"/>
          </w:tcPr>
          <w:p>
            <w:pPr>
              <w:spacing w:after="0"/>
              <w:rPr>
                <w:sz w:val="20"/>
                <w:szCs w:val="20"/>
                <w:color w:val="auto"/>
              </w:rPr>
            </w:pPr>
            <w:r>
              <w:rPr>
                <w:rFonts w:ascii="Arial" w:cs="Arial" w:eastAsia="Arial" w:hAnsi="Arial"/>
                <w:sz w:val="18"/>
                <w:szCs w:val="18"/>
                <w:color w:val="auto"/>
              </w:rPr>
              <w:t>November 21, 2017</w:t>
            </w:r>
          </w:p>
        </w:tc>
        <w:tc>
          <w:tcPr>
            <w:tcW w:w="6880" w:type="dxa"/>
            <w:vAlign w:val="bottom"/>
            <w:gridSpan w:val="2"/>
          </w:tcPr>
          <w:p>
            <w:pPr>
              <w:ind w:left="3120"/>
              <w:spacing w:after="0"/>
              <w:rPr>
                <w:sz w:val="20"/>
                <w:szCs w:val="20"/>
                <w:color w:val="auto"/>
              </w:rPr>
            </w:pPr>
            <w:r>
              <w:rPr>
                <w:rFonts w:ascii="Arial" w:cs="Arial" w:eastAsia="Arial" w:hAnsi="Arial"/>
                <w:sz w:val="18"/>
                <w:szCs w:val="18"/>
                <w:color w:val="auto"/>
              </w:rPr>
              <w:t>By: /s/ G. Patrick Lynch</w:t>
            </w:r>
          </w:p>
        </w:tc>
      </w:tr>
      <w:tr>
        <w:trPr>
          <w:trHeight w:val="195"/>
        </w:trPr>
        <w:tc>
          <w:tcPr>
            <w:tcW w:w="4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r>
      <w:tr>
        <w:trPr>
          <w:trHeight w:val="230"/>
        </w:trPr>
        <w:tc>
          <w:tcPr>
            <w:tcW w:w="4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0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385"/>
        </w:trPr>
        <w:tc>
          <w:tcPr>
            <w:tcW w:w="4000" w:type="dxa"/>
            <w:vAlign w:val="bottom"/>
            <w:gridSpan w:val="9"/>
          </w:tcPr>
          <w:p>
            <w:pPr>
              <w:spacing w:after="0"/>
              <w:rPr>
                <w:sz w:val="20"/>
                <w:szCs w:val="20"/>
                <w:color w:val="auto"/>
              </w:rPr>
            </w:pPr>
            <w:r>
              <w:rPr>
                <w:rFonts w:ascii="Arial" w:cs="Arial" w:eastAsia="Arial" w:hAnsi="Arial"/>
                <w:sz w:val="18"/>
                <w:szCs w:val="18"/>
                <w:color w:val="auto"/>
              </w:rPr>
              <w:t>/s/ G. Patrick Lynch</w:t>
            </w: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 Patrick Lynch</w:t>
            </w:r>
          </w:p>
        </w:tc>
        <w:tc>
          <w:tcPr>
            <w:tcW w:w="2560" w:type="dxa"/>
            <w:vAlign w:val="bottom"/>
            <w:gridSpan w:val="7"/>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Matthew C. Wolsfeld, CPA</w:t>
            </w: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21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Matthew C. Wolsfeld, CPA</w:t>
            </w:r>
          </w:p>
        </w:tc>
        <w:tc>
          <w:tcPr>
            <w:tcW w:w="1820" w:type="dxa"/>
            <w:vAlign w:val="bottom"/>
            <w:gridSpan w:val="3"/>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Richard J. Nigon</w:t>
            </w: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J. Nigon</w:t>
            </w:r>
          </w:p>
        </w:tc>
        <w:tc>
          <w:tcPr>
            <w:tcW w:w="2560" w:type="dxa"/>
            <w:vAlign w:val="bottom"/>
            <w:gridSpan w:val="7"/>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Barbara D. Colwell</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Barbara D. Colwell</w:t>
            </w:r>
          </w:p>
        </w:tc>
        <w:tc>
          <w:tcPr>
            <w:tcW w:w="2380" w:type="dxa"/>
            <w:vAlign w:val="bottom"/>
            <w:gridSpan w:val="6"/>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Soo Keong Koh</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Soo Keong Koh</w:t>
            </w:r>
          </w:p>
        </w:tc>
        <w:tc>
          <w:tcPr>
            <w:tcW w:w="2620" w:type="dxa"/>
            <w:vAlign w:val="bottom"/>
            <w:gridSpan w:val="8"/>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 Sunggyu Lee, Ph.D.</w:t>
            </w:r>
          </w:p>
        </w:tc>
        <w:tc>
          <w:tcPr>
            <w:tcW w:w="2320" w:type="dxa"/>
            <w:vAlign w:val="bottom"/>
            <w:gridSpan w:val="5"/>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4000" w:type="dxa"/>
            <w:vAlign w:val="bottom"/>
            <w:gridSpan w:val="9"/>
          </w:tcPr>
          <w:p>
            <w:pPr>
              <w:spacing w:after="0"/>
              <w:rPr>
                <w:sz w:val="20"/>
                <w:szCs w:val="20"/>
                <w:color w:val="auto"/>
              </w:rPr>
            </w:pPr>
            <w:r>
              <w:rPr>
                <w:rFonts w:ascii="Arial" w:cs="Arial" w:eastAsia="Arial" w:hAnsi="Arial"/>
                <w:sz w:val="18"/>
                <w:szCs w:val="18"/>
                <w:color w:val="auto"/>
              </w:rPr>
              <w:t>Sunggyu Lee, Ph.D.</w:t>
            </w: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Ramani Narayan, Ph. D.</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Ramani Narayan, Ph.D.</w:t>
            </w:r>
          </w:p>
        </w:tc>
        <w:tc>
          <w:tcPr>
            <w:tcW w:w="2020" w:type="dxa"/>
            <w:vAlign w:val="bottom"/>
            <w:gridSpan w:val="4"/>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Konstantin von Falkenhausen</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37"/>
        </w:trPr>
        <w:tc>
          <w:tcPr>
            <w:tcW w:w="23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8"/>
              </w:rPr>
              <w:t>Konstantin von Falkenhausen</w:t>
            </w:r>
          </w:p>
        </w:tc>
        <w:tc>
          <w:tcPr>
            <w:tcW w:w="1640" w:type="dxa"/>
            <w:vAlign w:val="bottom"/>
            <w:gridSpan w:val="2"/>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 uses a combination of cash and long-term equity-based incentive compensation in the form of annual stock option grants to attract and retain qualified non-employee candidates to serve on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non-employee director receives an annual retainer of $15,000 for services rendered as a director of NTIC, although this retainer will increase to $20,000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January 1, 2018. The annual retainer is paid quarterly. NTIC’s Chairman of the Board receives an additional annual retainer of $15,000,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Chair of the Audit Committee receives an additional annual retainer of $5,000 and other members of the Audit Committee received an additional annual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retainer of $4,000. Each non-employee director also receives $1,000 for each Board and strategy review meeting attended and $1,000 for each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Compensation Committee and Nominating and Corporate Governance Committee meeting attended. No director, however, will earn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day in Board, Board committee and strategy review meeting fees. Any director that is an employee of NTIC does not receive any retainer or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Committee meeting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non-employee director is automatically granted a ten-year non-qualified option to purchase 4,000 shares of NTIC common stock in consideration for their services as directors of NTIC and the Chairman of the Board is automatically granted an additional ten-year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directors of NTIC are reimbursed for travel expenses for attending meetings and other miscellaneous out-of-pocket expenses incurred in performing their Board functions.</w:t>
      </w:r>
    </w:p>
    <w:p>
      <w:pPr>
        <w:sectPr>
          <w:pgSz w:w="11900" w:h="16838" w:orient="portrait"/>
          <w:cols w:equalWidth="0" w:num="1">
            <w:col w:w="11420"/>
          </w:cols>
          <w:pgMar w:left="240" w:top="12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820" w:type="dxa"/>
            <w:vAlign w:val="bottom"/>
            <w:gridSpan w:val="4"/>
          </w:tcPr>
          <w:p>
            <w:pPr>
              <w:ind w:left="320"/>
              <w:spacing w:after="0"/>
              <w:rPr>
                <w:sz w:val="20"/>
                <w:szCs w:val="20"/>
                <w:color w:val="auto"/>
              </w:rPr>
            </w:pPr>
            <w:r>
              <w:rPr>
                <w:rFonts w:ascii="Arial" w:cs="Arial" w:eastAsia="Arial" w:hAnsi="Arial"/>
                <w:sz w:val="18"/>
                <w:szCs w:val="18"/>
                <w:b w:val="1"/>
                <w:bCs w:val="1"/>
                <w:color w:val="auto"/>
              </w:rPr>
              <w:t>SUBSIDIARIES OF THE REGISTRANT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State or Other</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Names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Jurisdiction of</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Incorporation or</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Ownership</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Subsidiary Does</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Organization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NTI ASEAN LLC</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Northern Technologies Holding Company, LLC</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Prívate Limited</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India</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Brazil</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China</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ZERUST-EXCOR MEXICO, S. de R.L. de C.V</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Mexico</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Germany</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333-140244, 333-140245 and 333-171828) of Northern Technologies International Corporation and Subsidiaries of our report dated November 21, 2017, relating to the consolidated financial statements, which appears on page 57 of this annual report on Form 10-K for the fiscal year ended August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2017</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80" w:firstLine="1"/>
        <w:spacing w:after="0" w:line="264" w:lineRule="auto"/>
        <w:tabs>
          <w:tab w:leader="none" w:pos="1195"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80" w:right="220" w:firstLine="1"/>
        <w:spacing w:after="0" w:line="264" w:lineRule="auto"/>
        <w:tabs>
          <w:tab w:leader="none" w:pos="1205"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80" w:right="520" w:firstLine="1"/>
        <w:spacing w:after="0" w:line="342" w:lineRule="auto"/>
        <w:tabs>
          <w:tab w:leader="none" w:pos="1195" w:val="left"/>
        </w:tabs>
        <w:numPr>
          <w:ilvl w:val="2"/>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80" w:right="480" w:firstLine="1"/>
        <w:spacing w:after="0" w:line="264" w:lineRule="auto"/>
        <w:tabs>
          <w:tab w:leader="none" w:pos="1205" w:val="left"/>
        </w:tabs>
        <w:numPr>
          <w:ilvl w:val="2"/>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780" w:hanging="4"/>
        <w:spacing w:after="0" w:line="308" w:lineRule="auto"/>
        <w:tabs>
          <w:tab w:leader="none" w:pos="116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60" w:hanging="4"/>
        <w:spacing w:after="0" w:line="277"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-121920</wp:posOffset>
            </wp:positionV>
            <wp:extent cx="1286510" cy="3346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1286510" cy="334645"/>
                    </a:xfrm>
                    <a:prstGeom prst="rect">
                      <a:avLst/>
                    </a:prstGeom>
                    <a:noFill/>
                  </pic:spPr>
                </pic:pic>
              </a:graphicData>
            </a:graphic>
          </wp:anchor>
        </w:drawing>
      </w:r>
    </w:p>
    <w:p>
      <w:pPr>
        <w:spacing w:after="0" w:line="36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11"/>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175"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1185"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540" w:hanging="4"/>
        <w:spacing w:after="0" w:line="342" w:lineRule="auto"/>
        <w:tabs>
          <w:tab w:leader="none" w:pos="1175" w:val="left"/>
        </w:tabs>
        <w:numPr>
          <w:ilvl w:val="2"/>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 w:hanging="4"/>
        <w:spacing w:after="0" w:line="264" w:lineRule="auto"/>
        <w:tabs>
          <w:tab w:leader="none" w:pos="1185"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11"/>
        <w:spacing w:after="0" w:line="342"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780" w:hanging="4"/>
        <w:spacing w:after="0" w:line="308" w:lineRule="auto"/>
        <w:tabs>
          <w:tab w:leader="none" w:pos="1165"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60" w:hanging="4"/>
        <w:spacing w:after="0" w:line="277" w:lineRule="auto"/>
        <w:tabs>
          <w:tab w:leader="none" w:pos="1175"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-121920</wp:posOffset>
            </wp:positionV>
            <wp:extent cx="1414780" cy="43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Chief Financial Officer and Corporate Secretary</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254635</wp:posOffset>
            </wp:positionV>
            <wp:extent cx="3764915"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37649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2017</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2017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254635</wp:posOffset>
            </wp:positionV>
            <wp:extent cx="3550285" cy="445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5502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5"/>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25" Type="http://schemas.openxmlformats.org/officeDocument/2006/relationships/image" Target="media/image107.png"/><Relationship Id="rId134"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jpeg"/><Relationship Id="rId144" Type="http://schemas.openxmlformats.org/officeDocument/2006/relationships/image" Target="media/image112.png"/><Relationship Id="rId145" Type="http://schemas.openxmlformats.org/officeDocument/2006/relationships/image" Target="media/image113.jpe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12" Type="http://schemas.openxmlformats.org/officeDocument/2006/relationships/hyperlink" Target="http://www.sec.gov/Archives/edgar/data/875582/000110465909023948/a09-9916_1ex3d1.htm" TargetMode="External"/><Relationship Id="rId113" Type="http://schemas.openxmlformats.org/officeDocument/2006/relationships/hyperlink" Target="http://www.sec.gov/Archives/edgar/data/875582/000110465908072542/a08-29098_1ex3d1.htm" TargetMode="External"/><Relationship Id="rId114" Type="http://schemas.openxmlformats.org/officeDocument/2006/relationships/hyperlink" Target="http://www.sec.gov/Archives/edgar/data/875582/000110465911002506/a11-4417_1ex10d1.htm" TargetMode="External"/><Relationship Id="rId117" Type="http://schemas.openxmlformats.org/officeDocument/2006/relationships/hyperlink" Target="http://www.sec.gov/Archives/edgar/data/875582/000110465911002506/a11-4417_1ex10d2.htm" TargetMode="External"/><Relationship Id="rId118" Type="http://schemas.openxmlformats.org/officeDocument/2006/relationships/hyperlink" Target="http://www.sec.gov/Archives/edgar/data/875582/000110465911002506/a11-4417_1ex10d3.htm" TargetMode="External"/><Relationship Id="rId119" Type="http://schemas.openxmlformats.org/officeDocument/2006/relationships/hyperlink" Target="http://www.sec.gov/Archives/edgar/data/875582/000110465911002506/a11-4417_1ex10d4.htm" TargetMode="External"/><Relationship Id="rId120" Type="http://schemas.openxmlformats.org/officeDocument/2006/relationships/hyperlink" Target="http://www.sec.gov/Archives/edgar/data/875582/000120677406002384/nt110590ex1011.htm" TargetMode="External"/><Relationship Id="rId121" Type="http://schemas.openxmlformats.org/officeDocument/2006/relationships/hyperlink" Target="http://www.sec.gov/Archives/edgar/data/875582/000117184315006334/exh_106.htm" TargetMode="External"/><Relationship Id="rId122" Type="http://schemas.openxmlformats.org/officeDocument/2006/relationships/hyperlink" Target="http://www.sec.gov/Archives/edgar/data/875582/000110465908072542/a08-29098_1ex10d1.htm" TargetMode="External"/><Relationship Id="rId123" Type="http://schemas.openxmlformats.org/officeDocument/2006/relationships/hyperlink" Target="http://www.sec.gov/Archives/edgar/data/875582/000110465909043033/a09-18139_1ex10d2.htm" TargetMode="External"/><Relationship Id="rId124" Type="http://schemas.openxmlformats.org/officeDocument/2006/relationships/hyperlink" Target="http://www.sec.gov/Archives/edgar/data/875582/000117184311003555/exh_1013.htm" TargetMode="External"/><Relationship Id="rId126" Type="http://schemas.openxmlformats.org/officeDocument/2006/relationships/hyperlink" Target="http://www.sec.gov/Archives/edgar/data/875582/000117184311003555/exh_1014.htm" TargetMode="External"/><Relationship Id="rId127" Type="http://schemas.openxmlformats.org/officeDocument/2006/relationships/hyperlink" Target="http://www.sec.gov/Archives/edgar/data/875582/000117184311003555/exh_1015.htm" TargetMode="External"/><Relationship Id="rId128" Type="http://schemas.openxmlformats.org/officeDocument/2006/relationships/hyperlink" Target="http://www.sec.gov/Archives/edgar/data/875582/000117184311003555/exh_1016.htm" TargetMode="External"/><Relationship Id="rId129" Type="http://schemas.openxmlformats.org/officeDocument/2006/relationships/hyperlink" Target="http://www.sec.gov/Archives/edgar/data/875582/000110465911001232/a11-3475_1ex10d2.htm" TargetMode="External"/><Relationship Id="rId130" Type="http://schemas.openxmlformats.org/officeDocument/2006/relationships/hyperlink" Target="http://www.sec.gov/Archives/edgar/data/875582/000110465911001232/a11-3475_1ex10d6.htm" TargetMode="External"/><Relationship Id="rId131" Type="http://schemas.openxmlformats.org/officeDocument/2006/relationships/hyperlink" Target="http://www.sec.gov/Archives/edgar/data/875582/000117184312000110/exh_106.htm" TargetMode="External"/><Relationship Id="rId132" Type="http://schemas.openxmlformats.org/officeDocument/2006/relationships/hyperlink" Target="http://www.sec.gov/Archives/edgar/data/875582/000117184313000136/exh_101.htm" TargetMode="External"/><Relationship Id="rId133" Type="http://schemas.openxmlformats.org/officeDocument/2006/relationships/hyperlink" Target="http://www.sec.gov/Archives/edgar/data/875582/000117184314001659/exh_101.htm" TargetMode="External"/><Relationship Id="rId135" Type="http://schemas.openxmlformats.org/officeDocument/2006/relationships/hyperlink" Target="http://www.sec.gov/Archives/edgar/data/875582/000117184315001899/exh_101.htm" TargetMode="External"/><Relationship Id="rId136" Type="http://schemas.openxmlformats.org/officeDocument/2006/relationships/hyperlink" Target="http://www.sec.gov/Archives/edgar/data/875582/000117184316009098/exh_101.htm" TargetMode="External"/><Relationship Id="rId137" Type="http://schemas.openxmlformats.org/officeDocument/2006/relationships/hyperlink" Target="http://www.sec.gov/Archives/edgar/data/875582/000117184317000251/exh_101.htm" TargetMode="External"/><Relationship Id="rId138" Type="http://schemas.openxmlformats.org/officeDocument/2006/relationships/hyperlink" Target="http://www.sec.gov/Archives/edgar/data/875582/000117184314003246/exh_101.htm" TargetMode="External"/><Relationship Id="rId139" Type="http://schemas.openxmlformats.org/officeDocument/2006/relationships/hyperlink" Target="http://www.sec.gov/Archives/edgar/data/875582/000117184317000251/exh_102.htm" TargetMode="External"/><Relationship Id="rId140" Type="http://schemas.openxmlformats.org/officeDocument/2006/relationships/hyperlink" Target="http://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2019-12-29T02:27:07Z</dcterms:created>
  <dcterms:modified xsi:type="dcterms:W3CDTF">2019-12-29T02:27:07Z</dcterms:modified>
</cp:coreProperties>
</file>