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900" w:right="1780" w:hanging="3892"/>
        <w:spacing w:after="0" w:line="253" w:lineRule="auto"/>
        <w:tabs>
          <w:tab w:leader="none" w:pos="31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May 31, 2022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2880" w:right="1780" w:hanging="2872"/>
        <w:spacing w:after="0" w:line="266" w:lineRule="auto"/>
        <w:tabs>
          <w:tab w:leader="none" w:pos="294"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75" w:right="339" w:bottom="1440" w:gutter="0" w:footer="0" w:header="0"/>
          <w:type w:val="continuous"/>
        </w:sectPr>
      </w:pPr>
    </w:p>
    <w:p>
      <w:pPr>
        <w:spacing w:after="0" w:line="30"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53"/>
        </w:trPr>
        <w:tc>
          <w:tcPr>
            <w:tcW w:w="37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tcPr>
          <w:p>
            <w:pPr>
              <w:spacing w:after="0"/>
              <w:rPr>
                <w:sz w:val="21"/>
                <w:szCs w:val="21"/>
                <w:color w:val="auto"/>
              </w:rPr>
            </w:pPr>
          </w:p>
        </w:tc>
        <w:tc>
          <w:tcPr>
            <w:tcW w:w="3700" w:type="dxa"/>
            <w:vAlign w:val="bottom"/>
            <w:tcBorders>
              <w:bottom w:val="single" w:sz="8" w:color="auto"/>
            </w:tcBorders>
          </w:tcPr>
          <w:p>
            <w:pPr>
              <w:spacing w:after="0"/>
              <w:rPr>
                <w:sz w:val="21"/>
                <w:szCs w:val="21"/>
                <w:color w:val="auto"/>
              </w:rPr>
            </w:pPr>
          </w:p>
        </w:tc>
      </w:tr>
      <w:tr>
        <w:trPr>
          <w:trHeight w:val="190"/>
        </w:trPr>
        <w:tc>
          <w:tcPr>
            <w:tcW w:w="374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820" w:type="dxa"/>
            <w:vAlign w:val="bottom"/>
            <w:tcBorders>
              <w:bottom w:val="single" w:sz="8" w:color="auto"/>
            </w:tcBorders>
          </w:tcPr>
          <w:p>
            <w:pPr>
              <w:spacing w:after="0"/>
              <w:rPr>
                <w:sz w:val="16"/>
                <w:szCs w:val="16"/>
                <w:color w:val="auto"/>
              </w:rPr>
            </w:pPr>
          </w:p>
        </w:tc>
        <w:tc>
          <w:tcPr>
            <w:tcW w:w="2980" w:type="dxa"/>
            <w:vAlign w:val="bottom"/>
            <w:tcBorders>
              <w:bottom w:val="single" w:sz="8" w:color="auto"/>
              <w:right w:val="single" w:sz="8" w:color="auto"/>
            </w:tcBorders>
          </w:tcPr>
          <w:p>
            <w:pPr>
              <w:jc w:val="center"/>
              <w:ind w:right="750"/>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40"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47" w:lineRule="exact"/>
        <w:rPr>
          <w:sz w:val="24"/>
          <w:szCs w:val="24"/>
          <w:color w:val="auto"/>
        </w:rPr>
      </w:pPr>
    </w:p>
    <w:p>
      <w:pPr>
        <w:jc w:val="both"/>
        <w:ind w:right="840"/>
        <w:spacing w:after="0" w:line="25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2660" w:space="720"/>
            <w:col w:w="7860"/>
          </w:cols>
          <w:pgMar w:left="320" w:top="675" w:right="339" w:bottom="1440" w:gutter="0" w:footer="0" w:header="0"/>
          <w:type w:val="continuous"/>
        </w:sectPr>
      </w:pPr>
    </w:p>
    <w:p>
      <w:pPr>
        <w:spacing w:after="0" w:line="17" w:lineRule="exact"/>
        <w:rPr>
          <w:sz w:val="24"/>
          <w:szCs w:val="24"/>
          <w:color w:val="auto"/>
        </w:rPr>
      </w:pPr>
    </w:p>
    <w:p>
      <w:pPr>
        <w:ind w:right="1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July 8, 2022, there were 9,232,483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300" w:type="dxa"/>
            <w:vAlign w:val="bottom"/>
            <w:gridSpan w:val="11"/>
          </w:tcPr>
          <w:p>
            <w:pPr>
              <w:ind w:left="4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412"/>
        </w:trPr>
        <w:tc>
          <w:tcPr>
            <w:tcW w:w="105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PART 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FINANCIAL INFORMATION</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380" w:type="dxa"/>
            <w:vAlign w:val="bottom"/>
            <w:tcBorders>
              <w:top w:val="single" w:sz="8" w:color="0000EE"/>
            </w:tcBorders>
            <w:gridSpan w:val="2"/>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5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700" w:type="dxa"/>
            <w:vAlign w:val="bottom"/>
            <w:tcBorders>
              <w:top w:val="single" w:sz="8" w:color="0000EE"/>
            </w:tcBorders>
            <w:gridSpan w:val="3"/>
          </w:tcPr>
          <w:p>
            <w:pPr>
              <w:spacing w:after="0"/>
              <w:rPr>
                <w:sz w:val="17"/>
                <w:szCs w:val="17"/>
                <w:color w:val="auto"/>
              </w:rPr>
            </w:pPr>
          </w:p>
        </w:tc>
        <w:tc>
          <w:tcPr>
            <w:tcW w:w="7360" w:type="dxa"/>
            <w:vAlign w:val="bottom"/>
            <w:gridSpan w:val="13"/>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9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May 31, 2022 (unaudited) and August 31, 2021</w:t>
            </w:r>
          </w:p>
        </w:tc>
        <w:tc>
          <w:tcPr>
            <w:tcW w:w="3620" w:type="dxa"/>
            <w:vAlign w:val="bottom"/>
            <w:gridSpan w:val="7"/>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(unaudited) for the Three and Nine Months Ended May 31, 2022 and 2021</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(unaudited) for the Three and Nine Months Ended May 31, 2022 and 2021</w:t>
            </w:r>
          </w:p>
        </w:tc>
        <w:tc>
          <w:tcPr>
            <w:tcW w:w="360" w:type="dxa"/>
            <w:vAlign w:val="bottom"/>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Equity (unaudited) for the Three and Nine Months Ended May 31, 2022 and 2021</w:t>
            </w:r>
          </w:p>
        </w:tc>
        <w:tc>
          <w:tcPr>
            <w:tcW w:w="12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5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for the Nine Months Ended May 31, 2022 and 2021</w:t>
            </w:r>
          </w:p>
        </w:tc>
        <w:tc>
          <w:tcPr>
            <w:tcW w:w="360" w:type="dxa"/>
            <w:vAlign w:val="bottom"/>
          </w:tcPr>
          <w:p>
            <w:pPr>
              <w:spacing w:after="0"/>
              <w:rPr>
                <w:sz w:val="17"/>
                <w:szCs w:val="17"/>
                <w:color w:val="auto"/>
              </w:rPr>
            </w:pPr>
          </w:p>
        </w:tc>
        <w:tc>
          <w:tcPr>
            <w:tcW w:w="1640" w:type="dxa"/>
            <w:vAlign w:val="bottom"/>
            <w:gridSpan w:val="3"/>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7</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2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540" w:type="dxa"/>
            <w:vAlign w:val="bottom"/>
            <w:gridSpan w:val="6"/>
          </w:tcPr>
          <w:p>
            <w:pPr>
              <w:spacing w:after="0"/>
              <w:rPr>
                <w:sz w:val="17"/>
                <w:szCs w:val="17"/>
                <w:color w:val="auto"/>
              </w:rPr>
            </w:pPr>
          </w:p>
        </w:tc>
        <w:tc>
          <w:tcPr>
            <w:tcW w:w="2000" w:type="dxa"/>
            <w:vAlign w:val="bottom"/>
            <w:gridSpan w:val="4"/>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6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3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21</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080" w:type="dxa"/>
            <w:vAlign w:val="bottom"/>
            <w:tcBorders>
              <w:top w:val="single" w:sz="8" w:color="0000EE"/>
            </w:tcBorders>
            <w:gridSpan w:val="3"/>
          </w:tcPr>
          <w:p>
            <w:pPr>
              <w:spacing w:after="0"/>
              <w:rPr>
                <w:sz w:val="17"/>
                <w:szCs w:val="17"/>
                <w:color w:val="auto"/>
              </w:rPr>
            </w:pPr>
          </w:p>
        </w:tc>
        <w:tc>
          <w:tcPr>
            <w:tcW w:w="3120" w:type="dxa"/>
            <w:vAlign w:val="bottom"/>
            <w:gridSpan w:val="5"/>
          </w:tcPr>
          <w:p>
            <w:pPr>
              <w:spacing w:after="0"/>
              <w:rPr>
                <w:sz w:val="17"/>
                <w:szCs w:val="17"/>
                <w:color w:val="auto"/>
              </w:rPr>
            </w:pPr>
          </w:p>
        </w:tc>
        <w:tc>
          <w:tcPr>
            <w:tcW w:w="5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37</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37</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5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PART II</w:t>
            </w:r>
            <w:r>
              <w:rPr>
                <w:rFonts w:ascii="Times New Roman" w:cs="Times New Roman" w:eastAsia="Times New Roman" w:hAnsi="Times New Roman"/>
                <w:sz w:val="18"/>
                <w:szCs w:val="18"/>
                <w:color w:val="0000EE"/>
              </w:rPr>
              <w:t>—</w:t>
            </w:r>
            <w:r>
              <w:rPr>
                <w:rFonts w:ascii="Times New Roman" w:cs="Times New Roman" w:eastAsia="Times New Roman" w:hAnsi="Times New Roman"/>
                <w:sz w:val="18"/>
                <w:szCs w:val="18"/>
                <w:b w:val="1"/>
                <w:bCs w:val="1"/>
                <w:color w:val="0000EE"/>
              </w:rPr>
              <w:t>OTHER INFORMATION</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1.</w:t>
            </w:r>
          </w:p>
        </w:tc>
        <w:tc>
          <w:tcPr>
            <w:tcW w:w="380" w:type="dxa"/>
            <w:vAlign w:val="bottom"/>
            <w:tcBorders>
              <w:top w:val="single" w:sz="8" w:color="0000EE"/>
            </w:tcBorders>
            <w:gridSpan w:val="2"/>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7660" w:type="dxa"/>
            <w:vAlign w:val="bottom"/>
            <w:gridSpan w:val="14"/>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9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1A.</w:t>
            </w:r>
          </w:p>
        </w:tc>
        <w:tc>
          <w:tcPr>
            <w:tcW w:w="60" w:type="dxa"/>
            <w:vAlign w:val="bottom"/>
          </w:tcPr>
          <w:p>
            <w:pPr>
              <w:spacing w:after="0"/>
              <w:rPr>
                <w:sz w:val="17"/>
                <w:szCs w:val="17"/>
                <w:color w:val="auto"/>
              </w:rPr>
            </w:pP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38</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39</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3.</w:t>
            </w:r>
          </w:p>
        </w:tc>
        <w:tc>
          <w:tcPr>
            <w:tcW w:w="3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7"/>
                <w:szCs w:val="17"/>
                <w:color w:val="auto"/>
              </w:rPr>
            </w:pPr>
          </w:p>
        </w:tc>
        <w:tc>
          <w:tcPr>
            <w:tcW w:w="5220" w:type="dxa"/>
            <w:vAlign w:val="bottom"/>
            <w:gridSpan w:val="9"/>
          </w:tcPr>
          <w:p>
            <w:pPr>
              <w:spacing w:after="0"/>
              <w:rPr>
                <w:sz w:val="17"/>
                <w:szCs w:val="17"/>
                <w:color w:val="auto"/>
              </w:rPr>
            </w:pPr>
          </w:p>
        </w:tc>
        <w:tc>
          <w:tcPr>
            <w:tcW w:w="5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39</w:t>
            </w: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7"/>
              </w:rPr>
              <w:t>Item 4.</w:t>
            </w:r>
          </w:p>
        </w:tc>
        <w:tc>
          <w:tcPr>
            <w:tcW w:w="3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956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40</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5.</w:t>
            </w:r>
          </w:p>
        </w:tc>
        <w:tc>
          <w:tcPr>
            <w:tcW w:w="3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7800" w:type="dxa"/>
            <w:vAlign w:val="bottom"/>
            <w:gridSpan w:val="15"/>
          </w:tcPr>
          <w:p>
            <w:pPr>
              <w:spacing w:after="0"/>
              <w:rPr>
                <w:sz w:val="17"/>
                <w:szCs w:val="17"/>
                <w:color w:val="auto"/>
              </w:rPr>
            </w:pPr>
          </w:p>
        </w:tc>
        <w:tc>
          <w:tcPr>
            <w:tcW w:w="5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Item 6.</w:t>
            </w:r>
          </w:p>
        </w:tc>
        <w:tc>
          <w:tcPr>
            <w:tcW w:w="38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17"/>
                <w:szCs w:val="17"/>
                <w:color w:val="auto"/>
              </w:rPr>
            </w:pPr>
          </w:p>
        </w:tc>
        <w:tc>
          <w:tcPr>
            <w:tcW w:w="8240" w:type="dxa"/>
            <w:vAlign w:val="bottom"/>
            <w:gridSpan w:val="17"/>
          </w:tcPr>
          <w:p>
            <w:pPr>
              <w:spacing w:after="0"/>
              <w:rPr>
                <w:sz w:val="17"/>
                <w:szCs w:val="17"/>
                <w:color w:val="auto"/>
              </w:rPr>
            </w:pPr>
          </w:p>
        </w:tc>
        <w:tc>
          <w:tcPr>
            <w:tcW w:w="5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r>
      <w:tr>
        <w:trPr>
          <w:trHeight w:val="196"/>
        </w:trPr>
        <w:tc>
          <w:tcPr>
            <w:tcW w:w="105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72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40</w:t>
            </w:r>
          </w:p>
        </w:tc>
      </w:tr>
      <w:tr>
        <w:trPr>
          <w:trHeight w:val="507"/>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435610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subsidiary in India effective as of September 1, 2021,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53"/>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MAY 31, 2022 (UNAUDITED)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 AUGUST 31, 2021 (AUDITED)</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6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479"/>
        </w:trPr>
        <w:tc>
          <w:tcPr>
            <w:tcW w:w="104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August 31, 2021</w:t>
            </w:r>
          </w:p>
        </w:tc>
      </w:tr>
      <w:tr>
        <w:trPr>
          <w:trHeight w:val="20"/>
        </w:trPr>
        <w:tc>
          <w:tcPr>
            <w:tcW w:w="10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10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6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6,123,269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7,680,641</w:t>
            </w:r>
          </w:p>
        </w:tc>
      </w:tr>
      <w:tr>
        <w:trPr>
          <w:trHeight w:val="216"/>
        </w:trPr>
        <w:tc>
          <w:tcPr>
            <w:tcW w:w="7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r>
      <w:tr>
        <w:trPr>
          <w:trHeight w:val="216"/>
        </w:trPr>
        <w:tc>
          <w:tcPr>
            <w:tcW w:w="7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8"/>
        </w:trPr>
        <w:tc>
          <w:tcPr>
            <w:tcW w:w="764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$382,000 as of May 31,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2022 and August 31, 2021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13,834,580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11,128,805</w:t>
            </w:r>
          </w:p>
        </w:tc>
      </w:tr>
      <w:tr>
        <w:trPr>
          <w:trHeight w:val="216"/>
        </w:trPr>
        <w:tc>
          <w:tcPr>
            <w:tcW w:w="7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857,172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624,808</w:t>
            </w:r>
          </w:p>
        </w:tc>
      </w:tr>
      <w:tr>
        <w:trPr>
          <w:trHeight w:val="216"/>
        </w:trPr>
        <w:tc>
          <w:tcPr>
            <w:tcW w:w="7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1,243,214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1,505,127</w:t>
            </w:r>
          </w:p>
        </w:tc>
      </w:tr>
      <w:tr>
        <w:trPr>
          <w:trHeight w:val="216"/>
        </w:trPr>
        <w:tc>
          <w:tcPr>
            <w:tcW w:w="7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418,967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386,574</w:t>
            </w:r>
          </w:p>
        </w:tc>
      </w:tr>
      <w:tr>
        <w:trPr>
          <w:trHeight w:val="216"/>
        </w:trPr>
        <w:tc>
          <w:tcPr>
            <w:tcW w:w="7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13,866,229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11,114,207</w:t>
            </w:r>
          </w:p>
        </w:tc>
      </w:tr>
      <w:tr>
        <w:trPr>
          <w:trHeight w:val="216"/>
        </w:trPr>
        <w:tc>
          <w:tcPr>
            <w:tcW w:w="7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2,619,260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1,302,293</w:t>
            </w:r>
          </w:p>
        </w:tc>
      </w:tr>
      <w:tr>
        <w:trPr>
          <w:trHeight w:val="209"/>
        </w:trPr>
        <w:tc>
          <w:tcPr>
            <w:tcW w:w="7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38,968,265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33,747,089</w:t>
            </w:r>
          </w:p>
        </w:tc>
      </w:tr>
      <w:tr>
        <w:trPr>
          <w:trHeight w:val="237"/>
        </w:trPr>
        <w:tc>
          <w:tcPr>
            <w:tcW w:w="7640" w:type="dxa"/>
            <w:vAlign w:val="bottom"/>
            <w:gridSpan w:val="2"/>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6"/>
        </w:trPr>
        <w:tc>
          <w:tcPr>
            <w:tcW w:w="7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12,071,277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11,821,458</w:t>
            </w:r>
          </w:p>
        </w:tc>
      </w:tr>
      <w:tr>
        <w:trPr>
          <w:trHeight w:val="210"/>
        </w:trPr>
        <w:tc>
          <w:tcPr>
            <w:tcW w:w="7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22,194,433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27,623,768</w:t>
            </w:r>
          </w:p>
        </w:tc>
      </w:tr>
      <w:tr>
        <w:trPr>
          <w:trHeight w:val="216"/>
        </w:trPr>
        <w:tc>
          <w:tcPr>
            <w:tcW w:w="7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92,554</w:t>
            </w:r>
          </w:p>
        </w:tc>
      </w:tr>
      <w:tr>
        <w:trPr>
          <w:trHeight w:val="216"/>
        </w:trPr>
        <w:tc>
          <w:tcPr>
            <w:tcW w:w="7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717,795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709,572</w:t>
            </w:r>
          </w:p>
        </w:tc>
      </w:tr>
      <w:tr>
        <w:trPr>
          <w:trHeight w:val="216"/>
        </w:trPr>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Goodwill</w:t>
            </w:r>
          </w:p>
        </w:tc>
        <w:tc>
          <w:tcPr>
            <w:tcW w:w="6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Intangible asset,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6,029,650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421,601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376,438</w:t>
            </w:r>
          </w:p>
        </w:tc>
      </w:tr>
      <w:tr>
        <w:trPr>
          <w:trHeight w:val="210"/>
        </w:trPr>
        <w:tc>
          <w:tcPr>
            <w:tcW w:w="7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34,145,855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28,802,332</w:t>
            </w:r>
          </w:p>
        </w:tc>
      </w:tr>
      <w:tr>
        <w:trPr>
          <w:trHeight w:val="250"/>
        </w:trPr>
        <w:tc>
          <w:tcPr>
            <w:tcW w:w="76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85,185,397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74,370,879</w:t>
            </w:r>
          </w:p>
        </w:tc>
      </w:tr>
      <w:tr>
        <w:trPr>
          <w:trHeight w:val="223"/>
        </w:trPr>
        <w:tc>
          <w:tcPr>
            <w:tcW w:w="764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6,004,897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4,290,972</w:t>
            </w:r>
          </w:p>
        </w:tc>
      </w:tr>
      <w:tr>
        <w:trPr>
          <w:trHeight w:val="216"/>
        </w:trPr>
        <w:tc>
          <w:tcPr>
            <w:tcW w:w="7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178,923</w:t>
            </w:r>
          </w:p>
        </w:tc>
      </w:tr>
      <w:tr>
        <w:trPr>
          <w:trHeight w:val="216"/>
        </w:trPr>
        <w:tc>
          <w:tcPr>
            <w:tcW w:w="7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2,029,241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2,879,468</w:t>
            </w:r>
          </w:p>
        </w:tc>
      </w:tr>
      <w:tr>
        <w:trPr>
          <w:trHeight w:val="216"/>
        </w:trPr>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1,333,153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894,497</w:t>
            </w:r>
          </w:p>
        </w:tc>
      </w:tr>
      <w:tr>
        <w:trPr>
          <w:trHeight w:val="216"/>
        </w:trPr>
        <w:tc>
          <w:tcPr>
            <w:tcW w:w="7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74,331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272,336</w:t>
            </w:r>
          </w:p>
        </w:tc>
      </w:tr>
      <w:tr>
        <w:trPr>
          <w:trHeight w:val="210"/>
        </w:trPr>
        <w:tc>
          <w:tcPr>
            <w:tcW w:w="76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14,241,487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8,516,196</w:t>
            </w:r>
          </w:p>
        </w:tc>
      </w:tr>
      <w:tr>
        <w:trPr>
          <w:trHeight w:val="210"/>
        </w:trPr>
        <w:tc>
          <w:tcPr>
            <w:tcW w:w="7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6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Deferred income tax, net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1,920,970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less current portion</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347,270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104,102</w:t>
            </w:r>
          </w:p>
        </w:tc>
      </w:tr>
      <w:tr>
        <w:trPr>
          <w:trHeight w:val="209"/>
        </w:trPr>
        <w:tc>
          <w:tcPr>
            <w:tcW w:w="76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2,268,240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104,102</w:t>
            </w:r>
          </w:p>
        </w:tc>
      </w:tr>
      <w:tr>
        <w:trPr>
          <w:trHeight w:val="237"/>
        </w:trPr>
        <w:tc>
          <w:tcPr>
            <w:tcW w:w="7640" w:type="dxa"/>
            <w:vAlign w:val="bottom"/>
            <w:gridSpan w:val="2"/>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r>
      <w:tr>
        <w:trPr>
          <w:trHeight w:val="216"/>
        </w:trPr>
        <w:tc>
          <w:tcPr>
            <w:tcW w:w="7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1040" w:type="dxa"/>
            <w:vAlign w:val="bottom"/>
            <w:shd w:val="clear" w:color="auto" w:fill="CCEEFF"/>
          </w:tcPr>
          <w:p>
            <w:pPr>
              <w:spacing w:after="0"/>
              <w:rPr>
                <w:sz w:val="21"/>
                <w:szCs w:val="21"/>
                <w:color w:val="auto"/>
              </w:rPr>
            </w:pPr>
          </w:p>
        </w:tc>
        <w:tc>
          <w:tcPr>
            <w:tcW w:w="66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6"/>
        </w:trPr>
        <w:tc>
          <w:tcPr>
            <w:tcW w:w="1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6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 May 31, 2022 and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August 31, 2021; issued and outstanding 9,232,483 and 9,184,811, respectively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183,696</w:t>
            </w:r>
          </w:p>
        </w:tc>
      </w:tr>
      <w:tr>
        <w:trPr>
          <w:trHeight w:val="216"/>
        </w:trPr>
        <w:tc>
          <w:tcPr>
            <w:tcW w:w="7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19,706,248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18,736,268</w:t>
            </w:r>
          </w:p>
        </w:tc>
      </w:tr>
      <w:tr>
        <w:trPr>
          <w:trHeight w:val="216"/>
        </w:trPr>
        <w:tc>
          <w:tcPr>
            <w:tcW w:w="7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50,714,961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46,973,094</w:t>
            </w:r>
          </w:p>
        </w:tc>
      </w:tr>
      <w:tr>
        <w:trPr>
          <w:trHeight w:val="216"/>
        </w:trPr>
        <w:tc>
          <w:tcPr>
            <w:tcW w:w="7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(5,383,400)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(3,525,030)</w:t>
            </w:r>
          </w:p>
        </w:tc>
      </w:tr>
      <w:tr>
        <w:trPr>
          <w:trHeight w:val="210"/>
        </w:trPr>
        <w:tc>
          <w:tcPr>
            <w:tcW w:w="7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65,222,459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62,368,028</w:t>
            </w:r>
          </w:p>
        </w:tc>
      </w:tr>
      <w:tr>
        <w:trPr>
          <w:trHeight w:val="216"/>
        </w:trPr>
        <w:tc>
          <w:tcPr>
            <w:tcW w:w="76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3,453,211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3,382,553</w:t>
            </w:r>
          </w:p>
        </w:tc>
      </w:tr>
      <w:tr>
        <w:trPr>
          <w:trHeight w:val="210"/>
        </w:trPr>
        <w:tc>
          <w:tcPr>
            <w:tcW w:w="76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68,675,670</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65,750,581</w:t>
            </w:r>
          </w:p>
        </w:tc>
      </w:tr>
      <w:tr>
        <w:trPr>
          <w:trHeight w:val="229"/>
        </w:trPr>
        <w:tc>
          <w:tcPr>
            <w:tcW w:w="76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85,185,397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74,370,879</w:t>
            </w:r>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690" w:gutter="0" w:footer="0" w:header="0"/>
        </w:sectPr>
      </w:pPr>
    </w:p>
    <w:bookmarkStart w:id="4" w:name="page5"/>
    <w:bookmarkEnd w:id="4"/>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OPERATIONS (UNAUDITED) FOR THE THREE AND NINE MONTHS ENDED MAY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r>
      <w:tr>
        <w:trPr>
          <w:trHeight w:val="210"/>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18,436,253</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14,164,604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51,654,355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38,619,353</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528,668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1,253,920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2,252,618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2,361,165</w:t>
            </w:r>
          </w:p>
        </w:tc>
      </w:tr>
      <w:tr>
        <w:trPr>
          <w:trHeight w:val="20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18,964,921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15,418,524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53,906,973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40,980,518</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12,722,833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10,152,582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36,977,620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26,997,582</w:t>
            </w:r>
          </w:p>
        </w:tc>
      </w:tr>
      <w:tr>
        <w:trPr>
          <w:trHeight w:val="209"/>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6,242,088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5,265,942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16,929,353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13,982,936</w:t>
            </w:r>
          </w:p>
        </w:tc>
      </w:tr>
      <w:tr>
        <w:trPr>
          <w:trHeight w:val="243"/>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1,364,597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2,033,536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3,662,178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5,779,260</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1,329,988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1,589,621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3,835,755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4,388,866</w:t>
            </w: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2,694,585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3,623,157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7,497,933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10,168,126</w:t>
            </w:r>
          </w:p>
        </w:tc>
      </w:tr>
      <w:tr>
        <w:trPr>
          <w:trHeight w:val="243"/>
        </w:trPr>
        <w:tc>
          <w:tcPr>
            <w:tcW w:w="5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3,450,308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3,171,657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9,659,457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8,745,433</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2,560,487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2,072,195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7,675,622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6,125,151</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1,102,942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1,066,493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3,557,437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3,217,410</w:t>
            </w:r>
          </w:p>
        </w:tc>
      </w:tr>
      <w:tr>
        <w:trPr>
          <w:trHeight w:val="20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7,113,737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6,310,345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20,892,516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18,087,994</w:t>
            </w:r>
          </w:p>
        </w:tc>
      </w:tr>
      <w:tr>
        <w:trPr>
          <w:trHeight w:val="243"/>
        </w:trPr>
        <w:tc>
          <w:tcPr>
            <w:tcW w:w="5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1,822,936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2,578,754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3,534,770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6,063,068</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REMEASUREMENT GAIN ON ACQUISITION OF EQUITY METHOD</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INVESTEE</w:t>
            </w: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3,951,550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15,925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95,852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(10,661)</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1,815,077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2,586,386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7,489,018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6,148,259</w:t>
            </w:r>
          </w:p>
        </w:tc>
      </w:tr>
      <w:tr>
        <w:trPr>
          <w:trHeight w:val="243"/>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604,314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276,338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1,260,437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929,588</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1,210,763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2,310,048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6,228,581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5,218,671</w:t>
            </w:r>
          </w:p>
        </w:tc>
      </w:tr>
      <w:tr>
        <w:trPr>
          <w:trHeight w:val="243"/>
        </w:trPr>
        <w:tc>
          <w:tcPr>
            <w:tcW w:w="5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210,596</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256,132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551,808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589,781</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1,000,167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2,053,916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5,676,773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4,628,890</w:t>
            </w:r>
          </w:p>
        </w:tc>
      </w:tr>
      <w:tr>
        <w:trPr>
          <w:trHeight w:val="223"/>
        </w:trPr>
        <w:tc>
          <w:tcPr>
            <w:tcW w:w="59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30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0.47</w:t>
            </w:r>
          </w:p>
        </w:tc>
      </w:tr>
      <w:tr>
        <w:trPr>
          <w:trHeight w:val="223"/>
        </w:trPr>
        <w:tc>
          <w:tcPr>
            <w:tcW w:w="598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9,227,912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9,109,861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9,216,216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9,107,243</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6"/>
        </w:trPr>
        <w:tc>
          <w:tcPr>
            <w:tcW w:w="598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9,578,797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9,972,000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9,682,646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9,829,052</w:t>
            </w:r>
          </w:p>
        </w:tc>
      </w:tr>
      <w:tr>
        <w:trPr>
          <w:trHeight w:val="197"/>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0.13</w:t>
            </w:r>
          </w:p>
        </w:tc>
      </w:tr>
      <w:tr>
        <w:trPr>
          <w:trHeight w:val="412"/>
        </w:trPr>
        <w:tc>
          <w:tcPr>
            <w:tcW w:w="7360" w:type="dxa"/>
            <w:vAlign w:val="bottom"/>
            <w:gridSpan w:val="4"/>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59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5" w:name="page6"/>
    <w:bookmarkEnd w:id="5"/>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COMPREHENSIVE INCOME (UNAUDITED) FOR THE THREE AND NINE MONTHS ENDED MAY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p>
      <w:pPr>
        <w:spacing w:after="0" w:line="29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7"/>
          <w:szCs w:val="17"/>
          <w:b w:val="1"/>
          <w:bCs w:val="1"/>
          <w:color w:val="auto"/>
        </w:rPr>
        <w:t>Three Months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27305</wp:posOffset>
            </wp:positionV>
            <wp:extent cx="1663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3" w:lineRule="exact"/>
        <w:rPr>
          <w:sz w:val="20"/>
          <w:szCs w:val="20"/>
          <w:color w:val="auto"/>
        </w:rPr>
      </w:pPr>
    </w:p>
    <w:p>
      <w:pPr>
        <w:ind w:left="6360"/>
        <w:spacing w:after="0"/>
        <w:tabs>
          <w:tab w:leader="none" w:pos="77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Nine Months Ended May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27305</wp:posOffset>
            </wp:positionV>
            <wp:extent cx="1611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3" w:lineRule="exact"/>
        <w:rPr>
          <w:sz w:val="20"/>
          <w:szCs w:val="20"/>
          <w:color w:val="auto"/>
        </w:rPr>
      </w:pPr>
    </w:p>
    <w:p>
      <w:pPr>
        <w:ind w:left="2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3" w:lineRule="exact"/>
        <w:rPr>
          <w:sz w:val="20"/>
          <w:szCs w:val="20"/>
          <w:color w:val="auto"/>
        </w:rPr>
      </w:pPr>
    </w:p>
    <w:p>
      <w:pPr>
        <w:sectPr>
          <w:pgSz w:w="11900" w:h="16838" w:orient="portrait"/>
          <w:cols w:equalWidth="0" w:num="2">
            <w:col w:w="8380" w:space="440"/>
            <w:col w:w="242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1,210,763</w:t>
            </w:r>
          </w:p>
        </w:tc>
        <w:tc>
          <w:tcPr>
            <w:tcW w:w="3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2,310,048</w:t>
            </w:r>
          </w:p>
        </w:tc>
        <w:tc>
          <w:tcPr>
            <w:tcW w:w="1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6,228,581</w:t>
            </w:r>
          </w:p>
        </w:tc>
        <w:tc>
          <w:tcPr>
            <w:tcW w:w="3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5,218,671</w:t>
            </w: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INCOME– FOREIGN CURRENCY</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(1,554,022)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262,267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(1,936,791)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757,273</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2,572,315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4,291,790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5,975,944</w:t>
            </w: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COMPREHENSIVE INCOME ATTRIBUTABLE TO NON-</w:t>
            </w: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(181,283)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266,771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(473,385)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654,551</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CONTROLLING INTERESTS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(161,976)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2,305,544</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4,765,175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5,321,393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MAY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578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 EQUITY – THREE MONTHS ENDED MAY 31,</w:t>
            </w: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2022 AND 2021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28, 2022</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9,221,517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184,430</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$19,379,032</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$50,361,068</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(3,858,689)</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$ 3,371,926</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$69,437,767</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2,966</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35,054</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35,113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59,279</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59,440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232,883</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232,883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(646,274)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(646,274)</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1,000,167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210,596</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1,210,763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(1,524,711)</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(1,554,022)</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MAY 31, 2022</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9,232,483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$19,706,248</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$50,714,961</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(5,383,400)</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$ 3,453,211</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$68,675,670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28,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9,104,636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182,093</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$17,793,646</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$44,455,982</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(2,969,563)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$ 3,232,806</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$62,694,964</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5,225</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38,038</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38,142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160,834</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160,834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(592,141)</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(592,141)</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2,053,916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256,132</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2,310,048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251,628</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10,639</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262,267</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MAY 31, 2021</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9,109,861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182,197</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$17,992,518</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$45,917,757</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(2,717,935)</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$ 3,499,577</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$ 64,874,114</w:t>
            </w:r>
          </w:p>
        </w:tc>
        <w:tc>
          <w:tcPr>
            <w:tcW w:w="0" w:type="dxa"/>
            <w:vAlign w:val="bottom"/>
          </w:tcPr>
          <w:p>
            <w:pPr>
              <w:spacing w:after="0"/>
              <w:rPr>
                <w:sz w:val="1"/>
                <w:szCs w:val="1"/>
                <w:color w:val="auto"/>
              </w:rPr>
            </w:pPr>
          </w:p>
        </w:tc>
      </w:tr>
      <w:tr>
        <w:trPr>
          <w:trHeight w:val="390"/>
        </w:trPr>
        <w:tc>
          <w:tcPr>
            <w:tcW w:w="3240" w:type="dxa"/>
            <w:vAlign w:val="bottom"/>
          </w:tcPr>
          <w:p>
            <w:pPr>
              <w:spacing w:after="0"/>
              <w:rPr>
                <w:sz w:val="24"/>
                <w:szCs w:val="24"/>
                <w:color w:val="auto"/>
              </w:rPr>
            </w:pPr>
          </w:p>
        </w:tc>
        <w:tc>
          <w:tcPr>
            <w:tcW w:w="5780" w:type="dxa"/>
            <w:vAlign w:val="bottom"/>
            <w:gridSpan w:val="8"/>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STOCKHOLDERS’ EQUITY – NINE MONTHS ENDED MAY 31, 2022</w:t>
            </w: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AND 2021</w:t>
            </w:r>
          </w:p>
        </w:tc>
        <w:tc>
          <w:tcPr>
            <w:tcW w:w="1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8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AUGUST 31,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9,184,811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183,696</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$18,736,268</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$46,973,094</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(3,525,030)</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$ 3,382,553</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$65,750,581</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5,601</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73,533</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73,645</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42,071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197,798</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198,640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698,649</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698,649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(1,934,906)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(1,934,906)</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(402,729)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5,676,773</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551,808</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6,228,581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(1,858,370)</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(78,421)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(1,936,791)</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MAY 31, 2022</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9,232,483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184,650</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$19,706,248</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$50,714,961</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(5,383,400)</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$ 3,453,211</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$68,675,670</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AUGUST 31, 2020</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9,099,990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182,000</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$17,415,043</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$42,472,810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(3,410,438)</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$ 3,045,026</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$59,704,441</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 purchase</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9,871</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74,137</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74,334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503,338</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503,338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(1,183,943)</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(1,183,943)</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4,628,890</w:t>
            </w:r>
          </w:p>
        </w:tc>
        <w:tc>
          <w:tcPr>
            <w:tcW w:w="3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589,781</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5,218,671</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692,503</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64,770</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757,273</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MAY 31, 2021</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9,109,861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182,197</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$17,992,518</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$45,917,757</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(2,717,935)</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$ 3,499,577</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$ 64,874,114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947" w:gutter="0" w:footer="0" w:header="0"/>
        </w:sectPr>
      </w:pPr>
    </w:p>
    <w:bookmarkStart w:id="7" w:name="page8"/>
    <w:bookmarkEnd w:id="7"/>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NINE MONTHS ENDED MAY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c>
          <w:tcPr>
            <w:tcW w:w="0" w:type="dxa"/>
            <w:vAlign w:val="bottom"/>
          </w:tcPr>
          <w:p>
            <w:pPr>
              <w:spacing w:after="0"/>
              <w:rPr>
                <w:sz w:val="1"/>
                <w:szCs w:val="1"/>
                <w:color w:val="auto"/>
              </w:rPr>
            </w:pPr>
          </w:p>
        </w:tc>
      </w:tr>
      <w:tr>
        <w:trPr>
          <w:trHeight w:val="209"/>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6,228,581</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5,218,671</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698,649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503,338</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722,443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681,484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Amortization expense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474,121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151,710</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Remeasurement gain on acquisition of equity method investee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(3,951,550)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(3,662,178)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(5,779,260)</w:t>
            </w:r>
          </w:p>
        </w:tc>
        <w:tc>
          <w:tcPr>
            <w:tcW w:w="0" w:type="dxa"/>
            <w:vAlign w:val="bottom"/>
          </w:tcPr>
          <w:p>
            <w:pPr>
              <w:spacing w:after="0"/>
              <w:rPr>
                <w:sz w:val="1"/>
                <w:szCs w:val="1"/>
                <w:color w:val="auto"/>
              </w:rPr>
            </w:pPr>
          </w:p>
        </w:tc>
      </w:tr>
      <w:tr>
        <w:trPr>
          <w:trHeight w:val="216"/>
        </w:trPr>
        <w:tc>
          <w:tcPr>
            <w:tcW w:w="75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5,723,176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3,505,455</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152,372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(8,526)</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(1,348,254)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(2,904,707)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Trade, joint ventures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(564,149)</w:t>
            </w:r>
          </w:p>
        </w:tc>
        <w:tc>
          <w:tcPr>
            <w:tcW w:w="0" w:type="dxa"/>
            <w:vAlign w:val="bottom"/>
          </w:tcPr>
          <w:p>
            <w:pPr>
              <w:spacing w:after="0"/>
              <w:rPr>
                <w:sz w:val="1"/>
                <w:szCs w:val="1"/>
                <w:color w:val="auto"/>
              </w:rPr>
            </w:pPr>
          </w:p>
        </w:tc>
      </w:tr>
      <w:tr>
        <w:trPr>
          <w:trHeight w:val="216"/>
        </w:trPr>
        <w:tc>
          <w:tcPr>
            <w:tcW w:w="75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261,913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(499,954)</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(223,024)</w:t>
            </w: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(2,093,668)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(177,927)</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(223,457)</w:t>
            </w: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908,605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703,100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(162,615)</w:t>
            </w:r>
          </w:p>
        </w:tc>
        <w:tc>
          <w:tcPr>
            <w:tcW w:w="0" w:type="dxa"/>
            <w:vAlign w:val="bottom"/>
          </w:tcPr>
          <w:p>
            <w:pPr>
              <w:spacing w:after="0"/>
              <w:rPr>
                <w:sz w:val="1"/>
                <w:szCs w:val="1"/>
                <w:color w:val="auto"/>
              </w:rPr>
            </w:pPr>
          </w:p>
        </w:tc>
      </w:tr>
      <w:tr>
        <w:trPr>
          <w:trHeight w:val="216"/>
        </w:trPr>
        <w:tc>
          <w:tcPr>
            <w:tcW w:w="75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(912,803)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803,555</w:t>
            </w:r>
          </w:p>
        </w:tc>
        <w:tc>
          <w:tcPr>
            <w:tcW w:w="0" w:type="dxa"/>
            <w:vAlign w:val="bottom"/>
          </w:tcPr>
          <w:p>
            <w:pPr>
              <w:spacing w:after="0"/>
              <w:rPr>
                <w:sz w:val="1"/>
                <w:szCs w:val="1"/>
                <w:color w:val="auto"/>
              </w:rPr>
            </w:pPr>
          </w:p>
        </w:tc>
      </w:tr>
      <w:tr>
        <w:trPr>
          <w:trHeight w:val="210"/>
        </w:trPr>
        <w:tc>
          <w:tcPr>
            <w:tcW w:w="754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1,778,094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1,053,695</w:t>
            </w:r>
          </w:p>
        </w:tc>
        <w:tc>
          <w:tcPr>
            <w:tcW w:w="0" w:type="dxa"/>
            <w:vAlign w:val="bottom"/>
          </w:tcPr>
          <w:p>
            <w:pPr>
              <w:spacing w:after="0"/>
              <w:rPr>
                <w:sz w:val="1"/>
                <w:szCs w:val="1"/>
                <w:color w:val="auto"/>
              </w:rPr>
            </w:pPr>
          </w:p>
        </w:tc>
      </w:tr>
      <w:tr>
        <w:trPr>
          <w:trHeight w:val="236"/>
        </w:trPr>
        <w:tc>
          <w:tcPr>
            <w:tcW w:w="7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Zerust India business, net of cash acquired (see Note 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(5,062,003)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available for sale securities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1,219,670</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(341,392)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(961,704)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(723,441)</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patents</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(96,009)</w:t>
            </w:r>
          </w:p>
        </w:tc>
        <w:tc>
          <w:tcPr>
            <w:tcW w:w="0" w:type="dxa"/>
            <w:vAlign w:val="bottom"/>
          </w:tcPr>
          <w:p>
            <w:pPr>
              <w:spacing w:after="0"/>
              <w:rPr>
                <w:sz w:val="1"/>
                <w:szCs w:val="1"/>
                <w:color w:val="auto"/>
              </w:rPr>
            </w:pPr>
          </w:p>
        </w:tc>
      </w:tr>
      <w:tr>
        <w:trPr>
          <w:trHeight w:val="210"/>
        </w:trPr>
        <w:tc>
          <w:tcPr>
            <w:tcW w:w="75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(6,531,034)</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(399,780)</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 received by non-controlling interest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4,700,000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(1,934,906)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(1,183,943)</w:t>
            </w:r>
          </w:p>
        </w:tc>
        <w:tc>
          <w:tcPr>
            <w:tcW w:w="0" w:type="dxa"/>
            <w:vAlign w:val="bottom"/>
          </w:tcPr>
          <w:p>
            <w:pPr>
              <w:spacing w:after="0"/>
              <w:rPr>
                <w:sz w:val="1"/>
                <w:szCs w:val="1"/>
                <w:color w:val="auto"/>
              </w:rPr>
            </w:pPr>
          </w:p>
        </w:tc>
      </w:tr>
      <w:tr>
        <w:trPr>
          <w:trHeight w:val="216"/>
        </w:trPr>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198,640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73,645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74,334</w:t>
            </w:r>
          </w:p>
        </w:tc>
        <w:tc>
          <w:tcPr>
            <w:tcW w:w="0" w:type="dxa"/>
            <w:vAlign w:val="bottom"/>
          </w:tcPr>
          <w:p>
            <w:pPr>
              <w:spacing w:after="0"/>
              <w:rPr>
                <w:sz w:val="1"/>
                <w:szCs w:val="1"/>
                <w:color w:val="auto"/>
              </w:rPr>
            </w:pPr>
          </w:p>
        </w:tc>
      </w:tr>
      <w:tr>
        <w:trPr>
          <w:trHeight w:val="210"/>
        </w:trPr>
        <w:tc>
          <w:tcPr>
            <w:tcW w:w="75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2,634,650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(1,309,609)</w:t>
            </w:r>
          </w:p>
        </w:tc>
        <w:tc>
          <w:tcPr>
            <w:tcW w:w="0" w:type="dxa"/>
            <w:vAlign w:val="bottom"/>
          </w:tcPr>
          <w:p>
            <w:pPr>
              <w:spacing w:after="0"/>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560,918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133,585</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(1,557,372)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(522,109)</w:t>
            </w: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7,680,641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6,403,032</w:t>
            </w:r>
          </w:p>
        </w:tc>
        <w:tc>
          <w:tcPr>
            <w:tcW w:w="0" w:type="dxa"/>
            <w:vAlign w:val="bottom"/>
          </w:tcPr>
          <w:p>
            <w:pPr>
              <w:spacing w:after="0"/>
              <w:rPr>
                <w:sz w:val="1"/>
                <w:szCs w:val="1"/>
                <w:color w:val="auto"/>
              </w:rPr>
            </w:pPr>
          </w:p>
        </w:tc>
      </w:tr>
      <w:tr>
        <w:trPr>
          <w:trHeight w:val="236"/>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6,123,269</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5,880,923</w:t>
            </w:r>
          </w:p>
        </w:tc>
        <w:tc>
          <w:tcPr>
            <w:tcW w:w="0" w:type="dxa"/>
            <w:vAlign w:val="bottom"/>
          </w:tcPr>
          <w:p>
            <w:pPr>
              <w:spacing w:after="0"/>
              <w:rPr>
                <w:sz w:val="1"/>
                <w:szCs w:val="1"/>
                <w:color w:val="auto"/>
              </w:rPr>
            </w:pPr>
          </w:p>
        </w:tc>
      </w:tr>
      <w:tr>
        <w:trPr>
          <w:trHeight w:val="20"/>
        </w:trPr>
        <w:tc>
          <w:tcPr>
            <w:tcW w:w="7540" w:type="dxa"/>
            <w:vAlign w:val="bottom"/>
            <w:vMerge w:val="restart"/>
          </w:tcPr>
          <w:p>
            <w:pPr>
              <w:ind w:left="3960"/>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8" w:name="page9"/>
    <w:bookmarkEnd w:id="8"/>
    <w:p>
      <w:pPr>
        <w:ind w:right="396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2022 and August 31, 2021, the results of the Company’s operations for the three and nine months ended May 31, 2022 and 2021, the changes in stockholders’ equity for the three and nine months ended May 31, 2022 and 2021, and the Company’s cash flows for the nine months ended May 31, 2022 and 2021, in conformity with accounting principles generally accepted in the United States of America (U.S. GAAP).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related notes contained in the Company’s annual report on Form 10-K for the fiscal year ended August 31, 2021. These consolidated financial statements also should be read in conjunction with the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section appearing in this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May 31, 2022 are not necessarily indicative of the results that may be expected for the full fiscal year ending August 31,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requiring recording or disclosure in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the novel coronavirus (COVID-19) pandemic and related government mandated restrictions on the Company’s business as well as the businesses of its joint ventures, customers and suppliers, disruption to the Company’s business and the manufacture and sale of its products and services continued to occur during the first nine months of fiscal 2022 and is expected to continue during the remainder of fiscal 2022 and into fiscal 2023. In the first nine months of fiscal 2022, the Company continued to be impacted by shipping issues, including freight container shortages, shipping delays, and increased costs, and supply chain issues, including longer lead times and raw material cost increases.</w:t>
      </w:r>
    </w:p>
    <w:p>
      <w:pPr>
        <w:spacing w:after="0" w:line="200" w:lineRule="exact"/>
        <w:rPr>
          <w:sz w:val="20"/>
          <w:szCs w:val="20"/>
          <w:color w:val="auto"/>
        </w:rPr>
      </w:pPr>
    </w:p>
    <w:p>
      <w:pPr>
        <w:spacing w:after="0" w:line="222" w:lineRule="exact"/>
        <w:rPr>
          <w:sz w:val="20"/>
          <w:szCs w:val="20"/>
          <w:color w:val="auto"/>
        </w:rPr>
      </w:pPr>
    </w:p>
    <w:p>
      <w:pPr>
        <w:ind w:left="600" w:hanging="592"/>
        <w:spacing w:after="0"/>
        <w:tabs>
          <w:tab w:leader="none" w:pos="6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Accounting Standards Update (ASU) No. 2016-13, </w:t>
      </w:r>
      <w:r>
        <w:rPr>
          <w:rFonts w:ascii="Times New Roman" w:cs="Times New Roman" w:eastAsia="Times New Roman" w:hAnsi="Times New Roman"/>
          <w:sz w:val="18"/>
          <w:szCs w:val="18"/>
          <w:i w:val="1"/>
          <w:iCs w:val="1"/>
          <w:color w:val="auto"/>
        </w:rPr>
        <w:t>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Financial Instruments</w:t>
      </w:r>
      <w:r>
        <w:rPr>
          <w:rFonts w:ascii="Times New Roman" w:cs="Times New Roman" w:eastAsia="Times New Roman" w:hAnsi="Times New Roman"/>
          <w:sz w:val="18"/>
          <w:szCs w:val="18"/>
          <w:color w:val="auto"/>
        </w:rPr>
        <w:t>, which revises guidance for the accounting for credit losses on financial instruments within its scope, and in November 2018,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21, 2021, the Company announced that it acquired the remaining 50% ownership interest in its Indian joint venture, Harita-NTI Limited (Zerust India), for $6,250,000 in cash, effective as of September 1, 2021, the date the Company obtained control. Prior to September 1, 2021, the Company owned 50% of the outstanding capital stock of Zerust India. The Company had historically accounted for this investment under the equity method of accounting. This purchase was funded with cash on hand and borrowings under the Company’s revolving line of credit. The Company undertook the acquisition to enhance its Zerust business in India.</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of $6,250,000 was funded with cash on hand and borrowings under the Company’s revolving line of credit, which was increased in connection with the transaction to $5,000,000.</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the Company increased its ownership interest in Zerust India to 100%, the acquisition of Zerust India has been accounted for in accordance with Accounting Standards Codification (ASC) 805, Business Combinations, by using the acquisition method of accounting. Effective September 1, 2021, Zerust India became a consolidated subsidiary within the Company’s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that includes the fair values of the separately identifiable assets acquired and liabilities assumed as of September 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1,187,997</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 receivable</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1,954,769</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886,650</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396,545</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219,077</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4,782,376</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(1,370,314)</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(1,904,100)</w:t>
            </w:r>
          </w:p>
        </w:tc>
        <w:tc>
          <w:tcPr>
            <w:tcW w:w="226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60" w:type="dxa"/>
            <w:vAlign w:val="bottom"/>
          </w:tcPr>
          <w:p>
            <w:pPr>
              <w:spacing w:after="0"/>
              <w:rPr>
                <w:sz w:val="18"/>
                <w:szCs w:val="18"/>
                <w:color w:val="auto"/>
              </w:rPr>
            </w:pPr>
          </w:p>
        </w:tc>
      </w:tr>
      <w:tr>
        <w:trPr>
          <w:trHeight w:val="209"/>
        </w:trPr>
        <w:tc>
          <w:tcPr>
            <w:tcW w:w="738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198"/>
        </w:trPr>
        <w:tc>
          <w:tcPr>
            <w:tcW w:w="7380" w:type="dxa"/>
            <w:vAlign w:val="bottom"/>
          </w:tcPr>
          <w:p>
            <w:pPr>
              <w:ind w:left="3760"/>
              <w:spacing w:after="0" w:line="198" w:lineRule="exact"/>
              <w:rPr>
                <w:sz w:val="20"/>
                <w:szCs w:val="20"/>
                <w:color w:val="auto"/>
              </w:rPr>
            </w:pPr>
            <w:r>
              <w:rPr>
                <w:rFonts w:ascii="Times New Roman" w:cs="Times New Roman" w:eastAsia="Times New Roman" w:hAnsi="Times New Roman"/>
                <w:sz w:val="18"/>
                <w:szCs w:val="18"/>
                <w:color w:val="auto"/>
              </w:rPr>
              <w:t>Fair value of previously held equity method</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4"/>
        </w:trPr>
        <w:tc>
          <w:tcPr>
            <w:tcW w:w="738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investment</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(1,637,362)</w:t>
            </w:r>
          </w:p>
        </w:tc>
        <w:tc>
          <w:tcPr>
            <w:tcW w:w="2260" w:type="dxa"/>
            <w:vAlign w:val="bottom"/>
          </w:tcPr>
          <w:p>
            <w:pPr>
              <w:spacing w:after="0"/>
              <w:rPr>
                <w:sz w:val="20"/>
                <w:szCs w:val="20"/>
                <w:color w:val="auto"/>
              </w:rPr>
            </w:pPr>
          </w:p>
        </w:tc>
      </w:tr>
      <w:tr>
        <w:trPr>
          <w:trHeight w:val="216"/>
        </w:trPr>
        <w:tc>
          <w:tcPr>
            <w:tcW w:w="7380" w:type="dxa"/>
            <w:vAlign w:val="bottom"/>
            <w:shd w:val="clear" w:color="auto" w:fill="CCEEFF"/>
          </w:tcPr>
          <w:p>
            <w:pPr>
              <w:ind w:left="3760"/>
              <w:spacing w:after="0"/>
              <w:rPr>
                <w:sz w:val="20"/>
                <w:szCs w:val="20"/>
                <w:color w:val="auto"/>
              </w:rPr>
            </w:pPr>
            <w:r>
              <w:rPr>
                <w:rFonts w:ascii="Times New Roman" w:cs="Times New Roman" w:eastAsia="Times New Roman" w:hAnsi="Times New Roman"/>
                <w:sz w:val="18"/>
                <w:szCs w:val="18"/>
                <w:color w:val="auto"/>
              </w:rPr>
              <w:t>Cumulative foreign currency translation</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(661,088)</w:t>
            </w:r>
          </w:p>
        </w:tc>
        <w:tc>
          <w:tcPr>
            <w:tcW w:w="2260" w:type="dxa"/>
            <w:vAlign w:val="bottom"/>
          </w:tcPr>
          <w:p>
            <w:pPr>
              <w:spacing w:after="0"/>
              <w:rPr>
                <w:sz w:val="18"/>
                <w:szCs w:val="18"/>
                <w:color w:val="auto"/>
              </w:rPr>
            </w:pPr>
          </w:p>
        </w:tc>
      </w:tr>
      <w:tr>
        <w:trPr>
          <w:trHeight w:val="216"/>
        </w:trPr>
        <w:tc>
          <w:tcPr>
            <w:tcW w:w="738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Gain recognized on acquisition</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(3,951,550)</w:t>
            </w:r>
          </w:p>
        </w:tc>
        <w:tc>
          <w:tcPr>
            <w:tcW w:w="2260" w:type="dxa"/>
            <w:vAlign w:val="bottom"/>
          </w:tcPr>
          <w:p>
            <w:pPr>
              <w:spacing w:after="0"/>
              <w:rPr>
                <w:sz w:val="18"/>
                <w:szCs w:val="18"/>
                <w:color w:val="auto"/>
              </w:rPr>
            </w:pPr>
          </w:p>
        </w:tc>
      </w:tr>
      <w:tr>
        <w:trPr>
          <w:trHeight w:val="210"/>
        </w:trPr>
        <w:tc>
          <w:tcPr>
            <w:tcW w:w="7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2260" w:type="dxa"/>
            <w:vAlign w:val="bottom"/>
          </w:tcPr>
          <w:p>
            <w:pPr>
              <w:spacing w:after="0"/>
              <w:rPr>
                <w:sz w:val="18"/>
                <w:szCs w:val="18"/>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2260" w:type="dxa"/>
            <w:vAlign w:val="bottom"/>
          </w:tcPr>
          <w:p>
            <w:pPr>
              <w:spacing w:after="0"/>
              <w:rPr>
                <w:sz w:val="20"/>
                <w:szCs w:val="20"/>
                <w:color w:val="auto"/>
              </w:rPr>
            </w:pPr>
          </w:p>
        </w:tc>
      </w:tr>
      <w:tr>
        <w:trPr>
          <w:trHeight w:val="414"/>
        </w:trPr>
        <w:tc>
          <w:tcPr>
            <w:tcW w:w="73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7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excess of the fair value of purchase consideration over the fair value of net tangible and identifiable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intangible asset associated with customer relationships was estimated using a discounted cash flow method with the application of the multi-period excess earnings method. Under this method, an intangible asset’s fair value is equal to the present value of the incremental after-tax cash flows attributable to only the subject intangible asset after deducting contributory asset charges.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rate used to discount the estimated future net cash flows to their present values for the intangible assets was based upon a weighted average cost of capital calculation. The discount rate was determined after consideration of market rates of return on debt and equity capital, the weighted average return on invested capital and the risk associated with achieving forecasted sales related to the assets acquired from Zerust India. The weighted average discount rate used to determine the fair value of the customer relationships was 15.3%.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amortization period for the intangible assets is 15 years. The intangible assets are being amortized on a straight-line basis, which is consistent with the pattern that the economic benefits of the intangible assets are expected to be utilized based upon estimated cash flows generated from such asset. Goodwill associated with the acquisition was primarily attributable to the expansion opportunity of the Company’s Zerust business in India.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Authoritative guidance on accounting for business combinations requires that an acquirer re-measure its previously held equity interest in the acquisition at its acquisition date fair value and recognize the resulting gain or loss in earnings. As such, since the Company acquired the remaining 50% ownership interest of Zerust India effective September 1, 2021, the Company recognized a gain of $3,951,550 during the nine months ended May 31, 2022. This gain is included in “Remeasurement gain on acquisition of equity method investee” on the Company’s consolidated statements of operations for the nine months ended May 31,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included the financial results of Zerust India in the consolidated financial statements from September 1, 2021. Net revenue and net income related to Zerust India since the date of acquisition totaled $7,260,964 and $664,775, respectively. The transaction costs associated with the acquisition were approximately $0 and $115,000, respectively, and are recorded in general and administrative expense as incurred during the three and nine months ended May 31, 2022.</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Unaudited consolidated pro forma information assuming the acquisition had occurred on September 1, 2020 for the three and nine months ended May 31, 2021 would have an increase in net sales $2,405,098 and $6,697,005, respectively. Unaudited pro forma net income, assuming the acquisition had occurred on September 1, 2020, for the three and nine months ended May 31, 2021 was not considered material to the Company’s consolidated net income. The unaudited consolidated pro forma combined financial information does not purport to be indicative of the results which would have been obtained had the acquisition been completed as of the beginning of the earliest period presented or of results that may be obtained in the future. In addition, they do not include any benefits that may result from the acquisition due to synergies that may be derived from the elimination of any duplicative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80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4,946,106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4,453,688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8,920,123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6,660,519</w:t>
            </w:r>
          </w:p>
        </w:tc>
      </w:tr>
      <w:tr>
        <w:trPr>
          <w:trHeight w:val="249"/>
        </w:trPr>
        <w:tc>
          <w:tcPr>
            <w:tcW w:w="80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13,866,229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11,114,207</w:t>
            </w: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700" w:type="dxa"/>
            <w:vAlign w:val="bottom"/>
            <w:gridSpan w:val="2"/>
          </w:tcPr>
          <w:p>
            <w:pPr>
              <w:jc w:val="right"/>
              <w:ind w:right="460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2021</w:t>
            </w:r>
          </w:p>
        </w:tc>
      </w:tr>
      <w:tr>
        <w:trPr>
          <w:trHeight w:val="210"/>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7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r>
      <w:tr>
        <w:trPr>
          <w:trHeight w:val="216"/>
        </w:trPr>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14,098,634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13,149,258</w:t>
            </w:r>
          </w:p>
        </w:tc>
      </w:tr>
      <w:tr>
        <w:trPr>
          <w:trHeight w:val="216"/>
        </w:trPr>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5,569,711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5,453,679</w:t>
            </w:r>
          </w:p>
        </w:tc>
      </w:tr>
      <w:tr>
        <w:trPr>
          <w:trHeight w:val="209"/>
        </w:trPr>
        <w:tc>
          <w:tcPr>
            <w:tcW w:w="460" w:type="dxa"/>
            <w:vAlign w:val="bottom"/>
            <w:tcBorders>
              <w:top w:val="single" w:sz="8" w:color="CCEEFF"/>
            </w:tcBorders>
          </w:tcPr>
          <w:p>
            <w:pPr>
              <w:spacing w:after="0"/>
              <w:rPr>
                <w:sz w:val="18"/>
                <w:szCs w:val="18"/>
                <w:color w:val="auto"/>
              </w:rPr>
            </w:pPr>
          </w:p>
        </w:tc>
        <w:tc>
          <w:tcPr>
            <w:tcW w:w="7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19,978,710</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18,913,302</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(7,907,433)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(7,091,844)</w:t>
            </w:r>
          </w:p>
        </w:tc>
      </w:tr>
      <w:tr>
        <w:trPr>
          <w:trHeight w:val="209"/>
        </w:trPr>
        <w:tc>
          <w:tcPr>
            <w:tcW w:w="460" w:type="dxa"/>
            <w:vAlign w:val="bottom"/>
          </w:tcPr>
          <w:p>
            <w:pPr>
              <w:spacing w:after="0"/>
              <w:rPr>
                <w:sz w:val="18"/>
                <w:szCs w:val="18"/>
                <w:color w:val="auto"/>
              </w:rPr>
            </w:pPr>
          </w:p>
        </w:tc>
        <w:tc>
          <w:tcPr>
            <w:tcW w:w="7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12,071,277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11,821,458</w:t>
            </w:r>
          </w:p>
        </w:tc>
      </w:tr>
      <w:tr>
        <w:trPr>
          <w:trHeight w:val="20"/>
        </w:trPr>
        <w:tc>
          <w:tcPr>
            <w:tcW w:w="4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PATENTS AND TRADEMARKS, NET</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 and trademarks, net consisted of the following:</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2021</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3,183,500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3,018,507</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(2,465,705)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(2,308,935)</w:t>
            </w: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717,795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709,572</w:t>
            </w: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 May 31, 2022</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55,305,950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25,677,287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29,628,663</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59,037,744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27,727,623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31,310,121</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13,289,392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2,978,114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10,311,279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1,223,185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1,223,185</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44,601,335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24,749,509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19,851,826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22,194,433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12,374,756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9,819,677</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20,844,284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12,343,851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8,500,433</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Three Months Ended May 31, 2022</w:t>
            </w: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26,594,077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10,397,916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16,196,160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10,626,570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4,990,697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5,635,873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2,714,979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1,654,389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1,060,590</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1,364,597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824,784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539,813</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252,000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252,000</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8"/>
          </w:tcPr>
          <w:p>
            <w:pPr>
              <w:jc w:val="right"/>
              <w:ind w:right="1131"/>
              <w:spacing w:after="0"/>
              <w:rPr>
                <w:sz w:val="20"/>
                <w:szCs w:val="20"/>
                <w:color w:val="auto"/>
              </w:rPr>
            </w:pPr>
            <w:r>
              <w:rPr>
                <w:rFonts w:ascii="Times New Roman" w:cs="Times New Roman" w:eastAsia="Times New Roman" w:hAnsi="Times New Roman"/>
                <w:sz w:val="18"/>
                <w:szCs w:val="18"/>
                <w:b w:val="1"/>
                <w:bCs w:val="1"/>
                <w:color w:val="auto"/>
              </w:rPr>
              <w:t>Nine Months Ended May 31, 2022</w:t>
            </w: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78,218,839</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31,010,578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47,208,261</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31,504,531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15,118,133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16,386,398</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7,344,175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4,646,123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2,698,052</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3,662,178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2,324,605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1,337,572</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5,723,176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4,255,200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1,467,976</w:t>
            </w:r>
          </w:p>
        </w:tc>
      </w:tr>
      <w:tr>
        <w:trPr>
          <w:trHeight w:val="432"/>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August 31, 2021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91"/>
              <w:spacing w:after="0" w:line="210" w:lineRule="exact"/>
              <w:rPr>
                <w:sz w:val="20"/>
                <w:szCs w:val="20"/>
                <w:color w:val="auto"/>
              </w:rPr>
            </w:pPr>
            <w:r>
              <w:rPr>
                <w:rFonts w:ascii="Times New Roman" w:cs="Times New Roman" w:eastAsia="Times New Roman" w:hAnsi="Times New Roman"/>
                <w:sz w:val="15"/>
                <w:szCs w:val="15"/>
                <w:b w:val="1"/>
                <w:bCs w:val="1"/>
                <w:color w:val="auto"/>
              </w:rPr>
              <w:t>All Other</w:t>
            </w:r>
            <w:r>
              <w:rPr>
                <w:rFonts w:ascii="Times New Roman" w:cs="Times New Roman" w:eastAsia="Times New Roman" w:hAnsi="Times New Roman"/>
                <w:sz w:val="24"/>
                <w:szCs w:val="24"/>
                <w:b w:val="1"/>
                <w:bCs w:val="1"/>
                <w:color w:val="auto"/>
                <w:vertAlign w:val="superscript"/>
              </w:rPr>
              <w:t>(1)</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69,394,796</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33,886,655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35,508,141</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73,814,402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36,211,520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37,602,882</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16,366,398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5,386,377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10,980,021</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1,455,524</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55,992,480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30,825,144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25,167,336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27,623,768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15,412,574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12,211,194</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undistributed earnings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24,702,778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14,697,490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10,005,288</w:t>
            </w:r>
          </w:p>
        </w:tc>
      </w:tr>
      <w:tr>
        <w:trPr>
          <w:trHeight w:val="432"/>
        </w:trPr>
        <w:tc>
          <w:tcPr>
            <w:tcW w:w="61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6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1072"/>
              <w:spacing w:after="0"/>
              <w:rPr>
                <w:sz w:val="20"/>
                <w:szCs w:val="20"/>
                <w:color w:val="auto"/>
              </w:rPr>
            </w:pPr>
            <w:r>
              <w:rPr>
                <w:rFonts w:ascii="Times New Roman" w:cs="Times New Roman" w:eastAsia="Times New Roman" w:hAnsi="Times New Roman"/>
                <w:sz w:val="18"/>
                <w:szCs w:val="18"/>
                <w:b w:val="1"/>
                <w:bCs w:val="1"/>
                <w:color w:val="auto"/>
              </w:rPr>
              <w:t>Three Months Ended May 31, 2021</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92"/>
              <w:spacing w:after="0" w:line="210" w:lineRule="exact"/>
              <w:rPr>
                <w:sz w:val="20"/>
                <w:szCs w:val="20"/>
                <w:color w:val="auto"/>
              </w:rPr>
            </w:pPr>
            <w:r>
              <w:rPr>
                <w:rFonts w:ascii="Times New Roman" w:cs="Times New Roman" w:eastAsia="Times New Roman" w:hAnsi="Times New Roman"/>
                <w:sz w:val="15"/>
                <w:szCs w:val="15"/>
                <w:b w:val="1"/>
                <w:bCs w:val="1"/>
                <w:color w:val="auto"/>
              </w:rPr>
              <w:t>All Other</w:t>
            </w:r>
            <w:r>
              <w:rPr>
                <w:rFonts w:ascii="Times New Roman" w:cs="Times New Roman" w:eastAsia="Times New Roman" w:hAnsi="Times New Roman"/>
                <w:sz w:val="24"/>
                <w:szCs w:val="24"/>
                <w:b w:val="1"/>
                <w:bCs w:val="1"/>
                <w:color w:val="auto"/>
                <w:vertAlign w:val="superscript"/>
              </w:rPr>
              <w:t>(1)</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31,959,539</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12,103,263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19,856,276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14,280,775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6,863,786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7,416,989</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4,051,518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2,068,326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1,983,192</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2,033,536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1,039,576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993,960</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181,952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181,952</w:t>
            </w:r>
          </w:p>
        </w:tc>
      </w:tr>
      <w:tr>
        <w:trPr>
          <w:trHeight w:val="432"/>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7"/>
          </w:tcPr>
          <w:p>
            <w:pPr>
              <w:jc w:val="right"/>
              <w:ind w:right="1132"/>
              <w:spacing w:after="0"/>
              <w:rPr>
                <w:sz w:val="20"/>
                <w:szCs w:val="20"/>
                <w:color w:val="auto"/>
              </w:rPr>
            </w:pPr>
            <w:r>
              <w:rPr>
                <w:rFonts w:ascii="Times New Roman" w:cs="Times New Roman" w:eastAsia="Times New Roman" w:hAnsi="Times New Roman"/>
                <w:sz w:val="18"/>
                <w:szCs w:val="18"/>
                <w:b w:val="1"/>
                <w:bCs w:val="1"/>
                <w:color w:val="auto"/>
              </w:rPr>
              <w:t>Nine Months Ended May 31, 2021</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92"/>
              <w:spacing w:after="0" w:line="210" w:lineRule="exact"/>
              <w:rPr>
                <w:sz w:val="20"/>
                <w:szCs w:val="20"/>
                <w:color w:val="auto"/>
              </w:rPr>
            </w:pPr>
            <w:r>
              <w:rPr>
                <w:rFonts w:ascii="Times New Roman" w:cs="Times New Roman" w:eastAsia="Times New Roman" w:hAnsi="Times New Roman"/>
                <w:sz w:val="15"/>
                <w:szCs w:val="15"/>
                <w:b w:val="1"/>
                <w:bCs w:val="1"/>
                <w:color w:val="auto"/>
              </w:rPr>
              <w:t>All Other</w:t>
            </w:r>
            <w:r>
              <w:rPr>
                <w:rFonts w:ascii="Times New Roman" w:cs="Times New Roman" w:eastAsia="Times New Roman" w:hAnsi="Times New Roman"/>
                <w:sz w:val="24"/>
                <w:szCs w:val="24"/>
                <w:b w:val="1"/>
                <w:bCs w:val="1"/>
                <w:color w:val="auto"/>
                <w:vertAlign w:val="superscript"/>
              </w:rPr>
              <w:t>(1)</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87,795,284</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32,196,843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55,598,441</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39,802,014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18,661,980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21,140,034</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11,540,949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6,351,721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5,189,228</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5,779,260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3,182,691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2,596,569</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3,505,455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1,695,555</w:t>
            </w:r>
          </w:p>
        </w:tc>
      </w:tr>
      <w:tr>
        <w:trPr>
          <w:trHeight w:val="21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r>
    </w:tbl>
    <w:p>
      <w:pPr>
        <w:ind w:left="520" w:right="20" w:hanging="512"/>
        <w:spacing w:after="0" w:line="258" w:lineRule="auto"/>
        <w:tabs>
          <w:tab w:leader="none" w:pos="69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Zerust India since Zerust India was not a consolidated subsidiary of the Company as of August 31, 2021 or May 31, 2021. See Note 3 entitled “Business Combination.”</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INTANGIBLE ASSET, NET</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 net consisted of the following as of May 31, 2022:</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2022</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6,347,000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(317,350)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6,029,650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customer relationships were established as a part of purchase accounting related to our Zerust India acquisition. See Note 3 entitled “Business Combination.” The Company amortizes the intangible asset related to the customer relationships using the straight-line method over the estimated useful lives of the asset, which is 15 years. Total amortization expense was $105,783 and $317,350 for the three and nine months ended May 31, 2022, respectively. Amortization expense is estimated to be $423,000 in each of the next five fiscal years.</w:t>
      </w:r>
    </w:p>
    <w:p>
      <w:pPr>
        <w:spacing w:after="0" w:line="200" w:lineRule="exact"/>
        <w:rPr>
          <w:sz w:val="20"/>
          <w:szCs w:val="20"/>
          <w:color w:val="auto"/>
        </w:rPr>
      </w:pPr>
    </w:p>
    <w:p>
      <w:pPr>
        <w:spacing w:after="0" w:line="219"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revolving line of credit with PNC Bank, National Association (PNC Bank) of $7,000,000 as of May 31, 2022, which will decrease to $5,000,000 effective August 16, 2022. The line of credit has a maturity date of January 7, 2023 and bears interest at an annual rate equal to the daily Bloomberg Short-Term Bank Yield Index plus 250 basis points (2.50%). The line of credit is governed under an Amended and Restated Loan Agreement dated August 31, 2021.</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20, 2022, to maintain financial flexibility, the Company issued an Amended and Restated Revolving Line of Credit Note to PNC Bank, which increased the Company’s line of credit from $5,000,000 to $7,000,000 until August 16, 2022, at which time the line of credit will go back to $5,000,000 until its expiration date on January 7, 2023. Additionally, on January 4, 2022, the Company issued an Amended and Restated Revolving Line of Credit Note, which extended the maturity date to January 7, 2023 and revised the rate at which amounts outstanding under the line of credit bear interest to equal a per annum rate equal to the daily Bloomberg Short-Term Bank Yield Index plus 250 basis points (2.50%). The other material terms of the line of credit were not affected by these amendments or other immaterial amendments that have been executed since the execution of the Amended and Restated Loan Agreement dated August 31,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4" w:name="page15"/>
    <w:bookmarkEnd w:id="1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Borrowings of $4,700,000 were outstanding under the line of credit as of May 31, 2022 and no amounts were outstanding as of August 31, 2021. Such outstanding borrowings were used primarily to fund the Company’s acquisition of the remaining ownership interest of Zerust India. The average interest rate during each of the three and nine months ended May 31, 2022 was 2.92% and 2.69%, respectively.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obligations of the Company under the loan agreement are secured by a lien on all of the Company’s personal property, excepting certain liens consented to in writing by PNC. The loan agreement contains covenants, including affirmative financial covenants, such as the maintenance of a minimum fixed charge coverage ratio of 1.10:1.00, and negative covenants, which, among other things, limit the incurrence of additional indebtedness, loans and equity investments, disposition of assets, mergers and consolidations and other matters customarily restricted in such agreements. As of May 31, 2022, the Company was in compliance with all debt covenants.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31, 2022 and August 31, 2021, the Company did not have any letters of credit outstanding with respect to the letter of credit sub-facility available under the revolving line of credit with PNC Bank. As of May 31, 2022 and August 31, 2021, the Company had $72,418 of letters of credit with JP Morgan Chase Bank that are performance based and set to expire between 2021 and 2022.</w:t>
      </w:r>
    </w:p>
    <w:p>
      <w:pPr>
        <w:spacing w:after="0" w:line="200" w:lineRule="exact"/>
        <w:rPr>
          <w:sz w:val="20"/>
          <w:szCs w:val="20"/>
          <w:color w:val="auto"/>
        </w:rPr>
      </w:pPr>
    </w:p>
    <w:p>
      <w:pPr>
        <w:spacing w:after="0" w:line="215" w:lineRule="exact"/>
        <w:rPr>
          <w:sz w:val="20"/>
          <w:szCs w:val="20"/>
          <w:color w:val="auto"/>
        </w:rPr>
      </w:pPr>
    </w:p>
    <w:p>
      <w:pPr>
        <w:ind w:left="640" w:hanging="632"/>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 months ended May 31, 2022, the Company’s Board of Directors declared cash dividends on the following dates in the following amounts to holders of record of the Company’s common stock as of the following record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2021</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17, 2021</w:t>
            </w:r>
          </w:p>
        </w:tc>
      </w:tr>
      <w:tr>
        <w:trPr>
          <w:trHeight w:val="216"/>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2022</w:t>
            </w: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2022</w:t>
            </w:r>
          </w:p>
        </w:tc>
      </w:tr>
      <w:tr>
        <w:trPr>
          <w:trHeight w:val="216"/>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22, 2022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4, 2022</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18, 2022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2020, the Company announced the temporary suspension of its quarterly cash dividend pending clarity on the financial impact of COVID-19 on the Company. On January 15, 2021, the Company announced the reinstatement of its quarterly cash dividend. During the nine months ended May 31, 2021, the Company’s Board of Directors declared cash dividends on the following dates in the following amounts to holders of record of the Company’s common stock as of the following record dates: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09"/>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15, 2021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3, 2021</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17, 2021</w:t>
            </w:r>
          </w:p>
        </w:tc>
      </w:t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23, 2021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5, 2021</w:t>
            </w: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19, 2021</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May 31, 2022 and 2021, the Company repurchased no shares of its common stock.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May 31, 2022, the Company granted stock options under the Northern Technologies International Corporation 2019 Stock Incentive Plan (as amended, the 2019 Plan) to purchase an aggregate of 174,840 shares of its common stock to various employees and directors. The weighted average per share exercise price of the stock options is $16.97. The exercise price of the stock options is equal to the fair market value of the Company’s common stock on the date of grant. During the nine months ended May 31, 2022, stock options to purchase an aggregate of 51,218 shares of common stock were exercised at a weighted average exercise price of $6.60 per share, resulting in the net issuance of 42,071 shares of common stock since some of the options were exercised on a net cashless exercise basis.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5" w:name="page16"/>
    <w:bookmarkEnd w:id="15"/>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May 31, 2021, the Company granted stock options under the 2019 Plan to purchase an aggregate of 419,874 shares of its common stock to various employees and directors. The weighted average per share exercise price of the stock options is $8.24. The exercise price of the stock options is equal to the fair market value of the Company’s common stock on the date of grant. During the nine months ended May 31, 2021, no stock options to purchase common stock were exercised.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issued 2,636 and 4,646 shares of common stock on September 1, 2021 and 2020, respectively, under the Northern Technologies International Corporation Employee Stock Purchase Plan (ESPP). The Company issued 2,966 and 5,225 shares of common stock on March 1, 2022 and 2021, respectively, under the ESPP. The ESPP is compensatory for financial reporting purposes. As of May 31, 2021, 69,220 shares of common stock remained available for sale under the ESPP.</w:t>
      </w:r>
    </w:p>
    <w:p>
      <w:pPr>
        <w:spacing w:after="0" w:line="200" w:lineRule="exact"/>
        <w:rPr>
          <w:sz w:val="20"/>
          <w:szCs w:val="20"/>
          <w:color w:val="auto"/>
        </w:rPr>
      </w:pPr>
    </w:p>
    <w:p>
      <w:pPr>
        <w:spacing w:after="0" w:line="219" w:lineRule="exact"/>
        <w:rPr>
          <w:sz w:val="20"/>
          <w:szCs w:val="20"/>
          <w:color w:val="auto"/>
        </w:rPr>
      </w:pPr>
    </w:p>
    <w:p>
      <w:pPr>
        <w:ind w:left="620" w:hanging="612"/>
        <w:spacing w:after="0"/>
        <w:tabs>
          <w:tab w:leader="none" w:pos="6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and nine months ended May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1,000,167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2,053,916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5,676,773</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4,628,890</w:t>
            </w: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9,227,912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9,109,861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9,216,216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9,107,243</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350,886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862,139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466,430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721,809</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9,578,797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9,972,000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9,682,646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9,829,052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0.62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and nine months ended May 31, 2022 were options outstanding to purchase 327,793 shares of common stock. Excluded from the computation of diluted net income per share for the three and nine months ended May 31, 2021 were options outstanding to purchase 136,221 shares of common stock.</w:t>
      </w:r>
    </w:p>
    <w:p>
      <w:pPr>
        <w:spacing w:after="0" w:line="200" w:lineRule="exact"/>
        <w:rPr>
          <w:sz w:val="20"/>
          <w:szCs w:val="20"/>
          <w:color w:val="auto"/>
        </w:rPr>
      </w:pPr>
    </w:p>
    <w:p>
      <w:pPr>
        <w:spacing w:after="0" w:line="226"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three stock-based compensation plans under which stock options or other stock-based awards have been granted: the Northern Technologies International Corporation Amended and Restated 2019 Stock Incentive Plan, the Northern Technologies International Corporation Amended and Restated 2007 Stock Incentive Plan (2007 Plan) and the Northern Technologies International Corporation Employee Stock Purchase Plan. The 2019 Plan replaced the 2007 Plan with respect to future grants; and, therefore, no further awards may be made under the 2007 Plan. The Compensation Committee of the Board of Directors and the Board of Directors administer these plans.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On January 15, 2021, the Company’s stockholders approved certain amendments to the 2019 Plan, including an increase in the number of shares of common stock available for issuance under the plan by an additional 800,000 shares. Subject to adjustment as provided in the 2019 Plan, up to a maximum of 1,600,000 shares of the Company’s common stock are issuable under the 2019 Plan. Options granted generally have a term of ten years and become exercisable over a one- or three-year period beginning on the one-year anniversary of the date of grant. Options are granted at per share exercise prices equal to the market value of the Company’s common stock on the date of grant. The Company issues new shares upon the exercise of options. As of May 31, 2022, options to purchase an aggregate of 895,484 shares of the Company’s common stock were outstanding under the 2019 Plan and 704,516 shares of the Company’s common stock remain available for grant under the 2019 Plan. As of May 31, 2022, options to purchase an aggregate of 654,789 shares of the Company’s common stock were outstanding under the 2007 Plan.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granted options to purchase an aggregate of 174,840 and 419,874 shares of its common stock during the nine months ended May 31, 2022 and 2021, respectively. The fair value of option grants is determined at the date of grant using the Black-Scholes option pricing model with the assumptions listed below. The Company recognized compensation expense of $232,883 and $698,649 during the three and nine months ended May 31, 2022, respectively, and compensation expense of $160,834 and $503,338 during the three and nine months ended May 31, 2021, respectively, related to the options that vested during such time period. As of May 31, 2022, the total compensation cost for non-vested options not yet recognized in the Company’s consolidated statements of operations was $1,242,602. Stock-based compensation expense of $232,883 is expected through the remainder of fiscal 2022 and $671,526 and $338,193 is expected to be recognized during fiscal 2023 and fiscal 2024, respectively, based on outstanding options as of May 31, 2022. Future option grants will impact the compensation expense recognized. Stock-based compensation expense is included in general and administrative expense on the consolidated statements of operations.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 pricing model with the following assumptions and results for the grants:</w:t>
      </w:r>
    </w:p>
    <w:p>
      <w:pPr>
        <w:spacing w:after="0" w:line="158"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b w:val="1"/>
          <w:bCs w:val="1"/>
          <w:color w:val="auto"/>
        </w:rPr>
        <w:t>Three and Nine Months Ended May 31,</w:t>
      </w:r>
    </w:p>
    <w:p>
      <w:pPr>
        <w:spacing w:after="0" w:line="31"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r>
    </w:tbl>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weighted average per share fair value of options granted during the nine months ended May 31, 2022 and 2021 was $7.29 and $3.12, respectively. The weighted average remaining contractual life of the options outstanding as of May 31, 2022 and 2021 was 6.02 years and 6.40 years, respectively.</w:t>
      </w:r>
    </w:p>
    <w:p>
      <w:pPr>
        <w:spacing w:after="0" w:line="200" w:lineRule="exact"/>
        <w:rPr>
          <w:sz w:val="20"/>
          <w:szCs w:val="20"/>
          <w:color w:val="auto"/>
        </w:rPr>
      </w:pPr>
    </w:p>
    <w:p>
      <w:pPr>
        <w:spacing w:after="0" w:line="201"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45 years and, more recently, has targeted and expanded into the oil and gas industry. The Company also sells a portfolio of bio-based and compostable (fully biodegradable) polymer resins and finished products under the Natur-Tec® brand.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nine months ended May 31, 2022 and 2021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r>
      <w:tr>
        <w:trPr>
          <w:trHeight w:val="210"/>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14,446,832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12,378,215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41,988,394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32,882,882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4,518,089</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3,040,309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11,918,579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8,097,636</w:t>
            </w: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18,964,921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15,418,524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53,906,973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40,980,518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nine months ended May 31, 2022 and 2021 by segment:</w:t>
      </w:r>
    </w:p>
    <w:p>
      <w:pPr>
        <w:sectPr>
          <w:pgSz w:w="11900" w:h="16838" w:orient="portrait"/>
          <w:cols w:equalWidth="0" w:num="1">
            <w:col w:w="11240"/>
          </w:cols>
          <w:pgMar w:left="320" w:top="60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cost of goods sold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ZERUST®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Natur-Tec®</w:t>
      </w:r>
    </w:p>
    <w:p>
      <w:pPr>
        <w:spacing w:after="0" w:line="9" w:lineRule="exact"/>
        <w:rPr>
          <w:sz w:val="20"/>
          <w:szCs w:val="20"/>
          <w:color w:val="auto"/>
        </w:rPr>
      </w:pPr>
    </w:p>
    <w:p>
      <w:pPr>
        <w:jc w:val="right"/>
        <w:spacing w:after="0" w:line="258" w:lineRule="auto"/>
        <w:rPr>
          <w:sz w:val="20"/>
          <w:szCs w:val="20"/>
          <w:color w:val="auto"/>
        </w:rPr>
      </w:pPr>
      <w:r>
        <w:rPr>
          <w:rFonts w:ascii="Times New Roman" w:cs="Times New Roman" w:eastAsia="Times New Roman" w:hAnsi="Times New Roman"/>
          <w:sz w:val="18"/>
          <w:szCs w:val="18"/>
          <w:color w:val="auto"/>
        </w:rPr>
        <w:t>Indirect cost of goods sold Total net cost of goods</w:t>
      </w:r>
    </w:p>
    <w:p>
      <w:pPr>
        <w:ind w:left="500"/>
        <w:spacing w:after="0"/>
        <w:rPr>
          <w:sz w:val="20"/>
          <w:szCs w:val="20"/>
          <w:color w:val="auto"/>
        </w:rPr>
      </w:pPr>
      <w:r>
        <w:rPr>
          <w:rFonts w:ascii="Times New Roman" w:cs="Times New Roman" w:eastAsia="Times New Roman" w:hAnsi="Times New Roman"/>
          <w:sz w:val="18"/>
          <w:szCs w:val="18"/>
          <w:color w:val="auto"/>
        </w:rPr>
        <w:t>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12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187"/>
        </w:trPr>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6"/>
              </w:rPr>
              <w:t>Product</w:t>
            </w:r>
          </w:p>
        </w:tc>
      </w:tr>
      <w:tr>
        <w:trPr>
          <w:trHeight w:val="238"/>
        </w:trPr>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r>
      <w:tr>
        <w:trPr>
          <w:trHeight w:val="407"/>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8,409,392</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58.2%  $</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7,091,220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$25,267,333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$18,928,272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3,432,152</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2,251,996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9,129,686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5,703,807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34"/>
        </w:trPr>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881,289</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809,366</w:t>
            </w: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2,580,601</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2,365,503</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385"/>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12,722,833</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8"/>
              </w:rPr>
              <w:t>10,152,582</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36,977,620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26,997,582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-831215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-556895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-273685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260"/>
            <w:col w:w="9020"/>
          </w:cols>
          <w:pgMar w:left="320" w:top="607" w:right="339" w:bottom="1440" w:gutter="0" w:footer="0" w:header="0"/>
          <w:type w:val="continuous"/>
        </w:sectPr>
      </w:pPr>
    </w:p>
    <w:p>
      <w:pPr>
        <w:spacing w:after="0" w:line="119" w:lineRule="exact"/>
        <w:rPr>
          <w:sz w:val="20"/>
          <w:szCs w:val="20"/>
          <w:color w:val="auto"/>
        </w:rPr>
      </w:pPr>
    </w:p>
    <w:p>
      <w:pPr>
        <w:ind w:left="400" w:right="20" w:hanging="392"/>
        <w:spacing w:after="0" w:line="282" w:lineRule="auto"/>
        <w:tabs>
          <w:tab w:leader="none" w:pos="56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segment sales is calculated by dividing the direct cost of goods sold for each individual segment category by the net sales for each segment category.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and nine months ended May 31, 2022 and 2021 were as follows:</w:t>
      </w:r>
    </w:p>
    <w:p>
      <w:pPr>
        <w:sectPr>
          <w:pgSz w:w="11900" w:h="16838" w:orient="portrait"/>
          <w:cols w:equalWidth="0" w:num="1">
            <w:col w:w="11240"/>
          </w:cols>
          <w:pgMar w:left="320" w:top="60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the U.S.A.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220"/>
        <w:spacing w:after="0" w:line="276" w:lineRule="auto"/>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 Unaffiliated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38"/>
        </w:trPr>
        <w:tc>
          <w:tcPr>
            <w:tcW w:w="26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100" w:type="dxa"/>
            <w:vAlign w:val="bottom"/>
          </w:tcPr>
          <w:p>
            <w:pPr>
              <w:spacing w:after="0"/>
              <w:rPr>
                <w:sz w:val="20"/>
                <w:szCs w:val="20"/>
                <w:color w:val="auto"/>
              </w:rPr>
            </w:pPr>
          </w:p>
        </w:tc>
        <w:tc>
          <w:tcPr>
            <w:tcW w:w="25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r>
      <w:tr>
        <w:trPr>
          <w:trHeight w:val="225"/>
        </w:trPr>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33432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ind w:left="405" w:hanging="405"/>
        <w:spacing w:after="0"/>
        <w:tabs>
          <w:tab w:leader="none" w:pos="4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6,884,726   $    6,717,886   $  18,157,010   $  16,198,372</w:t>
      </w:r>
    </w:p>
    <w:p>
      <w:pPr>
        <w:spacing w:after="0" w:line="205" w:lineRule="exact"/>
        <w:rPr>
          <w:sz w:val="20"/>
          <w:szCs w:val="20"/>
          <w:color w:val="auto"/>
        </w:rPr>
      </w:pPr>
    </w:p>
    <w:tbl>
      <w:tblPr>
        <w:tblLayout w:type="fixed"/>
        <w:tblInd w:w="5" w:type="dxa"/>
        <w:tblCellMar>
          <w:top w:w="0" w:type="dxa"/>
          <w:left w:w="0" w:type="dxa"/>
          <w:bottom w:w="0" w:type="dxa"/>
          <w:right w:w="0" w:type="dxa"/>
        </w:tblCellMar>
      </w:tblPr>
      <w:tr>
        <w:trPr>
          <w:trHeight w:val="216"/>
        </w:trPr>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528,665</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1,253,919</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2,252,618</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2,361,165</w:t>
            </w:r>
          </w:p>
        </w:tc>
      </w:tr>
      <w:tr>
        <w:trPr>
          <w:trHeight w:val="234"/>
        </w:trPr>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11,551,530</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7,446,719</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33,497,345</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22,420,981</w:t>
            </w:r>
          </w:p>
        </w:tc>
      </w:tr>
      <w:tr>
        <w:trPr>
          <w:trHeight w:val="210"/>
        </w:trPr>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18,964,921</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15,418,524</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53,906,973</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40,980,518</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5720" w:space="255"/>
            <w:col w:w="5265"/>
          </w:cols>
          <w:pgMar w:left="320" w:top="607" w:right="339" w:bottom="1440" w:gutter="0" w:footer="0" w:header="0"/>
          <w:type w:val="continuous"/>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and nine months ended May 31, 2022 and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204,316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232,026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171,181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168,075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200,270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123,869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119,172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130,681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127,710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89,363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113,886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95,574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108,842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92,036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75,577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84,797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109,680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78,507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91,554</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197,777</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1,329,988</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1,589,621</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413"/>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 May 31,</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639,738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692,770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520,807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626,527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486,815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561,725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355,827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322,717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337,929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365,095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271,027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247,560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271,046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306,151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257,635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223,356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224,280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268,571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205,342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241,805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265,309</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532,589</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9"/>
        </w:trPr>
        <w:tc>
          <w:tcPr>
            <w:tcW w:w="59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3,835,755</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4,388,866</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property and equipment and patents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4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31, 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2021</w:t>
            </w:r>
          </w:p>
        </w:tc>
      </w:tr>
      <w:tr>
        <w:trPr>
          <w:trHeight w:val="191"/>
        </w:trPr>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5,528,663</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5,110,071</w:t>
            </w:r>
          </w:p>
        </w:tc>
      </w:tr>
      <w:tr>
        <w:trPr>
          <w:trHeight w:val="216"/>
        </w:trPr>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617,674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453,199</w:t>
            </w:r>
          </w:p>
        </w:tc>
      </w:tr>
      <w:tr>
        <w:trPr>
          <w:trHeight w:val="234"/>
        </w:trPr>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6,642,735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6,967,761</w:t>
            </w:r>
          </w:p>
        </w:tc>
      </w:tr>
      <w:tr>
        <w:trPr>
          <w:trHeight w:val="209"/>
        </w:trPr>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12,789,072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12,531,031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280" w:space="720"/>
            <w:col w:w="3240"/>
          </w:cols>
          <w:pgMar w:left="320" w:top="607" w:right="339" w:bottom="144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r>
      <w:tr>
        <w:trPr>
          <w:trHeight w:val="209"/>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3,624,396</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4,037,493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11,845,989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13,025,127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1,554,364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1,237,586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3,786,670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2,756,008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4,824,004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1,540,734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13,369,769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4,036,208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2,077,431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1,884,825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6,747,535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4,964,803</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6,884,726</w:t>
            </w:r>
          </w:p>
        </w:tc>
        <w:tc>
          <w:tcPr>
            <w:tcW w:w="1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6,717,886</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18,157,010</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16,198,372</w:t>
            </w:r>
          </w:p>
        </w:tc>
      </w:tr>
      <w:tr>
        <w:trPr>
          <w:trHeight w:val="21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18,964,921</w:t>
            </w:r>
          </w:p>
        </w:tc>
        <w:tc>
          <w:tcPr>
            <w:tcW w:w="3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15,418,524</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53,906,973</w:t>
            </w:r>
          </w:p>
        </w:tc>
        <w:tc>
          <w:tcPr>
            <w:tcW w:w="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40,980,518</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and patents.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 Plan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26, 2021, the Compensation Committee of the Board of Directors of the Company approved the material terms of an annual bonus plan for the Company’s executive officers as well as certain officers and employees for the fiscal year ending August 31, 2022. For fiscal 2022,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2022 compared to a pre-established target EBITOI for fiscal 2022,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the Company’s common stock, the exact amount and percentages of which are determined by the Company’s Board of Directors, upon recommendation of the Compensation Committee, after the completion of the Company’s consolidated financial statements for fiscal 2022. There was $1,200,000 recognized for management bonuses for the nine months ended May 31, 2022, compared to $1,800,000 recognized for management bonuses for the nine months ended May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Three joint ventures (consisting of the Company’s joint ventures in South Korea, Japan and Thailand) accounted for 62.3% of the Company’s trade joint venture receivables as of May 31, 2022, and three joint ventures (consisting of the Company’s joint ventures in India, South Korea and Thailand) accounted for 73.7% of the Company’s trade joint venture receivables as of May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May 31, 2022,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w:t>
            </w: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 Ended May 31,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r>
      <w:tr>
        <w:trPr>
          <w:trHeight w:val="210"/>
        </w:trPr>
        <w:tc>
          <w:tcPr>
            <w:tcW w:w="4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23,784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3,044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34,079</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10,661</w:t>
            </w:r>
          </w:p>
        </w:tc>
      </w:tr>
    </w:tbl>
    <w:p>
      <w:pPr>
        <w:spacing w:after="0" w:line="200" w:lineRule="exact"/>
        <w:rPr>
          <w:sz w:val="20"/>
          <w:szCs w:val="20"/>
          <w:color w:val="auto"/>
        </w:rPr>
      </w:pPr>
    </w:p>
    <w:p>
      <w:pPr>
        <w:spacing w:after="0" w:line="237"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nine months ended May 31, 2022 was $604,314 and $1,260,437, respectively, compared to $276,338 and $929,588, respectively, for the three and nine months ended May 31, 2021. The expense was largely due to foreign operations. The Company has federal and state tax credit carry forwards, net operating loss carry forwards and foreign tax carry forwards. The Company has recorded a full valuation allowance against the U.S. deferred tax assets as of May 31, 2022 and August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1" w:name="page22"/>
    <w:bookmarkEnd w:id="2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45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starting September 1, 2021 its wholly-owned subsidiary in India, Harita-NTI Ltd. (Zerust India),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2" w:name="page23"/>
    <w:bookmarkEnd w:id="22"/>
    <w:p>
      <w:pPr>
        <w:jc w:val="both"/>
        <w:spacing w:after="0" w:line="254" w:lineRule="auto"/>
        <w:rPr>
          <w:sz w:val="20"/>
          <w:szCs w:val="20"/>
          <w:color w:val="auto"/>
        </w:rPr>
      </w:pPr>
      <w:r>
        <w:rPr>
          <w:rFonts w:ascii="Times New Roman" w:cs="Times New Roman" w:eastAsia="Times New Roman" w:hAnsi="Times New Roman"/>
          <w:sz w:val="18"/>
          <w:szCs w:val="18"/>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Zerust India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21, 2021, NTIC announced that it acquired the remaining 50% ownership interest in its Indian joint venture, Zerust India, for $6,250,000 in cash, effective as of September 1,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acquisition of Zerust India, NTIC’s revenues and operating expenses increased and its equity in income from joint ventures decreased during the three and nine months ended May 31, 2022 as compared to the three and nine months ended May 31, 2021, and it is anticipated that the acquisition will continue to have these effects on NTIC’s financial results during the remainder of fiscal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NTIC’s consolidated financial statements for a discussion of Zerust India.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COVID-19 pandemic has negatively impacted the global economy, disrupted global supply chains and shipping, created significant volatility and disruption in financial markets and resulted in an economic recession. The outbreak and continuing rapid spread of COVID-19 has resulted in the curtailment of business activities worldwide from time to time and has caused weakened economic conditions, both in the United States and abroad.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efforts to contain the spread of COVID-19, federal, state, local and foreign governments imposed various restrictions on the conduct of business and travel, some of which remain in place in whole or in part and some of which have been or may be reinstated. Government restrictions, such as stay-at-home orders, quarantines and worker absenteeism as a result of COVID-19, led to a significant number of business closures and slowdowns. These business closures and slowdowns adversely impacted and may continue to adversely impact NTIC directly and caused some of NTIC’s customers and suppliers to operate at a fraction of their capacities or wholly lock down, which disrupted and may continue to disrupt NTIC’s sales and production.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events surrounding the COVID-19 pandemic unfolded, NTIC’s primary focus was, and continues to be, the health, safety and wellbeing of its employees, customers and suppliers. In order to continue its operations, as permitted by respective state, local and foreign governments, NTIC has adopted numerous safety measures in accordance with U.S. Centers for Disease Control and Prevention, World Health Organization, and federal, state, local and foreign guidance in order to protect its employees, customers and suppliers. These safety measures include, but are not limited to, adhering to social distancing protocols, enabling the majority of its employees to work from home, suspending non-essential travel, disinfecting facilities and workspaces extensively and frequently, suspending all non-essential visitors and requiring employees who must be present at NTIC’s facilities to wear face coverings. NTIC expects to continue such safety measures for the foreseeable future and may take further actions, or adapt these existing policies, as government authorities may require or recommend or as it may determine to be in the best interests of its employees, customers and suppliers.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18"/>
          <w:szCs w:val="18"/>
          <w:color w:val="auto"/>
        </w:rPr>
        <w:t>NTIC has been balancing its safety-focused approach with the needs of its customers. Government mandated measures resulting in the substantial curtailment of business activities generally have excluded certain essential businesses and services, including certain manufacturing. With the exception of the temporary closures of NTIC’s facilities in China and India during the COVID-19 pandemic in 2020 and again sporadically during 2021 and 2022, NTIC’s manufacturing activities are generally considered part of the “critical sector” with respect to state and local government orders. This has allowed NTIC to continue to receive orders and provide uninterrupted order fulfillment to its customers. However, its facilities have been operating at a reduced capacity in order to abide by local government requirements and recommendations, such as social distancing practices, and in response to reduced demand. During the first nine months of fiscal 2022, certain of NTIC’s facilities continued to be impacted by reduced levels of production, manufacturing inefficiencies due to the reconfiguration of certain of its manufacturing processes in order to implement social distancing protocols and reduced demand. NTIC has engaged and continues to engage in communications with its suppliers in an attempt to identify and mitigate supply chain risks and shipping delays and proactively manage inventory levels in order to align production with demand. While domestic and international governmental measures may be modified or extended, NTIC currently expects that its global facilities will remain operational, although operating at reduced production capacity at certain of its facilities. However, such expectation is dependent upon future governmental actions and demand for NTIC’s products, the stability of its global supply chain and the ability of carriers to transport supplies to its facilities and products to its customers.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the global economic slowdown caused by the COVID-19 pandemic, NTIC experienced softened demand in various regions and markets during the nine months ended May 31, 2022, which had an adverse effect on NTIC’s operating results and financial condition. NTIC expects this softness in sales to continue through at least the fourth quarter of fiscal 2022. In addition, NTIC has experienced supply shortages and price increases on raw materials and increased labor costs, which have adversely affected its margins. NTIC has also experienced increased shipping costs and shipping delays as a result of freight container shortages. These issues have persisted into the fourth quarter of fiscal 2022 and are expected to persist into fiscal 2023, especially in light of recently increased inflationary pressures. Due to the international reach of COVID-19, NTIC’s international joint ventures have also been adversely impacted. It is not possible to predict how long the pandemic will last or the time that it will take for economic activity to return to prior pre-pandemic levels for all business units.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materially adversely affect NTIC’s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Worldwide Supply Chain Disruptions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Worldwide supply chain disruptions, which were initially brought about by the impact of the COVID-19 pandemic, have persisted despite the recovery in the global economy and financial markets. These issues continued during the first nine months of fiscal 2022 and are expected to continue throughout the remainder of fiscal 2022 and into fiscal 2023. NTIC has experienced longer lead times for raw materials, has been forced to find new suppliers of certain raw materials, and has experienced raw material cost increases compared to prior fiscal quarters. Additionally, NTIC has experienced significantly longer shipping times and significant price increases per shipping container compared to prior fiscal quarters due to ocean freight capacity issues resulting from increased demand for shipping and reduced capacity and equipment. These and other issues resulting from worldwide supply chain disruptions are expected to continue through the remainder of fiscal 2022 and into fiscal 2023 and could continue to have a material adverse effect on NTIC’s business, operating results and financial condition. The precise financial impact and duration, however, cannot be reasonably estimated at this time.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Highlights of NTIC’s financial results for the three and nine months ended May 31, 2022 include the following with increases or decreases in each case as compared to the respective prior fiscal year period:</w:t>
      </w:r>
    </w:p>
    <w:p>
      <w:pPr>
        <w:spacing w:after="0" w:line="162" w:lineRule="exact"/>
        <w:rPr>
          <w:sz w:val="20"/>
          <w:szCs w:val="20"/>
          <w:color w:val="auto"/>
        </w:rPr>
      </w:pPr>
    </w:p>
    <w:p>
      <w:pPr>
        <w:jc w:val="both"/>
        <w:ind w:left="660" w:right="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23.0% and 31.5% during the three and nine months ended May 31, 2022, respectively, compared to the three and nine months ended May 31, 2021. NTIC’s consolidated net sales for the three and nine months ended May 31, 2022 were positively affected by incremental sales as a result of the Zerust India acquisition and increased demand.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May 31, 2022, 76.2% and 77.9% of NTIC’s consolidated net sales, respectively, were derived from sales of ZERUST® products and services, which increased 16.7% and 27.7% to $14,446,832 and $41,988,394, respectively, compared to $12,378,215 and $32,882,882 during the three and nine months ended May 31, 2021, respectively. These increases were due to incremental sales as a result of the Zerust India acquisition and increased sales to new and existing customers due to increased global demand compared to the prior fiscal year periods. NTIC’s consolidated net sales for the nine months ended May 31, 2022 included $3,054,918 of sales made to customers in the oil and gas industry compared to $1,947,420 for the nine months ended May 31, 2021.</w:t>
      </w:r>
    </w:p>
    <w:p>
      <w:pPr>
        <w:spacing w:after="0" w:line="187"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Natur-Tec® products increased 48.6% and 47.2% during the three and nine months ended May 31, 2022, respectively, compared to the three and nine months ended May 31, 2022 primarily due to an increase in finished product sales in North America and at NTIC’s majority-owned subsidiary in India, Natur-Tec India Private Limited.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increased to 67.1% and 68.6% during the three and nine months ended May 31, 2022, respectively, compared to 65.8% and 65.9% during the three months ended May 31, 2021, respectively, primarily as a result of price increases on raw materials used in NTIC’s products, as well as increased labor and shipping costs, partially offset by increased net sales.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equity in income from joint ventures decreased 32.9% and 36.6% during the three and nine months ended May 31, 2022, respectively, to $1,364,597 and $3,662,178, respectively, compared to $2,033,536 and $5,779,260 during the three and nine months ended May 31, 2021, respectively. These decreases were primarily due to the fact that Zerust India is now a consolidated subsidiary within NTIC’s financial statements and an increase in operating expenses and a decrease in gross margins at the joint ventures.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at the joint ventures decreased 16.8% and 10.9% to $26,594,077 and $78,218,839 during the three and nine months ended May 31, 2022, respectively, compared to $31,959,539 and $87,795,284 during the three and nine months ended May 31, 2021, respectively. These decreases were primarily a result of decreased demand during the current year periods and the Zerust India acquisition since its sales were included in NTIC’s net sales in the prior fiscal year periods.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12.7% and 15.5% to $7,113,737 and $20,892,516 during the three and nine months ended May 31, 2022, respectively, compared to $6,310,345 and $18,087,994 for the three and nine months ended May 31, 2021, respectively. These increases were primarily due to $630,874 and $1,710,075 in incremental expenses due to the Zerust India acquisition during the three and nine months ended May 31, 2022, respectively, and increased personnel, travel, and research and development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NTIC acquired the remaining 50% ownership interest of Zerust India effective September 1, 2021, NTIC recognized a gain of $3,951,550 during the nine months ended May 31, 2022, which is included in “Remeasurement gain on acquisition of equity method investee” on NTIC’s consolidated statements of operations.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$1,000,167, or $0.11 per diluted common share, for the three months ended May 31, 2022, compared to $2,053,916, or $0.21 per diluted common share, for the three months ended May 31, 2021. NTIC incurred net income attributable to NTIC of $5,676,773, or $0.59 per diluted common share, for the nine months ended May 31, 2022, compared to $4,628,890, or $0.47 per diluted common share, for the nine months ended May 31, 2021. Of the increase for the nine-month comparison, $3,951,550 was due to the gain from the Zerust India acquisition.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and nine months ended May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18,436,253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14,164,604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4,271,649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528,668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1,253,920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12,722,832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10,152,582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2,570,250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1,364,597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2,033,536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1,329,988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1,589,621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(259,633)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3,450,308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3,171,657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278,651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2,560,487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2,072,195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488,292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1,102,942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1,066,493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40" w:type="dxa"/>
            <w:vAlign w:val="bottom"/>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51,654,355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38,619,353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13,035,002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2,252,618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2,361,165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36,977,619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26,997,582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9,980,037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3,662,178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5,779,260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(2,117,082)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3,835,755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4,388,866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(553,111)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9,659,457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8,745,433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914,024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7,675,622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6,125,151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1,550,471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3,557,437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3,217,410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340,027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r>
    </w:tbl>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23.0% and 31.5% to $18,964,921 and $53,906,973 during the three and nine months ended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respectively, compared to the three and nine months ended May 31, 2021. NTIC’s consolidated net sales to unaffiliated customers excluding NTIC’s joint ventures increased 30.2% and 33.8% to $18,463,253 and $51,654,355 during the three and nine months ended May 31, 2022, respectively, compared to the same respective periods in fiscal 2021. These increases were primarily a result of $2,580,861 and $7,290,964, respectively, in incremental sales as a result of the Zerust India acquisition during the three and nine months ended May 31, 2022, and increased demand across all market segments.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and nine months ended May 31, 2022 and 2021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Three Months Ended May 31,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Nine Months Ended May 31,</w:t>
            </w:r>
          </w:p>
        </w:tc>
      </w:tr>
      <w:tr>
        <w:trPr>
          <w:trHeight w:val="210"/>
        </w:trPr>
        <w:tc>
          <w:tcPr>
            <w:tcW w:w="36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14,446,832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12,378,215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41,988,394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32,882,882</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3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4,518,089</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3,040,309</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11,918,579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8,097,636</w:t>
            </w:r>
          </w:p>
        </w:tc>
      </w:tr>
      <w:tr>
        <w:trPr>
          <w:trHeight w:val="249"/>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18,964,921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15,418,524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53,906,973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40,980,518</w:t>
            </w:r>
          </w:p>
        </w:tc>
      </w:tr>
      <w:tr>
        <w:trPr>
          <w:trHeight w:val="413"/>
        </w:trPr>
        <w:tc>
          <w:tcPr>
            <w:tcW w:w="3600" w:type="dxa"/>
            <w:vAlign w:val="bottom"/>
            <w:tcBorders>
              <w:top w:val="single" w:sz="8" w:color="CCEEFF"/>
            </w:tcBorders>
          </w:tcPr>
          <w:p>
            <w:pPr>
              <w:spacing w:after="0"/>
              <w:rPr>
                <w:sz w:val="24"/>
                <w:szCs w:val="24"/>
                <w:color w:val="auto"/>
              </w:rPr>
            </w:pPr>
          </w:p>
        </w:tc>
        <w:tc>
          <w:tcPr>
            <w:tcW w:w="2380" w:type="dxa"/>
            <w:vAlign w:val="bottom"/>
            <w:tcBorders>
              <w:top w:val="single" w:sz="8" w:color="CCEEFF"/>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115"/>
        </w:trPr>
        <w:tc>
          <w:tcPr>
            <w:tcW w:w="360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May 31, 2022, 76.2% and 77.9% of NTIC’s consolidated net sales, respectively, were derived from sales of ZERUST® products and services, which increased 16.7% and 27.7% to $14,446,832 and $41,988,394, respectively, compared to $12,378,215 and $32,882,882 during the three and nine months ended May 31, 2021, respectively. These increases were due to incremental sales as a result of the Zerust India acquisition and increased sales to new and existing customers due to increased global demand.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and nine months ended May 31, 2022 and 2021:</w:t>
      </w:r>
    </w:p>
    <w:p>
      <w:pPr>
        <w:spacing w:after="0" w:line="22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b w:val="1"/>
          <w:bCs w:val="1"/>
          <w:color w:val="auto"/>
        </w:rPr>
        <w:t>Three Months Ended May 31,</w:t>
      </w:r>
    </w:p>
    <w:p>
      <w:pPr>
        <w:sectPr>
          <w:pgSz w:w="11900" w:h="16838" w:orient="portrait"/>
          <w:cols w:equalWidth="0" w:num="1">
            <w:col w:w="11240"/>
          </w:cols>
          <w:pgMar w:left="320" w:top="580"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industrial net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joint venture net sales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oil &amp; gas net sales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ZERUST® net sales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1"/>
        </w:trPr>
        <w:tc>
          <w:tcPr>
            <w:tcW w:w="200" w:type="dxa"/>
            <w:vAlign w:val="bottom"/>
          </w:tcPr>
          <w:p>
            <w:pPr>
              <w:jc w:val="right"/>
              <w:ind w:right="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12,412,981</w:t>
            </w:r>
          </w:p>
        </w:tc>
        <w:tc>
          <w:tcPr>
            <w:tcW w:w="100" w:type="dxa"/>
            <w:vAlign w:val="bottom"/>
          </w:tcPr>
          <w:p>
            <w:pPr>
              <w:spacing w:after="0"/>
              <w:rPr>
                <w:sz w:val="16"/>
                <w:szCs w:val="16"/>
                <w:color w:val="auto"/>
              </w:rPr>
            </w:pPr>
          </w:p>
        </w:tc>
        <w:tc>
          <w:tcPr>
            <w:tcW w:w="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10,100,638</w:t>
            </w:r>
          </w:p>
        </w:tc>
        <w:tc>
          <w:tcPr>
            <w:tcW w:w="1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2,312,343</w:t>
            </w:r>
          </w:p>
        </w:tc>
        <w:tc>
          <w:tcPr>
            <w:tcW w:w="120" w:type="dxa"/>
            <w:vAlign w:val="bottom"/>
          </w:tcPr>
          <w:p>
            <w:pPr>
              <w:spacing w:after="0"/>
              <w:rPr>
                <w:sz w:val="16"/>
                <w:szCs w:val="16"/>
                <w:color w:val="auto"/>
              </w:rPr>
            </w:pPr>
          </w:p>
        </w:tc>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22.9%</w:t>
            </w:r>
          </w:p>
        </w:tc>
      </w:tr>
      <w:tr>
        <w:trPr>
          <w:trHeight w:val="216"/>
        </w:trPr>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528,670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1,253,920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4"/>
        </w:trPr>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1,505,181</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1,023,657</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481,524</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10"/>
        </w:trPr>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14,446,832</w:t>
            </w:r>
          </w:p>
        </w:tc>
        <w:tc>
          <w:tcPr>
            <w:tcW w:w="3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12,378,215</w:t>
            </w: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2,068,617</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-582295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-307975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Nine Months Ended May 31,</w:t>
      </w:r>
    </w:p>
    <w:p>
      <w:pPr>
        <w:spacing w:after="0" w:line="31" w:lineRule="exact"/>
        <w:rPr>
          <w:sz w:val="20"/>
          <w:szCs w:val="20"/>
          <w:color w:val="auto"/>
        </w:rPr>
      </w:pPr>
    </w:p>
    <w:p>
      <w:pPr>
        <w:sectPr>
          <w:pgSz w:w="11900" w:h="16838" w:orient="portrait"/>
          <w:cols w:equalWidth="0" w:num="2">
            <w:col w:w="5260" w:space="720"/>
            <w:col w:w="5260"/>
          </w:cols>
          <w:pgMar w:left="320" w:top="580" w:right="339" w:bottom="1440" w:gutter="0" w:footer="0" w:header="0"/>
          <w:type w:val="continuous"/>
        </w:sectPr>
      </w:pPr>
    </w:p>
    <w:tbl>
      <w:tblPr>
        <w:tblLayout w:type="fixed"/>
        <w:tblInd w:w="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top w:val="single" w:sz="8" w:color="auto"/>
            </w:tcBorders>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36,680,856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28,574,297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8,106,559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2,252,620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2,361,165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3,054,918</w:t>
            </w:r>
          </w:p>
        </w:tc>
        <w:tc>
          <w:tcPr>
            <w:tcW w:w="1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1,947,420</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1,107,498</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0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41,988,394</w:t>
            </w:r>
          </w:p>
        </w:tc>
        <w:tc>
          <w:tcPr>
            <w:tcW w:w="3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32,882,882</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9,105,512</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NTIC’s total ZERUST® net sales increased during the three and nine months ended May 31, 2022, compared to the prior fiscal year periods, primarily due to $2,580,861 and $7,290,964, respectively, in incremental sales as a result of the Zerust India acquisition during the three and nine months ended May 31, 2022. Additionally, there was increased demand for ZERUST® industrial products and services. Overall, demand for ZERUST® products and services depends heavily on the overall health of the markets in which NTIC sells its products, including the automotive, oil and gas, agriculture, and mining markets in particular.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ZERUST® oil and gas net sales increased 47.0% and 56.9% during the three and nine months ended May 31, 2022 compared to the prior fiscal year periods primarily as a result of new opportunities with new customers compared to the prior fiscal year periods.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May 31, 2022, 23.8% and 22.1% of NTIC’s consolidated net sales, respectively, were derived from sales of Natur-Tec® products, which increased 48.6% and 47.2% to $4,518,089 and $11,918,579 during the three and nine months ended May 31, 2022, respectively, compared to the three and nine months ended May 31, 2021 as a result of increased global demand. The COVID-19 pandemic has adversely impacted demand for Natur-Tec® products from across the apparel industry, as well as many large users of bioplastics, including college campuses, stadiums, arenas, restaurants, and corporate office complexes. NTIC has experienced a recovery in many of these areas to pre-pandemic levels, but still expects some of these customers will be the last businesses to fully re-open and operate at full pre-pandemic capacities, and accordingly, anticipates that the COVID-19 pandemic will continue to adversely affect sales of Natur-Tec® products during the remainder of fiscal 2022 and into fiscal 2023.</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25.3% and 37.0% for the three and nine months ended May 31, 2022, respectively, compared to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nine months ended May 31, 2021 primarily as a result of the increase in net sales, as described above, and price increases on raw materials used in NTIC’s products, as well as increased labor and shipping costs. Cost of goods sold as a percentage of net sales increased to 67.1% and 68.6% during the three and nine months ended May 31, 2022, compared to 65.8% and 65.9% during the three and nine months ended May 31, 2021 primarily due to price increases on raw materials used in NTIC’s products, as well as increased labor and shipping costs, partially offset by the increase in net sales. Although NTIC has taken certain actions to address inflationary pressures and pass on as much of the related cost increases on to its customers as possible, it expects some these inflationary pressures to persist into the fourth quarter of fiscal 2022 and into fiscal 2023 and does not expect to fully realize all the benefits from its actions until the fourth quarter of fiscal 2022. Some improvements in gross margin, however, were realized during the three months ended May 31, 2022.</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decreased 32.9% and 36.6% to $1,364,597 and $3,662,178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May 31, 2022, respectively, compared to $2,033,536 and $5,779,260 during the three and nine months ended May 31, 2021, respectively. These decreases were primarily due to the fact that Zerust India is now a consolidated subsidiary within NTIC’s financial statements and an increase in operating expenses and a decrease in gross margins at the joint ventures. NTIC’s equity in income from joint ventures fluctuates based on net sales and profitability of the joint ventures during the respective periods. Of the total equity in income from joint ventures, NTIC had equity in income from joint ventures of $2,324,605 attributable to EXCOR during the nine months ended May 31, 2022, compared to $3,182,691 during the nine months ended May 31, 2021. NTIC had equity in income from all other joint ventures of $1,337,572 during the nine months ended May 31, 2022, compared to $2,596,569 during the nine months ended May 31, 2021.</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Fees for Services Provided to Joint Ventures. </w:t>
      </w:r>
      <w:r>
        <w:rPr>
          <w:rFonts w:ascii="Times New Roman" w:cs="Times New Roman" w:eastAsia="Times New Roman" w:hAnsi="Times New Roman"/>
          <w:sz w:val="18"/>
          <w:szCs w:val="18"/>
          <w:color w:val="auto"/>
        </w:rPr>
        <w:t>NTIC recognized fee income for services provided to joint ventures of $1,329,988 and $3,835,755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nine months ended May 31, 2022, respectively, compared to $1,589,621 and $4,388,866 during the three and nine months ended May 31, 2021, respectively, representing decreases of 16.3% and 12.6%, respectively. Fee income for services provided to joint ventures is traditionally a function of the sales made by NTIC’s joint ventures; however, at various joint ventures, the fee income for services is a fixed amount that does not fluctuate with the amount of sales experienced by certain joint ventures. Total net sales of NTIC’s joint ventures decreased to $26,594,077 and $78,218,839 during the three and nine months ended May 31, 2022, respectively, compared to $31,959,539 and $87,795,284 during the three and nine months ended May 31, 2021, respectively, representing decreases of 16.8% and 10.9%, respectively. These decreases were primarily a result of decreased demand during the current fiscal year periods and the Zerust India acquisition since its sales were included in NTIC’s net sales in the prior fiscal year periods. Net sales of NTIC’s joint ventures are not included in NTIC’s product sales and are not included in NTIC’s consolidated financial statements. Of the total fee income for services provided to joint ventures, fees of $639,738 were attributable to EXCOR during the nine months ended May 31, 2022, compared to $692,770 attributable to EXCOR during the nine months ended May 31, 2021.</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8.8% and 10.5% for the three and nine months ended May 31, 2022, respectively,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respective periods in fiscal 2021 due primarily to incremental expenses due to the Zerust India acquisition, as well as an increase in travel and personnel expenses compared to the expenses incurred during the three and nine months ended May 31, 2021. Selling expenses as a percentage of net sales decreased to 18.2% and 17.9% for the three and nine months ended May 31, 2022, respectively, from 20.6% and 21.3% for the three and nine months ended May 31, 2021, respectively, primarily due to the net sales increases, and partially offset by the increased selling expenses, as previously described.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NTIC’s general and administrative expenses increased 23.6% and 25.3% for the three and nine months ended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2022, respectively, compared to the same respective periods in fiscal 2021 primarily due to incremental expenses due to the Zerust India acquisition and transaction expenses incurred to complete the acquisition, as well as increased travel and personnel expenses compared to the expenses incurred during the three and nine months ended May 31, 2021. As a percentage of net sales, general and administrative expenses increased to 13.5% and decreased to 14.2% for the three and nine months ended May 31, 2022, respectively, compared to 13.4% and 14.9% for the same respective periods in fiscal 2021. The increase for the three-month comparison is due to the increase in general and administrative expenses, partially offset by the increase in net sales. The decrease for the six-month comparison is due to the increase in net sales, partially offset by the increase in general and administrative expenses.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3.4% and 10.6% for the three and nine months ended May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respectively, compared to the same respective periods in fiscal 2021 primarily due to increased personnel and development efforts.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NTIC’s interest income increased to $15,925 and decreased to $36,777 during the three and nine months ended May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$10,676 and $95,852 during the three and nine months ended May 31, 2021, respectively, primarily due to changes in the invested cash balances.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$23,784 and $34,079 during the three and nine months ended May 31, 2022, respectively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$3,044 and $10,661 during the three and nine months ended May 31, 2021 due primarily to increased outstanding borrowings under the line of credit during the current fiscal year period.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Remeasurement Gain on Acquisition of Equity Method Investee</w:t>
      </w:r>
      <w:r>
        <w:rPr>
          <w:rFonts w:ascii="Times New Roman" w:cs="Times New Roman" w:eastAsia="Times New Roman" w:hAnsi="Times New Roman"/>
          <w:sz w:val="18"/>
          <w:szCs w:val="18"/>
          <w:color w:val="auto"/>
        </w:rPr>
        <w:t>. Authoritative guidance on accounting for business combinations requires that an acquirer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 its previously held equity interest in the acquisition at its acquisition date fair value and recognize the resulting gain or loss in earnings. As such, since NTIC acquired the remaining 50% ownership interest of Zerust India effective September 1, 2021, NTIC recognized a gain of $3,951,550 during the nine months ended May 31, 2022. This gain is included in “Remeasurement gain on acquisition of equity method investee” on NTIC’s consolidated statements of operations.</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$1,815,077 and $7,489,018 for the three and nine months ended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2022, respectively, compared to $2,586,386 and $6,148,259 for the three and nine months ended May 31, 2021, respectively.</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$604,314 and $1,260,437 for the three and nine months ended May 31, 2022,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$276,338 and $929,588 during the three and nine months ended May 31, 2021, respectively. Income tax expense was calculated based on management’s estimate of NTIC’s annual effective income tax rate.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$20,844,284 and $24,702,778 as of May 31, 2022 and August 31, 2021,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decreased to $1,000,167, or $0.11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31, 2022, compared to $2,053,916, or $0.21 per diluted common share, for the three months ended May 31, 2021. Net income attributable to NTIC increased to $5,676,773, or $0.59 per diluted common share, for the nine months ended May 31, 2022, compared to $4,628,890, or $0.47 per diluted common share, for the nine months ended May 31, 2021. The decrease for the three-month comparison was primarily due to a significant increase in cost of goods sold, a decrease in joint venture operations and an increase in operating expenses in the current fiscal year period. The increase for the nine-month comparison was primarily due to the remeasurement gain related to the acquisition of Zerust India of $3,951,550 included in “Remeasurement gain on acquisition of equity method investee” on NTIC’s consolidated statements of operations, which was partially offset by a significant increase in cost of goods sold, a decrease in joint venture operations and an increase in operating expenses in the current fiscal year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for the remainder of fiscal 2022 will continue to be adversely affected by both the COVID-19 pandemic and worldwide supply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and nine months ended May 31, 2022 compared to the same periods in fiscal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$24,726,778 as of May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$6,123,269 in cash and cash equivalents and $5,574 in available for sale securities, compared to $25,230,893 as of August 31, 2021, including $7,680,641 in cash and cash equivalents and $4,634 in available for sale securities.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NTIC has a revolving line of credit with PNC Bank of $7,000,000, which was increased from $5,000,000 effective as of May 20, 2022 to allow for financial flexibility, and will be decreased back to $5,000,000 effective as of August 16, 2022. As of May 31, 2022, $4,700,000 was outstanding under the revolving line of credit, compared to no borrowings outstanding as of August 31, 2021. Such outstanding borrowings were used primarily to fund the Company’s acquisition of the remaining ownership interest of Zerust India. Outstanding advances under the line of credit bear interest at the daily Bloomberg Short-Term Bank Yield Index rate plus 250 basis points (2.50%). The line of credit is scheduled to mature on January 7, 2023. The line of credit is governed under an Amended and Restated Loan Agreement dated August 31, 2021.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May 31, 2022, NTIC was in compliance with all debt covenants under the Amended and Restated Loan Agreement. As of May 31, 2022, NTIC did not have any letters of credit outstanding with respect to the letter of credit sub-facility available under the revolving line of credit with PNC Bank.</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2022 and in fiscal 2023, NTIC expects to continue to invest directly and through its use of working capital in Zerust India, NTIC China, Zerust Mexico,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NTIC also expects to use some of its capital resources to continue to transition some of its joint ventures as needed or appropriate, which may include additional acquisitions by NTIC of the remaining ownership interests of joint ventures not owned by NTIC or dissolutions or liquidations of one or more of its joint ventures, including in particular its joint venture in Russia, which NTIC terminated in May 2022. The termination of its joint venture in Russia did not have a material adverse effect on NTIC’s results of operations or financial condition or its joint venture operations given the immateriality of the operations of this joint venture.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Uses of Cash and Cash Flows</w:t>
      </w:r>
      <w:r>
        <w:rPr>
          <w:rFonts w:ascii="Times New Roman" w:cs="Times New Roman" w:eastAsia="Times New Roman" w:hAnsi="Times New Roman"/>
          <w:sz w:val="18"/>
          <w:szCs w:val="18"/>
          <w:color w:val="auto"/>
        </w:rPr>
        <w:t>. Net cash provided by operating activities during the nine months ended May 31, 2022 was $1,778,094,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NTIC’s net income, dividends received from joint ventures, depreciation and amortization expense, stock-based compensation and deferred income tax, partially offset by the remeasurement gain on acquisition of equity method investee and equity in income from joint ventures. Net cash provided by operating activities during the nine months ended May 31, 2021 was $1,053,695, which resulted principally from NTIC’s net income, dividends received from joint ventures, stock-based compensation, depreciation, amortization and decreases in accounts payable and accrued liabilities, partially offset by NTIC’s equity in income from joint ventures and an increase in inventory, accounts receivable and prepaid expenses and other.</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NTIC experienced an increase in trade receivables and inventory as of May 31, 2022, compared to August 31, 2021. Trade receivables, excluding joint ventures, as of May 31, 2022, increased $2,705,775, compared to August 31, 2021, primarily related to an increase in sales.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as of May 31, 2022 remained the same at 69 days from balances outstanding from these customers as of August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May 31, 2022 increased $232,364, compared to August 31, 2021, primarily due to the timing of payments. Outstanding balances from trade receivables from joint ventures increased an average of 62 days to an average of 86 days from balances outstanding from these customers compared to August 31, 2021. The average days outstanding of trade receivables from joint ventures as of May 31, 2022 were primarily due to the receivables balances at various NTIC’s joint ventures.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May 31, 2022 decreased $261,913, compared to August 31, 2021, and the average days to pay decreased an average of 2 days to an average of 86 days compared to August 31,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May 31, 2022 was $6,531,034, which was primarily the result of the purchase of the remaining 50% ownership interest in Zerust India, purchases of property and equipment, investment in joint venture and investments in patents. Net cash used in investing activities for the nine months ended May 31, 2021 was $399,780, which was primarily the result of purchase of available for sale securities, purchases of property and equipment, and investments in patents, partially offset by the proceeds from the sale of available for sale securities.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May 31, 2022 was $2,634,650, which resulted from borrowings under the line of credit and proceeds from the exercise of stock options and NTIC’s employee stock purchase plan, partially offset by dividends paid on NTIC common stock and dividends received by non-controlling interest. Net cash used in financing activities for the nine months ended May 31, 2021 was $1,309,609, which resulted from dividends paid on NTIC common stock and dividends received by non-controlling interest, partially offset by proceeds from NTIC’s employee stock purchase plan.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No repurchases occurred during the nine months ended May 31, 2022. As of May 31, 2022, up to $2,640,548 in shares of NTIC common stock remained available for repurchase under NTIC’s stock repurchase program.</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Cash Dividends</w:t>
      </w:r>
      <w:r>
        <w:rPr>
          <w:rFonts w:ascii="Times New Roman" w:cs="Times New Roman" w:eastAsia="Times New Roman" w:hAnsi="Times New Roman"/>
          <w:sz w:val="18"/>
          <w:szCs w:val="18"/>
          <w:color w:val="auto"/>
        </w:rPr>
        <w:t>. During the nine months ended May 31, 2022, NTIC’s Board of Directors declared cash dividends on the following dates in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to holders of record of NTIC common stock as of the following record dates: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October 20, 2021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2021</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November 17, 2021</w:t>
            </w:r>
          </w:p>
        </w:tc>
      </w:tr>
      <w:tr>
        <w:trPr>
          <w:trHeight w:val="216"/>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 2022</w:t>
            </w:r>
          </w:p>
        </w:tc>
        <w:tc>
          <w:tcPr>
            <w:tcW w:w="12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16, 2022</w:t>
            </w:r>
          </w:p>
        </w:tc>
      </w:tr>
      <w:tr>
        <w:trPr>
          <w:trHeight w:val="216"/>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April 22, 2022</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0.07</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4, 2022</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18, 2022</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23, 2020, NTIC announced the temporary suspension of its quarterly cash dividend pending clarity on the financial impact of COVID-19 on NTIC. On January 15, 2021, NTIC announced the reinstatement of its quarterly cash dividend. During the nine months ended May 31, 2021, NTIC’s Board of Directors declared cash dividends on the following dates in the following amounts to holders of record of NTIC common stock as of the following record dates: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120" w:type="dxa"/>
            <w:vAlign w:val="bottom"/>
          </w:tcPr>
          <w:p>
            <w:pPr>
              <w:spacing w:after="0"/>
              <w:rPr>
                <w:sz w:val="20"/>
                <w:szCs w:val="20"/>
                <w:color w:val="auto"/>
              </w:rPr>
            </w:pP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Payable Date</w:t>
            </w:r>
          </w:p>
        </w:tc>
      </w:tr>
      <w:tr>
        <w:trPr>
          <w:trHeight w:val="210"/>
        </w:trPr>
        <w:tc>
          <w:tcPr>
            <w:tcW w:w="3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January 15, 2021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3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3, 2021</w:t>
            </w:r>
          </w:p>
        </w:tc>
        <w:tc>
          <w:tcPr>
            <w:tcW w:w="12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17, 2021</w:t>
            </w:r>
          </w:p>
        </w:tc>
      </w:tr>
      <w:tr>
        <w:trPr>
          <w:trHeight w:val="234"/>
        </w:trPr>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23, 2021</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0.065</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5, 2021</w:t>
            </w:r>
          </w:p>
        </w:tc>
        <w:tc>
          <w:tcPr>
            <w:tcW w:w="12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19, 2021</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$961,704 on capital expenditures during the nine months ended May 31, 2022,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the purchase of new equipment and facility improvements. NTIC expects to spend an aggregate of approximately $2,200,000 to $2,500,000 on capital expenditures during fiscal 2022, which it expects will relate primarily to anticipated renovation and equipment costs in connection with the new corporate headquarters of NTIC China.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has been no material change to NTIC’s contractual obligations as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Contractual Obligations</w:t>
      </w:r>
      <w:r>
        <w:rPr>
          <w:rFonts w:ascii="Times New Roman" w:cs="Times New Roman" w:eastAsia="Times New Roman" w:hAnsi="Times New Roman"/>
          <w:sz w:val="18"/>
          <w:szCs w:val="18"/>
          <w:color w:val="auto"/>
        </w:rPr>
        <w:t>,” included in NTIC’s annual report on Form 10-K for the fiscal year ended August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inflation in the United States and abroad historically has had little effect on NTIC, inflationary pressures adversely affected NTIC’s gross margins during the first nine months of fiscal 2022 and are expected to persist into at least the fourth quarter of fiscal 2022 and into fiscal 2023. NTIC believes there is some seasonality in its business. NTIC’s net sales in the second fiscal quarter were adversely affected by the long Chinese New Year, the North American holiday season and overall less corrosion taking place at lower winter temperatures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revolving line of credit with PNC Bank bear interest at an annual rate based on daily LIBOR plus 2.50%. As of May 31, 2022, NTIC had borrowings of $4,700,000 under the line of credit that existed as of that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w:t>
      </w:r>
      <w:r>
        <w:rPr>
          <w:rFonts w:ascii="Times New Roman" w:cs="Times New Roman" w:eastAsia="Times New Roman" w:hAnsi="Times New Roman"/>
          <w:sz w:val="18"/>
          <w:szCs w:val="18"/>
          <w:color w:val="auto"/>
        </w:rPr>
        <w:t>” included in NTIC’s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fiscal year ended August 31, 2021, other than the new critical accounting policy below in light of NTIC’s Zerust India 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applicable, NTIC accounts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intangible assets that are separately identifiable from goodwill, inventory, and property, plant, and equipment. While the ultimate responsibility for determining estimated fair values of the acquired net assets resides with management, for material acquisitions, NTIC may retain the services of certified valuation specialists to assist with assigning estimated fair values to certain acquired assets and assumed liabilities, including intangible assets that are separately identifiable from 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NTIC expects to generate subsequent to the acquisition; applying an appropriate discount rate to estimate the present value of those projected cash flows NTIC expects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intangible assets that are separately identifiable from goodwill, NTIC typically utilizes the income approach, which discounts the projected future cash flows using a discount rate that appropriately reflects the risks associated with the projected cash flows. Generally, NTIC estimates the fair value of acquired customer relationships using the relief from royalty method under the income approach, which is based on the hypothetical royalty stream that would be received if NTIC were to license the acquired trade name. For most other acquired intangible assets, NTIC estimates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NTIC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 for entity-specific factors including legal, regulatory, contractual, competitive, economic, and/or other factors such as customer attrition rates and product or order lifecycles that may limit the useful life of the respective acquired intangible asset. In determining the estimated fair value of acquired inventory, NTIC typically utilizes the cost approach for raw materials and the sales comparison approach for work in process, finished goods, and service parts. In determining the estimated fair value of acquired property, plant, and equipment, NTIC typically utilizes the sales comparison approach or the cost approach depending on the nature of the respective asset and the recency of the construction or procurement of such asset.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 w:name="page35"/>
    <w:bookmarkEnd w:id="34"/>
    <w:p>
      <w:pPr>
        <w:jc w:val="both"/>
        <w:spacing w:after="0" w:line="254" w:lineRule="auto"/>
        <w:rPr>
          <w:sz w:val="20"/>
          <w:szCs w:val="20"/>
          <w:color w:val="auto"/>
        </w:rPr>
      </w:pPr>
      <w:r>
        <w:rPr>
          <w:rFonts w:ascii="Times New Roman" w:cs="Times New Roman" w:eastAsia="Times New Roman" w:hAnsi="Times New Roman"/>
          <w:sz w:val="18"/>
          <w:szCs w:val="18"/>
          <w:color w:val="auto"/>
        </w:rPr>
        <w:t>NTIC may refine the estimated fair values of assets acquired and liabilities assumed, if necessary, over a period not to exceed one year from the date of acquisition by taking into consideration new information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 outside of the measurement period are recorded within cost of sales, selling expenses or general and administrative expenses within NTIC’s consolidated statements of operations depending on the nature of the adjustment.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recent acquisition of Zerust India on NTIC’s business, operating results and financial condition,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ind w:left="328" w:hanging="328"/>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NTIC’s business, operating results and financial condition, including disruption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issues on NTIC’s business, operating results and financial condition, which will likely continue through the remainder of fiscal 2022 and into fiscal 2023, regardless of the status of the COVID-19 pandemic;</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and any turmoil and disruption in the global credit and financial markets on NTIC’s business, including in particular as a result of the ongoing conflict between Russia and Ukraine;</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United Kingdom’s process to exit the European Union on NTIC’s operating results, including, in particular, future net sales of NTIC’s European and other joint ventures;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health of the U.S. automotive industry on NTIC’s business;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acquisition of the remaining 50% ownership interest in its Indian joint venture, Zerust India;</w:t>
      </w:r>
    </w:p>
    <w:p>
      <w:pPr>
        <w:spacing w:after="0" w:line="225" w:lineRule="exact"/>
        <w:rPr>
          <w:rFonts w:ascii="Times New Roman" w:cs="Times New Roman" w:eastAsia="Times New Roman" w:hAnsi="Times New Roman"/>
          <w:sz w:val="18"/>
          <w:szCs w:val="18"/>
          <w:color w:val="auto"/>
        </w:rPr>
      </w:pPr>
    </w:p>
    <w:p>
      <w:pPr>
        <w:ind w:left="328" w:right="20" w:hanging="328"/>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including supply chain disruptions and weather related impacts;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36" w:name="page37"/>
    <w:bookmarkEnd w:id="36"/>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the action of Russian military forces in Ukraine;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joint venture arrangements;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2021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revolving line of credit with PNC Bank bear interest at an annual rate based on daily LIBOR plus 2.50%. As of May 31, 2022, NTIC had borrowings of $4,700,000 under the line of credit that existed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May 31, 2022 that has materially affected or is reasonably likely to materially affect NTIC’s internal control over financial reporting, other than changes implemented to continue integrating Zerust India’s internal controls with NTIC’s internal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14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Item 1A. is inapplicable to NTIC as a smaller reporting company, NTIC hereby discloses the following additional risks to NTIC’s risk factors described in its annual report on Form 10-K for the fiscal year ended August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 between Russia and Ukraine may adversely affect our business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and our global operations, political, economic, and other conditions in foreign countries and regions, including geopolitical risks such as the current conflict between Russia and Ukraine, may adversely affect our business and results of operations. We have limited operations in Russia and Ukraine, which have been adversely affected by the ongoing conflict between Russia and Ukraine, though these losses are not expected to have a material impact on our operating results. We terminated our joint venture in Russia in May 2022, which we believe will not have an adverse effect on our results of operations or financial condition given the immateriality of the joint venture. The broader consequences of this conflict, which may include additional international sanctions, embargoes, regional instability, and geopolitical shifts; increased tensions between the United States and countries in which we operate; and the extent of the conflict’s effect on our business and results of operations as well as the global economy, cannot be predicted.</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the current conflict between Russia and Ukraine adversely affects our business, it may also have the effect of heightening many other risks disclosed in our annual report on Form 10-K for the fiscal year ended August 31, 2021, any of which could materially and adversely affect our business and results of operations. Such risks include, but are not limited to, adverse effects on macroeconomic conditions, including inflation, demand for our products and potential recessionary economic conditions; increased cyber security threats; adverse changes in trade policies, taxes, government regulations, and tariffs; our ability to maintain or increase our prices in response to rising shipping costs; our ability to implement and execute our business strategy, particularly with regard to our joint ventures; disruptions in global supply chains; our exposure to foreign currency fluctuations; and constraints, volatility, or disruption in the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of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into the oil and gas industry is somewhat seasonal and dependent upon oil prices.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past, NTIC has experienced some seasonality with respect to the sale of its ZERUST® rust and corrosion inhibiting products into the oil and gas industry, with sales during parts of the second and third fiscal quarters being adversely affected by winter in the United States. Although the price of crude oil is close to an all-time high, the sale of NTIC’s ZERUST® rust and corrosion inhibiting products into the oil and gas industry, particularly in the United States, has historically been hampered by low global crude oil prices. Low global crude oil prices have been and may continue to be caused by oversupply, price wars between Saudi Arabia and Russia, and the impact of the COVID-19 pandemic. NTIC believes low global crude oil prices constrain capital improvement budgets of its existing and prospective customers and may result in personnel turnover at its oil and gas customers or prospects. The ongoing conflict between Russia and Ukraine has escalated tensions between Russia and other countries, some of which have imposed sanctions and taken other economic actions that have contributed to, and are expected to continue to contribute to, rising global crude oil prices, which prices had already risen substantially due to ongoing inflationary pressures. Additional international sanctions against Russia may be imposed, which could further increase these costs. NTIC believes the ongoing conflict between Russia and Ukraine and the continued impact of high rates of inflation may create uncertainty among its existing and prospective customers, which may cause them to halt oil and gas projects or elect to decrease capital improvement budgets, either of which could harm NTIC’s ability to sell its products into the oil and gas industry.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May 31, 2022,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third quarter of fiscal 2022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Shares (or</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Units) that</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 (or</w:t>
            </w: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Plans or</w:t>
            </w:r>
          </w:p>
        </w:tc>
      </w:tr>
      <w:tr>
        <w:trPr>
          <w:trHeight w:val="238"/>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Programs</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2022 through March 31, 2022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April 1, 2022 through April 30, 2022</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1, 2022 through May 31, 2022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jc w:val="both"/>
        <w:ind w:left="500" w:hanging="492"/>
        <w:spacing w:after="0" w:line="266"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75"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31, 2022, up to $2,640,548 in shares of NTIC common stock remained available for repurchase under NTIC’s stock repurchase program.</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20, 2022, to maintain financial flexibility, the Company issued an Amended and Restated Revolving Line of Credit Note to PNC Bank, National Association, which increased the Company’s line of credit from $5,000,000 to $7,000,000 until August 16, 2022, at which time the line of credit will go back to $5,000,000 until its expiration date on January 7,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Revolving Line of Credit Note is qualified in its entirety by reference to the Amended and Restated Revolving Line of Credit Note, which is filed as Exhibit 10.2 to this Quarterly Report on Form 10-Q and incorporated by reference herein.</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tcBorders>
              <w:bottom w:val="single" w:sz="8" w:color="auto"/>
            </w:tcBorders>
            <w:gridSpan w:val="6"/>
          </w:tcPr>
          <w:p>
            <w:pPr>
              <w:ind w:left="2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Method of Filing</w:t>
            </w:r>
          </w:p>
        </w:tc>
      </w:tr>
      <w:tr>
        <w:trPr>
          <w:trHeight w:val="385"/>
        </w:trPr>
        <w:tc>
          <w:tcPr>
            <w:tcW w:w="580" w:type="dxa"/>
            <w:vAlign w:val="bottom"/>
          </w:tcPr>
          <w:p>
            <w:pPr>
              <w:spacing w:after="0"/>
              <w:rPr>
                <w:sz w:val="24"/>
                <w:szCs w:val="24"/>
                <w:color w:val="auto"/>
              </w:rPr>
            </w:pPr>
          </w:p>
        </w:tc>
        <w:tc>
          <w:tcPr>
            <w:tcW w:w="900" w:type="dxa"/>
            <w:vAlign w:val="bottom"/>
            <w:gridSpan w:val="2"/>
          </w:tcPr>
          <w:p>
            <w:pPr>
              <w:jc w:val="center"/>
              <w:ind w:right="580"/>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24"/>
                <w:szCs w:val="24"/>
                <w:color w:val="auto"/>
              </w:rPr>
            </w:pPr>
          </w:p>
        </w:tc>
        <w:tc>
          <w:tcPr>
            <w:tcW w:w="6740" w:type="dxa"/>
            <w:vAlign w:val="bottom"/>
            <w:gridSpan w:val="7"/>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Amended and Restated Revolving Line of Credit Note dated as of March 1, 2022 issued by</w:t>
              </w:r>
            </w:hyperlink>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Incorporated by reference to Exhibit</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gridSpan w:val="7"/>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Northern Technologies International Corporation to PNC Bank, National Association</w:t>
              </w:r>
            </w:hyperlink>
          </w:p>
        </w:tc>
        <w:tc>
          <w:tcPr>
            <w:tcW w:w="120" w:type="dxa"/>
            <w:vAlign w:val="bottom"/>
          </w:tcPr>
          <w:p>
            <w:pPr>
              <w:spacing w:after="0"/>
              <w:rPr>
                <w:sz w:val="17"/>
                <w:szCs w:val="17"/>
                <w:color w:val="auto"/>
              </w:rPr>
            </w:pPr>
          </w:p>
        </w:tc>
        <w:tc>
          <w:tcPr>
            <w:tcW w:w="2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 to NTIC’s Quarterly Report on</w:t>
            </w:r>
          </w:p>
        </w:tc>
      </w:tr>
      <w:tr>
        <w:trPr>
          <w:trHeight w:val="218"/>
        </w:trPr>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Form 10-Q for the fiscal quarter ended</w:t>
            </w:r>
          </w:p>
        </w:tc>
      </w:tr>
      <w:tr>
        <w:trPr>
          <w:trHeight w:val="216"/>
        </w:trPr>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28, 2022 (File No. 001-</w:t>
            </w:r>
          </w:p>
        </w:tc>
      </w:tr>
      <w:tr>
        <w:trPr>
          <w:trHeight w:val="234"/>
        </w:trPr>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11038).</w:t>
            </w:r>
          </w:p>
        </w:tc>
      </w:tr>
      <w:tr>
        <w:trPr>
          <w:trHeight w:val="391"/>
        </w:trPr>
        <w:tc>
          <w:tcPr>
            <w:tcW w:w="580" w:type="dxa"/>
            <w:vAlign w:val="bottom"/>
          </w:tcPr>
          <w:p>
            <w:pPr>
              <w:spacing w:after="0"/>
              <w:rPr>
                <w:sz w:val="24"/>
                <w:szCs w:val="24"/>
                <w:color w:val="auto"/>
              </w:rPr>
            </w:pPr>
          </w:p>
        </w:tc>
        <w:tc>
          <w:tcPr>
            <w:tcW w:w="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24"/>
                <w:szCs w:val="24"/>
                <w:color w:val="auto"/>
              </w:rPr>
            </w:pPr>
          </w:p>
        </w:tc>
        <w:tc>
          <w:tcPr>
            <w:tcW w:w="67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Amended and Restated Revolving Line of Credit Note dated as of May 20, 2022 issued by</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Northern Technologies International Corporation to PNC Bank, National Association</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67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President and Chief Executive Officer pursuant to SEC Rule 13a-14(a), as</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24"/>
                <w:szCs w:val="24"/>
                <w:color w:val="auto"/>
              </w:rPr>
            </w:pPr>
          </w:p>
        </w:tc>
        <w:tc>
          <w:tcPr>
            <w:tcW w:w="67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 Rule 13a-14(a), as adopted pursuant</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Filed herewith</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to Section 302 of the Sarbanes-Oxley Act of 2002</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0" w:type="dxa"/>
            <w:vAlign w:val="bottom"/>
            <w:gridSpan w:val="2"/>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67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President and Chief Executive Officer pursuant to 18 U.S.C. Section 1350, as</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20"/>
        </w:trPr>
        <w:tc>
          <w:tcPr>
            <w:tcW w:w="1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6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24"/>
                <w:szCs w:val="24"/>
                <w:color w:val="auto"/>
              </w:rPr>
            </w:pPr>
          </w:p>
        </w:tc>
        <w:tc>
          <w:tcPr>
            <w:tcW w:w="67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w:t>
            </w:r>
          </w:p>
        </w:tc>
        <w:tc>
          <w:tcPr>
            <w:tcW w:w="12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5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40" w:type="dxa"/>
            <w:vAlign w:val="bottom"/>
            <w:gridSpan w:val="2"/>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7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r>
      <w:tr>
        <w:trPr>
          <w:trHeight w:val="480"/>
        </w:trPr>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240" w:type="dxa"/>
            <w:vAlign w:val="bottom"/>
            <w:tcBorders>
              <w:top w:val="single" w:sz="8" w:color="0000EE"/>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1" w:name="page42"/>
    <w:bookmarkEnd w:id="41"/>
    <w:p>
      <w:pPr>
        <w:spacing w:after="0"/>
        <w:tabs>
          <w:tab w:leader="none" w:pos="420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19685</wp:posOffset>
            </wp:positionV>
            <wp:extent cx="52806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280660" cy="8890"/>
                    </a:xfrm>
                    <a:prstGeom prst="rect">
                      <a:avLst/>
                    </a:prstGeom>
                    <a:noFill/>
                  </pic:spPr>
                </pic:pic>
              </a:graphicData>
            </a:graphic>
          </wp:anchor>
        </w:drawing>
      </w:r>
    </w:p>
    <w:p>
      <w:pPr>
        <w:spacing w:after="0" w:line="223" w:lineRule="exact"/>
        <w:rPr>
          <w:sz w:val="20"/>
          <w:szCs w:val="20"/>
          <w:color w:val="auto"/>
        </w:rPr>
      </w:pPr>
    </w:p>
    <w:p>
      <w:pPr>
        <w:jc w:val="both"/>
        <w:ind w:left="1260" w:right="180" w:hanging="971"/>
        <w:spacing w:after="0" w:line="261"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NTIC’s Quarterly Report on Form 10-Q for the fiscal quarter ended May 31, 2022, formatted in Inline XBRL (Extensible Business Reporting Language):</w:t>
      </w:r>
    </w:p>
    <w:p>
      <w:pPr>
        <w:jc w:val="both"/>
        <w:ind w:left="1260"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unaudited Consolidated Balance Sheets, (ii) the unaudited Consolidated Statements of Operations, (iii) the unaudited Consolidated Statements of Comprehensive Income, (iv) the unaudited Consolidated Statements of Equity, (v) the unaudited Consolidated Statements of Cash Flows, and (vi) Notes to Consolidated Financial Statements</w:t>
      </w:r>
    </w:p>
    <w:p>
      <w:pPr>
        <w:spacing w:after="0" w:line="189" w:lineRule="exact"/>
        <w:rPr>
          <w:sz w:val="20"/>
          <w:szCs w:val="20"/>
          <w:color w:val="auto"/>
        </w:rPr>
      </w:pPr>
    </w:p>
    <w:p>
      <w:pPr>
        <w:ind w:left="28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27305</wp:posOffset>
            </wp:positionV>
            <wp:extent cx="17830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8180" w:space="720"/>
            <w:col w:w="1280"/>
          </w:cols>
          <w:pgMar w:left="640" w:top="576" w:right="107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NORTHERN TECHNOLOGIES INTERNATIONAL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25425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542540" cy="8255"/>
                    </a:xfrm>
                    <a:prstGeom prst="rect">
                      <a:avLst/>
                    </a:prstGeom>
                    <a:noFill/>
                  </pic:spPr>
                </pic:pic>
              </a:graphicData>
            </a:graphic>
          </wp:anchor>
        </w:drawing>
      </w:r>
    </w:p>
    <w:p>
      <w:pPr>
        <w:spacing w:after="0" w:line="7" w:lineRule="exact"/>
        <w:rPr>
          <w:sz w:val="20"/>
          <w:szCs w:val="20"/>
          <w:color w:val="auto"/>
        </w:rPr>
      </w:pPr>
    </w:p>
    <w:p>
      <w:pPr>
        <w:ind w:left="5620" w:right="3660" w:hanging="5615"/>
        <w:spacing w:after="0" w:line="265" w:lineRule="auto"/>
        <w:tabs>
          <w:tab w:leader="none" w:pos="5600" w:val="left"/>
        </w:tabs>
        <w:rPr>
          <w:sz w:val="20"/>
          <w:szCs w:val="20"/>
          <w:color w:val="auto"/>
        </w:rPr>
      </w:pPr>
      <w:r>
        <w:rPr>
          <w:rFonts w:ascii="Times New Roman" w:cs="Times New Roman" w:eastAsia="Times New Roman" w:hAnsi="Times New Roman"/>
          <w:sz w:val="18"/>
          <w:szCs w:val="18"/>
          <w:color w:val="auto"/>
        </w:rPr>
        <w:t>Date: July 8, 2022</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ind w:left="82"/>
        <w:spacing w:after="0"/>
        <w:rPr>
          <w:sz w:val="20"/>
          <w:szCs w:val="20"/>
          <w:color w:val="auto"/>
        </w:rPr>
      </w:pPr>
      <w:r>
        <w:rPr>
          <w:rFonts w:ascii="Times New Roman" w:cs="Times New Roman" w:eastAsia="Times New Roman" w:hAnsi="Times New Roman"/>
          <w:sz w:val="32"/>
          <w:szCs w:val="32"/>
          <w:b w:val="1"/>
          <w:bCs w:val="1"/>
          <w:color w:val="auto"/>
        </w:rPr>
        <w:t>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6166485</wp:posOffset>
            </wp:positionH>
            <wp:positionV relativeFrom="paragraph">
              <wp:posOffset>-48895</wp:posOffset>
            </wp:positionV>
            <wp:extent cx="908685"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908685" cy="300355"/>
                    </a:xfrm>
                    <a:prstGeom prst="rect">
                      <a:avLst/>
                    </a:prstGeom>
                    <a:noFill/>
                  </pic:spPr>
                </pic:pic>
              </a:graphicData>
            </a:graphic>
          </wp:anchor>
        </w:drawing>
      </w:r>
    </w:p>
    <w:p>
      <w:pPr>
        <w:spacing w:after="0" w:line="17" w:lineRule="exact"/>
        <w:rPr>
          <w:sz w:val="20"/>
          <w:szCs w:val="20"/>
          <w:color w:val="auto"/>
        </w:rPr>
      </w:pPr>
    </w:p>
    <w:p>
      <w:pPr>
        <w:ind w:left="82"/>
        <w:spacing w:after="0"/>
        <w:rPr>
          <w:sz w:val="20"/>
          <w:szCs w:val="20"/>
          <w:color w:val="auto"/>
        </w:rPr>
      </w:pPr>
      <w:r>
        <w:rPr>
          <w:rFonts w:ascii="Times New Roman" w:cs="Times New Roman" w:eastAsia="Times New Roman" w:hAnsi="Times New Roman"/>
          <w:sz w:val="32"/>
          <w:szCs w:val="32"/>
          <w:b w:val="1"/>
          <w:bCs w:val="1"/>
          <w:color w:val="auto"/>
        </w:rPr>
        <w:t>Revolving Line of Credit Note</w:t>
      </w:r>
    </w:p>
    <w:p>
      <w:pPr>
        <w:ind w:left="82"/>
        <w:spacing w:after="0"/>
        <w:rPr>
          <w:sz w:val="20"/>
          <w:szCs w:val="20"/>
          <w:color w:val="auto"/>
        </w:rPr>
      </w:pPr>
      <w:r>
        <w:rPr>
          <w:rFonts w:ascii="Times New Roman" w:cs="Times New Roman" w:eastAsia="Times New Roman" w:hAnsi="Times New Roman"/>
          <w:sz w:val="22"/>
          <w:szCs w:val="22"/>
          <w:b w:val="1"/>
          <w:bCs w:val="1"/>
          <w:color w:val="auto"/>
        </w:rPr>
        <w:t>(Daily BSBY)</w:t>
      </w:r>
    </w:p>
    <w:p>
      <w:pPr>
        <w:spacing w:after="0" w:line="191" w:lineRule="exact"/>
        <w:rPr>
          <w:sz w:val="20"/>
          <w:szCs w:val="20"/>
          <w:color w:val="auto"/>
        </w:rPr>
      </w:pPr>
    </w:p>
    <w:p>
      <w:pPr>
        <w:ind w:left="2"/>
        <w:spacing w:after="0"/>
        <w:tabs>
          <w:tab w:leader="none" w:pos="10122" w:val="left"/>
        </w:tabs>
        <w:rPr>
          <w:sz w:val="20"/>
          <w:szCs w:val="20"/>
          <w:color w:val="auto"/>
        </w:rPr>
      </w:pPr>
      <w:r>
        <w:rPr>
          <w:rFonts w:ascii="Times New Roman" w:cs="Times New Roman" w:eastAsia="Times New Roman" w:hAnsi="Times New Roman"/>
          <w:sz w:val="18"/>
          <w:szCs w:val="18"/>
          <w:color w:val="auto"/>
        </w:rPr>
        <w:t>$7,000,000.00</w:t>
      </w:r>
      <w:r>
        <w:rPr>
          <w:sz w:val="20"/>
          <w:szCs w:val="20"/>
          <w:color w:val="auto"/>
        </w:rPr>
        <w:tab/>
      </w:r>
      <w:r>
        <w:rPr>
          <w:rFonts w:ascii="Times New Roman" w:cs="Times New Roman" w:eastAsia="Times New Roman" w:hAnsi="Times New Roman"/>
          <w:sz w:val="17"/>
          <w:szCs w:val="17"/>
          <w:color w:val="auto"/>
        </w:rPr>
        <w:t>May 20, 2022</w:t>
      </w:r>
    </w:p>
    <w:p>
      <w:pPr>
        <w:spacing w:after="0" w:line="221" w:lineRule="exact"/>
        <w:rPr>
          <w:sz w:val="20"/>
          <w:szCs w:val="20"/>
          <w:color w:val="auto"/>
        </w:rPr>
      </w:pPr>
    </w:p>
    <w:p>
      <w:pPr>
        <w:jc w:val="both"/>
        <w:ind w:left="2"/>
        <w:spacing w:after="0" w:line="257"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NORTHERN TECHNOLOGIES INTERNATIONAL CORPORATION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with an address at 4201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WOODLAND ROAD, CIRCLE PINES, MINNESOTA 55014-1794, promises to pay to the order of </w:t>
      </w: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xml:space="preserve">”), in lawful money of the United States of America in immediately available funds at its offices located at 1900 E 9TH ST, CLEVELAND, OHIO 44114, or at such other location as the Bank may designate from time to time, the principal sum of </w:t>
      </w:r>
      <w:r>
        <w:rPr>
          <w:rFonts w:ascii="Times New Roman" w:cs="Times New Roman" w:eastAsia="Times New Roman" w:hAnsi="Times New Roman"/>
          <w:sz w:val="18"/>
          <w:szCs w:val="18"/>
          <w:b w:val="1"/>
          <w:bCs w:val="1"/>
          <w:color w:val="auto"/>
        </w:rPr>
        <w:t>$7,000,000.00</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or such lesser amount as may be advanced to or for the benefit of the Borrower hereunder, together with interest accruing on the outstanding principal balance from the date hereof, all as provided below.</w:t>
      </w:r>
    </w:p>
    <w:p>
      <w:pPr>
        <w:spacing w:after="0" w:line="182" w:lineRule="exact"/>
        <w:rPr>
          <w:sz w:val="20"/>
          <w:szCs w:val="20"/>
          <w:color w:val="auto"/>
        </w:rPr>
      </w:pPr>
    </w:p>
    <w:p>
      <w:pPr>
        <w:jc w:val="both"/>
        <w:ind w:left="2" w:hanging="2"/>
        <w:spacing w:after="0" w:line="256" w:lineRule="auto"/>
        <w:tabs>
          <w:tab w:leader="none" w:pos="34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Revolving Line of Credit Advances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evidences a revolving line of credit. The Borrower may borrow, repay and reborrow and the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advance and readvance under this Note from time to time (each an “advance” and together the “advances”) hereunder until the Expiration Date, subject to the terms and conditions of this Note and the Loan Documents (as defined herein) in an aggregate amount at any time outstanding not to exceed the Maximum Amount. The “</w:t>
      </w:r>
      <w:r>
        <w:rPr>
          <w:rFonts w:ascii="Times New Roman" w:cs="Times New Roman" w:eastAsia="Times New Roman" w:hAnsi="Times New Roman"/>
          <w:sz w:val="18"/>
          <w:szCs w:val="18"/>
          <w:b w:val="1"/>
          <w:bCs w:val="1"/>
          <w:color w:val="auto"/>
        </w:rPr>
        <w:t>Maximum Amount</w:t>
      </w:r>
      <w:r>
        <w:rPr>
          <w:rFonts w:ascii="Times New Roman" w:cs="Times New Roman" w:eastAsia="Times New Roman" w:hAnsi="Times New Roman"/>
          <w:sz w:val="18"/>
          <w:szCs w:val="18"/>
          <w:color w:val="auto"/>
        </w:rPr>
        <w:t>” means: (a) $7,000,000.00 during the period from May 20, 2022 to and including August 15, 2022, and</w:t>
      </w:r>
    </w:p>
    <w:p>
      <w:pPr>
        <w:spacing w:after="0" w:line="3" w:lineRule="exact"/>
        <w:rPr>
          <w:rFonts w:ascii="Times New Roman" w:cs="Times New Roman" w:eastAsia="Times New Roman" w:hAnsi="Times New Roman"/>
          <w:sz w:val="18"/>
          <w:szCs w:val="18"/>
          <w:b w:val="1"/>
          <w:bCs w:val="1"/>
          <w:color w:val="auto"/>
        </w:rPr>
      </w:pPr>
    </w:p>
    <w:p>
      <w:pPr>
        <w:jc w:val="both"/>
        <w:ind w:left="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$5,000,000.00 during the period from August 16, 2022, until the Expiration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shall mean January 07, 2023, or such later date as may be designated by the Bank by written notice from the Bank to the Borrower. The Borrower acknowledges and agrees that in no event will the Bank be under any obligation to extend or renew the Facility or this Note beyond the Expiration Date. In no event shall the aggregate unpaid principal amount of advances under this Note exceed the face amount of this Note.</w:t>
      </w:r>
    </w:p>
    <w:p>
      <w:pPr>
        <w:spacing w:after="0" w:line="184" w:lineRule="exact"/>
        <w:rPr>
          <w:rFonts w:ascii="Times New Roman" w:cs="Times New Roman" w:eastAsia="Times New Roman" w:hAnsi="Times New Roman"/>
          <w:sz w:val="18"/>
          <w:szCs w:val="18"/>
          <w:b w:val="1"/>
          <w:bCs w:val="1"/>
          <w:color w:val="auto"/>
        </w:rPr>
      </w:pPr>
    </w:p>
    <w:p>
      <w:pPr>
        <w:jc w:val="both"/>
        <w:ind w:left="2" w:hanging="2"/>
        <w:spacing w:after="0" w:line="262" w:lineRule="auto"/>
        <w:tabs>
          <w:tab w:leader="none" w:pos="33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Rate and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outstanding under this Note will bear interest at a rate per annum which is equal to the sum of (A) the Daily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BSBY Rate (as defined below)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250 basis points (2.50%). Accrued interest will be due and payable on the same day of each month, beginning with the payment due on June 10, 2022. The outstanding principal balance and any accrued but unpaid interest shall be due and payable on the Expiration Date.</w:t>
      </w:r>
    </w:p>
    <w:p>
      <w:pPr>
        <w:spacing w:after="0" w:line="176" w:lineRule="exact"/>
        <w:rPr>
          <w:rFonts w:ascii="Times New Roman" w:cs="Times New Roman" w:eastAsia="Times New Roman" w:hAnsi="Times New Roman"/>
          <w:sz w:val="18"/>
          <w:szCs w:val="18"/>
          <w:b w:val="1"/>
          <w:bCs w:val="1"/>
          <w:color w:val="auto"/>
        </w:rPr>
      </w:pPr>
    </w:p>
    <w:p>
      <w:pPr>
        <w:ind w:left="322" w:hanging="322"/>
        <w:spacing w:after="0"/>
        <w:tabs>
          <w:tab w:leader="none" w:pos="32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following terms are used in this Note, such terms shall have the meanings set forth below:</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b w:val="1"/>
          <w:bCs w:val="1"/>
          <w:color w:val="auto"/>
        </w:rPr>
        <w:t>“Alternate Rate</w:t>
      </w:r>
      <w:r>
        <w:rPr>
          <w:rFonts w:ascii="Times New Roman" w:cs="Times New Roman" w:eastAsia="Times New Roman" w:hAnsi="Times New Roman"/>
          <w:sz w:val="18"/>
          <w:szCs w:val="18"/>
          <w:color w:val="auto"/>
        </w:rPr>
        <w:t>” shall mean the Base Rate.</w:t>
      </w:r>
    </w:p>
    <w:p>
      <w:pPr>
        <w:spacing w:after="0" w:line="225" w:lineRule="exact"/>
        <w:rPr>
          <w:sz w:val="20"/>
          <w:szCs w:val="20"/>
          <w:color w:val="auto"/>
        </w:rPr>
      </w:pPr>
    </w:p>
    <w:p>
      <w:pPr>
        <w:jc w:val="both"/>
        <w:ind w:left="642"/>
        <w:spacing w:after="0" w:line="262" w:lineRule="auto"/>
        <w:rPr>
          <w:sz w:val="20"/>
          <w:szCs w:val="20"/>
          <w:color w:val="auto"/>
        </w:rPr>
      </w:pP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shall mean the higher of (A) the Prime Rate, and (B) the sum of the Overnight Bank Funding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 basis points (0.50%);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Base Rate as determined above would be less than zero, then such rate shall be deemed to be zero. If and when the Base Rate as determined above changes, the rate of interest with respect to any amounts hereunder to which the Base Rate applies will change automatically without notice to the Borrower, effective on the date of any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shall mean Bloomberg Index Services Limited (or a successor administrator of BSBY).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“BSBY</w:t>
      </w:r>
      <w:r>
        <w:rPr>
          <w:rFonts w:ascii="Times New Roman" w:cs="Times New Roman" w:eastAsia="Times New Roman" w:hAnsi="Times New Roman"/>
          <w:sz w:val="18"/>
          <w:szCs w:val="18"/>
          <w:color w:val="auto"/>
        </w:rPr>
        <w:t>” shall mean the Bloomberg Short-Term Bank Yield Index rate administered by Bloomberg and published by Bloomberg or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commercially available source providing such quotations as may be designated by the Bank from time to time.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“BSBY Reserve Percentage</w:t>
      </w:r>
      <w:r>
        <w:rPr>
          <w:rFonts w:ascii="Times New Roman" w:cs="Times New Roman" w:eastAsia="Times New Roman" w:hAnsi="Times New Roman"/>
          <w:sz w:val="18"/>
          <w:szCs w:val="18"/>
          <w:color w:val="auto"/>
        </w:rPr>
        <w:t>” shall mean, as of any day, the maximum effective percentage in effect on such day, if any, as prescribed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Governors of the Federal Reserve System (or any successor) for determining the reserve requirements (including, without limitation, supplemental, marginal and emergency reserve requirements) with respect to BSBY funding.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or Sunday or a legal holiday on which commercial banks are authorized or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 to be closed for business in Pittsburgh, Pennsylvania;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an amount that bears interest at a rate based on BSBY or any direct or indirect calculation or determination of BSBY, the term “Business Day” means any such day that is </w:t>
      </w:r>
      <w:r>
        <w:rPr>
          <w:rFonts w:ascii="Times New Roman" w:cs="Times New Roman" w:eastAsia="Times New Roman" w:hAnsi="Times New Roman"/>
          <w:sz w:val="18"/>
          <w:szCs w:val="18"/>
          <w:u w:val="single" w:color="auto"/>
          <w:color w:val="auto"/>
        </w:rPr>
        <w:t>also</w:t>
      </w:r>
      <w:r>
        <w:rPr>
          <w:rFonts w:ascii="Times New Roman" w:cs="Times New Roman" w:eastAsia="Times New Roman" w:hAnsi="Times New Roman"/>
          <w:sz w:val="18"/>
          <w:szCs w:val="18"/>
          <w:color w:val="auto"/>
        </w:rPr>
        <w:t xml:space="preserve"> a U.S. Government Securities Business Day.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“Daily BSBY Rate</w:t>
      </w:r>
      <w:r>
        <w:rPr>
          <w:rFonts w:ascii="Times New Roman" w:cs="Times New Roman" w:eastAsia="Times New Roman" w:hAnsi="Times New Roman"/>
          <w:sz w:val="18"/>
          <w:szCs w:val="18"/>
          <w:color w:val="auto"/>
        </w:rPr>
        <w:t>” shall mean, for any day, the rate per annum determined by the Bank by dividing (the resulting quotient rounded upwards,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Bank’s discretion, to the nearest 1/100th of 1%) (A) the Published Rate for such day, by (B) a number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BSBY Reserve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Daily BSBY Rate determined as provided above would be less than the Floor, then such rate shall be deemed to be the Floor. The rate of interest will be adjusted automatically as of each Business Day based on changes in the Daily BSBY Rate without notice to the Borrower.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shall mean the rate per annum equal to the lesser of (A) the sum of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interest rate otherwise in effect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Note and (B) the Maximum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a rate of interest per annum equal to 50 basis points (0.50%) or, if the preceding blanks are not completed, then zero.</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shall mean the maximum rate of interest allowed by applicable law. “</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shall mean the Federal Reserve Bank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“Overnight Bank Funding Rate</w:t>
      </w:r>
      <w:r>
        <w:rPr>
          <w:rFonts w:ascii="Times New Roman" w:cs="Times New Roman" w:eastAsia="Times New Roman" w:hAnsi="Times New Roman"/>
          <w:sz w:val="18"/>
          <w:szCs w:val="18"/>
          <w:color w:val="auto"/>
        </w:rPr>
        <w:t>” shall mean, for any day, the rate comprised of both overnight federal funds and overnight Eurocurrency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Bank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Bank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shall mean the rate publicly announced by the Bank from time to time as its prime rate. The Prime Rate is determined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by the Bank as a means of pricing some loans to its borrowers. The Prime Rate is not tied to any external rate of interest or index and does not necessarily reflect the lowest rate of interest actually charged by the Bank to any particular class or category of customers.</w:t>
      </w:r>
    </w:p>
    <w:p>
      <w:pPr>
        <w:spacing w:after="0" w:line="200" w:lineRule="exact"/>
        <w:rPr>
          <w:sz w:val="20"/>
          <w:szCs w:val="20"/>
          <w:color w:val="auto"/>
        </w:rPr>
      </w:pPr>
    </w:p>
    <w:p>
      <w:pPr>
        <w:spacing w:after="0" w:line="2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576" w:right="339" w:bottom="1440" w:gutter="0" w:footer="0" w:header="0"/>
        </w:sectPr>
      </w:pPr>
    </w:p>
    <w:bookmarkStart w:id="45" w:name="page46"/>
    <w:bookmarkEnd w:id="45"/>
    <w:p>
      <w:pPr>
        <w:ind w:left="642"/>
        <w:spacing w:after="0"/>
        <w:rPr>
          <w:sz w:val="20"/>
          <w:szCs w:val="20"/>
          <w:color w:val="auto"/>
        </w:rPr>
      </w:pPr>
      <w:r>
        <w:rPr>
          <w:rFonts w:ascii="Times New Roman" w:cs="Times New Roman" w:eastAsia="Times New Roman" w:hAnsi="Times New Roman"/>
          <w:sz w:val="18"/>
          <w:szCs w:val="18"/>
          <w:b w:val="1"/>
          <w:bCs w:val="1"/>
          <w:color w:val="auto"/>
        </w:rPr>
        <w:t>“Published Rate</w:t>
      </w:r>
      <w:r>
        <w:rPr>
          <w:rFonts w:ascii="Times New Roman" w:cs="Times New Roman" w:eastAsia="Times New Roman" w:hAnsi="Times New Roman"/>
          <w:sz w:val="18"/>
          <w:szCs w:val="18"/>
          <w:color w:val="auto"/>
        </w:rPr>
        <w:t>” shall mean the 1-month BSBY.</w:t>
      </w:r>
    </w:p>
    <w:p>
      <w:pPr>
        <w:spacing w:after="0" w:line="225" w:lineRule="exact"/>
        <w:rPr>
          <w:sz w:val="20"/>
          <w:szCs w:val="20"/>
          <w:color w:val="auto"/>
        </w:rPr>
      </w:pPr>
    </w:p>
    <w:p>
      <w:pPr>
        <w:jc w:val="both"/>
        <w:ind w:left="642"/>
        <w:spacing w:after="0" w:line="268" w:lineRule="auto"/>
        <w:rPr>
          <w:sz w:val="20"/>
          <w:szCs w:val="20"/>
          <w:color w:val="auto"/>
        </w:rPr>
      </w:pP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or Sunday or (B) a day on which the Securities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jc w:val="both"/>
        <w:ind w:left="2" w:hanging="2"/>
        <w:spacing w:after="0" w:line="255" w:lineRule="auto"/>
        <w:tabs>
          <w:tab w:leader="none" w:pos="33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Advance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permitted by the Bank, a request for advance may be made by telephone or electronic mail, or delivered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Bank’s security procedures through any automated platform or electronic service provided by the Bank, with such confirmation or verification (if any) as the Bank may require in its discretion from time to time. A request for advance by any Borrower shall be binding upon Borrower, jointly and severally. The Borrower authorizes the Bank to accept telephonic, email, automated and electronic requests for advances, and the Bank shall be entitled to rely upon the authority of any person providing such instructions. The Borrower hereby indemnifies and holds the Bank harmless from and against any and all damages, losses, liabilities, costs and expenses (including reasonable attorneys’ fees and expenses) which may arise or be created by the acceptance of such telephonic, email, automated and electronic requests or by the making of such advances. The Bank will enter on its books and records, which entry when made will be presumed correct, the date and amount of each advance, as well as the date and amount of each payment made by the Borrower.</w:t>
      </w:r>
    </w:p>
    <w:p>
      <w:pPr>
        <w:spacing w:after="0" w:line="184" w:lineRule="exact"/>
        <w:rPr>
          <w:rFonts w:ascii="Times New Roman" w:cs="Times New Roman" w:eastAsia="Times New Roman" w:hAnsi="Times New Roman"/>
          <w:sz w:val="18"/>
          <w:szCs w:val="18"/>
          <w:b w:val="1"/>
          <w:bCs w:val="1"/>
          <w:color w:val="auto"/>
        </w:rPr>
      </w:pPr>
    </w:p>
    <w:p>
      <w:pPr>
        <w:jc w:val="both"/>
        <w:ind w:left="2" w:hanging="2"/>
        <w:spacing w:after="0" w:line="256" w:lineRule="auto"/>
        <w:tabs>
          <w:tab w:leader="none" w:pos="317"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Calculation; Maximum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will be calculated based on the actual number of days that principal is outstanding over a year of 360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In no event will the rate of interest hereunder exceed the Maximum Rate. Regardless of any other provision of this Note or the other Loan Documents, if for any reason the effective interest rate should exceed the Maximum Rate, the effective interest rate shall be deemed reduced to, and shall be, the Maximum Rate, and (i) the amount which would be excessive interest shall be deemed applied to the reduction of the principal balance of this Note and not to the payment of interest, and (ii) if the loan evidenced by this Note has been or is thereby paid in full, the excess shall be returned to the party paying same, such application to the principal balance of this Note or the refunding of such excess to be a complete settlement and acquittance thereof.</w:t>
      </w:r>
    </w:p>
    <w:p>
      <w:pPr>
        <w:spacing w:after="0" w:line="182" w:lineRule="exact"/>
        <w:rPr>
          <w:rFonts w:ascii="Times New Roman" w:cs="Times New Roman" w:eastAsia="Times New Roman" w:hAnsi="Times New Roman"/>
          <w:sz w:val="18"/>
          <w:szCs w:val="18"/>
          <w:b w:val="1"/>
          <w:bCs w:val="1"/>
          <w:color w:val="auto"/>
        </w:rPr>
      </w:pPr>
    </w:p>
    <w:p>
      <w:pPr>
        <w:jc w:val="both"/>
        <w:ind w:left="2" w:hanging="2"/>
        <w:spacing w:after="0" w:line="256" w:lineRule="auto"/>
        <w:tabs>
          <w:tab w:leader="none" w:pos="33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Conforming Changes Relating to BSBY; Benchmark Replacement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BSBY, the Bank shall have the right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technical, administrative or operational changes from time to time that the Bank decides may be appropriate to reflect the adoption and implementation of BSBY and to permit the administration thereof by the Bank in a manner substantially consistent with market practice or such other manner as the Bank decides is reasonably necessary. Notwithstanding anything to the contrary herein or in any other Loan Document, any amendments implementing such technical, administrative or operational changes will become effective without any further action or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Bank shall provide notice to the Borrower of each such amendment implementing such technical, administrative or operational changes reasonably promptly after such amendment becomes effective.</w:t>
      </w:r>
    </w:p>
    <w:p>
      <w:pPr>
        <w:spacing w:after="0" w:line="187"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If the applicable interest rate under this Note is based on a Benchmark, as defined in the Benchmark Replacement Rider attached to this Note and incorporated herein by this reference, and the Bank determines (which determination shall be final and conclusive) that (A) such Benchmark cannot be determined pursuant to its definition other than as a result of a Benchmark Transition Event (as defined in the Benchmark Replacement Rider attached to this Note), or (B) any enactment, promulgation or adoption of or any change in any applicable law, rule or regulation, or any change in the interpretation or administration thereof by a governmental authority, central bank or comparable agency charged with the interpretation or administration thereof, or compliance by the Bank with any guideline, request or directive (whether or not having the force of law) of any such authority, central bank or comparable agency shall make it unlawful or impracticable for the Bank to make or maintain or fund loans based on that Benchmark, then the Bank shall give notice thereof to the Borrower. Thereafter, until the Bank notifies the Borrower that the circumstances giving rise to such determination no longer exist, the interest rate for all amounts outstanding under this Note that otherwise would bear interest based on that Benchmark shall be equal to the Alternate Rate.</w:t>
      </w:r>
    </w:p>
    <w:p>
      <w:pPr>
        <w:spacing w:after="0" w:line="194"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46" w:name="page47"/>
    <w:bookmarkEnd w:id="46"/>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Benchmark Replacement Rider provides a mechanism for determining an alternative rate of interest in the event that a Benchmark Transition Event (as defined in the Benchmark Replacement Rider) has occurred. The Bank does not warrant or accept any responsibility for and shall not have any liability with respect to, the administration, submission or any other matter related to any Benchmark. To the extent that any term or provision of the Benchmark Replacement Rider is or may be inconsistent with any term or provision in the remainder of this Note or any other Loan Document, the terms and provisions of the Benchmark Replacement Rider shall control.</w:t>
      </w:r>
    </w:p>
    <w:p>
      <w:pPr>
        <w:spacing w:after="0" w:line="179" w:lineRule="exact"/>
        <w:rPr>
          <w:sz w:val="20"/>
          <w:szCs w:val="20"/>
          <w:color w:val="auto"/>
        </w:rPr>
      </w:pPr>
    </w:p>
    <w:p>
      <w:pPr>
        <w:jc w:val="both"/>
        <w:ind w:left="2" w:hanging="2"/>
        <w:spacing w:after="0" w:line="255" w:lineRule="auto"/>
        <w:tabs>
          <w:tab w:leader="none" w:pos="33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Payment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payment under this Note is due on a day of a calendar month for which there is no numerically corresponding day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other months (each, a “</w:t>
      </w:r>
      <w:r>
        <w:rPr>
          <w:rFonts w:ascii="Times New Roman" w:cs="Times New Roman" w:eastAsia="Times New Roman" w:hAnsi="Times New Roman"/>
          <w:sz w:val="18"/>
          <w:szCs w:val="18"/>
          <w:b w:val="1"/>
          <w:bCs w:val="1"/>
          <w:color w:val="auto"/>
        </w:rPr>
        <w:t>Non-Conforming Month</w:t>
      </w:r>
      <w:r>
        <w:rPr>
          <w:rFonts w:ascii="Times New Roman" w:cs="Times New Roman" w:eastAsia="Times New Roman" w:hAnsi="Times New Roman"/>
          <w:sz w:val="18"/>
          <w:szCs w:val="18"/>
          <w:color w:val="auto"/>
        </w:rPr>
        <w:t>”), then the payment in a Non-Conforming Month shall be due on the last day of such Non-Conforming Month. If any payment under this Note shall become due on a day other than a Business Day, such payment shall be due on the next succeeding Business Day, except that if such day falls in the next succeeding calendar month and such payment includes interest based on BSBY, such payment shall be due on the next preceding day that is a Business Day. Interest shall be computed to, but excluding, the date payment is due. The Borrower hereby authorizes the Bank to charge the Borrower’s deposit account at the Bank for any payment when due under this Note or any other Loan Document. Payments received will be applied to charges, fees and expenses (including attorneys’ fees), accrued interest and principal in any order the Bank may choose, in its sole discretion.</w:t>
      </w:r>
    </w:p>
    <w:p>
      <w:pPr>
        <w:spacing w:after="0" w:line="184" w:lineRule="exact"/>
        <w:rPr>
          <w:rFonts w:ascii="Times New Roman" w:cs="Times New Roman" w:eastAsia="Times New Roman" w:hAnsi="Times New Roman"/>
          <w:sz w:val="18"/>
          <w:szCs w:val="18"/>
          <w:b w:val="1"/>
          <w:bCs w:val="1"/>
          <w:color w:val="auto"/>
        </w:rPr>
      </w:pPr>
    </w:p>
    <w:p>
      <w:pPr>
        <w:jc w:val="both"/>
        <w:ind w:left="2" w:hanging="2"/>
        <w:spacing w:after="0" w:line="254" w:lineRule="auto"/>
        <w:tabs>
          <w:tab w:leader="none" w:pos="425"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Late Payments; Default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Borrower fails to make any payment of principal, interest or other amount coming due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Note within 15 calendar days of the date due and payable, the Borrower also shall pay to the Bank a late charge equal to the lesser of 5% of the amount of such payment or $100.00 (the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 Such 15-day period shall not be construed in any way to extend the due date of any such payment. Upon maturity, whether by acceleration, demand or otherwise, and at the Bank’s option upon the occurrence of any Event of Default (as hereinafter defined) and during the continuance thereof, amounts outstanding under this Note shall bear interest at the Default Rate. The Default Rate shall continue to apply whether or not judgment shall be entered on this Note. Both the Late Charge and the Default Rate are imposed as liquidated damages for the purpose of defraying the Bank’s expenses incident to the handling of delinquent payments, but are in addition to, and not in lieu of, the Bank’s exercise of any rights and remedies hereunder, under the other Loan Documents or under applicable law, and any fees and expenses of any agents or attorneys which the Bank may employ. In addition, the Default Rate reflects the increased credit risk to the Bank of carrying a loan that is in default. The Borrower agrees that the Late Charge and Default Rate are reasonable forecasts of just compensation for anticipated and actual harm incurred by the Bank, and that the actual harm incurred by the Bank cannot be estimated with certainty and without difficulty.</w:t>
      </w:r>
    </w:p>
    <w:p>
      <w:pPr>
        <w:spacing w:after="0" w:line="182" w:lineRule="exact"/>
        <w:rPr>
          <w:rFonts w:ascii="Times New Roman" w:cs="Times New Roman" w:eastAsia="Times New Roman" w:hAnsi="Times New Roman"/>
          <w:sz w:val="18"/>
          <w:szCs w:val="18"/>
          <w:b w:val="1"/>
          <w:bCs w:val="1"/>
          <w:color w:val="auto"/>
        </w:rPr>
      </w:pPr>
    </w:p>
    <w:p>
      <w:pPr>
        <w:ind w:left="322" w:hanging="322"/>
        <w:spacing w:after="0"/>
        <w:tabs>
          <w:tab w:leader="none" w:pos="32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indebtedness evidenced by this Note may be prepaid in whole or in part at any time without penalty.</w:t>
      </w:r>
    </w:p>
    <w:p>
      <w:pPr>
        <w:spacing w:after="0" w:line="225" w:lineRule="exact"/>
        <w:rPr>
          <w:rFonts w:ascii="Times New Roman" w:cs="Times New Roman" w:eastAsia="Times New Roman" w:hAnsi="Times New Roman"/>
          <w:sz w:val="18"/>
          <w:szCs w:val="18"/>
          <w:b w:val="1"/>
          <w:bCs w:val="1"/>
          <w:color w:val="auto"/>
        </w:rPr>
      </w:pPr>
    </w:p>
    <w:p>
      <w:pPr>
        <w:jc w:val="both"/>
        <w:ind w:left="2" w:hanging="2"/>
        <w:spacing w:after="0" w:line="254" w:lineRule="auto"/>
        <w:tabs>
          <w:tab w:leader="none" w:pos="421"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Increased Costs; Yield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written demand, together with written evidence of the justification therefor, the Borrower agrees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Facility.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Note,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6"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47" w:name="page48"/>
    <w:bookmarkEnd w:id="47"/>
    <w:p>
      <w:pPr>
        <w:jc w:val="both"/>
        <w:ind w:left="2" w:hanging="2"/>
        <w:spacing w:after="0" w:line="254" w:lineRule="auto"/>
        <w:tabs>
          <w:tab w:leader="none" w:pos="397"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is issued in connection with a letter agreement or loan agreement between the Borrower and the Bank, dated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before the date hereof, and the other agreements and documents executed and/or delivered in connection therewith or referred to therein, the terms of which are incorporated herein by reference (as amended, modified or renewed from time to time, collectively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and is secured by the property (if any) described in the Loan Documents and by any and all mortgages, security agreements, assignments, loan agreements, pledge agreements and other documents or instruments evidencing a security interest or other lien in favor of the Bank and delivered by the Borrower or by any third party with reference to indebtedness of the Borrower, whether such documents were previously or are hereafter executed, and whether given expressly as security for payment of this Note or generally as security for any and all indebtedness of the Borrower to the Bank. Such documents may be executed contemporaneously with the execution of this Note, or they may be executed and delivered at another time. Collateral securing other obligations of the Borrower to the Bank may also secure this Note.</w:t>
      </w:r>
    </w:p>
    <w:p>
      <w:pPr>
        <w:spacing w:after="0" w:line="188" w:lineRule="exact"/>
        <w:rPr>
          <w:rFonts w:ascii="Times New Roman" w:cs="Times New Roman" w:eastAsia="Times New Roman" w:hAnsi="Times New Roman"/>
          <w:sz w:val="18"/>
          <w:szCs w:val="18"/>
          <w:b w:val="1"/>
          <w:bCs w:val="1"/>
          <w:color w:val="auto"/>
        </w:rPr>
      </w:pPr>
    </w:p>
    <w:p>
      <w:pPr>
        <w:jc w:val="both"/>
        <w:ind w:left="2" w:hanging="2"/>
        <w:spacing w:after="0" w:line="253" w:lineRule="auto"/>
        <w:tabs>
          <w:tab w:leader="none" w:pos="421"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occurrence of any of the following events will be deemed to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Note: (i) the nonpayment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principal, interest or other indebtedness under this Note when due; (ii) the occurrence of any event of default or any default and the lapse of any notice or cure period, or any Obligor’s failure to observe or perform any covenant or other agreement, under or contained in any Loan Document or any other document now or in the future evidencing or securing any debt, liability or obligation of any Obligor to the Bank; (iii) the filing by or against any Obligor of any proceeding in bankruptcy, receivership, insolvency, reorganization, liquidation, conservatorship or similar proceeding (and, in the case of any such proceeding instituted against any Obligor, such proceeding is not dismissed or stayed within 30 days of the commencement thereof, provided that the Bank shall not be obligated to advance additional funds hereunder during such period); (iv) any assignment by any Obligor for the benefit of creditors, or any levy, garnishment, attachment or similar proceeding is instituted against any property of any Obligor held by or deposited with the Bank;</w:t>
      </w:r>
    </w:p>
    <w:p>
      <w:pPr>
        <w:spacing w:after="0" w:line="4" w:lineRule="exact"/>
        <w:rPr>
          <w:rFonts w:ascii="Times New Roman" w:cs="Times New Roman" w:eastAsia="Times New Roman" w:hAnsi="Times New Roman"/>
          <w:sz w:val="18"/>
          <w:szCs w:val="18"/>
          <w:b w:val="1"/>
          <w:bCs w:val="1"/>
          <w:color w:val="auto"/>
        </w:rPr>
      </w:pPr>
    </w:p>
    <w:p>
      <w:pPr>
        <w:jc w:val="both"/>
        <w:ind w:left="2"/>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a default with respect to any other indebtedness of any Obligor for borrowed money, if the effect of such default is to cause or permit the acceleration of such debt; (vi) the commencement of any foreclosure or forfeiture proceeding, execution or attachment against any collateral securing the obligations of any Obligor to the Bank; (vii) the entry of a final judgment against any Obligor and the failure of such Obligor to discharge the judgment within 10 days of the entry thereof; (viii) any change in any Obligor’s business, assets, operations, financial condition or results of operations that has or could reasonably be expected to have any material adverse effect on any Obligor; (ix) any Obligor ceases doing business as a going concern; (x) any representation or warranty made by any Obligor to the Bank in any Loan Document or any other documents now or in the future evidencing or securing the obligations of any Obligor to the Bank, is false, erroneous or misleading in any material respect; (xi) if this Note or any guarantee executed by any Obligor is secured, the failure of any Obligor to provide the Bank with additional collateral if in the Bank’s opinion at any time or times, the market value of any of the collateral securing this Note or any guarantee has depreciated below that required pursuant to the Loan Documents or, if no specific value is so required, then in an amount deemed material by the Bank; (xii) the revocation or attempted revocation, in whole or in part, of any guarantee by any Obligor; or (xiii) the death, incarceration, indictment or legal incompetency of any individual Obligor or, if any Obligor is a partnership or limited liability company, the death, incarceration, indictment or legal incompetency of any individual general partner or member. As used herein, the term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any Borrower and any guarantor of, or any pledgor, mortgagor or other person or entity providing collateral support for, the Borrower’s obligations to the Bank existing on the date of this Note or arising in the future.</w:t>
      </w:r>
    </w:p>
    <w:p>
      <w:pPr>
        <w:spacing w:after="0" w:line="191"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Upon the occurrence of an Event of Default: (a) the Bank shall be under no further obligation to make advances hereunder; (b) if an Event of Default specified in clause (iii) or (iv) above shall occur, the outstanding principal balance and accrued interest hereunder together with any additional amounts payable hereunder shall be immediately due and payable without demand or notice of any kind; (c) if any other Event of Default shall occur, the outstanding principal balance and accrued interest hereunder together with any additional amounts payable hereunder, at the Bank’s option and without demand or notice of any kind, may be accelerated and become immediately due and payable; (d) at the Bank’s option, this Note will bear interest at the Default Rate from the date of the occurrence of the Event of Default; and (e) the Bank may exercise from time to time any of the rights and remedies available under the Loan Documents or under applicable law.</w:t>
      </w:r>
    </w:p>
    <w:p>
      <w:pPr>
        <w:spacing w:after="0" w:line="189"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48" w:name="page49"/>
    <w:bookmarkEnd w:id="48"/>
    <w:p>
      <w:pPr>
        <w:jc w:val="both"/>
        <w:ind w:left="2" w:hanging="2"/>
        <w:spacing w:after="0" w:line="254" w:lineRule="auto"/>
        <w:tabs>
          <w:tab w:leader="none" w:pos="40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 of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all liens upon and rights of setoff against the Borrower’s money, securities or other property given to the Bank by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shall have, with respect to the Borrower’s obligations to the Bank under this Note and to the extent permitted by law, a contractual possessory security interest in and a contractual right of setoff against, and the Borrower hereby grants the Bank a security interest in, and hereby assigns, conveys, delivers, pledges and transfers to the Bank, all of the Borrower’s right, title and interest in and to, all of the Borrower’s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Borrower. Every such right of setoff shall be deemed to have been exercised immediately upon the occurrence of an Event of Default hereunder without any action of the Bank, although the Bank may enter such setoff on its books and records at a later time.</w:t>
      </w:r>
    </w:p>
    <w:p>
      <w:pPr>
        <w:spacing w:after="0" w:line="188" w:lineRule="exact"/>
        <w:rPr>
          <w:rFonts w:ascii="Times New Roman" w:cs="Times New Roman" w:eastAsia="Times New Roman" w:hAnsi="Times New Roman"/>
          <w:sz w:val="18"/>
          <w:szCs w:val="18"/>
          <w:b w:val="1"/>
          <w:bCs w:val="1"/>
          <w:color w:val="auto"/>
        </w:rPr>
      </w:pPr>
    </w:p>
    <w:p>
      <w:pPr>
        <w:jc w:val="both"/>
        <w:ind w:left="2" w:hanging="2"/>
        <w:spacing w:after="0" w:line="268" w:lineRule="auto"/>
        <w:tabs>
          <w:tab w:leader="none" w:pos="47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Anti-Money Laundering/International Trade Law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warrants and covenants to the Bank,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date of each advance of proceeds under the Facility, the date of any renewal, extension or modification of the Facility, and at all times until the Facility has been terminated and all amounts thereunder have been indefeasibly paid in full, that: (a) no Covered Entity (i) is a Sanctioned Person;</w:t>
      </w:r>
    </w:p>
    <w:p>
      <w:pPr>
        <w:spacing w:after="0" w:line="175" w:lineRule="exact"/>
        <w:rPr>
          <w:sz w:val="20"/>
          <w:szCs w:val="20"/>
          <w:color w:val="auto"/>
        </w:rPr>
      </w:pPr>
    </w:p>
    <w:p>
      <w:pPr>
        <w:jc w:val="both"/>
        <w:ind w:left="2" w:hanging="2"/>
        <w:spacing w:after="0" w:line="254" w:lineRule="auto"/>
        <w:tabs>
          <w:tab w:leader="none" w:pos="27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any of its assets in a Sanctioned Jurisdiction or in the possession, custody or control of a Sanctioned Person; or (iii) does business in or with, or derives any of its operating income from investments in or transactions with, any Sanctioned Jurisdiction or Sanctioned Person; (b) the proceeds of the Facility will not be used to fund any operations in, finance any investments or activities in, or, make any payments to, a Sanctioned Jurisdiction or Sanctioned Person; (c) the funds used to repay the Facility are not derived from any unlawful activity; (d) each Covered Entity is in compliance with, and no Covered Entity engages in any dealings or transactions prohibited by, any laws of the United States, including but not limited to any Anti-Terrorism Laws; and (e) no Collateral is or will become Embargoed Property. The Borrower covenants and agrees that (a) it shall immediately notify the Bank in writing upon the occurrence of a Reportable Compliance Event; and (b) if, at any time, any Collateral becomes Embargoed Property, in addition to all other rights and remedies available to the Bank, upon request by the Bank, the Borrower shall provide substitute Collateral acceptable to the Bank that is not Embargoed Property.</w:t>
      </w:r>
    </w:p>
    <w:p>
      <w:pPr>
        <w:spacing w:after="0" w:line="184"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means any laws relating to terrorism, trade sanctions programs and embargoes, import/export licensing, money laundering, or bribery, all as amended, supplemented or replaced from time to time;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any collateral securing any debt, liabilities or other obligations of any Obligor to the Bank; “</w:t>
      </w:r>
      <w:r>
        <w:rPr>
          <w:rFonts w:ascii="Times New Roman" w:cs="Times New Roman" w:eastAsia="Times New Roman" w:hAnsi="Times New Roman"/>
          <w:sz w:val="18"/>
          <w:szCs w:val="18"/>
          <w:b w:val="1"/>
          <w:bCs w:val="1"/>
          <w:color w:val="auto"/>
        </w:rPr>
        <w:t>Compliance Authority</w:t>
      </w:r>
      <w:r>
        <w:rPr>
          <w:rFonts w:ascii="Times New Roman" w:cs="Times New Roman" w:eastAsia="Times New Roman" w:hAnsi="Times New Roman"/>
          <w:sz w:val="18"/>
          <w:szCs w:val="18"/>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U.S. Internal Revenue Service, (f) U.S. Justice Department, and (g) U.S. Securities and Exchange Commission;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the Borrower, its affiliates and subsidiaries, all guarantors, pledgors of collateral, all owners of the foregoing, and all brokers or other agents of the Borrower acting in any capacity in connection with the Facility; “</w:t>
      </w:r>
      <w:r>
        <w:rPr>
          <w:rFonts w:ascii="Times New Roman" w:cs="Times New Roman" w:eastAsia="Times New Roman" w:hAnsi="Times New Roman"/>
          <w:sz w:val="18"/>
          <w:szCs w:val="18"/>
          <w:b w:val="1"/>
          <w:bCs w:val="1"/>
          <w:color w:val="auto"/>
        </w:rPr>
        <w:t>Embargoed Property</w:t>
      </w:r>
      <w:r>
        <w:rPr>
          <w:rFonts w:ascii="Times New Roman" w:cs="Times New Roman" w:eastAsia="Times New Roman" w:hAnsi="Times New Roman"/>
          <w:sz w:val="18"/>
          <w:szCs w:val="18"/>
          <w:color w:val="auto"/>
        </w:rPr>
        <w:t>” means any property (a) in which a Sanctioned Person holds an interest; (b) beneficially owned, directly or indirectly, by a Sanctioned Person; (c) that is due to or from a Sanctioned Person; (d) that is located in a Sanctioned Jurisdiction; or (e) that would otherwise cause any actual or possible violation by the Bank of any applicable Anti-Terrorism Law if the Bank were to obtain an encumbrance on, lien on, pledge of or security interest in such property or provide services in consideration of such property; “</w:t>
      </w:r>
      <w:r>
        <w:rPr>
          <w:rFonts w:ascii="Times New Roman" w:cs="Times New Roman" w:eastAsia="Times New Roman" w:hAnsi="Times New Roman"/>
          <w:sz w:val="18"/>
          <w:szCs w:val="18"/>
          <w:b w:val="1"/>
          <w:bCs w:val="1"/>
          <w:color w:val="auto"/>
        </w:rPr>
        <w:t>Reportable Compliance Event</w:t>
      </w:r>
      <w:r>
        <w:rPr>
          <w:rFonts w:ascii="Times New Roman" w:cs="Times New Roman" w:eastAsia="Times New Roman" w:hAnsi="Times New Roman"/>
          <w:sz w:val="18"/>
          <w:szCs w:val="18"/>
          <w:color w:val="auto"/>
        </w:rPr>
        <w:t>” means (1)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 Terrorism Law; (2) any Covered Entity engages in a transaction that has caused or may cause the Bank to be in violation of any Anti-Terrorism Laws, including a Covered Entity’s use of any proceeds of the Facility to fund any operations in, finance any investments or activities in, or, make any payments to, directly or indirectly, a Sanctioned Jurisdiction or Sanctioned Person; or (3) any Collateral becomes Embargoed Property; “</w:t>
      </w:r>
      <w:r>
        <w:rPr>
          <w:rFonts w:ascii="Times New Roman" w:cs="Times New Roman" w:eastAsia="Times New Roman" w:hAnsi="Times New Roman"/>
          <w:sz w:val="18"/>
          <w:szCs w:val="18"/>
          <w:b w:val="1"/>
          <w:bCs w:val="1"/>
          <w:color w:val="auto"/>
        </w:rPr>
        <w:t>Sanctioned Jurisdiction</w:t>
      </w:r>
      <w:r>
        <w:rPr>
          <w:rFonts w:ascii="Times New Roman" w:cs="Times New Roman" w:eastAsia="Times New Roman" w:hAnsi="Times New Roman"/>
          <w:sz w:val="18"/>
          <w:szCs w:val="18"/>
          <w:color w:val="auto"/>
        </w:rPr>
        <w:t>” means a country subject to a sanctions program maintained by any Compliance Authority; and “</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spacing w:after="0" w:line="192"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49" w:name="page50"/>
    <w:bookmarkEnd w:id="49"/>
    <w:p>
      <w:pPr>
        <w:jc w:val="both"/>
        <w:ind w:left="2" w:hanging="2"/>
        <w:spacing w:after="0" w:line="253" w:lineRule="auto"/>
        <w:tabs>
          <w:tab w:leader="none" w:pos="40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agrees to indemnify each of the Bank, each legal entity, if any, who controls, is controlled by or is under common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Bank, and each of their respective directors, officers and employees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which any Indemnified Party may incur or which may be asserted against any Indemnified Party by any person, entity or governmental authority (including any person or entity claiming derivatively on behalf of the Borrower), in connection with or arising out of or relating to the matters referred to in this Note or in the other Loan Documents or the use of any advance hereunder, whether (a) arising from or incurred in connection with any breach of a representation, warranty or covenant by the Borrower, or (b) arising out of or resulting from any suit, action, claim, proceeding or governmental investigation, pending or threatened, whether based on statute, regulation or order, or tort, or contract or otherwise, before any court or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indemnity agreement shall not apply to any Claim that is determined by a court of competent jurisdiction in a final, non-appealable judgment to have been solely attributable to an Indemnified Party's gross negligence or willful misconduct. The indemnity agreement contained in this paragraph shall survive the termination of this Note, payment of any advance hereunder and the assignment of any rights hereunder. The Borrower may participate at its expense in the defense of any such action or claim.</w:t>
      </w:r>
    </w:p>
    <w:p>
      <w:pPr>
        <w:spacing w:after="0" w:line="187" w:lineRule="exact"/>
        <w:rPr>
          <w:rFonts w:ascii="Times New Roman" w:cs="Times New Roman" w:eastAsia="Times New Roman" w:hAnsi="Times New Roman"/>
          <w:sz w:val="18"/>
          <w:szCs w:val="18"/>
          <w:b w:val="1"/>
          <w:bCs w:val="1"/>
          <w:color w:val="auto"/>
        </w:rPr>
      </w:pPr>
    </w:p>
    <w:p>
      <w:pPr>
        <w:jc w:val="both"/>
        <w:ind w:left="2" w:hanging="2"/>
        <w:spacing w:after="0" w:line="251" w:lineRule="auto"/>
        <w:tabs>
          <w:tab w:leader="none" w:pos="421"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demands, requests, consents, approvals and other communications required or permitted hereunder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writing (except as may be agreed otherwise above with respect to borrowing requests or as otherwise provided in this Note).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or through an automated platform that the Bank provides to the Borrower. Notices may be sent to a party’s address as set forth above or to such other address as any party may give to the other for such purpose in accordance with this paragraph. Notices will be effective upon receipt. For purposes hereof, “receipt” shall mean: (i) for notices sent by U.S. mail, the third business day after the date such notice was sent; (ii) for notices delivered by hand or sent by overnight courier service, the date delivered; (iii) for notices sent by facsimile or electronic communication, the date when sent; and (iv) for notices sent by any other method, the date received.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Except as otherwise set forth in this Note, no modification, amendment or waiver of, or consent to any departure by the Borrower from, any provision of this Note will be effective unless made in a writing signed by the Bank, and then such waiver or consent shall be effective only in the specific instance and for the purpose for which given. Notwithstanding the foregoing, the Bank may modify this Note for the purposes of completing missing content or correcting erroneous content, without the need for a written amendment, provided that the Bank shall send a copy of any such modification to the Borrower (which notice may be given by electronic mail). The Borrower agrees to pay on demand, to the extent permitted by law, all costs and expenses incurred by the Bank in the enforcement of its rights in this Note and in any security therefor, including without limitation reasonable fees and expenses of the Bank’s counsel. If any provision of this Note is found to be invalid, illegal or unenforceable in any respect by a court, all the other provisions of this Note will remain in full force and effect. The Borrower and all other makers and indorsers of this Note hereby forever waive presentment, protest, notice of dishonor, notice of non-payment, notice of intent to accelerate and notice of acceleration, and any other notice of any kind. The Borrower also waives all defenses based on suretyship or impairment of collateral. If this Note is executed by more than one Borrower, the obligations of such persons or entities hereunder will be joint and several. This Note shall bind the Borrower and its heirs, executors, administrators, successors and assigns, and the benefits hereof shall inure to the benefit of the Bank and its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may not assign this Note in whole or in part without the Bank’s written consent and the Bank at any time may assign this Note in whole or in part.</w:t>
      </w:r>
    </w:p>
    <w:p>
      <w:pPr>
        <w:spacing w:after="0" w:line="208"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50" w:name="page51"/>
    <w:bookmarkEnd w:id="50"/>
    <w:p>
      <w:pPr>
        <w:jc w:val="both"/>
        <w:ind w:left="2" w:hanging="2"/>
        <w:spacing w:after="0" w:line="263" w:lineRule="auto"/>
        <w:tabs>
          <w:tab w:leader="none" w:pos="47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has been delivered to and accepted by the Bank and will be deemed to be made in the State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Bank’s office indicated above is located (the “</w:t>
      </w:r>
      <w:r>
        <w:rPr>
          <w:rFonts w:ascii="Times New Roman" w:cs="Times New Roman" w:eastAsia="Times New Roman" w:hAnsi="Times New Roman"/>
          <w:sz w:val="18"/>
          <w:szCs w:val="18"/>
          <w:b w:val="1"/>
          <w:bCs w:val="1"/>
          <w:color w:val="auto"/>
        </w:rPr>
        <w:t>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NOTE WILL BE INTERPRETED AND THE RIGHTS AND LIABILITIES OF THE</w:t>
      </w:r>
    </w:p>
    <w:p>
      <w:pPr>
        <w:jc w:val="both"/>
        <w:ind w:left="2"/>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BANK AND THE BORROWER DETERMINED IN ACCORDANCE WITH THE LAWS OF THE STATE, EXCLUDING ITS CONFLICT OF LAWS RULES, INCLUDING WITHOUT LIMITATION THE ELECTRONIC TRANSACTIONS ACT (OR EQUIVALENT) IN EFFECT IN THE STATE (OR, TO THE EXTENT CONTROLLING, THE LAWS OF THE UNITED STATES OF AMERICA, INCLUDING WITHOUT LIMITATION THE ELECTRONIC SIGNATURES IN GLOBAL AND NATIONAL COMMERCE ACT)</w:t>
      </w:r>
      <w:r>
        <w:rPr>
          <w:rFonts w:ascii="Times New Roman" w:cs="Times New Roman" w:eastAsia="Times New Roman" w:hAnsi="Times New Roman"/>
          <w:sz w:val="18"/>
          <w:szCs w:val="18"/>
          <w:color w:val="auto"/>
        </w:rPr>
        <w:t>. The Borrower hereby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consents to the exclusive jurisdiction of any state or federal court in the county or judicial district where the Bank’s office indicated above is located; provided that nothing contained in this Note will prevent the Bank from bringing any action, enforcing any award or judgment or exercising any rights against the Borrower individually, against any security or against any property of the Borrower within any other county, state or other foreign or domestic jurisdiction. The Borrower acknowledges and agrees that the venue provided above is the most convenient forum for both the Bank and the Borrower. The Borrower waives any objection to venue and any objection based on a more convenient forum in any action instituted under this Note.</w:t>
      </w:r>
    </w:p>
    <w:p>
      <w:pPr>
        <w:spacing w:after="0" w:line="189" w:lineRule="exact"/>
        <w:rPr>
          <w:rFonts w:ascii="Times New Roman" w:cs="Times New Roman" w:eastAsia="Times New Roman" w:hAnsi="Times New Roman"/>
          <w:sz w:val="18"/>
          <w:szCs w:val="18"/>
          <w:b w:val="1"/>
          <w:bCs w:val="1"/>
          <w:color w:val="auto"/>
        </w:rPr>
      </w:pPr>
    </w:p>
    <w:p>
      <w:pPr>
        <w:ind w:left="2" w:right="20" w:hanging="2"/>
        <w:spacing w:after="0" w:line="286" w:lineRule="auto"/>
        <w:tabs>
          <w:tab w:leader="none" w:pos="48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Commercial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that the indebtedness evidenced by this Note is being incurred by the Borrower solely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acquiring or carrying on a business, professional or commercial activity, and not for personal, family or household purposes.</w:t>
      </w:r>
    </w:p>
    <w:p>
      <w:pPr>
        <w:spacing w:after="0" w:line="154" w:lineRule="exact"/>
        <w:rPr>
          <w:rFonts w:ascii="Times New Roman" w:cs="Times New Roman" w:eastAsia="Times New Roman" w:hAnsi="Times New Roman"/>
          <w:sz w:val="18"/>
          <w:szCs w:val="18"/>
          <w:b w:val="1"/>
          <w:bCs w:val="1"/>
          <w:color w:val="auto"/>
        </w:rPr>
      </w:pPr>
    </w:p>
    <w:p>
      <w:pPr>
        <w:jc w:val="both"/>
        <w:ind w:left="2" w:hanging="2"/>
        <w:spacing w:after="0" w:line="259" w:lineRule="auto"/>
        <w:tabs>
          <w:tab w:leader="none" w:pos="502"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USA PATRIOT Act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help the government fight the funding of terrorism and money laundering activities, Federal law requires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institutions to obtain, verify and record information that identifies each Borrower that opens an account. What this means: when the Borrower opens an account, the Bank will ask for the business name, business address, taxpayer identifying number and other information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spacing w:after="0" w:line="179" w:lineRule="exact"/>
        <w:rPr>
          <w:rFonts w:ascii="Times New Roman" w:cs="Times New Roman" w:eastAsia="Times New Roman" w:hAnsi="Times New Roman"/>
          <w:sz w:val="18"/>
          <w:szCs w:val="18"/>
          <w:b w:val="1"/>
          <w:bCs w:val="1"/>
          <w:color w:val="auto"/>
        </w:rPr>
      </w:pPr>
    </w:p>
    <w:p>
      <w:pPr>
        <w:jc w:val="both"/>
        <w:ind w:left="2" w:hanging="2"/>
        <w:spacing w:after="0" w:line="257" w:lineRule="auto"/>
        <w:tabs>
          <w:tab w:leader="none" w:pos="461"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 by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hereby represents that it has been represented by competent counsel of its choice, or has knowingly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waived its right to use and retain counsel, in the negotiation and execution of this Note and the other Loan Documents; that it has read and fully understood the terms hereof; that the Borrower and any retained counsel have been afforded an opportunity to review, negotiate and modify the terms of this Note and the other Loan Documents; and that it intends to be bound hereby. In accordance with the foregoing, the general rule of construction to the effect that any ambiguities in a contract are to be resolved against the party drafting the contract shall not be employed in the construction and interpretation of this Note or any other Loan Document.</w:t>
      </w:r>
    </w:p>
    <w:p>
      <w:pPr>
        <w:spacing w:after="0" w:line="182" w:lineRule="exact"/>
        <w:rPr>
          <w:rFonts w:ascii="Times New Roman" w:cs="Times New Roman" w:eastAsia="Times New Roman" w:hAnsi="Times New Roman"/>
          <w:sz w:val="18"/>
          <w:szCs w:val="18"/>
          <w:b w:val="1"/>
          <w:bCs w:val="1"/>
          <w:color w:val="auto"/>
        </w:rPr>
      </w:pPr>
    </w:p>
    <w:p>
      <w:pPr>
        <w:jc w:val="both"/>
        <w:ind w:left="2" w:hanging="2"/>
        <w:spacing w:after="0" w:line="255" w:lineRule="auto"/>
        <w:tabs>
          <w:tab w:leader="none" w:pos="44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Authorization to Obtain Credit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below, each person, who is signing in his or her individual capacity, requests and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authorization to the Bank or its designee (and any assignee or potential assignee hereof) to obtain such individual’s personal credit profile from one or more national credit bureaus. This authorization extends to obtaining a credit profile in (i) considering an application for credit that is evidenced, guaranteed or secured by this document, (ii) assessing creditworthiness and (iii) considering extensions of credit, including on an ongoing basis, as necessary for the purposes of (a) update, renewal or extension of such credit or additional credit, (b) reviewing, administering or collecting the resulting account and (c) reporting on the repayment and satisfaction of such credit obligations. By signing below, such individual further ratifies and confirms his or her prior requests and authorizations with respect to the matters set forth herein. For the avoidance of doubt, this provision does not apply to persons signing below in their capacities as officers or other authorized representatives of entities, organizations or governmental bodies.</w:t>
      </w:r>
    </w:p>
    <w:p>
      <w:pPr>
        <w:spacing w:after="0" w:line="189"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51" w:name="page52"/>
    <w:bookmarkEnd w:id="51"/>
    <w:p>
      <w:pPr>
        <w:jc w:val="both"/>
        <w:ind w:left="100" w:hanging="2"/>
        <w:spacing w:after="0" w:line="256" w:lineRule="auto"/>
        <w:tabs>
          <w:tab w:leader="none" w:pos="532"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 Electronic Signatures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and any other Loan Document may be signed in any number of counterpart copies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the parties hereto on separate counterparts, but all such copies shall constitute one and the same instrument. Notwithstanding any other provision herein, the Borrower agrees that this Note, the Loan Documents, any amendments thereto, and any other information, notice, signature card, agreement or authorization related thereto (each, a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spacing w:after="0" w:line="182" w:lineRule="exact"/>
        <w:rPr>
          <w:rFonts w:ascii="Times New Roman" w:cs="Times New Roman" w:eastAsia="Times New Roman" w:hAnsi="Times New Roman"/>
          <w:sz w:val="18"/>
          <w:szCs w:val="18"/>
          <w:b w:val="1"/>
          <w:bCs w:val="1"/>
          <w:color w:val="auto"/>
        </w:rPr>
      </w:pPr>
    </w:p>
    <w:p>
      <w:pPr>
        <w:jc w:val="both"/>
        <w:ind w:left="100" w:hanging="2"/>
        <w:spacing w:after="0" w:line="262" w:lineRule="auto"/>
        <w:tabs>
          <w:tab w:leader="none" w:pos="545"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Automatic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due to any act or omission of the Borrower or another Obligor the Bank cannot automatically deduct payments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Note or the other Loan Documents from a deposit account with the Bank (including due to the Borrower’s revocation of its authorization to do so or failure to maintain such deposit account with the Bank or otherwise), the Bank may, at its option, upon 30 days’ notice to the Borrower, increase the interest rate payable by the Borrower under this Note by 25 basis points (0.25%).</w:t>
      </w:r>
    </w:p>
    <w:p>
      <w:pPr>
        <w:spacing w:after="0" w:line="176" w:lineRule="exact"/>
        <w:rPr>
          <w:rFonts w:ascii="Times New Roman" w:cs="Times New Roman" w:eastAsia="Times New Roman" w:hAnsi="Times New Roman"/>
          <w:sz w:val="18"/>
          <w:szCs w:val="18"/>
          <w:b w:val="1"/>
          <w:bCs w:val="1"/>
          <w:color w:val="auto"/>
        </w:rPr>
      </w:pPr>
    </w:p>
    <w:p>
      <w:pPr>
        <w:jc w:val="both"/>
        <w:ind w:left="100" w:hanging="2"/>
        <w:spacing w:after="0" w:line="259" w:lineRule="auto"/>
        <w:tabs>
          <w:tab w:leader="none" w:pos="518"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will establish and maintain with the Bank the Borrower’s primary depository accounts. If the Borrower fails to establish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maintain its primary depository accounts with the Bank, the Bank may, at its option, upon 30 days’ notice to the Borrower, increase the interest rate payable by the Borrower under this Note by up to 100 basis points (1.00%). The Bank’s right to increase the interest rate pursuant to this paragraph shall be in addition to any other rights or remedies the Bank may have under this Note, all of which are hereby reserved, and shall not constitute a waiver, release or limitation upon the Bank’s exercise of any such rights or remedies.</w:t>
      </w:r>
    </w:p>
    <w:p>
      <w:pPr>
        <w:spacing w:after="0" w:line="17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State-Specific Provisions.</w:t>
      </w:r>
    </w:p>
    <w:p>
      <w:pPr>
        <w:spacing w:after="0" w:line="238" w:lineRule="exact"/>
        <w:rPr>
          <w:rFonts w:ascii="Times New Roman" w:cs="Times New Roman" w:eastAsia="Times New Roman" w:hAnsi="Times New Roman"/>
          <w:sz w:val="18"/>
          <w:szCs w:val="18"/>
          <w:b w:val="1"/>
          <w:bCs w:val="1"/>
          <w:color w:val="auto"/>
        </w:rPr>
      </w:pPr>
    </w:p>
    <w:p>
      <w:pPr>
        <w:jc w:val="both"/>
        <w:ind w:left="100" w:firstLine="646"/>
        <w:spacing w:after="0" w:line="254" w:lineRule="auto"/>
        <w:tabs>
          <w:tab w:leader="none" w:pos="114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Power to Confess Judgment</w:t>
      </w:r>
      <w:r>
        <w:rPr>
          <w:rFonts w:ascii="Times New Roman" w:cs="Times New Roman" w:eastAsia="Times New Roman" w:hAnsi="Times New Roman"/>
          <w:sz w:val="18"/>
          <w:szCs w:val="18"/>
          <w:b w:val="1"/>
          <w:bCs w:val="1"/>
          <w:color w:val="auto"/>
        </w:rPr>
        <w:t>. The Borrower hereby irrevocably authorizes any attorney-at- law, including an attorney employed by or retained and paid by the Bank, to appear in any court of record in or of the State of Ohio, or in any other state or territory of the United States, at any time after the indebtedness evidenced by this Note becomes due, whether by acceleration or otherwise, to waive the issuing and service of process and to confess a judgment against the Borrower in favor of the Bank, and/or any assignee or holder hereof for the amount of principal and interest and expenses then appearing due from the Borrower under this Note, together with costs of suit and thereupon to release all errors and waive all right of appeal or stays of execution in any court of record. The Borrower hereby expressly (i) waives any conflict of interest of the attorney(s) retained by the Bank to confess judgment against the Borrower upon this Note, and (ii) consents to the receipt by such attorney(s) of a reasonable legal fee from the Bank for legal services rendered for confessing judgment against the Borrower upon this Note. A copy of this Note, certified by the Bank, may be filed in each such proceeding in place of filing the original as a warrant of attorney.</w:t>
      </w:r>
    </w:p>
    <w:p>
      <w:pPr>
        <w:spacing w:after="0" w:line="188" w:lineRule="exact"/>
        <w:rPr>
          <w:rFonts w:ascii="Times New Roman" w:cs="Times New Roman" w:eastAsia="Times New Roman" w:hAnsi="Times New Roman"/>
          <w:sz w:val="18"/>
          <w:szCs w:val="18"/>
          <w:color w:val="auto"/>
        </w:rPr>
      </w:pPr>
    </w:p>
    <w:p>
      <w:pPr>
        <w:jc w:val="both"/>
        <w:ind w:left="100" w:hanging="2"/>
        <w:spacing w:after="0" w:line="257" w:lineRule="auto"/>
        <w:tabs>
          <w:tab w:leader="none" w:pos="55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Restatement.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amends and restates, and is in substitution for, that certain Amended and Restated Revolving 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Note in the original principal amount of $5,000,000.00 payable to the order of the Bank and dated March 24, 2022 (the “</w:t>
      </w:r>
      <w:r>
        <w:rPr>
          <w:rFonts w:ascii="Times New Roman" w:cs="Times New Roman" w:eastAsia="Times New Roman" w:hAnsi="Times New Roman"/>
          <w:sz w:val="18"/>
          <w:szCs w:val="18"/>
          <w:b w:val="1"/>
          <w:bCs w:val="1"/>
          <w:color w:val="auto"/>
        </w:rPr>
        <w:t>Existing Note</w:t>
      </w:r>
      <w:r>
        <w:rPr>
          <w:rFonts w:ascii="Times New Roman" w:cs="Times New Roman" w:eastAsia="Times New Roman" w:hAnsi="Times New Roman"/>
          <w:sz w:val="18"/>
          <w:szCs w:val="18"/>
          <w:color w:val="auto"/>
        </w:rPr>
        <w:t>”). However, without duplication, this Note shall in no way extinguish, cancel or satisfy Borrower’s unconditional obligation to repay all indebtedness evidenced by the Existing Note or constitute a novation of the Existing Note. Nothing herein is intended to extinguish, cancel or impair the lien priority or effect of any security agreement, pledge agreement or mortgage with respect to any Obligor’s obligations hereunder and under any other document relating hereto.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auto"/>
        </w:rPr>
        <w:t>REMAINDER OF PAGE INTENTIONALLY LEFT BLANK</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jc w:val="both"/>
        <w:ind w:left="2" w:hanging="2"/>
        <w:spacing w:after="0" w:line="268" w:lineRule="auto"/>
        <w:tabs>
          <w:tab w:leader="none" w:pos="43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The Borrower irrevocably waives any and all rights the Borrower may have to a trial by jury in any action, proceeding or claim of any nature relating to this Note, any documents executed in connection with this Note or any transaction contemplated in any of such documents. The Borrower acknowledges that the foregoing waiver is knowing and voluntary.</w:t>
      </w:r>
    </w:p>
    <w:p>
      <w:pPr>
        <w:spacing w:after="0" w:line="171" w:lineRule="exact"/>
        <w:rPr>
          <w:sz w:val="20"/>
          <w:szCs w:val="20"/>
          <w:color w:val="auto"/>
        </w:rPr>
      </w:pPr>
    </w:p>
    <w:p>
      <w:pPr>
        <w:jc w:val="both"/>
        <w:ind w:left="2"/>
        <w:spacing w:after="0" w:line="286" w:lineRule="auto"/>
        <w:rPr>
          <w:sz w:val="20"/>
          <w:szCs w:val="20"/>
          <w:color w:val="auto"/>
        </w:rPr>
      </w:pPr>
      <w:r>
        <w:rPr>
          <w:rFonts w:ascii="Times New Roman" w:cs="Times New Roman" w:eastAsia="Times New Roman" w:hAnsi="Times New Roman"/>
          <w:sz w:val="18"/>
          <w:szCs w:val="18"/>
          <w:b w:val="1"/>
          <w:bCs w:val="1"/>
          <w:color w:val="auto"/>
        </w:rPr>
        <w:t>The Borrower acknowledges that it has read and understands all the provisions of this Note, including the confession of judgment and waiver of jury trial, and has been advised by counsel as necessary or appropriate.</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due execution hereof as a document under seal, as of the date first written above, with the intent to be legally bound hereby.</w:t>
      </w:r>
    </w:p>
    <w:p>
      <w:pPr>
        <w:spacing w:after="0" w:line="225" w:lineRule="exact"/>
        <w:rPr>
          <w:sz w:val="20"/>
          <w:szCs w:val="20"/>
          <w:color w:val="auto"/>
        </w:rPr>
      </w:pPr>
    </w:p>
    <w:p>
      <w:pPr>
        <w:jc w:val="both"/>
        <w:ind w:left="2"/>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WARNING-BY SIGNING THIS PAPER YOU GIVE UP YOUR RIGHT TO NOTICE AND COURT TRIAL. IF YOU DO NOT PAY ON TIME A COURT JUDGMENT MAY BE TAKEN AGAINST YOU WITHOUT YOUR PRIOR KNOWLEDGE AND THE POWERS OF A COURT CAN BE USED TO COLLECT FROM YOU REGARDLESS OF ANY CLAIMS YOU MAY HAVE AGAINST THE CREDITOR WHETHER FOR RETURNED GOODS, FAULTY GOODS, FAILURE ON HIS PART TO COMPLY WITH THE AGREEMENT, OR ANY OTHER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5522"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NORTHERN TECHNOLOGIES</w:t>
            </w:r>
          </w:p>
        </w:tc>
      </w:tr>
      <w:tr>
        <w:trPr>
          <w:trHeight w:val="238"/>
        </w:trPr>
        <w:tc>
          <w:tcPr>
            <w:tcW w:w="400" w:type="dxa"/>
            <w:vAlign w:val="bottom"/>
          </w:tcPr>
          <w:p>
            <w:pPr>
              <w:spacing w:after="0"/>
              <w:rPr>
                <w:sz w:val="20"/>
                <w:szCs w:val="20"/>
                <w:color w:val="auto"/>
              </w:rPr>
            </w:pPr>
          </w:p>
        </w:tc>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 CORPORATION</w:t>
            </w:r>
          </w:p>
        </w:tc>
      </w:tr>
      <w:tr>
        <w:trPr>
          <w:trHeight w:val="414"/>
        </w:trPr>
        <w:tc>
          <w:tcPr>
            <w:tcW w:w="400" w:type="dxa"/>
            <w:vAlign w:val="bottom"/>
          </w:tcPr>
          <w:p>
            <w:pPr>
              <w:spacing w:after="0"/>
              <w:rPr>
                <w:sz w:val="24"/>
                <w:szCs w:val="24"/>
                <w:color w:val="auto"/>
              </w:rPr>
            </w:pPr>
          </w:p>
        </w:tc>
        <w:tc>
          <w:tcPr>
            <w:tcW w:w="5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E-SIGNED by Matthew Wolsfeld</w:t>
            </w:r>
          </w:p>
        </w:tc>
      </w:tr>
      <w:tr>
        <w:trPr>
          <w:trHeight w:val="234"/>
        </w:trPr>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2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on 05/20/2022 21:46:52:52 EDT</w:t>
            </w:r>
          </w:p>
        </w:tc>
      </w:tr>
      <w:tr>
        <w:trPr>
          <w:trHeight w:val="191"/>
        </w:trPr>
        <w:tc>
          <w:tcPr>
            <w:tcW w:w="400" w:type="dxa"/>
            <w:vAlign w:val="bottom"/>
          </w:tcPr>
          <w:p>
            <w:pPr>
              <w:spacing w:after="0"/>
              <w:rPr>
                <w:sz w:val="16"/>
                <w:szCs w:val="16"/>
                <w:color w:val="auto"/>
              </w:rPr>
            </w:pPr>
          </w:p>
        </w:tc>
        <w:tc>
          <w:tcPr>
            <w:tcW w:w="5220" w:type="dxa"/>
            <w:vAlign w:val="bottom"/>
            <w:tcBorders>
              <w:top w:val="single" w:sz="8" w:color="auto"/>
            </w:tcBorders>
          </w:tcPr>
          <w:p>
            <w:pPr>
              <w:ind w:left="4660"/>
              <w:spacing w:after="0" w:line="191" w:lineRule="exact"/>
              <w:rPr>
                <w:sz w:val="20"/>
                <w:szCs w:val="20"/>
                <w:color w:val="auto"/>
              </w:rPr>
            </w:pPr>
            <w:r>
              <w:rPr>
                <w:rFonts w:ascii="Times New Roman" w:cs="Times New Roman" w:eastAsia="Times New Roman" w:hAnsi="Times New Roman"/>
                <w:sz w:val="18"/>
                <w:szCs w:val="18"/>
                <w:color w:val="auto"/>
                <w:w w:val="94"/>
              </w:rPr>
              <w:t>(SEAL)</w:t>
            </w:r>
          </w:p>
        </w:tc>
        <w:tc>
          <w:tcPr>
            <w:tcW w:w="20" w:type="dxa"/>
            <w:vAlign w:val="bottom"/>
          </w:tcPr>
          <w:p>
            <w:pPr>
              <w:spacing w:after="0"/>
              <w:rPr>
                <w:sz w:val="16"/>
                <w:szCs w:val="16"/>
                <w:color w:val="auto"/>
              </w:rPr>
            </w:pPr>
          </w:p>
        </w:tc>
      </w:tr>
      <w:tr>
        <w:trPr>
          <w:trHeight w:val="234"/>
        </w:trPr>
        <w:tc>
          <w:tcPr>
            <w:tcW w:w="400" w:type="dxa"/>
            <w:vAlign w:val="bottom"/>
          </w:tcPr>
          <w:p>
            <w:pPr>
              <w:spacing w:after="0"/>
              <w:rPr>
                <w:sz w:val="20"/>
                <w:szCs w:val="20"/>
                <w:color w:val="auto"/>
              </w:rPr>
            </w:pPr>
          </w:p>
        </w:tc>
        <w:tc>
          <w:tcPr>
            <w:tcW w:w="5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Matthew Wolsfeld,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53" w:name="page54"/>
    <w:bookmarkEnd w:id="53"/>
    <w:p>
      <w:pPr>
        <w:ind w:left="5016"/>
        <w:spacing w:after="0"/>
        <w:rPr>
          <w:sz w:val="20"/>
          <w:szCs w:val="20"/>
          <w:color w:val="auto"/>
        </w:rPr>
      </w:pPr>
      <w:r>
        <w:rPr>
          <w:rFonts w:ascii="Times New Roman" w:cs="Times New Roman" w:eastAsia="Times New Roman" w:hAnsi="Times New Roman"/>
          <w:sz w:val="18"/>
          <w:szCs w:val="18"/>
          <w:b w:val="1"/>
          <w:bCs w:val="1"/>
          <w:u w:val="single" w:color="auto"/>
          <w:color w:val="auto"/>
        </w:rPr>
        <w:t>Benchmark Replacement Rider</w:t>
      </w:r>
    </w:p>
    <w:p>
      <w:pPr>
        <w:spacing w:after="0" w:line="225" w:lineRule="exact"/>
        <w:rPr>
          <w:sz w:val="20"/>
          <w:szCs w:val="20"/>
          <w:color w:val="auto"/>
        </w:rPr>
      </w:pPr>
    </w:p>
    <w:p>
      <w:pPr>
        <w:jc w:val="both"/>
        <w:ind w:left="56" w:firstLine="646"/>
        <w:spacing w:after="0" w:line="254" w:lineRule="auto"/>
        <w:tabs>
          <w:tab w:leader="none" w:pos="113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herein or in any other Loan Document, if a Benchmark Transition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and its related Benchmark Replacement Date have occurred in respect of any setting of the then-current Benchmark, then, (x) if the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or further action or consent of any other party, hereto or to any other Loan Document; and (y) if a Benchmark Replacement is determined in accordance with clause (3) of the definition of “Benchmark Replacement” or clause (2) of the definition of “Benchmark Replacement Adjustment” for such Benchmark Replacement Date, such Benchmark Replacement will replace such Benchmark for all purposes hereunder and under any Loan Document in respect of any Benchmark setting at or after 5:00 p.m. (Eastern time) on the fifth (5th) Business Day after the date notice of such Benchmark Replacement is provided to the Borrower without any amendment, or further action or consent of any other party, hereto or to any other Loan Document.</w:t>
      </w:r>
    </w:p>
    <w:p>
      <w:pPr>
        <w:spacing w:after="0" w:line="185" w:lineRule="exact"/>
        <w:rPr>
          <w:rFonts w:ascii="Times New Roman" w:cs="Times New Roman" w:eastAsia="Times New Roman" w:hAnsi="Times New Roman"/>
          <w:sz w:val="18"/>
          <w:szCs w:val="18"/>
          <w:color w:val="auto"/>
        </w:rPr>
      </w:pPr>
    </w:p>
    <w:p>
      <w:pPr>
        <w:jc w:val="both"/>
        <w:ind w:left="56" w:firstLine="646"/>
        <w:spacing w:after="0" w:line="262" w:lineRule="auto"/>
        <w:tabs>
          <w:tab w:leader="none" w:pos="110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Replacement Conforming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use, administration, adoption or implementation of a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the Bank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w:t>
      </w:r>
    </w:p>
    <w:p>
      <w:pPr>
        <w:spacing w:after="0" w:line="176" w:lineRule="exact"/>
        <w:rPr>
          <w:rFonts w:ascii="Times New Roman" w:cs="Times New Roman" w:eastAsia="Times New Roman" w:hAnsi="Times New Roman"/>
          <w:sz w:val="18"/>
          <w:szCs w:val="18"/>
          <w:color w:val="auto"/>
        </w:rPr>
      </w:pPr>
    </w:p>
    <w:p>
      <w:pPr>
        <w:jc w:val="both"/>
        <w:ind w:left="56" w:firstLine="646"/>
        <w:spacing w:after="0" w:line="257" w:lineRule="auto"/>
        <w:tabs>
          <w:tab w:leader="none" w:pos="11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 Standards for Decisions and Determinations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will promptly notify the Borrower of (i) the implementation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Benchmark Replacement, (ii) the effectiveness of any Benchmark Replacement Conforming Changes in connection with the use, administration, adoption or implementation of a Benchmark Replacement and (iii) the commencement of any Benchmark Unavailability Period. Any determination, decision or election that may be made by the Bank pursuant to this Rider, including any determination with respect to a tenor, rate or adjustment or of the occurrence or non-occurrence of an event, circumstance or date and any decision to take or refrain from taking any action or selection, will be conclusive and binding absent manifest error and may be made in its sole discretion and without consent from the Borrower.</w:t>
      </w:r>
    </w:p>
    <w:p>
      <w:pPr>
        <w:spacing w:after="0" w:line="182" w:lineRule="exact"/>
        <w:rPr>
          <w:rFonts w:ascii="Times New Roman" w:cs="Times New Roman" w:eastAsia="Times New Roman" w:hAnsi="Times New Roman"/>
          <w:sz w:val="18"/>
          <w:szCs w:val="18"/>
          <w:color w:val="auto"/>
        </w:rPr>
      </w:pPr>
    </w:p>
    <w:p>
      <w:pPr>
        <w:ind w:left="56" w:right="20" w:firstLine="646"/>
        <w:spacing w:after="0" w:line="286" w:lineRule="auto"/>
        <w:tabs>
          <w:tab w:leader="none" w:pos="113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Unavailability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Borrower’s receipt of notice of the commencement of a Benchmark Unavailability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outstanding hereunder automatically will bear interest at the Fallback Rate.</w:t>
      </w:r>
    </w:p>
    <w:p>
      <w:pPr>
        <w:spacing w:after="0" w:line="154" w:lineRule="exact"/>
        <w:rPr>
          <w:rFonts w:ascii="Times New Roman" w:cs="Times New Roman" w:eastAsia="Times New Roman" w:hAnsi="Times New Roman"/>
          <w:sz w:val="18"/>
          <w:szCs w:val="18"/>
          <w:color w:val="auto"/>
        </w:rPr>
      </w:pPr>
    </w:p>
    <w:p>
      <w:pPr>
        <w:ind w:left="1076" w:hanging="374"/>
        <w:spacing w:after="0"/>
        <w:tabs>
          <w:tab w:leader="none" w:pos="10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Defined Terms</w:t>
      </w:r>
      <w:r>
        <w:rPr>
          <w:rFonts w:ascii="Times New Roman" w:cs="Times New Roman" w:eastAsia="Times New Roman" w:hAnsi="Times New Roman"/>
          <w:sz w:val="18"/>
          <w:szCs w:val="18"/>
          <w:b w:val="1"/>
          <w:bCs w:val="1"/>
          <w:color w:val="auto"/>
        </w:rPr>
        <w:t>. As used in this Rider:</w:t>
      </w:r>
    </w:p>
    <w:p>
      <w:pPr>
        <w:spacing w:after="0" w:line="239" w:lineRule="exact"/>
        <w:rPr>
          <w:sz w:val="20"/>
          <w:szCs w:val="20"/>
          <w:color w:val="auto"/>
        </w:rPr>
      </w:pPr>
    </w:p>
    <w:p>
      <w:pPr>
        <w:ind w:left="696"/>
        <w:spacing w:after="0"/>
        <w:rPr>
          <w:sz w:val="20"/>
          <w:szCs w:val="20"/>
          <w:color w:val="auto"/>
        </w:rPr>
      </w:pP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one month.</w:t>
      </w:r>
    </w:p>
    <w:p>
      <w:pPr>
        <w:spacing w:after="0" w:line="225" w:lineRule="exact"/>
        <w:rPr>
          <w:sz w:val="20"/>
          <w:szCs w:val="20"/>
          <w:color w:val="auto"/>
        </w:rPr>
      </w:pPr>
    </w:p>
    <w:p>
      <w:pPr>
        <w:jc w:val="both"/>
        <w:ind w:left="56"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BSBY; provided that if a Benchmark Transition Event has occurred with respect to BSBY or the then-current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Benchmark, then “Benchmark” means the applicable Benchmark Replacement to the extent that such Benchmark Replacement has replaced such prior benchmark rate pursuant to paragraph (a) of this Rider.</w:t>
      </w:r>
    </w:p>
    <w:p>
      <w:pPr>
        <w:spacing w:after="0" w:line="171" w:lineRule="exact"/>
        <w:rPr>
          <w:sz w:val="20"/>
          <w:szCs w:val="20"/>
          <w:color w:val="auto"/>
        </w:rPr>
      </w:pPr>
    </w:p>
    <w:p>
      <w:pPr>
        <w:jc w:val="both"/>
        <w:ind w:left="56"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for the Available Tenor, the first alternative set forth in the order below that can be determined by the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applicable Benchmark Replacement Date:</w:t>
      </w:r>
    </w:p>
    <w:p>
      <w:pPr>
        <w:spacing w:after="0" w:line="159" w:lineRule="exact"/>
        <w:rPr>
          <w:sz w:val="20"/>
          <w:szCs w:val="20"/>
          <w:color w:val="auto"/>
        </w:rPr>
      </w:pPr>
    </w:p>
    <w:p>
      <w:pPr>
        <w:ind w:left="616" w:hanging="616"/>
        <w:spacing w:after="0"/>
        <w:tabs>
          <w:tab w:leader="none" w:pos="61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Term SOFR and (b) the related Benchmark Replacement Adjustment;</w:t>
      </w:r>
    </w:p>
    <w:p>
      <w:pPr>
        <w:spacing w:after="0" w:line="252" w:lineRule="exact"/>
        <w:rPr>
          <w:rFonts w:ascii="Times New Roman" w:cs="Times New Roman" w:eastAsia="Times New Roman" w:hAnsi="Times New Roman"/>
          <w:sz w:val="18"/>
          <w:szCs w:val="18"/>
          <w:color w:val="auto"/>
        </w:rPr>
      </w:pPr>
    </w:p>
    <w:p>
      <w:pPr>
        <w:ind w:left="5436" w:right="3580" w:hanging="5436"/>
        <w:spacing w:after="0" w:line="563" w:lineRule="auto"/>
        <w:tabs>
          <w:tab w:leader="none" w:pos="6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the related Benchmark Replacement Adjustment; and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-107315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6"/>
          </w:cols>
          <w:pgMar w:left="364" w:top="576" w:right="339" w:bottom="1440" w:gutter="0" w:footer="0" w:header="0"/>
        </w:sectPr>
      </w:pPr>
    </w:p>
    <w:bookmarkStart w:id="54" w:name="page55"/>
    <w:bookmarkEnd w:id="54"/>
    <w:p>
      <w:pPr>
        <w:jc w:val="both"/>
        <w:ind w:left="620" w:hanging="598"/>
        <w:spacing w:after="0" w:line="258"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and (b) an adjustment (which may be a positive or negative value or zero), in each case, that has been selected by the Bank as the replacement for the Available Tenor of such Benchmark giving due consideration to any evolving or then- prevailing market convention for determining a benchmark rate and an adjustment as a replacement for the then-current Benchmark, including any applicable recommendations made by a Relevant Governmental Body, for U.S. dollar-denominated syndicated or bilateral commercial credit facilities at such time;</w:t>
      </w:r>
    </w:p>
    <w:p>
      <w:pPr>
        <w:spacing w:after="0" w:line="183" w:lineRule="exact"/>
        <w:rPr>
          <w:sz w:val="20"/>
          <w:szCs w:val="20"/>
          <w:color w:val="auto"/>
        </w:rPr>
      </w:pPr>
    </w:p>
    <w:p>
      <w:pPr>
        <w:jc w:val="both"/>
        <w:ind w:left="60"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Benchmark Replacement shall be administratively feasible as determined by the Bank in its sole discretion. If the Benchmark Replacement as determined pursuant to clause (1), (2) or (3) above would be less than the Floor, the Benchmark Replacement will be deemed to be the Floor for the purposes hereof and of the other Loan Documents.</w:t>
      </w:r>
    </w:p>
    <w:p>
      <w:pPr>
        <w:spacing w:after="0" w:line="172" w:lineRule="exact"/>
        <w:rPr>
          <w:sz w:val="20"/>
          <w:szCs w:val="20"/>
          <w:color w:val="auto"/>
        </w:rPr>
      </w:pPr>
    </w:p>
    <w:p>
      <w:pPr>
        <w:jc w:val="both"/>
        <w:ind w:lef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for purposes of clauses (1) and (2) of the definition of “Benchmark Replacement,”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replacement of the then-current Benchmark with an Unadjusted Benchmark Replacement for any setting of such Unadjusted Benchmark Replacement, the first alternative set forth in the order below that can be determined by the Bank:</w:t>
      </w:r>
    </w:p>
    <w:p>
      <w:pPr>
        <w:spacing w:after="0" w:line="175" w:lineRule="exact"/>
        <w:rPr>
          <w:sz w:val="20"/>
          <w:szCs w:val="20"/>
          <w:color w:val="auto"/>
        </w:rPr>
      </w:pPr>
    </w:p>
    <w:p>
      <w:pPr>
        <w:jc w:val="both"/>
        <w:ind w:left="620" w:hanging="616"/>
        <w:spacing w:after="0" w:line="266"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(which may be a positive or negative value or zero) equal to the BSBY Long- Term Spread Adjustment for such Available Tenor as of the time such Benchmark Replacement is first set and is displayed on a screen or other information service that publishes such adjustment from time to time as selected by the Bank in its reasonable discretion; and</w:t>
      </w:r>
    </w:p>
    <w:p>
      <w:pPr>
        <w:spacing w:after="0" w:line="175" w:lineRule="exact"/>
        <w:rPr>
          <w:rFonts w:ascii="Times New Roman" w:cs="Times New Roman" w:eastAsia="Times New Roman" w:hAnsi="Times New Roman"/>
          <w:sz w:val="18"/>
          <w:szCs w:val="18"/>
          <w:color w:val="auto"/>
        </w:rPr>
      </w:pPr>
    </w:p>
    <w:p>
      <w:pPr>
        <w:jc w:val="both"/>
        <w:ind w:left="620" w:hanging="616"/>
        <w:spacing w:after="0" w:line="255"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(which may be a positive or negative value or zero) that has been selected by the Bank as the replacement for such Available Tenor, giving due consideration to any evolving or then-prevailing market convention for determining a spread adjustment, or method for calculating or determining such spread adjustment, for the replacement of such Available Tenor of such Benchmark with the applicable Unadjusted Benchmark Replacement, including any applicable recommendations made by a Relevant Governmental Body, for U.S. dollar-</w:t>
      </w:r>
    </w:p>
    <w:p>
      <w:pPr>
        <w:spacing w:after="0" w:line="2"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syndicated or bilateral commercial credit facilities at such time.</w:t>
      </w:r>
    </w:p>
    <w:p>
      <w:pPr>
        <w:spacing w:after="0" w:line="203" w:lineRule="exact"/>
        <w:rPr>
          <w:sz w:val="20"/>
          <w:szCs w:val="20"/>
          <w:color w:val="auto"/>
        </w:rPr>
      </w:pPr>
    </w:p>
    <w:p>
      <w:pPr>
        <w:jc w:val="both"/>
        <w:ind w:left="60"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changes (including changes to the definitions of “Base Rate,” “Business Day” or “U.S. Government Securities Business Day,” timing and frequency of determining rates and making payments of interest, timing of borrowing requests or prepayment, the applicability and length of lookback periods, the applicability of breakage provisions and other technical, administrative or operational matters) that the Bank decides may be appropriate to reflect the adoption and implementation of such Benchmark Replacement and to permit the administration thereof by the Bank in a manner substantially consistent with market practice (or, if the Bank decides that adoption of any portion of such market practice is not administratively feasible or if the Bank determines that no market practice for the administration of such Benchmark Replacement exists, in such other manner of administration as the Bank decides is reasonably necessary in connection with the administration of the Facility and the Loan Documents).</w:t>
      </w:r>
    </w:p>
    <w:p>
      <w:pPr>
        <w:spacing w:after="0" w:line="185" w:lineRule="exact"/>
        <w:rPr>
          <w:sz w:val="20"/>
          <w:szCs w:val="20"/>
          <w:color w:val="auto"/>
        </w:rPr>
      </w:pPr>
    </w:p>
    <w:p>
      <w:pPr>
        <w:jc w:val="both"/>
        <w:ind w:lef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a date and time determined by the Bank, which date shall be no later than the earlier to occur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events with respect to the then-current Benchmark:</w:t>
      </w:r>
    </w:p>
    <w:p>
      <w:pPr>
        <w:spacing w:after="0" w:line="159" w:lineRule="exact"/>
        <w:rPr>
          <w:sz w:val="20"/>
          <w:szCs w:val="20"/>
          <w:color w:val="auto"/>
        </w:rPr>
      </w:pPr>
    </w:p>
    <w:p>
      <w:pPr>
        <w:jc w:val="both"/>
        <w:ind w:left="620" w:hanging="598"/>
        <w:spacing w:after="0" w:line="261" w:lineRule="auto"/>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of the definition of “Benchmark Transition Event,” the later of (a) the date of the public statement or publication of information referenced therein and (b) the date on which the Available Tenor of such Benchmark (or such component thereof) is no longer available or permitted to be used for determining the interest rate of U.S. dollar-denominated syndicated or bilateral commercial loans, or shall cease; or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580" w:right="339" w:bottom="1440" w:gutter="0" w:footer="0" w:header="0"/>
        </w:sectPr>
      </w:pPr>
    </w:p>
    <w:bookmarkStart w:id="55" w:name="page56"/>
    <w:bookmarkEnd w:id="55"/>
    <w:p>
      <w:pPr>
        <w:ind w:left="620" w:hanging="598"/>
        <w:spacing w:after="0" w:line="282"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(2) of the definition of “Benchmark Transition Event,” a date and time determined by the Bank as administratively feasible in its reasonable discretion and no later than 90 days following the date of the public statement or publication of information referenced therein.</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jc w:val="both"/>
        <w:ind w:left="620" w:hanging="616"/>
        <w:spacing w:after="0" w:line="255"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(a) the administrator of such Benchmark (or the published component used in the calculation thereof), (b) a Governmental Authority having jurisdiction over such administrator with respect to its publication of such Benchmark or (c) a Governmental Authority having jurisdiction over the Bank, in each case acting in such capacity, identifying a specific date after which the Available Tenor of such Benchmark (or such component thereof) (i) shall or will no longer be made available or permitted to be used for determining the interest rate of U.S. dollar-denominated syndicated or bilateral commercial loans, or (ii)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any such statement or publication to the extent related solely to unavailability or cessation of such Benchmark, there is no successor administrator that will continue to provide the Available Tenor of such Benchmark (or such component thereof); or</w:t>
      </w:r>
    </w:p>
    <w:p>
      <w:pPr>
        <w:spacing w:after="0" w:line="215" w:lineRule="exact"/>
        <w:rPr>
          <w:rFonts w:ascii="Times New Roman" w:cs="Times New Roman" w:eastAsia="Times New Roman" w:hAnsi="Times New Roman"/>
          <w:sz w:val="18"/>
          <w:szCs w:val="18"/>
          <w:color w:val="auto"/>
        </w:rPr>
      </w:pPr>
    </w:p>
    <w:p>
      <w:pPr>
        <w:ind w:left="620" w:hanging="616"/>
        <w:spacing w:after="0" w:line="282"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administrator of such Benchmark (including a “Technical Note” published on the BSBY Website) that a BSBY Final Step Event has occurred for the Available Tenor of such Benchmark.</w:t>
      </w:r>
    </w:p>
    <w:p>
      <w:pPr>
        <w:spacing w:after="0" w:line="158" w:lineRule="exact"/>
        <w:rPr>
          <w:sz w:val="20"/>
          <w:szCs w:val="20"/>
          <w:color w:val="auto"/>
        </w:rPr>
      </w:pPr>
    </w:p>
    <w:p>
      <w:pPr>
        <w:jc w:val="both"/>
        <w:ind w:lef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so long as a Benchmark Transition Event has occurred, the period (if any) (x) beginning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Benchmark Replacement Date has occurred if, at such time, no Benchmark Replacement has replaced the then-current Benchmark for all purposes hereunder and under any Loan Document in accordance with this Rider, and (y) ending at the time that a Benchmark Replacement has replaced the then-current Benchmark for all purposes hereunder and under any Loan Document in accordance with this Rider.</w:t>
      </w:r>
    </w:p>
    <w:p>
      <w:pPr>
        <w:spacing w:after="0" w:line="176" w:lineRule="exact"/>
        <w:rPr>
          <w:sz w:val="20"/>
          <w:szCs w:val="20"/>
          <w:color w:val="auto"/>
        </w:rPr>
      </w:pPr>
    </w:p>
    <w:p>
      <w:pPr>
        <w:jc w:val="both"/>
        <w:ind w:lef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“BSBY Final Step Event</w:t>
      </w:r>
      <w:r>
        <w:rPr>
          <w:rFonts w:ascii="Times New Roman" w:cs="Times New Roman" w:eastAsia="Times New Roman" w:hAnsi="Times New Roman"/>
          <w:sz w:val="18"/>
          <w:szCs w:val="18"/>
          <w:color w:val="auto"/>
        </w:rPr>
        <w:t>” means, for any Available Tenor, either (i) the twentieth (20th) consecutive U.S. Government Securities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the thirtieth (30th) U.S. Government Securities Business Day within a rolling 90-day period, on which BSBY is calculated in accordance with “Level 6” (or any successor final step) of the “Alternative Calculation Waterfall” defined or set forth in BSBY’s index methodology and rulebook, as published on the BSBY Website.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“BSBY Long-Term Spread Adjustment</w:t>
      </w:r>
      <w:r>
        <w:rPr>
          <w:rFonts w:ascii="Times New Roman" w:cs="Times New Roman" w:eastAsia="Times New Roman" w:hAnsi="Times New Roman"/>
          <w:sz w:val="18"/>
          <w:szCs w:val="18"/>
          <w:color w:val="auto"/>
        </w:rPr>
        <w:t>” means the most recently dated “BSBY SOFR 5Y Spread Adjustment” published on the BSBY</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Website.</w:t>
      </w:r>
    </w:p>
    <w:p>
      <w:pPr>
        <w:spacing w:after="0" w:line="203" w:lineRule="exact"/>
        <w:rPr>
          <w:sz w:val="20"/>
          <w:szCs w:val="20"/>
          <w:color w:val="auto"/>
        </w:rPr>
      </w:pPr>
    </w:p>
    <w:p>
      <w:pPr>
        <w:jc w:val="both"/>
        <w:ind w:lef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“BSBY Website</w:t>
      </w:r>
      <w:r>
        <w:rPr>
          <w:rFonts w:ascii="Times New Roman" w:cs="Times New Roman" w:eastAsia="Times New Roman" w:hAnsi="Times New Roman"/>
          <w:sz w:val="18"/>
          <w:szCs w:val="18"/>
          <w:color w:val="auto"/>
        </w:rPr>
        <w:t>” means the “Bloomberg Short-Term Bank Yield Index” website at https://www.bloomberg.com/professional/product/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indices/bsby/ (or any successor website).</w:t>
      </w:r>
    </w:p>
    <w:p>
      <w:pPr>
        <w:spacing w:after="0" w:line="155" w:lineRule="exact"/>
        <w:rPr>
          <w:sz w:val="20"/>
          <w:szCs w:val="20"/>
          <w:color w:val="auto"/>
        </w:rPr>
      </w:pPr>
    </w:p>
    <w:p>
      <w:pPr>
        <w:jc w:val="both"/>
        <w:ind w:lef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for any day, SOFR, with the conventions for this rate (which may include a lookback) being established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in accordance with the conventions for this rate selected or recommended by the Relevant Governmental Body for determining “Daily Simple SOFR” for business loans; provided, that if the Bank decides that any such convention is not administratively feasible for the Bank, then the Bank may establish another convention in its reasonable discretion.</w:t>
      </w:r>
    </w:p>
    <w:p>
      <w:pPr>
        <w:spacing w:after="0" w:line="176" w:lineRule="exact"/>
        <w:rPr>
          <w:sz w:val="20"/>
          <w:szCs w:val="20"/>
          <w:color w:val="auto"/>
        </w:rPr>
      </w:pPr>
    </w:p>
    <w:p>
      <w:pPr>
        <w:jc w:val="both"/>
        <w:ind w:lef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“Fallback Rate</w:t>
      </w:r>
      <w:r>
        <w:rPr>
          <w:rFonts w:ascii="Times New Roman" w:cs="Times New Roman" w:eastAsia="Times New Roman" w:hAnsi="Times New Roman"/>
          <w:sz w:val="18"/>
          <w:szCs w:val="18"/>
          <w:color w:val="auto"/>
        </w:rPr>
        <w:t>” means the alternative rate of interest that would have been applicable under the terms of the Facility (absent this Rider)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had given notice that the Benchmark cannot be determined or the Bank cannot make or maintain or fund loans based on such Benchmark or, if no such alternative rate is specified, the Base Rate.</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580" w:right="339" w:bottom="1440" w:gutter="0" w:footer="0" w:header="0"/>
        </w:sectPr>
      </w:pPr>
    </w:p>
    <w:bookmarkStart w:id="56" w:name="page57"/>
    <w:bookmarkEnd w:id="56"/>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the minimum rate of interest, if any, provided under the terms of the Facility with respect to BSBY or, if no minimum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is specified, zero.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Board of Governors of the Federal Reserve System of the United States and/or the Federal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of New York, or a committee officially endorsed or convened by the Board of Governors of the Federal Reserve System of the United States and/or the Federal Reserve Bank of New York, or any successor thereto.</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published by the Federal Reserve Bank of New York (or a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for the Applicable Tenor, the forward-looking term rate based on SOFR administered by CME Group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Limited (or a successor administrator selected by the Bank in its reasonable discretion).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Z3 (BSBY HW-1Not)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Streamlined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420" w:top="576"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85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490" w:hanging="490"/>
        <w:spacing w:after="0"/>
        <w:tabs>
          <w:tab w:leader="none" w:pos="49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10" w:right="280" w:hanging="10"/>
        <w:spacing w:after="0" w:line="312" w:lineRule="auto"/>
        <w:tabs>
          <w:tab w:leader="none" w:pos="50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0" w:right="260" w:hanging="10"/>
        <w:spacing w:after="0" w:line="282" w:lineRule="auto"/>
        <w:tabs>
          <w:tab w:leader="none" w:pos="5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 w:right="100" w:hanging="10"/>
        <w:spacing w:after="0" w:line="266" w:lineRule="auto"/>
        <w:tabs>
          <w:tab w:leader="none" w:pos="5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90" w:right="460" w:hanging="4"/>
        <w:spacing w:after="0" w:line="266" w:lineRule="auto"/>
        <w:tabs>
          <w:tab w:leader="none" w:pos="127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90" w:right="160" w:hanging="4"/>
        <w:spacing w:after="0" w:line="266" w:lineRule="auto"/>
        <w:tabs>
          <w:tab w:leader="none" w:pos="128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90" w:right="280" w:hanging="4"/>
        <w:spacing w:after="0" w:line="282" w:lineRule="auto"/>
        <w:tabs>
          <w:tab w:leader="none" w:pos="127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90" w:right="240" w:hanging="4"/>
        <w:spacing w:after="0" w:line="266" w:lineRule="auto"/>
        <w:tabs>
          <w:tab w:leader="none" w:pos="128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 w:right="260" w:hanging="10"/>
        <w:spacing w:after="0" w:line="282" w:lineRule="auto"/>
        <w:tabs>
          <w:tab w:leader="none" w:pos="5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90" w:right="500" w:hanging="4"/>
        <w:spacing w:after="0" w:line="282" w:lineRule="auto"/>
        <w:tabs>
          <w:tab w:leader="none" w:pos="127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90" w:right="180" w:hanging="4"/>
        <w:spacing w:after="0" w:line="282" w:lineRule="auto"/>
        <w:tabs>
          <w:tab w:leader="none" w:pos="128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4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July 8, 2022</w:t>
            </w:r>
          </w:p>
        </w:tc>
        <w:tc>
          <w:tcPr>
            <w:tcW w:w="3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20" w:type="dxa"/>
            <w:vAlign w:val="bottom"/>
          </w:tcPr>
          <w:p>
            <w:pPr>
              <w:spacing w:after="0"/>
              <w:rPr>
                <w:sz w:val="18"/>
                <w:szCs w:val="18"/>
                <w:color w:val="auto"/>
              </w:rPr>
            </w:pPr>
          </w:p>
        </w:tc>
        <w:tc>
          <w:tcPr>
            <w:tcW w:w="3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3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50"/>
          </w:cols>
          <w:pgMar w:left="31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85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 THE SARBANES-OXLEY ACT OF 2002</w:t>
      </w: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490" w:hanging="490"/>
        <w:spacing w:after="0"/>
        <w:tabs>
          <w:tab w:leader="none" w:pos="4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10" w:right="280" w:hanging="10"/>
        <w:spacing w:after="0" w:line="312" w:lineRule="auto"/>
        <w:tabs>
          <w:tab w:leader="none" w:pos="50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Times New Roman" w:cs="Times New Roman" w:eastAsia="Times New Roman" w:hAnsi="Times New Roman"/>
          <w:sz w:val="17"/>
          <w:szCs w:val="17"/>
          <w:color w:val="auto"/>
        </w:rPr>
      </w:pPr>
    </w:p>
    <w:p>
      <w:pPr>
        <w:ind w:left="10" w:right="260" w:hanging="10"/>
        <w:spacing w:after="0" w:line="282" w:lineRule="auto"/>
        <w:tabs>
          <w:tab w:leader="none" w:pos="5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10" w:right="100" w:hanging="10"/>
        <w:spacing w:after="0" w:line="266" w:lineRule="auto"/>
        <w:tabs>
          <w:tab w:leader="none" w:pos="5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90" w:hanging="4"/>
        <w:spacing w:after="0" w:line="266" w:lineRule="auto"/>
        <w:tabs>
          <w:tab w:leader="none" w:pos="123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490" w:right="240" w:hanging="4"/>
        <w:spacing w:after="0" w:line="266" w:lineRule="auto"/>
        <w:tabs>
          <w:tab w:leader="none" w:pos="11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90" w:right="320" w:hanging="4"/>
        <w:spacing w:after="0" w:line="282" w:lineRule="auto"/>
        <w:tabs>
          <w:tab w:leader="none" w:pos="123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490" w:right="340" w:hanging="4"/>
        <w:spacing w:after="0" w:line="266" w:lineRule="auto"/>
        <w:tabs>
          <w:tab w:leader="none" w:pos="11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 w:right="260" w:hanging="10"/>
        <w:spacing w:after="0" w:line="282" w:lineRule="auto"/>
        <w:tabs>
          <w:tab w:leader="none" w:pos="50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90" w:right="540" w:hanging="4"/>
        <w:spacing w:after="0" w:line="282" w:lineRule="auto"/>
        <w:tabs>
          <w:tab w:leader="none" w:pos="123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90" w:right="260" w:hanging="4"/>
        <w:spacing w:after="0" w:line="282" w:lineRule="auto"/>
        <w:tabs>
          <w:tab w:leader="none" w:pos="119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w:t>
            </w:r>
          </w:p>
        </w:tc>
      </w:tr>
      <w:tr>
        <w:trPr>
          <w:trHeight w:val="4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July 8, 2022</w:t>
            </w:r>
          </w:p>
        </w:tc>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34"/>
        </w:trPr>
        <w:tc>
          <w:tcPr>
            <w:tcW w:w="5620" w:type="dxa"/>
            <w:vAlign w:val="bottom"/>
          </w:tcPr>
          <w:p>
            <w:pPr>
              <w:spacing w:after="0"/>
              <w:rPr>
                <w:sz w:val="20"/>
                <w:szCs w:val="20"/>
                <w:color w:val="auto"/>
              </w:rPr>
            </w:pPr>
          </w:p>
        </w:tc>
        <w:tc>
          <w:tcPr>
            <w:tcW w:w="3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50"/>
          </w:cols>
          <w:pgMar w:left="310" w:top="117" w:right="339" w:bottom="1440" w:gutter="0" w:footer="0" w:header="0"/>
        </w:sectPr>
      </w:pPr>
    </w:p>
    <w:bookmarkStart w:id="59" w:name="page60"/>
    <w:bookmarkEnd w:id="59"/>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May 31, 2022,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280" w:hanging="804"/>
        <w:spacing w:after="0"/>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280" w:hanging="804"/>
        <w:spacing w:after="0"/>
        <w:tabs>
          <w:tab w:leader="none" w:pos="1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 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710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2022</w:t>
      </w:r>
    </w:p>
    <w:p>
      <w:pPr>
        <w:sectPr>
          <w:pgSz w:w="11900" w:h="16838" w:orient="portrait"/>
          <w:cols w:equalWidth="0" w:num="1">
            <w:col w:w="11240"/>
          </w:cols>
          <w:pgMar w:left="320" w:top="117" w:right="339" w:bottom="1440" w:gutter="0" w:footer="0" w:header="0"/>
        </w:sectPr>
      </w:pPr>
    </w:p>
    <w:bookmarkStart w:id="60" w:name="page61"/>
    <w:bookmarkEnd w:id="60"/>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ind w:left="480" w:right="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May 31, 2022,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280" w:hanging="804"/>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280" w:hanging="804"/>
        <w:spacing w:after="0"/>
        <w:tabs>
          <w:tab w:leader="none" w:pos="12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22821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2282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1."/>
      <w:numFmt w:val="decimal"/>
      <w:start w:val="7"/>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9"/>
    </w:lvl>
  </w:abstractNum>
  <w:abstractNum w:abstractNumId="9">
    <w:nsid w:val="71F32454"/>
    <w:multiLevelType w:val="hybridMultilevel"/>
    <w:lvl w:ilvl="0">
      <w:lvlJc w:val="left"/>
      <w:lvlText w:val="%1."/>
      <w:numFmt w:val="decimal"/>
      <w:start w:val="10"/>
    </w:lvl>
  </w:abstractNum>
  <w:abstractNum w:abstractNumId="10">
    <w:nsid w:val="2CA88611"/>
    <w:multiLevelType w:val="hybridMultilevel"/>
    <w:lvl w:ilvl="0">
      <w:lvlJc w:val="left"/>
      <w:lvlText w:val="%1."/>
      <w:numFmt w:val="decimal"/>
      <w:start w:val="11"/>
    </w:lvl>
  </w:abstractNum>
  <w:abstractNum w:abstractNumId="11">
    <w:nsid w:val="836C40E"/>
    <w:multiLevelType w:val="hybridMultilevel"/>
    <w:lvl w:ilvl="0">
      <w:lvlJc w:val="left"/>
      <w:lvlText w:val="%1."/>
      <w:numFmt w:val="decimal"/>
      <w:start w:val="12"/>
    </w:lvl>
  </w:abstractNum>
  <w:abstractNum w:abstractNumId="12">
    <w:nsid w:val="2901D82"/>
    <w:multiLevelType w:val="hybridMultilevel"/>
    <w:lvl w:ilvl="0">
      <w:lvlJc w:val="left"/>
      <w:lvlText w:val="%1."/>
      <w:numFmt w:val="decimal"/>
      <w:start w:val="13"/>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decimal"/>
      <w:start w:val="14"/>
    </w:lvl>
  </w:abstractNum>
  <w:abstractNum w:abstractNumId="16">
    <w:nsid w:val="7C3DBD3D"/>
    <w:multiLevelType w:val="hybridMultilevel"/>
    <w:lvl w:ilvl="0">
      <w:lvlJc w:val="left"/>
      <w:lvlText w:val="%1."/>
      <w:numFmt w:val="decimal"/>
      <w:start w:val="16"/>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101"/>
    </w:lvl>
  </w:abstractNum>
  <w:abstractNum w:abstractNumId="23">
    <w:nsid w:val="419AC241"/>
    <w:multiLevelType w:val="hybridMultilevel"/>
    <w:lvl w:ilvl="0">
      <w:lvlJc w:val="left"/>
      <w:lvlText w:val="%1."/>
      <w:numFmt w:val="decimal"/>
      <w:start w:val="1"/>
    </w:lvl>
  </w:abstractNum>
  <w:abstractNum w:abstractNumId="24">
    <w:nsid w:val="5577F8E1"/>
    <w:multiLevelType w:val="hybridMultilevel"/>
    <w:lvl w:ilvl="0">
      <w:lvlJc w:val="left"/>
      <w:lvlText w:val="%1."/>
      <w:numFmt w:val="decimal"/>
      <w:start w:val="4"/>
    </w:lvl>
  </w:abstractNum>
  <w:abstractNum w:abstractNumId="25">
    <w:nsid w:val="440BADFC"/>
    <w:multiLevelType w:val="hybridMultilevel"/>
    <w:lvl w:ilvl="0">
      <w:lvlJc w:val="left"/>
      <w:lvlText w:val="%1."/>
      <w:numFmt w:val="decimal"/>
      <w:start w:val="7"/>
    </w:lvl>
  </w:abstractNum>
  <w:abstractNum w:abstractNumId="26">
    <w:nsid w:val="5072367"/>
    <w:multiLevelType w:val="hybridMultilevel"/>
    <w:lvl w:ilvl="0">
      <w:lvlJc w:val="left"/>
      <w:lvlText w:val="%1."/>
      <w:numFmt w:val="decimal"/>
      <w:start w:val="11"/>
    </w:lvl>
  </w:abstractNum>
  <w:abstractNum w:abstractNumId="27">
    <w:nsid w:val="3804823E"/>
    <w:multiLevelType w:val="hybridMultilevel"/>
    <w:lvl w:ilvl="0">
      <w:lvlJc w:val="left"/>
      <w:lvlText w:val="%1."/>
      <w:numFmt w:val="decimal"/>
      <w:start w:val="13"/>
    </w:lvl>
  </w:abstractNum>
  <w:abstractNum w:abstractNumId="28">
    <w:nsid w:val="77465F01"/>
    <w:multiLevelType w:val="hybridMultilevel"/>
    <w:lvl w:ilvl="0">
      <w:lvlJc w:val="left"/>
      <w:lvlText w:val="(%1)"/>
      <w:numFmt w:val="lowerRoman"/>
      <w:start w:val="2"/>
    </w:lvl>
  </w:abstractNum>
  <w:abstractNum w:abstractNumId="29">
    <w:nsid w:val="7724C67E"/>
    <w:multiLevelType w:val="hybridMultilevel"/>
    <w:lvl w:ilvl="0">
      <w:lvlJc w:val="left"/>
      <w:lvlText w:val="%1."/>
      <w:numFmt w:val="decimal"/>
      <w:start w:val="15"/>
    </w:lvl>
  </w:abstractNum>
  <w:abstractNum w:abstractNumId="30">
    <w:nsid w:val="5C482A97"/>
    <w:multiLevelType w:val="hybridMultilevel"/>
    <w:lvl w:ilvl="0">
      <w:lvlJc w:val="left"/>
      <w:lvlText w:val="%1."/>
      <w:numFmt w:val="decimal"/>
      <w:start w:val="17"/>
    </w:lvl>
  </w:abstractNum>
  <w:abstractNum w:abstractNumId="31">
    <w:nsid w:val="2463B9EA"/>
    <w:multiLevelType w:val="hybridMultilevel"/>
    <w:lvl w:ilvl="0">
      <w:lvlJc w:val="left"/>
      <w:lvlText w:val="%1"/>
      <w:numFmt w:val="decimal"/>
      <w:start w:val="1"/>
    </w:lvl>
    <w:lvl w:ilvl="1">
      <w:lvlJc w:val="left"/>
      <w:lvlText w:val="%2."/>
      <w:numFmt w:val="decimal"/>
      <w:start w:val="22"/>
    </w:lvl>
    <w:lvl w:ilvl="2">
      <w:lvlJc w:val="left"/>
      <w:lvlText w:val="%3"/>
      <w:numFmt w:val="lowerLetter"/>
      <w:start w:val="1"/>
    </w:lvl>
  </w:abstractNum>
  <w:abstractNum w:abstractNumId="32">
    <w:nsid w:val="5E884ADC"/>
    <w:multiLevelType w:val="hybridMultilevel"/>
    <w:lvl w:ilvl="0">
      <w:lvlJc w:val="left"/>
      <w:lvlText w:val="%1."/>
      <w:numFmt w:val="decimal"/>
      <w:start w:val="25"/>
    </w:lvl>
    <w:lvl w:ilvl="1">
      <w:lvlJc w:val="left"/>
      <w:lvlText w:val="%2."/>
      <w:numFmt w:val="decimal"/>
      <w:start w:val="25"/>
    </w:lvl>
    <w:lvl w:ilvl="2">
      <w:lvlJc w:val="left"/>
      <w:lvlText w:val="(%3)"/>
      <w:numFmt w:val="lowerLetter"/>
      <w:start w:val="1"/>
    </w:lvl>
  </w:abstractNum>
  <w:abstractNum w:abstractNumId="33">
    <w:nsid w:val="51EAD36B"/>
    <w:multiLevelType w:val="hybridMultilevel"/>
    <w:lvl w:ilvl="0">
      <w:lvlJc w:val="left"/>
      <w:lvlText w:val="%1."/>
      <w:numFmt w:val="decimal"/>
      <w:start w:val="27"/>
    </w:lvl>
  </w:abstractNum>
  <w:abstractNum w:abstractNumId="34">
    <w:nsid w:val="2D517796"/>
    <w:multiLevelType w:val="hybridMultilevel"/>
    <w:lvl w:ilvl="0">
      <w:lvlJc w:val="left"/>
      <w:lvlText w:val="(%1)"/>
      <w:numFmt w:val="lowerLetter"/>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3"/>
    </w:lvl>
  </w:abstractNum>
  <w:abstractNum w:abstractNumId="37">
    <w:nsid w:val="3855585C"/>
    <w:multiLevelType w:val="hybridMultilevel"/>
    <w:lvl w:ilvl="0">
      <w:lvlJc w:val="left"/>
      <w:lvlText w:val="(%1)"/>
      <w:numFmt w:val="decimal"/>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2"/>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64" Type="http://schemas.openxmlformats.org/officeDocument/2006/relationships/hyperlink" Target="http://www.sec.gov/Archives/edgar/data/0000875582/000117184322002461/ex_3533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2022-07-08T08:04:55Z</dcterms:created>
  <dcterms:modified xsi:type="dcterms:W3CDTF">2022-07-08T08:04:55Z</dcterms:modified>
</cp:coreProperties>
</file>