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10-KSB</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UNDER SECTION 13 OR 15(d) OF THE SECURITIES EXCHANGE ACT OF 1934</w:t>
      </w:r>
    </w:p>
    <w:p>
      <w:pPr>
        <w:spacing w:after="0" w:line="12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fiscal year ended August 31, 2006</w:t>
      </w:r>
    </w:p>
    <w:p>
      <w:pPr>
        <w:spacing w:after="0" w:line="14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163"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For the transition period from ________________ to __________________.</w:t>
      </w:r>
    </w:p>
    <w:p>
      <w:pPr>
        <w:spacing w:after="0" w:line="158"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175895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left="840" w:right="160"/>
        <w:spacing w:after="0" w:line="253" w:lineRule="auto"/>
        <w:rPr>
          <w:sz w:val="20"/>
          <w:szCs w:val="20"/>
          <w:color w:val="auto"/>
        </w:rPr>
      </w:pPr>
      <w:r>
        <w:rPr>
          <w:rFonts w:ascii="Arial" w:cs="Arial" w:eastAsia="Arial" w:hAnsi="Arial"/>
          <w:sz w:val="43"/>
          <w:szCs w:val="43"/>
          <w:b w:val="1"/>
          <w:bCs w:val="1"/>
          <w:color w:val="auto"/>
        </w:rPr>
        <w:t>NORTHERN TECHNOLOGIES INTERNATIONAL CORPORATION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small business issuer in its charter)</w:t>
      </w:r>
    </w:p>
    <w:p>
      <w:pPr>
        <w:spacing w:after="0" w:line="121"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420" w:type="dxa"/>
            <w:vAlign w:val="bottom"/>
          </w:tcPr>
          <w:p>
            <w:pPr>
              <w:jc w:val="center"/>
              <w:ind w:right="2860"/>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jc w:val="right"/>
              <w:ind w:right="542"/>
              <w:spacing w:after="0"/>
              <w:rPr>
                <w:sz w:val="20"/>
                <w:szCs w:val="20"/>
                <w:color w:val="auto"/>
              </w:rPr>
            </w:pPr>
            <w:r>
              <w:rPr>
                <w:rFonts w:ascii="Arial" w:cs="Arial" w:eastAsia="Arial" w:hAnsi="Arial"/>
                <w:sz w:val="18"/>
                <w:szCs w:val="18"/>
                <w:b w:val="1"/>
                <w:bCs w:val="1"/>
                <w:color w:val="auto"/>
              </w:rPr>
              <w:t>41-0857886</w:t>
            </w:r>
          </w:p>
        </w:tc>
      </w:tr>
      <w:tr>
        <w:trPr>
          <w:trHeight w:val="174"/>
        </w:trPr>
        <w:tc>
          <w:tcPr>
            <w:tcW w:w="6420" w:type="dxa"/>
            <w:vAlign w:val="bottom"/>
          </w:tcPr>
          <w:p>
            <w:pPr>
              <w:jc w:val="center"/>
              <w:ind w:right="2860"/>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340" w:type="dxa"/>
            <w:vAlign w:val="bottom"/>
          </w:tcPr>
          <w:p>
            <w:pPr>
              <w:jc w:val="center"/>
              <w:ind w:left="2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6420" w:type="dxa"/>
            <w:vAlign w:val="bottom"/>
          </w:tcPr>
          <w:p>
            <w:pPr>
              <w:jc w:val="center"/>
              <w:ind w:right="2920"/>
              <w:spacing w:after="0"/>
              <w:rPr>
                <w:sz w:val="20"/>
                <w:szCs w:val="20"/>
                <w:color w:val="auto"/>
              </w:rPr>
            </w:pPr>
            <w:r>
              <w:rPr>
                <w:rFonts w:ascii="Arial" w:cs="Arial" w:eastAsia="Arial" w:hAnsi="Arial"/>
                <w:sz w:val="18"/>
                <w:szCs w:val="18"/>
                <w:b w:val="1"/>
                <w:bCs w:val="1"/>
                <w:color w:val="auto"/>
                <w:w w:val="88"/>
              </w:rPr>
              <w:t>4201 Woodland Road</w:t>
            </w:r>
          </w:p>
        </w:tc>
        <w:tc>
          <w:tcPr>
            <w:tcW w:w="2340" w:type="dxa"/>
            <w:vAlign w:val="bottom"/>
          </w:tcPr>
          <w:p>
            <w:pPr>
              <w:spacing w:after="0"/>
              <w:rPr>
                <w:sz w:val="24"/>
                <w:szCs w:val="24"/>
                <w:color w:val="auto"/>
              </w:rPr>
            </w:pPr>
          </w:p>
        </w:tc>
      </w:tr>
      <w:tr>
        <w:trPr>
          <w:trHeight w:val="216"/>
        </w:trPr>
        <w:tc>
          <w:tcPr>
            <w:tcW w:w="6420" w:type="dxa"/>
            <w:vAlign w:val="bottom"/>
          </w:tcPr>
          <w:p>
            <w:pPr>
              <w:jc w:val="center"/>
              <w:ind w:right="2860"/>
              <w:spacing w:after="0"/>
              <w:rPr>
                <w:sz w:val="20"/>
                <w:szCs w:val="20"/>
                <w:color w:val="auto"/>
              </w:rPr>
            </w:pPr>
            <w:r>
              <w:rPr>
                <w:rFonts w:ascii="Arial" w:cs="Arial" w:eastAsia="Arial" w:hAnsi="Arial"/>
                <w:sz w:val="18"/>
                <w:szCs w:val="18"/>
                <w:b w:val="1"/>
                <w:bCs w:val="1"/>
                <w:color w:val="auto"/>
                <w:w w:val="87"/>
              </w:rPr>
              <w:t>P.O. Box 69</w:t>
            </w:r>
          </w:p>
        </w:tc>
        <w:tc>
          <w:tcPr>
            <w:tcW w:w="2340" w:type="dxa"/>
            <w:vAlign w:val="bottom"/>
          </w:tcPr>
          <w:p>
            <w:pPr>
              <w:spacing w:after="0"/>
              <w:rPr>
                <w:sz w:val="18"/>
                <w:szCs w:val="18"/>
                <w:color w:val="auto"/>
              </w:rPr>
            </w:pPr>
          </w:p>
        </w:tc>
      </w:tr>
      <w:tr>
        <w:trPr>
          <w:trHeight w:val="218"/>
        </w:trPr>
        <w:tc>
          <w:tcPr>
            <w:tcW w:w="6420" w:type="dxa"/>
            <w:vAlign w:val="bottom"/>
          </w:tcPr>
          <w:p>
            <w:pPr>
              <w:jc w:val="center"/>
              <w:ind w:right="2880"/>
              <w:spacing w:after="0"/>
              <w:rPr>
                <w:sz w:val="20"/>
                <w:szCs w:val="20"/>
                <w:color w:val="auto"/>
              </w:rPr>
            </w:pPr>
            <w:r>
              <w:rPr>
                <w:rFonts w:ascii="Arial" w:cs="Arial" w:eastAsia="Arial" w:hAnsi="Arial"/>
                <w:sz w:val="18"/>
                <w:szCs w:val="18"/>
                <w:b w:val="1"/>
                <w:bCs w:val="1"/>
                <w:color w:val="auto"/>
                <w:w w:val="88"/>
              </w:rPr>
              <w:t>Circle Pines, Minnesota</w:t>
            </w:r>
          </w:p>
        </w:tc>
        <w:tc>
          <w:tcPr>
            <w:tcW w:w="2340" w:type="dxa"/>
            <w:vAlign w:val="bottom"/>
          </w:tcPr>
          <w:p>
            <w:pPr>
              <w:jc w:val="right"/>
              <w:ind w:right="742"/>
              <w:spacing w:after="0"/>
              <w:rPr>
                <w:sz w:val="20"/>
                <w:szCs w:val="20"/>
                <w:color w:val="auto"/>
              </w:rPr>
            </w:pPr>
            <w:r>
              <w:rPr>
                <w:rFonts w:ascii="Arial" w:cs="Arial" w:eastAsia="Arial" w:hAnsi="Arial"/>
                <w:sz w:val="18"/>
                <w:szCs w:val="18"/>
                <w:b w:val="1"/>
                <w:bCs w:val="1"/>
                <w:color w:val="auto"/>
              </w:rPr>
              <w:t>55014</w:t>
            </w:r>
          </w:p>
        </w:tc>
      </w:tr>
      <w:tr>
        <w:trPr>
          <w:trHeight w:val="174"/>
        </w:trPr>
        <w:tc>
          <w:tcPr>
            <w:tcW w:w="6420" w:type="dxa"/>
            <w:vAlign w:val="bottom"/>
          </w:tcPr>
          <w:p>
            <w:pPr>
              <w:jc w:val="center"/>
              <w:ind w:right="28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40" w:type="dxa"/>
            <w:vAlign w:val="bottom"/>
          </w:tcPr>
          <w:p>
            <w:pPr>
              <w:jc w:val="center"/>
              <w:ind w:left="20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420" w:type="dxa"/>
            <w:vAlign w:val="bottom"/>
          </w:tcPr>
          <w:p>
            <w:pPr>
              <w:jc w:val="right"/>
              <w:ind w:right="1060"/>
              <w:spacing w:after="0"/>
              <w:rPr>
                <w:sz w:val="20"/>
                <w:szCs w:val="20"/>
                <w:color w:val="auto"/>
              </w:rPr>
            </w:pPr>
            <w:r>
              <w:rPr>
                <w:rFonts w:ascii="Arial" w:cs="Arial" w:eastAsia="Arial" w:hAnsi="Arial"/>
                <w:sz w:val="18"/>
                <w:szCs w:val="18"/>
                <w:b w:val="1"/>
                <w:bCs w:val="1"/>
                <w:color w:val="auto"/>
              </w:rPr>
              <w:t>(763) 225-6600</w:t>
            </w:r>
          </w:p>
        </w:tc>
        <w:tc>
          <w:tcPr>
            <w:tcW w:w="2340" w:type="dxa"/>
            <w:vAlign w:val="bottom"/>
          </w:tcPr>
          <w:p>
            <w:pPr>
              <w:spacing w:after="0"/>
              <w:rPr>
                <w:sz w:val="24"/>
                <w:szCs w:val="24"/>
                <w:color w:val="auto"/>
              </w:rPr>
            </w:pPr>
          </w:p>
        </w:tc>
      </w:tr>
      <w:tr>
        <w:trPr>
          <w:trHeight w:val="174"/>
        </w:trPr>
        <w:tc>
          <w:tcPr>
            <w:tcW w:w="6420" w:type="dxa"/>
            <w:vAlign w:val="bottom"/>
          </w:tcPr>
          <w:p>
            <w:pPr>
              <w:jc w:val="center"/>
              <w:ind w:left="2980"/>
              <w:spacing w:after="0"/>
              <w:rPr>
                <w:sz w:val="20"/>
                <w:szCs w:val="20"/>
                <w:color w:val="auto"/>
              </w:rPr>
            </w:pPr>
            <w:r>
              <w:rPr>
                <w:rFonts w:ascii="Arial" w:cs="Arial" w:eastAsia="Arial" w:hAnsi="Arial"/>
                <w:sz w:val="14"/>
                <w:szCs w:val="14"/>
                <w:b w:val="1"/>
                <w:bCs w:val="1"/>
                <w:color w:val="auto"/>
                <w:w w:val="85"/>
              </w:rPr>
              <w:t>(Issuer’s telephone number, including area code)</w:t>
            </w:r>
          </w:p>
        </w:tc>
        <w:tc>
          <w:tcPr>
            <w:tcW w:w="2340" w:type="dxa"/>
            <w:vAlign w:val="bottom"/>
          </w:tcPr>
          <w:p>
            <w:pPr>
              <w:spacing w:after="0"/>
              <w:rPr>
                <w:sz w:val="15"/>
                <w:szCs w:val="15"/>
                <w:color w:val="auto"/>
              </w:rPr>
            </w:pPr>
          </w:p>
        </w:tc>
      </w:tr>
    </w:tbl>
    <w:p>
      <w:pPr>
        <w:spacing w:after="0" w:line="1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under Section 12(b) of the Exchange Act:</w:t>
      </w:r>
    </w:p>
    <w:p>
      <w:pPr>
        <w:sectPr>
          <w:pgSz w:w="11900" w:h="16838" w:orient="portrait"/>
          <w:cols w:equalWidth="0" w:num="1">
            <w:col w:w="11320"/>
          </w:cols>
          <w:pgMar w:left="240" w:top="476" w:right="339" w:bottom="512" w:gutter="0" w:footer="0" w:header="0"/>
        </w:sectPr>
      </w:pPr>
    </w:p>
    <w:p>
      <w:pPr>
        <w:spacing w:after="0" w:line="15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30" w:lineRule="exact"/>
        <w:rPr>
          <w:sz w:val="24"/>
          <w:szCs w:val="24"/>
          <w:color w:val="auto"/>
        </w:rPr>
      </w:pPr>
    </w:p>
    <w:p>
      <w:pPr>
        <w:sectPr>
          <w:pgSz w:w="11900" w:h="16838" w:orient="portrait"/>
          <w:cols w:equalWidth="0" w:num="2">
            <w:col w:w="6660" w:space="720"/>
            <w:col w:w="3940"/>
          </w:cols>
          <w:pgMar w:left="240" w:top="476" w:right="339" w:bottom="512" w:gutter="0" w:footer="0" w:header="0"/>
          <w:type w:val="continuous"/>
        </w:sectPr>
      </w:pPr>
    </w:p>
    <w:p>
      <w:pPr>
        <w:ind w:left="1140"/>
        <w:spacing w:after="0"/>
        <w:tabs>
          <w:tab w:leader="none" w:pos="7520" w:val="left"/>
        </w:tabs>
        <w:rPr>
          <w:sz w:val="20"/>
          <w:szCs w:val="20"/>
          <w:color w:val="auto"/>
        </w:rPr>
      </w:pPr>
      <w:r>
        <w:rPr>
          <w:rFonts w:ascii="Arial" w:cs="Arial" w:eastAsia="Arial" w:hAnsi="Arial"/>
          <w:sz w:val="18"/>
          <w:szCs w:val="18"/>
          <w:b w:val="1"/>
          <w:bCs w:val="1"/>
          <w:color w:val="auto"/>
        </w:rPr>
        <w:t>Common Stock, par value $0.02 per share</w:t>
      </w:r>
      <w:r>
        <w:rPr>
          <w:sz w:val="20"/>
          <w:szCs w:val="20"/>
          <w:color w:val="auto"/>
        </w:rPr>
        <w:tab/>
      </w:r>
      <w:r>
        <w:rPr>
          <w:rFonts w:ascii="Arial" w:cs="Arial" w:eastAsia="Arial" w:hAnsi="Arial"/>
          <w:sz w:val="15"/>
          <w:szCs w:val="15"/>
          <w:b w:val="1"/>
          <w:bCs w:val="1"/>
          <w:color w:val="auto"/>
        </w:rPr>
        <w:t>The American Stock Exchange</w:t>
      </w:r>
    </w:p>
    <w:p>
      <w:pPr>
        <w:sectPr>
          <w:pgSz w:w="11900" w:h="16838" w:orient="portrait"/>
          <w:cols w:equalWidth="0" w:num="1">
            <w:col w:w="11320"/>
          </w:cols>
          <w:pgMar w:left="240" w:top="476" w:right="339" w:bottom="512" w:gutter="0" w:footer="0" w:header="0"/>
          <w:type w:val="continuous"/>
        </w:sectPr>
      </w:pP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under Section 12(g) of the Exchange Act:</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31" w:lineRule="exact"/>
        <w:rPr>
          <w:sz w:val="24"/>
          <w:szCs w:val="24"/>
          <w:color w:val="auto"/>
        </w:rPr>
      </w:pPr>
    </w:p>
    <w:p>
      <w:pPr>
        <w:jc w:val="both"/>
        <w:ind w:right="40"/>
        <w:spacing w:after="0" w:line="370" w:lineRule="auto"/>
        <w:rPr>
          <w:sz w:val="20"/>
          <w:szCs w:val="20"/>
          <w:color w:val="auto"/>
        </w:rPr>
      </w:pPr>
      <w:r>
        <w:rPr>
          <w:rFonts w:ascii="Arial" w:cs="Arial" w:eastAsia="Arial" w:hAnsi="Arial"/>
          <w:sz w:val="15"/>
          <w:szCs w:val="15"/>
          <w:color w:val="auto"/>
        </w:rPr>
        <w:t>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3" w:lineRule="exact"/>
        <w:rPr>
          <w:sz w:val="24"/>
          <w:szCs w:val="24"/>
          <w:color w:val="auto"/>
        </w:rPr>
      </w:pPr>
    </w:p>
    <w:p>
      <w:pPr>
        <w:ind w:left="5080"/>
        <w:spacing w:after="0"/>
        <w:tabs>
          <w:tab w:leader="none" w:pos="59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25" w:lineRule="exact"/>
        <w:rPr>
          <w:sz w:val="24"/>
          <w:szCs w:val="24"/>
          <w:color w:val="auto"/>
        </w:rPr>
      </w:pPr>
    </w:p>
    <w:p>
      <w:pPr>
        <w:spacing w:after="0" w:line="367" w:lineRule="auto"/>
        <w:rPr>
          <w:sz w:val="20"/>
          <w:szCs w:val="20"/>
          <w:color w:val="auto"/>
        </w:rPr>
      </w:pPr>
      <w:r>
        <w:rPr>
          <w:rFonts w:ascii="Arial" w:cs="Arial" w:eastAsia="Arial" w:hAnsi="Arial"/>
          <w:sz w:val="16"/>
          <w:szCs w:val="16"/>
          <w:color w:val="auto"/>
        </w:rPr>
        <w:t>Check if there is no disclosure of delinquent filers in response to Item 405 of Regulation S-B contained herein, and no disclosure will be contained, to the best of Registrant’s knowledge, in definitive proxy or information statements incorporated by reference in Part III of this report or any amendment to this report. o</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ind w:left="5080"/>
        <w:spacing w:after="0"/>
        <w:tabs>
          <w:tab w:leader="none" w:pos="59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revenues for the fiscal year ended August 31, 2006 were $16,604,964.</w:t>
      </w:r>
    </w:p>
    <w:p>
      <w:pPr>
        <w:spacing w:after="0" w:line="225" w:lineRule="exact"/>
        <w:rPr>
          <w:sz w:val="24"/>
          <w:szCs w:val="24"/>
          <w:color w:val="auto"/>
        </w:rPr>
      </w:pPr>
    </w:p>
    <w:p>
      <w:pPr>
        <w:jc w:val="both"/>
        <w:ind w:right="240"/>
        <w:spacing w:after="0" w:line="306" w:lineRule="auto"/>
        <w:rPr>
          <w:sz w:val="20"/>
          <w:szCs w:val="20"/>
          <w:color w:val="auto"/>
        </w:rPr>
      </w:pPr>
      <w:r>
        <w:rPr>
          <w:rFonts w:ascii="Arial" w:cs="Arial" w:eastAsia="Arial" w:hAnsi="Arial"/>
          <w:sz w:val="16"/>
          <w:szCs w:val="16"/>
          <w:color w:val="auto"/>
        </w:rPr>
        <w:t>As of November 17, 2006, 3,656,238 shares of common stock of the Registrant were outstanding, and the aggregate market value of the common stock of the Registrant as of that date (based upon the $8.01 per share closing sale price of the Common Stock on that date as reported on the American Stock Exchange), excluding 1,088,155 outstanding shares beneficially owned by directors and executive officers, was $20,570,345.</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Part III of this Annual Report on Form 10-KSB incorporates by reference information (to the extent specific sections are referred to herein) from the registrant’s Proxy Statement for its 2007 Annual Meeting of Stockholders to be held January 23, 2007.</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Transitional Small Business Disclosure Format (check one):</w:t>
      </w:r>
    </w:p>
    <w:p>
      <w:pPr>
        <w:spacing w:after="0" w:line="252" w:lineRule="exact"/>
        <w:rPr>
          <w:sz w:val="24"/>
          <w:szCs w:val="24"/>
          <w:color w:val="auto"/>
        </w:rPr>
      </w:pPr>
    </w:p>
    <w:p>
      <w:pPr>
        <w:ind w:left="5080"/>
        <w:spacing w:after="0"/>
        <w:tabs>
          <w:tab w:leader="none" w:pos="59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476" w:right="339" w:bottom="512"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This Annual Report on Form 10-KSB contains certain forward-looking statements within the meaning of Section 27A of the Securities Act of 1933, as amended, and Section 21E of the Securities Exchange Act of 1934, as amended, and are subject to the safe harbor created by those sections. For more information, see “Item 1. Description of Business – Forward-Looking Statements.”</w:t>
      </w:r>
    </w:p>
    <w:p>
      <w:pPr>
        <w:spacing w:after="0" w:line="194"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Northern Technologies International Corporation focuses on developing, marketing and selling proprietary environmentally responsible materials science based products and technical services directly and via a network of independent distributors, manufacturer sales representatives and joint ventures in over 50 countries.</w:t>
      </w:r>
    </w:p>
    <w:p>
      <w:pPr>
        <w:spacing w:after="0" w:line="264" w:lineRule="auto"/>
        <w:rPr>
          <w:sz w:val="20"/>
          <w:szCs w:val="20"/>
          <w:color w:val="auto"/>
        </w:rPr>
      </w:pPr>
      <w:r>
        <w:rPr>
          <w:rFonts w:ascii="Arial" w:cs="Arial" w:eastAsia="Arial" w:hAnsi="Arial"/>
          <w:sz w:val="16"/>
          <w:szCs w:val="16"/>
          <w:color w:val="auto"/>
        </w:rPr>
        <w:t>In fiscal 2006, over 70% of NTIC’s consolidated net sales were derived from the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packaging products and services to the automotive, electronics, electrical, mechanical, military and retail consumer markets. During this same period, NTIC also received revenues from sales of proprietary new technologies including anti-abrasion ink additives, as well as bio-based sintered metal mold release agents, bio-solvents, bio-emollients, bio-cleaners, bio-lubricants and bio-based and biodegradable plastic packaging. In a concerted effort to extend NTIC’s proprietary technologies, NTIC engages in extensive scientific research and development programs in the areas of material science and corrosion protection.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Joint Ventures and Holding Companies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 participates, either directly or indirectly through holding companies, in approximately 30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bio-based additives with both industrial and personal care applications, plastic recycling technology and electronic sensing instruments. The categorizes its joint ventures into three principal areas: industrial chemical, non-industrial chemical and business consulting.</w:t>
      </w:r>
    </w:p>
    <w:p>
      <w:pPr>
        <w:spacing w:after="0" w:line="17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NTIC’s industrial chemical corporate joint ventures currently primarily focus on the manufacturing, marketing and distribution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corrosion inhibiting packaging products. Both NTIC and NTIC’s corporate joint venture in Germany, Excor Korrosionsschutz – Technologien und Produkte GmbH (“Excor”), through Excor’s wholly owned subsidiary Excor Korrosionsforschung GmbH, manufacture and supply the industrial chemical corporate joint ventures with the essential additives required (“Masterbatch”) to make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corrosion inhibiting packaging products functional.</w:t>
      </w:r>
    </w:p>
    <w:p>
      <w:pPr>
        <w:spacing w:after="0" w:line="6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React-NTI LLC is an industrial chemical corporate joint venture of NTIC that focuses on the development, manufacturing and marketing of proprietary lines of bio-based additives with both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4" w:right="259" w:bottom="1440" w:gutter="0" w:footer="0" w:header="0"/>
        </w:sectPr>
      </w:pPr>
    </w:p>
    <w:bookmarkStart w:id="2" w:name="page3"/>
    <w:bookmarkEnd w:id="2"/>
    <w:p>
      <w:pPr>
        <w:ind w:right="160"/>
        <w:spacing w:after="0" w:line="259" w:lineRule="auto"/>
        <w:rPr>
          <w:sz w:val="20"/>
          <w:szCs w:val="20"/>
          <w:color w:val="auto"/>
        </w:rPr>
      </w:pPr>
      <w:r>
        <w:rPr>
          <w:rFonts w:ascii="Arial" w:cs="Arial" w:eastAsia="Arial" w:hAnsi="Arial"/>
          <w:sz w:val="18"/>
          <w:szCs w:val="18"/>
          <w:color w:val="auto"/>
        </w:rPr>
        <w:t>industrial and personal care applications. Based on cotton, soy, corn and other renewable resources, React-NTI products outperform many synthetically derived competing alternatives. React-NTI’s target markets currently include metal parts manufactures, ink manufacturers, and personal care and cosmetics manufacturers.</w:t>
      </w:r>
    </w:p>
    <w:p>
      <w:pPr>
        <w:spacing w:after="0" w:line="19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NTIC has a 50% ownership interest in NTI ASEAN, LLC for its corporate joint venture investments in the ASEAN region. Taiyo Petroleum Gas Co. Ltd., NTIC’s existing joint venture partner in Japan, owns the remaining 50% ownership interest in NTI ASEAN, LLC.</w:t>
      </w:r>
    </w:p>
    <w:p>
      <w:pPr>
        <w:spacing w:after="0" w:line="18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NTIC has a 50% ownership interest in Northern Instruments Corporation LLC for its corporate joint venture investments in Mütec GmbH in Germany. Taiyo Petroleum Gas Co. Ltd., NTIC’s existing joint venture partner in Japan, owns the remaining 50% ownership interest in Northern Instruments Corporation LLC. Northern Instruments Corporation LLC then owns 80% of Mütec GmbH. Mütec GmbH manufactures proprietary electronic sensing instruments, which it sells through distribution as well as certain corporate joint ventures</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NTIC’s business consulting corporate joint ventures utilize various government and military associations to develop new sales leads and potential investment opportunities.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a list of NTIC’s corporate joint ventures as of November 17, 2006, indicating which joint ventures are industrial chemical, non-industrial chemical or business consulting, the country in which the joint venture is organized, NTIC’s ownership percentage in each joint venture and the date of NTIC’s original investment in each joint venture: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left="172"/>
              <w:spacing w:after="0"/>
              <w:rPr>
                <w:sz w:val="20"/>
                <w:szCs w:val="20"/>
                <w:color w:val="auto"/>
              </w:rPr>
            </w:pPr>
            <w:r>
              <w:rPr>
                <w:rFonts w:ascii="Arial" w:cs="Arial" w:eastAsia="Arial" w:hAnsi="Arial"/>
                <w:sz w:val="14"/>
                <w:szCs w:val="14"/>
                <w:b w:val="1"/>
                <w:bCs w:val="1"/>
                <w:color w:val="auto"/>
              </w:rPr>
              <w:t>NTIC</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Calendar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5"/>
              </w:rPr>
              <w:t>Percent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Year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gridSpan w:val="2"/>
          </w:tcPr>
          <w:p>
            <w:pPr>
              <w:jc w:val="center"/>
              <w:ind w:left="37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Original</w:t>
            </w:r>
          </w:p>
        </w:tc>
        <w:tc>
          <w:tcPr>
            <w:tcW w:w="0" w:type="dxa"/>
            <w:vAlign w:val="bottom"/>
          </w:tcPr>
          <w:p>
            <w:pPr>
              <w:spacing w:after="0"/>
              <w:rPr>
                <w:sz w:val="1"/>
                <w:szCs w:val="1"/>
                <w:color w:val="auto"/>
              </w:rPr>
            </w:pPr>
          </w:p>
        </w:tc>
      </w:tr>
      <w:tr>
        <w:trPr>
          <w:trHeight w:val="174"/>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Joint Venture Name</w:t>
            </w:r>
          </w:p>
        </w:tc>
        <w:tc>
          <w:tcPr>
            <w:tcW w:w="200" w:type="dxa"/>
            <w:vAlign w:val="bottom"/>
          </w:tcPr>
          <w:p>
            <w:pPr>
              <w:spacing w:after="0"/>
              <w:rPr>
                <w:sz w:val="15"/>
                <w:szCs w:val="15"/>
                <w:color w:val="auto"/>
              </w:rPr>
            </w:pP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Country</w:t>
            </w:r>
          </w:p>
        </w:tc>
        <w:tc>
          <w:tcPr>
            <w:tcW w:w="180" w:type="dxa"/>
            <w:vAlign w:val="bottom"/>
          </w:tcPr>
          <w:p>
            <w:pPr>
              <w:spacing w:after="0"/>
              <w:rPr>
                <w:sz w:val="15"/>
                <w:szCs w:val="15"/>
                <w:color w:val="auto"/>
              </w:rPr>
            </w:pPr>
          </w:p>
        </w:tc>
        <w:tc>
          <w:tcPr>
            <w:tcW w:w="1020" w:type="dxa"/>
            <w:vAlign w:val="bottom"/>
          </w:tcPr>
          <w:p>
            <w:pPr>
              <w:jc w:val="center"/>
              <w:ind w:left="192"/>
              <w:spacing w:after="0"/>
              <w:rPr>
                <w:sz w:val="20"/>
                <w:szCs w:val="20"/>
                <w:color w:val="auto"/>
              </w:rPr>
            </w:pPr>
            <w:r>
              <w:rPr>
                <w:rFonts w:ascii="Arial" w:cs="Arial" w:eastAsia="Arial" w:hAnsi="Arial"/>
                <w:sz w:val="14"/>
                <w:szCs w:val="14"/>
                <w:b w:val="1"/>
                <w:bCs w:val="1"/>
                <w:color w:val="auto"/>
                <w:w w:val="88"/>
              </w:rPr>
              <w:t>Ownership</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Investment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INDUSTRIAL CHEMICAL CORPORATE JOINT VENTURES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TAIYONIC LTD.</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ACOBAL SAS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ZERUST-NIC CORP.</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Taiwan*</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EXCOR GmbH</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ST ZERUST (SEA) PTE. LTD</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Singapore*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ZERUST AB</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Sweden</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NTI-ZERUST INIBIDORES DE CORROSÃO VCI LTDA.</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7"/>
              </w:rPr>
              <w:t>Brazil</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EUROMASCH</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Austria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MOSTNIC</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Russia</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KOREA ZERUST CO., LTD.</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South Korea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ZERUST OY</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Finland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ZERUST (U.K.) LTD.</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FATRA-NTI S.R.O.</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Czech Republic</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EXCOR SP. Z.O.O.</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Poland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SPECIALTY - NTIA CO. LTD.</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Thailand*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TIANJIN ZERUST CO.</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China*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HARITA-NTI</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CHONG WAH-NTIA SDN. BHD.</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Malaysia*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ZERUST PHILIPPINES</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Philippines*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FIBRO NTI JOINT STOCK CO.</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Turkey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ZERUST CONSUMER PRODUCTS, LLC</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ZERUST BV</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Holland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REACT-NTI, LLC***</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POLYMER ENERGY LLC</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United States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ZERUST EXCOR PTY LTD</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Australia</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ZERUST DNEPR</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Ukraine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SINGLE POINT ENERGY AND ENVIRONMENT</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COMPANY LIMITED</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Thailand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NTI-DILMUN MIDDLE EAST FZCO.</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7"/>
              </w:rPr>
              <w:t>UAE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NON-INDUSTRIAL CHEMICAL CORPORATE JOINT VENTURES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MUTEC GMBH</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Germany**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CONSULTING CORPORATE JOINT VENTURES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ART AVILES ASSOCIATES</w:t>
            </w:r>
          </w:p>
        </w:tc>
        <w:tc>
          <w:tcPr>
            <w:tcW w:w="2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ownership interest through NTI ASEAN, LLC</w:t>
      </w:r>
    </w:p>
    <w:p>
      <w:pPr>
        <w:spacing w:after="0" w:line="158"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Indirect ownership through Northern Instruments Corporation LLC</w:t>
      </w:r>
    </w:p>
    <w:p>
      <w:pPr>
        <w:spacing w:after="0" w:line="157" w:lineRule="exact"/>
        <w:rPr>
          <w:rFonts w:ascii="Arial" w:cs="Arial" w:eastAsia="Arial" w:hAnsi="Arial"/>
          <w:sz w:val="18"/>
          <w:szCs w:val="18"/>
          <w:color w:val="auto"/>
        </w:rPr>
      </w:pPr>
    </w:p>
    <w:p>
      <w:pPr>
        <w:ind w:left="580" w:right="40" w:hanging="572"/>
        <w:spacing w:after="0" w:line="26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React-NTI LLC is fully consolidated on NTIC’s consolidated financial statements (See note 2 to NTIC’s consolidated financial statements). Additionally, React-NTI LLC has a 100% owned subsidiary – React, Inc.</w:t>
      </w:r>
    </w:p>
    <w:p>
      <w:pPr>
        <w:sectPr>
          <w:pgSz w:w="11900" w:h="16838" w:orient="portrait"/>
          <w:cols w:equalWidth="0" w:num="1">
            <w:col w:w="11420"/>
          </w:cols>
          <w:pgMar w:left="240" w:top="590" w:right="2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90" w:right="239" w:bottom="1440" w:gutter="0" w:footer="0" w:header="0"/>
          <w:type w:val="continuous"/>
        </w:sectPr>
      </w:pPr>
    </w:p>
    <w:bookmarkStart w:id="3" w:name="page4"/>
    <w:bookmarkEnd w:id="3"/>
    <w:p>
      <w:pPr>
        <w:ind w:right="60"/>
        <w:spacing w:after="0" w:line="289" w:lineRule="auto"/>
        <w:rPr>
          <w:sz w:val="20"/>
          <w:szCs w:val="20"/>
          <w:color w:val="auto"/>
        </w:rPr>
      </w:pPr>
      <w:r>
        <w:rPr>
          <w:rFonts w:ascii="Arial" w:cs="Arial" w:eastAsia="Arial" w:hAnsi="Arial"/>
          <w:sz w:val="16"/>
          <w:szCs w:val="16"/>
          <w:color w:val="auto"/>
        </w:rPr>
        <w:t>NTIC’s corporate joint ventures’ profits are shared by the respective corporate joint venture owners in accordance with their respective ownership percentages. Net sales of NTIC’s corporate joint ventures were $64.0 million during fiscal 2006 and $57.2 million during fiscal 2005. NTIC had equity in income of corporate joint ventures and holding companies of $2,713,096 in fiscal 2006 compared to $1,968,777 in fiscal 2005. NTIC receives fees for technical and other support services it provides to its corporate joint ventures based on the revenues of the individual corporate joint ventures. NTIC recognized fee income for such technical and support services of $4,695,124 in fiscal 2006 compared to $4,136,913 in fiscal 2005.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$5,481,757 in direct joint venture expenses in fiscal 2006 as compared to $4,977,375 in fiscal 2005.</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the corporate joint ventures listed above, there can be no assurance that NTIC will not be subject to lawsuits based on product liability claims or other claims arising out of the activities of each joint venture. To mitigate the ramifications of such an occurrence, NTIC maintains liability insurance specifically applicable to its ownership positions in the joint venture arrangements in excess of any insurance the joint ventures may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currently derives revenues from the following product lines:</w:t>
      </w:r>
    </w:p>
    <w:p>
      <w:pPr>
        <w:spacing w:after="0" w:line="226"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i w:val="1"/>
          <w:iCs w:val="1"/>
          <w:color w:val="auto"/>
        </w:rPr>
        <w:t>Corrosion Prevention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70% of NTIC’s consolidated net sales for fiscal 2006 were derived from developing, manufacturing, marketing and selling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rust and corrosion inhibiting packaging products and services. Corrosion negatively affects metal products and components. This applies to the rusting of ferrous metals (iron and steel) and the deterioration by oxidation of nonferrous metals (aluminum, copper, brass, etc.). In combating corrosion, the traditional approach has been to apply oils and greases to protect metal parts. This approach commonly requires specialized application and removal equipment.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0" w:right="25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In addition, the oils and greases may pose unacceptable health and fire hazards and also may collect and trap dirt and debris that, in some cases initiate corrosion.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Chemical solvents and specialized safety equipment that introduce additional health and hazardous waste disposal problems may be necessary.</w:t>
      </w:r>
    </w:p>
    <w:p>
      <w:pPr>
        <w:spacing w:after="0" w:line="243"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inhibiting packaging products may eliminate or reduce the use of oils and greases to inhibit corrosion.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formulations contain proprietary nontoxic chemical systems (primarily using food additives) that passivate metal surfaces and thereby inhibit rust and corrosion. The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corrosion-inhibiting protection is maintained as long as the metal products to be protected remain enclosed within the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package. Electron scanning further shows that once the contents are removed from the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package, the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oils to inhibit</w:t>
      </w:r>
    </w:p>
    <w:p>
      <w:pPr>
        <w:spacing w:after="0" w:line="4" w:lineRule="exact"/>
        <w:rPr>
          <w:sz w:val="20"/>
          <w:szCs w:val="20"/>
          <w:color w:val="auto"/>
        </w:rPr>
      </w:pPr>
    </w:p>
    <w:p>
      <w:pPr>
        <w:ind w:right="160"/>
        <w:spacing w:after="0" w:line="219" w:lineRule="auto"/>
        <w:rPr>
          <w:sz w:val="20"/>
          <w:szCs w:val="20"/>
          <w:color w:val="auto"/>
        </w:rPr>
      </w:pPr>
      <w:r>
        <w:rPr>
          <w:rFonts w:ascii="Arial" w:cs="Arial" w:eastAsia="Arial" w:hAnsi="Arial"/>
          <w:sz w:val="17"/>
          <w:szCs w:val="17"/>
          <w:color w:val="auto"/>
        </w:rPr>
        <w:t>corrosion,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technology provides its customers significant savings in labor, material and capital expenditures for equipment to apply, remove and dispose of oil and grease, as well as the attendant environmental problems, as compared to traditional methods of corrosion prevention.</w:t>
      </w:r>
    </w:p>
    <w:p>
      <w:pPr>
        <w:spacing w:after="0" w:line="211"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NTIC developed the first means of combining corrosion inhibiting chemical systems with polyethylene and polypropylene resins. Combining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chemical systems with polyethylene and polypropylene resins permitted NTIC to introduce to industry a line of packaging products in the form of low and high density polyethylene bags and shroud film, stretch, shrink, skin and bubble cushioning film, woven scrim, foam sheeting, profile and corrugated board, thermoformed dunnage trays and bins, injection and blow molded products and flat netting, thereby giving packaging engineers an opportunity to ship and store ferrous, nonferrous and mixed multi-metal products in a clean, dry and corrosion-free condition, with an attendant overall savings in total packaging cost. Products also include a line of several diffusers, such as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Vapor Capsules, Zerus ICT™ Plastabs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Cor-Tabs</w:t>
      </w:r>
      <w:r>
        <w:rPr>
          <w:rFonts w:ascii="Arial" w:cs="Arial" w:eastAsia="Arial" w:hAnsi="Arial"/>
          <w:sz w:val="24"/>
          <w:szCs w:val="24"/>
          <w:color w:val="auto"/>
          <w:vertAlign w:val="superscript"/>
        </w:rPr>
        <w:t>®</w:t>
      </w:r>
      <w:r>
        <w:rPr>
          <w:rFonts w:ascii="Arial" w:cs="Arial" w:eastAsia="Arial" w:hAnsi="Arial"/>
          <w:sz w:val="15"/>
          <w:szCs w:val="15"/>
          <w:color w:val="auto"/>
        </w:rPr>
        <w:t>, which protect metal surfaces within the distance of a</w:t>
      </w:r>
    </w:p>
    <w:p>
      <w:pPr>
        <w:spacing w:after="0" w:line="5" w:lineRule="exact"/>
        <w:rPr>
          <w:sz w:val="20"/>
          <w:szCs w:val="20"/>
          <w:color w:val="auto"/>
        </w:rPr>
      </w:pPr>
    </w:p>
    <w:p>
      <w:pPr>
        <w:ind w:right="460"/>
        <w:spacing w:after="0" w:line="218" w:lineRule="auto"/>
        <w:rPr>
          <w:sz w:val="20"/>
          <w:szCs w:val="20"/>
          <w:color w:val="auto"/>
        </w:rPr>
      </w:pPr>
      <w:r>
        <w:rPr>
          <w:rFonts w:ascii="Arial" w:cs="Arial" w:eastAsia="Arial" w:hAnsi="Arial"/>
          <w:sz w:val="18"/>
          <w:szCs w:val="18"/>
          <w:color w:val="auto"/>
        </w:rPr>
        <w:t>certain specified “radius of protection.” This industrial product line has since been expanded to also include items such as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gun cases and car covers targeted at retail consumers. NTIC has also developed proprietary corrosion inhibitors for use in the mitigation of corrosion in capital assets used in Petrochemical and related industries.</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has also developed additives in liquid form to imbue corrugated cardboard, solid fiber and chipboard packaging materials with corrosion protection properties. Additionally, NTIC provides a line of metal surface treatment liquids, which are oil, water and bio-solvent based, marketed under the AXXA™ brand name.</w:t>
      </w:r>
    </w:p>
    <w:p>
      <w:pPr>
        <w:spacing w:after="0" w:line="18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Bio-Based Chemical Additives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NTIC’s React-NTI, LLC joint venture revenues are primarily derived from the sales of MR-101 and MR-102 anti-abrasion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additives. The ink industry uses these additives to ensure ink does not “rub off” the pages of magazines and books.</w:t>
      </w:r>
    </w:p>
    <w:p>
      <w:pPr>
        <w:spacing w:after="0" w:line="18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React-NTI’s renewable resource-based industrial chemical additive sales in fiscal 2006 also came from a patented sintered metal mold release agent sold under the brand name SERAVAT™. SERAVAT™ significantly increases the “green strength” of powder metal parts as they are ejected from their molds. The increase in green strength leads to much higher process yields for the user, especially in stainless steel applications, thereby significantly lowering their production costs.</w:t>
      </w:r>
    </w:p>
    <w:p>
      <w:pPr>
        <w:spacing w:after="0" w:line="142"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React-NTI’s renewable resource-based personal care chemical additive sales in fiscal 2006 included Farona™ line of patented micronized cotton and corn powders. End user applications for these additives included deodorants, pressed powder products and loose powder products. Sales also were derived from</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90" w:right="279" w:bottom="1440" w:gutter="0" w:footer="0" w:header="0"/>
        </w:sectPr>
      </w:pPr>
    </w:p>
    <w:bookmarkStart w:id="5" w:name="page6"/>
    <w:bookmarkEnd w:id="5"/>
    <w:p>
      <w:pPr>
        <w:ind w:right="220"/>
        <w:spacing w:after="0" w:line="268" w:lineRule="auto"/>
        <w:rPr>
          <w:sz w:val="20"/>
          <w:szCs w:val="20"/>
          <w:color w:val="auto"/>
        </w:rPr>
      </w:pPr>
      <w:r>
        <w:rPr>
          <w:rFonts w:ascii="Arial" w:cs="Arial" w:eastAsia="Arial" w:hAnsi="Arial"/>
          <w:sz w:val="18"/>
          <w:szCs w:val="18"/>
          <w:color w:val="auto"/>
        </w:rPr>
        <w:t>patented EnviroPure™ emollient gels that consist of a soy and canola base petrolatum replacement, as well as EnviroSolve™ soy and canola base solvents that were used, among other applications, as a successful acetone replacement.</w:t>
      </w:r>
    </w:p>
    <w:p>
      <w:pPr>
        <w:spacing w:after="0" w:line="180" w:lineRule="exact"/>
        <w:rPr>
          <w:sz w:val="20"/>
          <w:szCs w:val="20"/>
          <w:color w:val="auto"/>
        </w:rPr>
      </w:pPr>
    </w:p>
    <w:p>
      <w:pPr>
        <w:jc w:val="both"/>
        <w:ind w:right="300"/>
        <w:spacing w:after="0" w:line="258" w:lineRule="auto"/>
        <w:rPr>
          <w:sz w:val="20"/>
          <w:szCs w:val="20"/>
          <w:color w:val="auto"/>
        </w:rPr>
      </w:pPr>
      <w:r>
        <w:rPr>
          <w:rFonts w:ascii="Arial" w:cs="Arial" w:eastAsia="Arial" w:hAnsi="Arial"/>
          <w:sz w:val="18"/>
          <w:szCs w:val="18"/>
          <w:b w:val="1"/>
          <w:bCs w:val="1"/>
          <w:i w:val="1"/>
          <w:iCs w:val="1"/>
          <w:color w:val="auto"/>
        </w:rPr>
        <w:t>Bio-Plastics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NTIC also manufactures and sells Natur-Tec™ packaging products produced using proprietary biodegradable plastics technologies. Patents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 secrets allow NTIC to produce biodegradable (compostable) plastic products with better performance properties in comparison to competitive products currently available in the market, and at a significantly lower price. NTIC’s products include totally biodegradable compost bags, agricultural film and other products intended for single-use disposable packaging applications.</w:t>
      </w:r>
    </w:p>
    <w:p>
      <w:pPr>
        <w:spacing w:after="0" w:line="190"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b w:val="1"/>
          <w:bCs w:val="1"/>
          <w:i w:val="1"/>
          <w:iCs w:val="1"/>
          <w:color w:val="auto"/>
        </w:rPr>
        <w:t>Plastics Recycling Technology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NTIC’s Polymer Energy LLC joint venture develops, manufactures and sells systems based upon a proprietary technology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 waste plastic material into hydro-carbons (fuel oil). This plastic waste processing system is an innovative, cost-effective and environmentally friendly alternative to incineration and/or landfill disposal.</w:t>
      </w:r>
    </w:p>
    <w:p>
      <w:pPr>
        <w:spacing w:after="0" w:line="186" w:lineRule="exact"/>
        <w:rPr>
          <w:sz w:val="20"/>
          <w:szCs w:val="20"/>
          <w:color w:val="auto"/>
        </w:rPr>
      </w:pPr>
    </w:p>
    <w:p>
      <w:pPr>
        <w:jc w:val="both"/>
        <w:ind w:right="300"/>
        <w:spacing w:after="0" w:line="339" w:lineRule="auto"/>
        <w:rPr>
          <w:sz w:val="20"/>
          <w:szCs w:val="20"/>
          <w:color w:val="auto"/>
        </w:rPr>
      </w:pPr>
      <w:r>
        <w:rPr>
          <w:rFonts w:ascii="Arial" w:cs="Arial" w:eastAsia="Arial" w:hAnsi="Arial"/>
          <w:sz w:val="16"/>
          <w:szCs w:val="16"/>
          <w:b w:val="1"/>
          <w:bCs w:val="1"/>
          <w:i w:val="1"/>
          <w:iCs w:val="1"/>
          <w:color w:val="auto"/>
        </w:rPr>
        <w:t>Electronic Measuring Instrument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NTIC’s Mütec GmbH joint venture develops, manufactures and sells proprietary electronics components including signal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converters, Input-Output interfaces, bulk goods property measurement instruments, and process sensor technologies.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2" w:lineRule="exact"/>
        <w:rPr>
          <w:sz w:val="20"/>
          <w:szCs w:val="20"/>
          <w:color w:val="auto"/>
        </w:rPr>
      </w:pPr>
    </w:p>
    <w:p>
      <w:pPr>
        <w:ind w:right="640"/>
        <w:spacing w:after="0" w:line="237" w:lineRule="auto"/>
        <w:rPr>
          <w:sz w:val="20"/>
          <w:szCs w:val="20"/>
          <w:color w:val="auto"/>
        </w:rPr>
      </w:pPr>
      <w:r>
        <w:rPr>
          <w:rFonts w:ascii="Arial" w:cs="Arial" w:eastAsia="Arial" w:hAnsi="Arial"/>
          <w:sz w:val="16"/>
          <w:szCs w:val="16"/>
          <w:color w:val="auto"/>
        </w:rPr>
        <w:t>NTIC produces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additives and products at its facility in Circle Pines, Minnesota. NTIC’s other products are produced according to Company specification by selected contractors and Company joint ventures under a trade secrecy agreement and/or a license agreement.</w:t>
      </w:r>
    </w:p>
    <w:p>
      <w:pPr>
        <w:spacing w:after="0" w:line="211"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NTIC is ISO 9001 certified with respect to the manufacturing of its products and ISO 14000 certified with respect to environmental management standards. NTIC believes that the process of ISO 9001 certification serves as an excellent total quality management tool, enabling NTIC to ensure consistency in the performance of its products. NTIC believes that the process of ISO 14000 certification serves as an excellent tool for NTIC to continuously improve its environmental performance. In addition, because potential customers may prefer or require manufacturers to have achieved ISO certification, such ISO certifications may provide NTIC with certain competitive advantages.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United States, NTIC markets its products principally to industrial users by a direct sales force and through a network of independent distributors and manufacturer’s sales representatives. NTIC’s technical service representatives work directly with the end users of NTIC’s products to analyze their specific needs and develop systems to meet their technical requirements.</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Internationally, NTIC has entered into several joint venture and similar arrangements with foreign partners (either directly or through a holding company). Pursuant to these arrangements, NTIC and/or Excor, NTIC’s corporate joint venture in Germany, supply certain proprietary additives to NTIC’s foreign joint</w:t>
      </w:r>
    </w:p>
    <w:p>
      <w:pPr>
        <w:spacing w:after="0" w:line="219" w:lineRule="auto"/>
        <w:rPr>
          <w:sz w:val="20"/>
          <w:szCs w:val="20"/>
          <w:color w:val="auto"/>
        </w:rPr>
      </w:pPr>
      <w:r>
        <w:rPr>
          <w:rFonts w:ascii="Arial" w:cs="Arial" w:eastAsia="Arial" w:hAnsi="Arial"/>
          <w:sz w:val="17"/>
          <w:szCs w:val="17"/>
          <w:color w:val="auto"/>
        </w:rPr>
        <w:t>venture entities, which, in turn, provide for the international manufacture and marketing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other finished products. NTIC receives fees for providing technical support and marketing assistance to its joint ventures in accordance with the terms of the joint venture arrangements.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NTIC is aware of other organizations that manufacture and market products which compete with NTIC’s products. NTIC evaluates competing products on an ongoing basis. Some of NTIC’s competitors are established companies that may have financial and other resources greater than those of NTIC. Additionally, some of these companies may have achieved significant market acceptance of their competing products and brand recognition. NTIC competes with such companies through technical innovation and by attempting to provide the highest level of technical service and applications engineering.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One of NTIC’s North American customers accounted for, in the aggregate, approximately 26.6% and 27.7% of NTIC’s consolidated net sales for the fiscal years ended August 31, 2006 and 2005 respectively, and $207,630 and $484,967 of NTIC’s receivables at August 31, 2006 and 2005,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NTIC’s research and development activities are directed at improving existing products, developing new products and improving quality assurance through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improved testing of NTIC’s products. In 1997, NTIC’s joint venture in Germany, Excor, established a wholly owned subsidiary, Excor Korrosionsforschung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GmbH, to conduct research into new fields of corrosion inhibiting packaging and the applications engineering of such products in conjunction with NTIC’s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domestic research and development operation. Today, NTIC’s internal research and development activities are conducted at its facilities located in Circle 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Minnesota; Beachwood, Ohio, Dresden, Germany, Chennai, India and various international locations under the direction of internationally known scientists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institutes under exclusive contract to NTIC with respect to the subject of their respective research efforts. The conduct of NTIC’s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outside Minnesota, Ohio, Germany and India, as with the results of NTIC’s research and development efforts conducted with the expert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consulting support of Dr. Ramani Narayan and Dr. Sunggyu Lee, frequently results in development of intellectual property rights for NTIC. NTIC spent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$2,043,611 in fiscal 2006 and $1,292,143 in fiscal 2005 in connection with its research and development activities. NTIC anticipates that it will spend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$2,700,000 in fiscal 2007 on research and development activities. These fees are accounted for in the “Expenses incurred in support of corporate joint ventures”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of NTIC’s income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nine letters patent in the U.S. covering various corrosion inhibiting technologies, systems and applications since the expiration of the initial patent. NTIC owns several patents in these areas. These patents as well as patent applications have been extended to the countries of the Patent Cooperation Treaty (“PCT”) of relevance to NTIC. In addition, NTIC’s joint venture partner in Germany, Excor,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ind w:right="40"/>
        <w:spacing w:after="0" w:line="255" w:lineRule="auto"/>
        <w:rPr>
          <w:sz w:val="20"/>
          <w:szCs w:val="20"/>
          <w:color w:val="auto"/>
        </w:rPr>
      </w:pPr>
      <w:r>
        <w:rPr>
          <w:rFonts w:ascii="Arial" w:cs="Arial" w:eastAsia="Arial" w:hAnsi="Arial"/>
          <w:sz w:val="18"/>
          <w:szCs w:val="18"/>
          <w:color w:val="auto"/>
        </w:rPr>
        <w:t>owns several patents in the area covering various corrosion inhibiting technologies and also applied for new patent applications for proprietary new corrosion inhibiting technologies, to which NTIC and its other joint venture partners in the rest of the world will have rights. NTIC is also seeking additional patent protection covering various host materials into which its corrosion inhibiting additives and other protective features can be incorporated and proprietary new process technologies and chemical formulations outside the area of corrosion protection. NTIC owns several patents outside the area of corrosion protection both in the U.S. and in PCT countries of relevance to NTIC.</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seeking patent protection, NTIC has also pursued protection of its trademarks in North America, South America, both Western and Eastern Europe, and Asia primarily covering countries where NTIC has a joint venture presence. NTIC owns the following U.S. registered trademarks: NTI®, NTI – Globe Design, ZERUST®, EXCOR®, COR TAB®, PLASTABS®, MATCH-TECH®, COR/SCI®, NIC®, Natur-Tec™ and Polymer Energy™. NTIC also has a registered trademark on the use of the color yellow with respect to corrosion inhibiting packaging. In addition, NTIC has applied for six new trademarks in the U.S. The NTI®, ZERUST®, The ZERUST People®, Excor®, Color Yellow, NTI ASEAN®, MATCH-TECH®, Natur-Tec™ and Polymer Energy® marks as well as other marks have also been registered in the European Union with several new applications pending.</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with NTIC will be NTIC’s proprietary intellectual property rights.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NTIC had order backlog of $321,000 as of August 31, 2006 compared to $255,000 as of August 31, 2005. These are orders that are held by NTIC pending release instructions from the customers to be used in just-in-time production. Customers generally place orders on an “as needed” basis and expect delivery within a relatively short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NTIC does not carry excess quantities of raw materials or purchased parts because of widespread availability for such materials and parts from various suppliers.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of August 31, 2006, NTIC had 44 full-time employees located in the United States, consisting of 15 in administration, nine in sales and marketing, 14 in research and development and lab, five in production and one person responsible for international coordination. There are no unions representing NTIC’s employees and NTIC believes that its relations with employees are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report contains not or incorporates by reference only historical information, but also forward-looking statements within the meaning of Section 27A of the Securities Act of 1933, as amended, and Section 21E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90" w:right="279" w:bottom="1440" w:gutter="0" w:footer="0" w:header="0"/>
        </w:sectPr>
      </w:pPr>
    </w:p>
    <w:bookmarkStart w:id="8" w:name="page9"/>
    <w:bookmarkEnd w:id="8"/>
    <w:p>
      <w:pPr>
        <w:spacing w:after="0" w:line="288" w:lineRule="auto"/>
        <w:rPr>
          <w:sz w:val="20"/>
          <w:szCs w:val="20"/>
          <w:color w:val="auto"/>
        </w:rPr>
      </w:pPr>
      <w:r>
        <w:rPr>
          <w:rFonts w:ascii="Arial" w:cs="Arial" w:eastAsia="Arial" w:hAnsi="Arial"/>
          <w:sz w:val="16"/>
          <w:szCs w:val="16"/>
          <w:color w:val="auto"/>
        </w:rPr>
        <w:t>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“might,” “forecast,” “possible,” “potential,” “project,” “will,” “should,” “expect,” “intend,” “plan,” “predict,” “anticipate,” “estimate,” “approximate” or “continue” and other words and terms of similar meaning. These forward-looking statements may be contained in the notes to NTIC’s consolidated financial statements and elsewhere in this report, including under the caption “Management’s Discussion and Analysis of Financial Condition and Results of Operations.”</w:t>
      </w:r>
    </w:p>
    <w:p>
      <w:pPr>
        <w:spacing w:after="0" w:line="17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“Risk Factors.” The risks and uncertainties described under the heading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Annual Reports on Form 10-KSB, Quarterly Reports on Form 10-QSB and Current Reports on Form 8-K NTIC files with or furnishes to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NTIC that could materially adversely affect its business, financial condition or operating results.</w:t>
      </w:r>
    </w:p>
    <w:p>
      <w:pPr>
        <w:spacing w:after="0" w:line="24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Over 20 percent of NTIC’s consolidated net sales, not including corporate joint venture sales, are generated outside of the U.S. and NTIC intends to continue to expand its international operations. NTIC’s international operations require management attention and financial resources and expose NTIC to difficulties presented by international economic, political, legal, accounting and business factors.</w:t>
      </w:r>
    </w:p>
    <w:p>
      <w:pPr>
        <w:spacing w:after="0" w:line="16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NTIC offers direct on-site technical support on rust and corrosion issues in over 50 countries, and operates a marketing, distribution, and technical network through joint ventures in North America, South America, Europe, Asia and the Middle East. NTIC’s consolidated net sales, not including the corporate joint venture sales, outside the United States were 20.3% and 21.7% of its total consolidated net sales for fiscal 2006 and 2005, respectively. One of NTIC’s strategic objectives is to expand its international operations. NTIC has recently entered into joint ventures in Australia, the Ukraine, Thailand and the United Arab Emirates. The expansion of NTIC’s existing international operations and entry into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0" w:right="239" w:bottom="1440" w:gutter="0" w:footer="0" w:header="0"/>
        </w:sectPr>
      </w:pPr>
    </w:p>
    <w:bookmarkStart w:id="9" w:name="page10"/>
    <w:bookmarkEnd w:id="9"/>
    <w:p>
      <w:pPr>
        <w:spacing w:after="0" w:line="306" w:lineRule="auto"/>
        <w:rPr>
          <w:sz w:val="20"/>
          <w:szCs w:val="20"/>
          <w:color w:val="auto"/>
        </w:rPr>
      </w:pPr>
      <w:r>
        <w:rPr>
          <w:rFonts w:ascii="Arial" w:cs="Arial" w:eastAsia="Arial" w:hAnsi="Arial"/>
          <w:sz w:val="16"/>
          <w:szCs w:val="16"/>
          <w:color w:val="auto"/>
        </w:rPr>
        <w:t>additional 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61" w:lineRule="exact"/>
        <w:rPr>
          <w:sz w:val="20"/>
          <w:szCs w:val="20"/>
          <w:color w:val="auto"/>
        </w:rPr>
      </w:pPr>
    </w:p>
    <w:p>
      <w:pPr>
        <w:ind w:left="580" w:right="800" w:hanging="31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18" w:lineRule="exact"/>
        <w:rPr>
          <w:rFonts w:ascii="Arial" w:cs="Arial" w:eastAsia="Arial" w:hAnsi="Arial"/>
          <w:sz w:val="18"/>
          <w:szCs w:val="18"/>
          <w:color w:val="auto"/>
        </w:rPr>
      </w:pPr>
    </w:p>
    <w:p>
      <w:pPr>
        <w:jc w:val="both"/>
        <w:ind w:left="580" w:right="400" w:hanging="312"/>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26" w:lineRule="exact"/>
        <w:rPr>
          <w:rFonts w:ascii="Arial" w:cs="Arial" w:eastAsia="Arial" w:hAnsi="Arial"/>
          <w:sz w:val="18"/>
          <w:szCs w:val="18"/>
          <w:color w:val="auto"/>
        </w:rPr>
      </w:pPr>
    </w:p>
    <w:p>
      <w:pPr>
        <w:ind w:left="580" w:right="160" w:hanging="31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18" w:lineRule="exact"/>
        <w:rPr>
          <w:rFonts w:ascii="Arial" w:cs="Arial" w:eastAsia="Arial" w:hAnsi="Arial"/>
          <w:sz w:val="18"/>
          <w:szCs w:val="18"/>
          <w:color w:val="auto"/>
        </w:rPr>
      </w:pPr>
    </w:p>
    <w:p>
      <w:pPr>
        <w:ind w:left="580" w:hanging="31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that NTIC or its corporate joint ventures may experience internationally;</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57" w:lineRule="exact"/>
        <w:rPr>
          <w:rFonts w:ascii="Arial" w:cs="Arial" w:eastAsia="Arial" w:hAnsi="Arial"/>
          <w:sz w:val="18"/>
          <w:szCs w:val="18"/>
          <w:color w:val="auto"/>
        </w:rPr>
      </w:pPr>
    </w:p>
    <w:p>
      <w:pPr>
        <w:ind w:left="580" w:hanging="31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NTIC cannot assure you that one or more of the factors listed above will not harm its business. Any material decrease in NTIC’s international sales could adversely influence NTIC’s operating results.</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NTIC’s liquidity and financial position rely on dividend distributions from its corporate joint ventures. During fiscal 2006, NTIC received approximately</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$900,000 in dividends received from its corporate joint ventures. Because NTIC typically owns only 50%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consolidated net sales and net earnings.</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90" w:right="279" w:bottom="144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currency exchange rate risk arising from transactions in the normal course of business since NTIC’s fees for technical support and other services and dividend distributions from these foreign entities are paid in foreign currencies. 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Approximately 26.6% of NTIC’s consolidated net sales for the fiscal year ended August 31, 2006 were dependent upon a single customer, the loss of which would adversely affect NTIC’s financial condition and consolidated operating results.</w:t>
      </w:r>
    </w:p>
    <w:p>
      <w:pPr>
        <w:spacing w:after="0" w:line="18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One of NTIC’s North American customers accounted for, in the aggregate, approximately 26.6% of NTIC’s consolidated net sales for the fiscal year ended August 31, 2006. If NTIC were to lose this customer or if this customer were to substantially decrease its purchases of NTIC’s products, NTIC’s financial condition and consolidated operating results would be adversely affected.</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Sarbanes-Oxley Act of 2002 could adversely affect NTIC’s operating results and financial condition.</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 adopted accounting policy FASB Interpretation No. 46R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a revision of FIN 46”</w:t>
      </w:r>
      <w:r>
        <w:rPr>
          <w:rFonts w:ascii="Arial" w:cs="Arial" w:eastAsia="Arial" w:hAnsi="Arial"/>
          <w:sz w:val="16"/>
          <w:szCs w:val="16"/>
          <w:color w:val="auto"/>
        </w:rPr>
        <w:t xml:space="preserve"> effective as of February 28, 2005. As a result of FIN 46R, NTIC consolidated React-NTI LLC, one of its corporate joint ventures that is 75% owned by NTIC. If the interpretation of FIN 46R were to change and NTIC were required to fully consolidate all of its corporate joint ventures or if NTIC’s corporate joint ventures otherwise would be required to be Sarbanes-Oxley compliant,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One of NTIC’s principal stockholders beneficially owns 25.2% of NTIC’s outstanding common stock and is affiliated with NTIC’s President and Chief Executive Officer and thus may be able influence matters requiring stockholder approval and could discourage or otherwise impede a transaction in which a third party wishes to purchase NTIC’s outstanding shares at a premium.</w:t>
      </w:r>
    </w:p>
    <w:p>
      <w:pPr>
        <w:spacing w:after="0" w:line="1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of November 17, 2006, Inter Alia Holding Company beneficially owned approximately 25.2% of NTIC’s outstanding common stock. Inter Alia is an entity owned by, among others, G. Patrick Lynch, NTIC’s President and Chief Executive Officer and a director, and Philip M. Lynch, NTIC’s former Chairman of the Board and Chief Executive Officer and current Chairman Emeritus.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Messrs. G.P. Lynch and Inter Alia may differ from the interests of NTIC’s other stockholders. This concentration of ownership may have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90" w:right="279" w:bottom="1440" w:gutter="0" w:footer="0" w:header="0"/>
        </w:sectPr>
      </w:pPr>
    </w:p>
    <w:bookmarkStart w:id="11" w:name="page12"/>
    <w:bookmarkEnd w:id="11"/>
    <w:p>
      <w:pPr>
        <w:ind w:right="20"/>
        <w:spacing w:after="0" w:line="298" w:lineRule="auto"/>
        <w:rPr>
          <w:sz w:val="20"/>
          <w:szCs w:val="20"/>
          <w:color w:val="auto"/>
        </w:rPr>
      </w:pPr>
      <w:r>
        <w:rPr>
          <w:rFonts w:ascii="Arial" w:cs="Arial" w:eastAsia="Arial" w:hAnsi="Arial"/>
          <w:sz w:val="16"/>
          <w:szCs w:val="16"/>
          <w:color w:val="auto"/>
        </w:rPr>
        <w:t>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8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any future litigation over this trademark, NTIC could be in a more difficult position to enforce its rights to this trademark in other countries and against other third parties. NTIC believes that the loss of its trademark for the color Yellow could have an adverse affect on NTIC’s business.</w:t>
      </w:r>
    </w:p>
    <w:p>
      <w:pPr>
        <w:spacing w:after="0" w:line="16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with which compliance may require NTIC to incur expenses or modify its products or operations and may expose NTIC to penalties for non-compliance. Governmental regulation may also adversely affect the demand for some of NTIC’s products and its operating results.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its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intends to grow its business through additional joint ventures, alliances and acquisitions, which could be risky and could harm its business.</w:t>
      </w:r>
    </w:p>
    <w:p>
      <w:pPr>
        <w:spacing w:after="0" w:line="2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97" w:lineRule="exact"/>
        <w:rPr>
          <w:sz w:val="20"/>
          <w:szCs w:val="20"/>
          <w:color w:val="auto"/>
        </w:rPr>
      </w:pPr>
    </w:p>
    <w:p>
      <w:pPr>
        <w:ind w:left="580" w:hanging="31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0" w:right="239" w:bottom="1440" w:gutter="0" w:footer="0" w:header="0"/>
        </w:sectPr>
      </w:pPr>
    </w:p>
    <w:bookmarkStart w:id="12" w:name="page13"/>
    <w:bookmarkEnd w:id="12"/>
    <w:p>
      <w:pPr>
        <w:ind w:left="580" w:hanging="31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assimilating the operations and products of an acquired business or in realizing projected efficiencies, cost savings and revenue synergies;</w:t>
      </w:r>
    </w:p>
    <w:p>
      <w:pPr>
        <w:spacing w:after="0" w:line="180" w:lineRule="exact"/>
        <w:rPr>
          <w:rFonts w:ascii="Arial" w:cs="Arial" w:eastAsia="Arial" w:hAnsi="Arial"/>
          <w:sz w:val="16"/>
          <w:szCs w:val="16"/>
          <w:color w:val="auto"/>
        </w:rPr>
      </w:pPr>
    </w:p>
    <w:p>
      <w:pPr>
        <w:ind w:left="580" w:right="780" w:hanging="312"/>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18" w:lineRule="exact"/>
        <w:rPr>
          <w:rFonts w:ascii="Arial" w:cs="Arial" w:eastAsia="Arial" w:hAnsi="Arial"/>
          <w:sz w:val="18"/>
          <w:szCs w:val="18"/>
          <w:color w:val="auto"/>
        </w:rPr>
      </w:pPr>
    </w:p>
    <w:p>
      <w:pPr>
        <w:ind w:left="580" w:hanging="31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NTIC’s valuation models;</w:t>
      </w:r>
    </w:p>
    <w:p>
      <w:pPr>
        <w:spacing w:after="0" w:line="157" w:lineRule="exact"/>
        <w:rPr>
          <w:rFonts w:ascii="Arial" w:cs="Arial" w:eastAsia="Arial" w:hAnsi="Arial"/>
          <w:sz w:val="18"/>
          <w:szCs w:val="18"/>
          <w:color w:val="auto"/>
        </w:rPr>
      </w:pPr>
    </w:p>
    <w:p>
      <w:pPr>
        <w:ind w:left="580" w:right="400" w:hanging="312"/>
        <w:spacing w:after="0" w:line="25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acquisition purchase prices, which could in turn restrict our ability to access additional capital when needed or to pursue other important elements of NTIC’s business strategy;</w:t>
      </w:r>
    </w:p>
    <w:p>
      <w:pPr>
        <w:spacing w:after="0" w:line="126" w:lineRule="exact"/>
        <w:rPr>
          <w:rFonts w:ascii="Arial" w:cs="Arial" w:eastAsia="Arial" w:hAnsi="Arial"/>
          <w:sz w:val="18"/>
          <w:szCs w:val="18"/>
          <w:color w:val="auto"/>
        </w:rPr>
      </w:pPr>
    </w:p>
    <w:p>
      <w:pPr>
        <w:ind w:left="580" w:hanging="31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180" w:lineRule="exact"/>
        <w:rPr>
          <w:rFonts w:ascii="Arial" w:cs="Arial" w:eastAsia="Arial" w:hAnsi="Arial"/>
          <w:sz w:val="16"/>
          <w:szCs w:val="16"/>
          <w:color w:val="auto"/>
        </w:rPr>
      </w:pPr>
    </w:p>
    <w:p>
      <w:pPr>
        <w:ind w:left="580" w:right="360" w:hanging="312"/>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also depend in large part on its ability to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employment.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4" w:right="239" w:bottom="1440" w:gutter="0" w:footer="0" w:header="0"/>
        </w:sectPr>
      </w:pPr>
    </w:p>
    <w:bookmarkStart w:id="13" w:name="page14"/>
    <w:bookmarkEnd w:id="13"/>
    <w:p>
      <w:pPr>
        <w:ind w:right="460"/>
        <w:spacing w:after="0" w:line="259"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94"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5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is patents or if it initiates any proceedings to protect its proprietary rights and if the outcome of any such litigation is unfavorable to NTIC, its business and operating results could be materially adversely affected.</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0" w:right="23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t>funding for new products, NTIC cannot assure you that it will be able to continue to do so in the future. Products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NTIC faces intense competition in all of its product lines, including from competitors that have substantially greater resources than NTIC does. NTIC cannot assure you it will be able to compete effectively, which would harm its business and operating results.</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NTIC’s products are sold in highly competitive markets throughout the world. The principal competitive factors in NTIC’s markets are pricing, product innovation, quality and reliability, product support and customer service and reputation. NTIC competes in all of its products with numerous manufacturers, many of who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NTIC cannot assure you that it will be able to compete effectively, which would harm its business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and future changes in securities laws and regulations have increased and are likely to continue to increase our costs.</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Securities and Exchange Commission rules and regulations and American Stock Exchange rules, create challenges and compliance requirements for publicly held companies, including NTIC. NTIC’s efforts to comply with evolving laws, rules,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evaluations of internal control over financial reporting required by Section 404 of the Sarbanes-Oxley Act.</w:t>
      </w:r>
    </w:p>
    <w:p>
      <w:pPr>
        <w:spacing w:after="0" w:line="24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and related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 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90" w:right="299" w:bottom="1440" w:gutter="0" w:footer="0" w:header="0"/>
        </w:sectPr>
      </w:pPr>
    </w:p>
    <w:bookmarkStart w:id="15" w:name="page16"/>
    <w:bookmarkEnd w:id="15"/>
    <w:p>
      <w:pPr>
        <w:ind w:right="20"/>
        <w:spacing w:after="0" w:line="253" w:lineRule="auto"/>
        <w:rPr>
          <w:sz w:val="20"/>
          <w:szCs w:val="20"/>
          <w:color w:val="auto"/>
        </w:rPr>
      </w:pPr>
      <w:r>
        <w:rPr>
          <w:rFonts w:ascii="Arial" w:cs="Arial" w:eastAsia="Arial" w:hAnsi="Arial"/>
          <w:sz w:val="18"/>
          <w:szCs w:val="18"/>
          <w:color w:val="auto"/>
        </w:rPr>
        <w:t>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American Stock Exchange.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American Stock Exchange. If NTIC fails to develop and maintain effective controls and procedures, it may be unable to provide the required financial information in a timely and reliable manner.</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DESCRIPTION OF PROPERTY.</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 recently moved its corporate headquarters. NTIC’s principal executive offices, production facilities and domestic research and development operations are currently located at 4201 Woodland Road, Circle Pines, Minnesota 55014.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3, 2011, bears interest at a fixed rate of 8.01% and is payable in 59 monthly installments equal to approximately $10,775 (inclusive of principal and interest) commencing June 1, 2006. All of the remaining unpaid principal and accrued interest is due and payable on the maturity date. The loan is secured by a first lien on the real estate and building.</w:t>
      </w:r>
    </w:p>
    <w:p>
      <w:pPr>
        <w:spacing w:after="0" w:line="17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Prior to September 6, 2006, NTIC’s principal executive offices, production facilities and domestic research and development operations were located at 6680 North Highway 49, Lino Lakes, Minnesota 55014. 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$733,793 and will be reflected in NTIC’s first quarter fiscal 2007 financial results.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fiscal 1999, a subsidiary of NTIC, NTI Facilities, Inc., acquired a one-third ownership of Omni-Northern Ltd., an Ohio limited liability company, in contemplation of NTI Facilities, Inc.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The property has an approximate value of $2,205,000, based upon the cash-to-mortgage acquisition price of the property paid in fiscal 2000. NTIC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NTIC is involved in a legal action in Finland whereby NTIC sued a Finish company for trademark infringement. The outcome of the legal action is unknown and any potential loss cannot be estimated 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0" w:right="23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t>this time; however, the potential judgment or settlement resulting from the case could have a material impact on NTIC’s financial position or consolidated results of operations. NTIC has put up a deposit of $445,469 that is being held by the courts in Finland against the defendants product that was seized as contraband pending the outcome of the lawsuit.</w:t>
      </w:r>
    </w:p>
    <w:p>
      <w:pPr>
        <w:spacing w:after="0" w:line="19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NTIC is involved in various other legal actions arising in the normal course of business. Management is of the opinion that any judgment or settlement resulting from these pending or threatened actions would not have a material adverse effect on NTIC’s financial position or consolidated results of operations.</w:t>
      </w:r>
    </w:p>
    <w:p>
      <w:pPr>
        <w:spacing w:after="0" w:line="1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matter was submitted to a vote of security holders during the fourth quarter of the fiscal year covered by this report.</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EXECUTIVE OFFICERS OF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NTIC, their ages and the offices held, as of November 17, 2006, are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620" w:type="dxa"/>
            <w:vAlign w:val="bottom"/>
          </w:tcPr>
          <w:p>
            <w:pPr>
              <w:ind w:left="11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80" w:type="dxa"/>
            <w:vAlign w:val="bottom"/>
          </w:tcPr>
          <w:p>
            <w:pPr>
              <w:spacing w:after="0"/>
              <w:rPr>
                <w:sz w:val="15"/>
                <w:szCs w:val="15"/>
                <w:color w:val="auto"/>
              </w:rPr>
            </w:pPr>
          </w:p>
        </w:tc>
        <w:tc>
          <w:tcPr>
            <w:tcW w:w="6480" w:type="dxa"/>
            <w:vAlign w:val="bottom"/>
          </w:tcPr>
          <w:p>
            <w:pPr>
              <w:ind w:left="2660"/>
              <w:spacing w:after="0"/>
              <w:rPr>
                <w:sz w:val="20"/>
                <w:szCs w:val="20"/>
                <w:color w:val="auto"/>
              </w:rPr>
            </w:pPr>
            <w:r>
              <w:rPr>
                <w:rFonts w:ascii="Arial" w:cs="Arial" w:eastAsia="Arial" w:hAnsi="Arial"/>
                <w:sz w:val="14"/>
                <w:szCs w:val="14"/>
                <w:b w:val="1"/>
                <w:bCs w:val="1"/>
                <w:color w:val="auto"/>
              </w:rPr>
              <w:t>Position with NTIC</w:t>
            </w:r>
          </w:p>
        </w:tc>
      </w:tr>
      <w:tr>
        <w:trPr>
          <w:trHeight w:val="95"/>
        </w:trPr>
        <w:tc>
          <w:tcPr>
            <w:tcW w:w="2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r>
      <w:tr>
        <w:trPr>
          <w:trHeight w:val="316"/>
        </w:trPr>
        <w:tc>
          <w:tcPr>
            <w:tcW w:w="2620" w:type="dxa"/>
            <w:vAlign w:val="bottom"/>
          </w:tcPr>
          <w:p>
            <w:pPr>
              <w:spacing w:after="0"/>
              <w:rPr>
                <w:sz w:val="20"/>
                <w:szCs w:val="20"/>
                <w:color w:val="auto"/>
              </w:rPr>
            </w:pPr>
            <w:r>
              <w:rPr>
                <w:rFonts w:ascii="Arial" w:cs="Arial" w:eastAsia="Arial" w:hAnsi="Arial"/>
                <w:sz w:val="18"/>
                <w:szCs w:val="18"/>
                <w:color w:val="auto"/>
              </w:rPr>
              <w:t>G. Patrick Lynch</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39</w:t>
            </w: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2620" w:type="dxa"/>
            <w:vAlign w:val="bottom"/>
          </w:tcPr>
          <w:p>
            <w:pPr>
              <w:spacing w:after="0"/>
              <w:rPr>
                <w:sz w:val="20"/>
                <w:szCs w:val="20"/>
                <w:color w:val="auto"/>
              </w:rPr>
            </w:pPr>
            <w:r>
              <w:rPr>
                <w:rFonts w:ascii="Arial" w:cs="Arial" w:eastAsia="Arial" w:hAnsi="Arial"/>
                <w:sz w:val="18"/>
                <w:szCs w:val="18"/>
                <w:color w:val="auto"/>
              </w:rPr>
              <w:t>Dr. Donald A. Kubik</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66</w:t>
            </w: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Vice Chairman of the Board and Chief Technology Officer</w:t>
            </w:r>
          </w:p>
        </w:tc>
      </w:tr>
      <w:tr>
        <w:trPr>
          <w:trHeight w:val="365"/>
        </w:trPr>
        <w:tc>
          <w:tcPr>
            <w:tcW w:w="2620" w:type="dxa"/>
            <w:vAlign w:val="bottom"/>
          </w:tcPr>
          <w:p>
            <w:pPr>
              <w:spacing w:after="0"/>
              <w:rPr>
                <w:sz w:val="20"/>
                <w:szCs w:val="20"/>
                <w:color w:val="auto"/>
              </w:rPr>
            </w:pPr>
            <w:r>
              <w:rPr>
                <w:rFonts w:ascii="Arial" w:cs="Arial" w:eastAsia="Arial" w:hAnsi="Arial"/>
                <w:sz w:val="18"/>
                <w:szCs w:val="18"/>
                <w:color w:val="auto"/>
              </w:rPr>
              <w:t>Matthew C. Wolsfeld</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32</w:t>
            </w: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G. Patrick Lynch, an employee of NTIC since 1995, has been President since July 2005 and Chief Executive Officer since January 2006 and was appointed a director of NTIC in February 2004. From July 2005 to January 2006, Mr. Lynch served as Chief Operating Officer.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financial and management consulting firm that is a significant stockholder of NTIC. Prior to joining NTIC, Mr. Lynch held positions in sales management for Fuji Electric Co., Ltd. in Tokyo, Japan, and programming project management for BMW AG in Munich, Germany. Mr. Lynch received an M.B.A. degree from the University of Michigan Business School in Ann Arbor, Michigan. Mr. Lynch is the son of Philip M. Lynch, a former Chairman of the Board and current Chairman Emeritus.</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Dr. Donald A. Kubik has been employed by NTIC since 1978, was appointed Vice Chairman of the Board in September 1999 and Chief Technology Officer in May 2000. Dr. Kubik served as Vice President of NTIC from 1979 to September 1999 and as Co-Chief Executive Officer of NTIC from September 1999 to May 2000. Dr. Kubik is responsible for developing the patent that led to NTIC’s introduction of protective plastic film and paper products incorporating volatile corrosion inhibitors. Prior to joining NTIC, Dr. Kubik held a research and development position with Minnesota Mining &amp; Manufacturing Company (3M).</w:t>
      </w:r>
    </w:p>
    <w:p>
      <w:pPr>
        <w:spacing w:after="0" w:line="16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Mr. 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Officers of NTIC, their ages and the offices held, as of November 17, 2006, are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620" w:type="dxa"/>
            <w:vAlign w:val="bottom"/>
          </w:tcPr>
          <w:p>
            <w:pPr>
              <w:ind w:left="11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80" w:type="dxa"/>
            <w:vAlign w:val="bottom"/>
          </w:tcPr>
          <w:p>
            <w:pPr>
              <w:spacing w:after="0"/>
              <w:rPr>
                <w:sz w:val="15"/>
                <w:szCs w:val="15"/>
                <w:color w:val="auto"/>
              </w:rPr>
            </w:pPr>
          </w:p>
        </w:tc>
        <w:tc>
          <w:tcPr>
            <w:tcW w:w="6480" w:type="dxa"/>
            <w:vAlign w:val="bottom"/>
          </w:tcPr>
          <w:p>
            <w:pPr>
              <w:ind w:left="2660"/>
              <w:spacing w:after="0"/>
              <w:rPr>
                <w:sz w:val="20"/>
                <w:szCs w:val="20"/>
                <w:color w:val="auto"/>
              </w:rPr>
            </w:pPr>
            <w:r>
              <w:rPr>
                <w:rFonts w:ascii="Arial" w:cs="Arial" w:eastAsia="Arial" w:hAnsi="Arial"/>
                <w:sz w:val="14"/>
                <w:szCs w:val="14"/>
                <w:b w:val="1"/>
                <w:bCs w:val="1"/>
                <w:color w:val="auto"/>
              </w:rPr>
              <w:t>Position with NTIC</w:t>
            </w:r>
          </w:p>
        </w:tc>
      </w:tr>
      <w:tr>
        <w:trPr>
          <w:trHeight w:val="95"/>
        </w:trPr>
        <w:tc>
          <w:tcPr>
            <w:tcW w:w="2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r>
      <w:tr>
        <w:trPr>
          <w:trHeight w:val="316"/>
        </w:trPr>
        <w:tc>
          <w:tcPr>
            <w:tcW w:w="2620" w:type="dxa"/>
            <w:vAlign w:val="bottom"/>
          </w:tcPr>
          <w:p>
            <w:pPr>
              <w:spacing w:after="0"/>
              <w:rPr>
                <w:sz w:val="20"/>
                <w:szCs w:val="20"/>
                <w:color w:val="auto"/>
              </w:rPr>
            </w:pPr>
            <w:r>
              <w:rPr>
                <w:rFonts w:ascii="Arial" w:cs="Arial" w:eastAsia="Arial" w:hAnsi="Arial"/>
                <w:sz w:val="18"/>
                <w:szCs w:val="18"/>
                <w:color w:val="auto"/>
              </w:rPr>
              <w:t>Prof. Efim Ya. Lyublinski</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69</w:t>
            </w: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Vice President and Director of New Technologies and Applications Engineering</w:t>
            </w:r>
          </w:p>
        </w:tc>
      </w:tr>
      <w:tr>
        <w:trPr>
          <w:trHeight w:val="365"/>
        </w:trPr>
        <w:tc>
          <w:tcPr>
            <w:tcW w:w="2620" w:type="dxa"/>
            <w:vAlign w:val="bottom"/>
          </w:tcPr>
          <w:p>
            <w:pPr>
              <w:spacing w:after="0"/>
              <w:rPr>
                <w:sz w:val="20"/>
                <w:szCs w:val="20"/>
                <w:color w:val="auto"/>
              </w:rPr>
            </w:pPr>
            <w:r>
              <w:rPr>
                <w:rFonts w:ascii="Arial" w:cs="Arial" w:eastAsia="Arial" w:hAnsi="Arial"/>
                <w:sz w:val="18"/>
                <w:szCs w:val="18"/>
                <w:color w:val="auto"/>
              </w:rPr>
              <w:t>Vineet R. Dalal</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37</w:t>
            </w: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Vice President and Director Global Market Development</w:t>
            </w:r>
          </w:p>
        </w:tc>
      </w:tr>
      <w:tr>
        <w:trPr>
          <w:trHeight w:val="365"/>
        </w:trPr>
        <w:tc>
          <w:tcPr>
            <w:tcW w:w="2620" w:type="dxa"/>
            <w:vAlign w:val="bottom"/>
          </w:tcPr>
          <w:p>
            <w:pPr>
              <w:spacing w:after="0"/>
              <w:rPr>
                <w:sz w:val="20"/>
                <w:szCs w:val="20"/>
                <w:color w:val="auto"/>
              </w:rPr>
            </w:pPr>
            <w:r>
              <w:rPr>
                <w:rFonts w:ascii="Arial" w:cs="Arial" w:eastAsia="Arial" w:hAnsi="Arial"/>
                <w:sz w:val="18"/>
                <w:szCs w:val="18"/>
                <w:color w:val="auto"/>
              </w:rPr>
              <w:t>Gautam Ramdas</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33</w:t>
            </w: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Vice President and Director Global Market Development</w:t>
            </w:r>
          </w:p>
        </w:tc>
      </w:tr>
    </w:tbl>
    <w:p>
      <w:pPr>
        <w:spacing w:after="0" w:line="21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(“Prometey”), St. Petersburg, Russia. Prof. Lyublinski also held a Senior Consulting Position with Osmos Technology, Boston, Massachusetts from 1995 to 1999. Prof. Lyublinski holds 18 patents, is responsible for 64 inventions and has authored 14 books, 148 articles and lectured at more than 100 symposiums, conferences and congresses in the areas of materials science and corrosion. Prof. Lyublinski received the following Awards: in 1997, gold medal of the International Exhibition of Patents in Brussels (Belgium). From 1975 to 1986 – three gold, three silver and one bronze medal from the Exhibitions of the Achievements of Russian National Economy.</w:t>
      </w:r>
    </w:p>
    <w:p>
      <w:pPr>
        <w:spacing w:after="0" w:line="1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Vineet R. Dalal, an employee of NTIC since 2004, Vice President and Director – Global Market Development since November 2005. Prior to joining NTIC, Mr. Dalal was a Principal in the Worldwide Product Development Practice of PRTM, a management consultancy to technology based companies.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Business School in Ann Arbor, Michigan. He also holds an M.S. degree in Electrical and Computer Engineering from Oregon State University, and a B.Eng. degree in Electronics Engineering from Karnatak University, India.</w:t>
      </w:r>
    </w:p>
    <w:p>
      <w:pPr>
        <w:spacing w:after="0" w:line="17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Mr. Gautam Ramdas, an employee of NTIC since 2005, is Vice President and Director – Global Market Development.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Business School in Ann Arbor, Michigan. He also holds a bachelor’s degree in Mechanical Engineering from the College of Engineering, Guindy (Chennai), India.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90"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NTIC’s common stock trades on the American Stock Exchange under the symbol NTI. The following table sets forth the high and low sales prices for NTIC’s common stock, as reported by the American Stock Exchange, for the fiscal quarters indicated:</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Fiscal 2005:</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NTIC’s Board of Directors declared a cash dividend to NTIC’s stockholders of record as of December 3, 2004 in the amount of $0.07 per share, NTIC’s Board of Directors has not since declared or paid a cash dividend on NTIC’s common stock. NTIC’s Board of Directors will continue to consider the payment of dividends annually, based on NTIC’s net income and operating cash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2006, there were approximately 310 record holders of NTIC’s common stock. This does not include shares held in street name.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NTIC did not issue any equity securities that were not registered under the Securities Act of 1933, as amended, during the fourth quarter of the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NTIC did not purchase any shares of its common stock or any other equity securities of NTIC during the fourth quarter of the fiscal year covered by this report.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captions “Forward-Looking Statements” and “Risk Factors” in Item 1 of this report. The following discussion of the results of the operations and financial condition of NTIC should be read in conjunction with NTIC’s consolidated financial statements and the related notes thereto included under Part II, Item 7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NTIC focuses on developing, marketing and selling proprietary environmentally responsible materials science based products and technical services directly and via a network of independent distributors, manufacturer sales representatives and joint ventures in over 50 countries. NTIC manufactures, markets and sells primarily rust and corrosion inhibiting products and services for automotive, electronics, electrical, mechanical and military applications, sold under the brand names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EXCOR</w:t>
      </w:r>
      <w:r>
        <w:rPr>
          <w:rFonts w:ascii="Arial" w:cs="Arial" w:eastAsia="Arial" w:hAnsi="Arial"/>
          <w:sz w:val="24"/>
          <w:szCs w:val="24"/>
          <w:color w:val="auto"/>
          <w:vertAlign w:val="superscript"/>
        </w:rPr>
        <w:t>®</w:t>
      </w:r>
      <w:r>
        <w:rPr>
          <w:rFonts w:ascii="Arial" w:cs="Arial" w:eastAsia="Arial" w:hAnsi="Arial"/>
          <w:sz w:val="15"/>
          <w:szCs w:val="15"/>
          <w:color w:val="auto"/>
        </w:rPr>
        <w:t>. NTIC also offers direct, worldwide on-site technical support on rust and corrosion issues. In North America, NTIC markets its</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technical service and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 technical requirements.</w:t>
      </w:r>
    </w:p>
    <w:p>
      <w:pPr>
        <w:spacing w:after="0" w:line="2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participates, either directly or indirectly through holding companies, in approximately 30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bio-based additives with both industrial and personal care applications, plastic recycling technology and electronic sensing instruments.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React-NTI LLC is an industrial chemical corporate joint venture of NTIC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NTIC’s existing industrial customer base, as well as the personal care and cosmetics industry. As of February 28, 2005, NTIC began fully consolidating this 75% owned subsidiary, which was previously accounted for using the equity method.</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 xml:space="preserve">NTIC conducts all foreign transactions based on the U.S. dollar, except for its investments in various foreign corporate joint ventures. The exchange rate differential relating to investments in foreign corporate joint ventures is accounted for under the requirements of SFAS No.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w:t>
      </w:r>
    </w:p>
    <w:p>
      <w:pPr>
        <w:spacing w:after="0" w:line="140"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NTIC’s consolidated net sales increased 12.1% during fiscal 2006 as compared to fiscal 2005 primarily as a result of the increase in demand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of React-NTI products to new and existing customers in North America. Net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increased $1,501,881 to $12,099,187 and net sales of React-NTI products increased $286,411 to $4,505,777 during fiscal 2006 as compared to the same period in fiscal 2005.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0" w:name="page21"/>
    <w:bookmarkEnd w:id="20"/>
    <w:p>
      <w:pPr>
        <w:ind w:right="560"/>
        <w:spacing w:after="0" w:line="268" w:lineRule="auto"/>
        <w:rPr>
          <w:sz w:val="20"/>
          <w:szCs w:val="20"/>
          <w:color w:val="auto"/>
        </w:rPr>
      </w:pPr>
      <w:r>
        <w:rPr>
          <w:rFonts w:ascii="Arial" w:cs="Arial" w:eastAsia="Arial" w:hAnsi="Arial"/>
          <w:sz w:val="18"/>
          <w:szCs w:val="18"/>
          <w:color w:val="auto"/>
        </w:rPr>
        <w:t>Cost of sales as a percentage of net sales increased to 62.3% in fiscal 2006 as compared to 60.5% for fiscal 2005 primarily as a result of an increase in raw material prices, including in particular plastic resins.</w:t>
      </w:r>
    </w:p>
    <w:p>
      <w:pPr>
        <w:spacing w:after="0" w:line="1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Total net sales of all of NTIC’s joint ventures increased 11.9% to $63,959,090 during fiscal 2006 as compared to $57,167,054 during fiscal 2005. NTIC receives fees for technical and other support services it provides to its joint ventures based on the revenues of the individual joint ventures. NTIC recognized increased fee income for such technical and support services in fiscal 2006 as compared to fiscal 2005 as a result of the increase in total net sales of the joint ventures.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increased direct joint venture expenses in fiscal 2006 as compared to fiscal 2005 primarily as a result of a reserve established for the potential future write-off of a note receivable in the amount of $571,000.</w:t>
      </w:r>
    </w:p>
    <w:p>
      <w:pPr>
        <w:spacing w:after="0" w:line="17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NTIC’s working capital was $2,221,334 at August 31, 2006, including $299,117 in cash and cash equivalents. In August 2006, NTIC increased its existing $1,000,000 revolving credit facility with National City Bank to $1,500,000. As of August 31, 2006, NTIC had borrowed $610,000 under the revolving credit facility. Subsequent to August 31, 2006, NTIC borrowed an additional $582,000 under the revolving credit facility bringing the outstanding balance as of November 17, 2006 to $1,192,000. The revolving credit facility expires on January 31, 2007. NTIC intends to renew or replace this facility on or prior to the January 31, 2007 maturity date.</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paid a cash dividend of $0.07 per share, based on fiscal 2004 results, in fiscal 2005. NTIC elected not to pay a dividend in fiscal 2006, based on fiscal 2005 results, or thus far in fiscal 2007, based on fiscal 2006 results, in order to preserve cash and make investments in future operations. NTIC expects to meet its future liquidity requirements during at least the next twelve months by using its existing cash and cash equivalents, forecasted cash flows from future operations, distributions of earnings and technical assistance fees to NTIC from its joint venture investments and funds available through existing or anticipated financing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2006 Compared to Fiscal Year 2005</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sets forth NTIC’s consolidated results of operations for fiscal 2006 and fiscal 2005. These results of operations exclude the impact NTIC’s activities with its joint ventures, other than React-NTIC LLC. As is more fully explained in note 2 to NTIC’s consolidated financial statements, the results of React-NTI LLC are included in the figures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8"/>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8"/>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040" w:type="dxa"/>
            <w:vAlign w:val="bottom"/>
          </w:tcPr>
          <w:p>
            <w:pPr>
              <w:jc w:val="right"/>
              <w:ind w:right="53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80" w:type="dxa"/>
            <w:vAlign w:val="bottom"/>
          </w:tcPr>
          <w:p>
            <w:pPr>
              <w:jc w:val="right"/>
              <w:ind w:right="39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 Sales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16,604,964</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14,816,672</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1,788,292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Cost of sales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10,346,437</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62.3%</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8,967,155</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60.5%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1,379,282</w:t>
            </w:r>
          </w:p>
        </w:tc>
        <w:tc>
          <w:tcPr>
            <w:tcW w:w="2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3,075,072</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2,714,740</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360,332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6"/>
              </w:rPr>
              <w:t>General and administrative expenses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2,795,194</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16.8%</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2,364,667</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16.0%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430,527</w:t>
            </w:r>
          </w:p>
        </w:tc>
        <w:tc>
          <w:tcPr>
            <w:tcW w:w="2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Lab and technical support expenses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296,676</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759,662</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(462,986)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0" w:right="239" w:bottom="1440" w:gutter="0" w:footer="0" w:header="0"/>
        </w:sectPr>
      </w:pPr>
    </w:p>
    <w:bookmarkStart w:id="21" w:name="page22"/>
    <w:bookmarkEnd w:id="21"/>
    <w:p>
      <w:pPr>
        <w:jc w:val="both"/>
        <w:ind w:right="100"/>
        <w:spacing w:after="0" w:line="258"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originating in the United States increased in fiscal 2006 compared to fiscal 2005 primarily as a result of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demand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of React-NTI products to new and existing customers in North America. Net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increased $1,501,881 to $12,099,187 and net sales of React-NTI products increased $286,411 to $4,505,777 in fiscal 2006 as compared to in fiscal 2005.</w:t>
      </w:r>
    </w:p>
    <w:p>
      <w:pPr>
        <w:spacing w:after="0" w:line="188"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Cost of Sales</w:t>
      </w:r>
      <w:r>
        <w:rPr>
          <w:rFonts w:ascii="Arial" w:cs="Arial" w:eastAsia="Arial" w:hAnsi="Arial"/>
          <w:sz w:val="15"/>
          <w:szCs w:val="15"/>
          <w:color w:val="auto"/>
        </w:rPr>
        <w:t>. Cost of sales increased 15.4% in fiscal 2006 compared to fiscal 2005 primarily as a result of the increase in net sales. Cost of sales as a percentage</w:t>
      </w:r>
      <w:r>
        <w:rPr>
          <w:rFonts w:ascii="Arial" w:cs="Arial" w:eastAsia="Arial" w:hAnsi="Arial"/>
          <w:sz w:val="15"/>
          <w:szCs w:val="15"/>
          <w:i w:val="1"/>
          <w:iCs w:val="1"/>
          <w:color w:val="auto"/>
        </w:rPr>
        <w:t xml:space="preserve"> </w:t>
      </w:r>
      <w:r>
        <w:rPr>
          <w:rFonts w:ascii="Arial" w:cs="Arial" w:eastAsia="Arial" w:hAnsi="Arial"/>
          <w:sz w:val="15"/>
          <w:szCs w:val="15"/>
          <w:color w:val="auto"/>
        </w:rPr>
        <w:t>of net sales also increased slightly in fiscal 2006 compared to fiscal 2005 primarily as a result of an increase in raw material prices, primarily plastic resins.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in fiscal 2006 compared in fiscal 2005 primarily as a result of increases in (i) consulting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$145,000, (ii) promotional materials expense of $71,000, (iii) travel expenses of $38,000, (iv) telecommunications expense of $26,000, (v) auto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(vi) salary expense related of $166,000 and (vii) insurance expense of $23,000. These increases were partially offset by decreases in (i) selling expense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related to the sale of React products of $93,000, and (ii) commissions to salespeople and manufacturer’s representatives totaling $63,000. As a percentage of net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sales, selling expenses increased slightly in fiscal 2006 compared to in fiscal 2005, primarily as a result of the changes in spending as described above. Selling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as a percentage of net sales increased in fiscal 2006 compared to in fiscal 2005 primarily as a result of the increased efforts to diversify our existing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lines and new product lines into new markets.</w:t>
      </w:r>
    </w:p>
    <w:p>
      <w:pPr>
        <w:spacing w:after="0" w:line="21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in fiscal 2006 compared to in fiscal 2005 primarily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in (i) salaries and wage expense increases of $118,000, (ii) insurance expense of $132,000, (iii) management bonus of $185,000, (iv) travel expense of $97,000 (v) general and administrative expense related to the sale of React products of $154,000. These increases were partially offset by decreases in (i) legal expense of $68,000 and (ii) directors’ fees and expenses of $113,000, (iii) shipping expense of $32,000 and (iv) telecommunications expense of $29,000. As a percentage of net sales, general and administrative expenses increased slightly in fiscal 2006 compared to in fiscal 2005, primarily as a result of the changes in spending as described above. General and administrative expenses as a percentage of net sales increased in fiscal 2006 compared to in fiscal 2005 primarily as a result of the increased efforts to support the diversification of our new and existing product lines into new markets.</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NTIC’s lab and technical support expenses decreased in fiscal 2006 compared to in fiscal 2005 primarily due to the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of employees from the lab and technical support area to research and development associated with corporate joint venture support, which decreased lab and technical support expenses by $450,000. As a percentage of net sales, lab and technical support expenses decreased in fiscal 2006 compared in fiscal 2005 primarily as a result of the transfer of employees and decrease in spending as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Corporate Joint Ventures and Holding Companies</w:t>
      </w:r>
      <w:r>
        <w:rPr>
          <w:rFonts w:ascii="Arial" w:cs="Arial" w:eastAsia="Arial" w:hAnsi="Arial"/>
          <w:sz w:val="16"/>
          <w:szCs w:val="16"/>
          <w:color w:val="auto"/>
        </w:rPr>
        <w:t>. Net sales of NTIC’s corporate joint ventures in fiscal 2006 and fiscal 2005, excluding React-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NTI LLC, were as follows: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255" w:type="dxa"/>
            <w:vAlign w:val="bottom"/>
          </w:tcPr>
          <w:p>
            <w:pPr>
              <w:jc w:val="right"/>
              <w:ind w:right="296"/>
              <w:spacing w:after="0"/>
              <w:rPr>
                <w:sz w:val="20"/>
                <w:szCs w:val="20"/>
                <w:color w:val="auto"/>
              </w:rPr>
            </w:pPr>
            <w:r>
              <w:rPr>
                <w:rFonts w:ascii="Arial" w:cs="Arial" w:eastAsia="Arial" w:hAnsi="Arial"/>
                <w:sz w:val="14"/>
                <w:szCs w:val="14"/>
                <w:b w:val="1"/>
                <w:bCs w:val="1"/>
                <w:color w:val="auto"/>
              </w:rPr>
              <w:t>Fiscal 2006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2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2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400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62,266,618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55,606,933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Non-industrial chemical</w:t>
            </w:r>
          </w:p>
        </w:tc>
        <w:tc>
          <w:tcPr>
            <w:tcW w:w="39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1,342,472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1,210,121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Business consulting</w:t>
            </w:r>
          </w:p>
        </w:tc>
        <w:tc>
          <w:tcPr>
            <w:tcW w:w="390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2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12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2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63,959,090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57,167,054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900" w:type="dxa"/>
            <w:vAlign w:val="bottom"/>
            <w:vMerge w:val="restart"/>
          </w:tcPr>
          <w:p>
            <w:pPr>
              <w:jc w:val="right"/>
              <w:ind w:right="1972"/>
              <w:spacing w:after="0"/>
              <w:rPr>
                <w:sz w:val="20"/>
                <w:szCs w:val="20"/>
                <w:color w:val="auto"/>
              </w:rPr>
            </w:pPr>
            <w:r>
              <w:rPr>
                <w:rFonts w:ascii="Arial" w:cs="Arial" w:eastAsia="Arial" w:hAnsi="Arial"/>
                <w:sz w:val="18"/>
                <w:szCs w:val="18"/>
                <w:color w:val="auto"/>
              </w:rPr>
              <w:t>21</w:t>
            </w:r>
          </w:p>
        </w:tc>
        <w:tc>
          <w:tcPr>
            <w:tcW w:w="105" w:type="dxa"/>
            <w:vAlign w:val="bottom"/>
            <w:tcBorders>
              <w:bottom w:val="single" w:sz="8" w:color="auto"/>
            </w:tcBorders>
          </w:tcPr>
          <w:p>
            <w:pPr>
              <w:spacing w:after="0"/>
              <w:rPr>
                <w:sz w:val="11"/>
                <w:szCs w:val="11"/>
                <w:color w:val="auto"/>
              </w:rPr>
            </w:pPr>
          </w:p>
        </w:tc>
        <w:tc>
          <w:tcPr>
            <w:tcW w:w="12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05" w:type="dxa"/>
            <w:vAlign w:val="bottom"/>
          </w:tcPr>
          <w:p>
            <w:pPr>
              <w:spacing w:after="0"/>
              <w:rPr>
                <w:sz w:val="24"/>
                <w:szCs w:val="24"/>
                <w:color w:val="auto"/>
              </w:rPr>
            </w:pPr>
          </w:p>
        </w:tc>
        <w:tc>
          <w:tcPr>
            <w:tcW w:w="125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-368935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-368935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-368935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-368935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-368935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-368935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ind w:right="100"/>
        <w:spacing w:after="0" w:line="268" w:lineRule="auto"/>
        <w:rPr>
          <w:sz w:val="20"/>
          <w:szCs w:val="20"/>
          <w:color w:val="auto"/>
        </w:rPr>
      </w:pPr>
      <w:r>
        <w:rPr>
          <w:rFonts w:ascii="Arial" w:cs="Arial" w:eastAsia="Arial" w:hAnsi="Arial"/>
          <w:sz w:val="18"/>
          <w:szCs w:val="18"/>
          <w:color w:val="auto"/>
        </w:rPr>
        <w:t>NTIC had equity in income of corporate joint ventures and holding companies of $2,713,096 in fiscal 2006 compared to $1,968,777 in fiscal 2005. The increase in equity in income was due to the significant increase in profitability from the corporate joint ventures as a whole.</w:t>
      </w:r>
    </w:p>
    <w:p>
      <w:pPr>
        <w:spacing w:after="0" w:line="18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NTIC receives fees for technical and other support services it provides to its corporate joint ventures based on the revenues of the individual corporate joint ventures. NTIC recognized fee income for such support of $4,695,124 in fiscal 2006 compared to $4,136,913 in fiscal 2005. The increase in fees for technical and other support to its corporate joint ventures was due to the significant increase in total net sales of the corporate joint ventures.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54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of corporate joint ventures, excluding React-NTI LLC</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63,959,090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57,167,054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6,792,036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NTIC’s fee income for technical and other support services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4,695,124</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4,136,913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558,211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NTIC’s direct expenses incurred related to corporate joint ventures and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 companies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5,481,757</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4,977,375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504,382</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NTIC sponsors a worldwide corporate joint venture conference approximately every three to four years in which all of its corporate joint ventures are invited to participate. The most recent conference was in August 2005 and the next corporate joint venture conference is scheduled to be held in 2008. NTIC defers a portion of its technical and other support fees received from its corporate joint ventures in each accounting period leading up to the conference, reflecting that NTIC has not fully earned the payments received during that period. There was $96,000 of deferred income recorded within other accrued liabilities at August 31, 2006. The costs associated with these joint venture conferences are offset against the deferral as incurred, generally in the period in which the conference is held and immediately before.</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$5,481,757 in fiscal 2006 compared to $4,977,375 in fiscal 2005. These expenses include: product and business development, consulting, travel, establishment of a reserve on a note receivable,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NTIC acquired certain rights. The increase in direct expenses incurred relating to NTIC’s corporate joint ventures and holding companies in fiscal 2006 compared to in fiscal 2005 was attributable to increases in (i) expenses related to the transfer of employees from the lab and technical support area to research and development associated with corporate joint venture support of $450,000 (ii) amortization expense of $81,000 and (iii) establishment of a reserve for a note receivable of $571,000. These increase were partially offset by decreases in (i) legal fees of $33,000, (ii) insurance expense of $128,000, (iii) travel expenses of $91,000, (iv) loan forgiveness of $96,000 and (v) consulting fees of $271,000. As a percentage of net sales, direct expenses incurred relating to NTIC’s corporate joint ventures and holding companies decreased in fiscal 2006 compared to in fiscal 2005, primarily as a result of the changes in spending as described above.</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$34,251 in fiscal 2006 compared to $96,282 for fiscal 2005 primarily as a result of lower average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balances and fewer notes receivable in fiscal 2006.</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$94,751 in fiscal 2006 compared to $36,090 for fiscal 2005 as a result of higher average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NTIC’s revolving line of credit in fiscal 2006 compared to in fiscal 2005 and the entering into of the term note in May 2005 in connection with NTIC’s purchase of the real estate and building for its new corporate headquarters.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increased to $1,973,065 in fiscal 2006 compared to $1,209,281 in fiscal 2005.</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Income tax expense for fiscal 2006 and 2005 was calculated based on management’s estimate of NTIC’s annual effective income tax rate. NTIC’s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effective income tax rate for fiscal 2006 is lower than the statutory rate primarily due to NTIC’s equity in income of corporate joint ventures being recognized for book purposes based on our share of after-tax earnings of these entities. For tax purposes, to the extent joint ventures’ undistributed earnings are distributed to NTIC, it is not expected to result in any material additional income tax liability after the application of foreign tax credits.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2005 Compared to Fiscal Year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results of operations for fiscal 2005 and fiscal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98"/>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8"/>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1040" w:type="dxa"/>
            <w:vAlign w:val="bottom"/>
          </w:tcPr>
          <w:p>
            <w:pPr>
              <w:jc w:val="right"/>
              <w:ind w:right="53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320" w:type="dxa"/>
            <w:vAlign w:val="bottom"/>
          </w:tcPr>
          <w:p>
            <w:pPr>
              <w:jc w:val="right"/>
              <w:ind w:right="51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Net Sales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14,816,672</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13,942,271</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874,401</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8,967,155</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60.5%</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7,801,807</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56.0%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1,165,348</w:t>
            </w: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2,714,740</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3,053,831</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(339,091)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2,364,667</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2,484,799</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(120,132)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759,662</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663,346</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96,316</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originating in the United States increased in fiscal 2005 compared to fiscal 2004 primarily as a result of the increase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sales of React-NTI to its existing customers in North America. Net sales of React-NTI increased $1,192,771 to $4,219,366 for fiscal 2005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$3,026,595 for fiscal 2004. Net sales of NTIC’s traditional Zerust product line decreased $318,370 in fiscal 2005 to $10,597,306 compared to $10,915,676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2004.</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14.9% in fiscal 2005 compared to fiscal 2004 primarily as a result of the increase in net sales. Cost of sales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net sales also increased in fiscal 2005 compared to fiscal 2004 primarily as a result of the increase in net sales of React-NTI products that have lower gross profit margins than NTIC’s corrosion inhibiting products in fiscal 2005 compared to fiscal 2004.</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decreased in fiscal 2005 compared to fiscal 2004 primarily as a result of a combination of decreased travel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of $53,000, trade show expenses of $17,000, sales promotion materials of $28,000 and commissions to salespeople and commissions to manufacturer’s representatives of $73,000, offset by increases related to sales consulting payments of $30,000 and advertising expenses of $14,000. Additionally, selling expense related to React NTI decreased $233,000. Selling expenses as a percentage of net sales decreased in fiscal 2005 compared to fiscal 2004 primarily as a result of decreased travel and associated expenses, which NTIC reduced as a cost control measure.</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decreased for fiscal 2005 compared to fiscal 2004 primarily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decreases related to reduction in education expense of $45,000, travel of $26,000, outside consulting of $62,000, offset by increases in Sarbanes-Oxley consulting fees of $35,000. Additionally, General and Administrative expenses related to React NTI decreased by $47,000. As a percentage of net sales, general and administrative expenses decreased for fiscal 2005 compared to fiscal 2004 primarily as a result of the decrease in spending as described above.</w:t>
      </w:r>
    </w:p>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increased in fiscal 2005 compared to fiscal 2004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salaries of $216,000, offset by decreases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0" w:right="239" w:bottom="1440" w:gutter="0" w:footer="0" w:header="0"/>
        </w:sectPr>
      </w:pPr>
    </w:p>
    <w:bookmarkStart w:id="24" w:name="page25"/>
    <w:bookmarkEnd w:id="24"/>
    <w:p>
      <w:pPr>
        <w:ind w:right="100"/>
        <w:spacing w:after="0" w:line="259" w:lineRule="auto"/>
        <w:rPr>
          <w:sz w:val="20"/>
          <w:szCs w:val="20"/>
          <w:color w:val="auto"/>
        </w:rPr>
      </w:pPr>
      <w:r>
        <w:rPr>
          <w:rFonts w:ascii="Arial" w:cs="Arial" w:eastAsia="Arial" w:hAnsi="Arial"/>
          <w:sz w:val="18"/>
          <w:szCs w:val="18"/>
          <w:color w:val="auto"/>
        </w:rPr>
        <w:t>travel of $75,000, and consulting of $40,000. NTIC increased its spending on lab and technical support in an effort to support its increased sales network and better serve its existing customers and joint ventures. As a percentage of net sales, lab and technical support expenses increased slightly in fiscal 2005 compared to fiscal 2004 primarily as a result of the increase in expenses.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Corporate Joint Ventures and Holding Companies</w:t>
      </w:r>
      <w:r>
        <w:rPr>
          <w:rFonts w:ascii="Arial" w:cs="Arial" w:eastAsia="Arial" w:hAnsi="Arial"/>
          <w:sz w:val="16"/>
          <w:szCs w:val="16"/>
          <w:color w:val="auto"/>
        </w:rPr>
        <w:t>. Net sales of NTIC’s corporate joint ventures in fiscal 2005 and fiscal 2004, excluding React-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NTI LLC, were as follows: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296"/>
              <w:spacing w:after="0"/>
              <w:rPr>
                <w:sz w:val="20"/>
                <w:szCs w:val="20"/>
                <w:color w:val="auto"/>
              </w:rPr>
            </w:pPr>
            <w:r>
              <w:rPr>
                <w:rFonts w:ascii="Arial" w:cs="Arial" w:eastAsia="Arial" w:hAnsi="Arial"/>
                <w:sz w:val="14"/>
                <w:szCs w:val="14"/>
                <w:b w:val="1"/>
                <w:bCs w:val="1"/>
                <w:color w:val="auto"/>
              </w:rPr>
              <w:t>Fiscal 2005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55,606,933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42,664,235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Non-industrial chemical</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1,210,121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Business consulting</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57,167,054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44,121,671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-29210</wp:posOffset>
            </wp:positionV>
            <wp:extent cx="185674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6740" cy="29845"/>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NTIC had equity in income of corporate joint ventures and holding companies of $1,968,777 in fiscal 2005 compared to $1,521,074 in fiscal 2004. The increase in equity in income was due to the significant increase in profitability from the corporate joint ventures as a whole.</w:t>
      </w:r>
    </w:p>
    <w:p>
      <w:pPr>
        <w:spacing w:after="0" w:line="18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NTIC receives fees for technical and other support services it provides to its corporate joint ventures based on the revenues of the individual corporate joint ventures. NTIC recognized fee income for such support of $4,136,913 in fiscal 2005 compared to $3,621,353 in fiscal 2004. The increase in fees for technical and other support to its corporate joint ventures was due to the significant increase in total net sales of the corporate joint ventures.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4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of corporate joint ventures, excluding React-NTI LLC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57,167,054</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44,121,671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13,045,383</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NTIC’s fee income for technical and other support services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4,136,913</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3,621,353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515,560</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NTIC’s direct expenses incurred related to corporate joint ventures and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 companies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4,977,375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4,038,678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938,697</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There was $74,702 of deferred royalty income recorded within other accrued liabilities at August 31, 2005, related to NTIC’s worldwide corporate joint venture conference. Total expenses incurred in connection with the September 2005 conference as of August 31, 2005 were $331,423. The costs associated with these joint venture conferences are recognized as incurred, generally in the period in which the conference is held and immediately before.</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$4,977,375 in fiscal 2005 compared to $4,038,678 in fiscal 2004.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connection with the filing of patent applications. The increase in such direct expenses in fiscal 2005 compared to fiscal 2004 was attributable to increases in management and coordinator salaries of $150,000, Inter Alia expense reimbursement of $195,000, group insurance of $70,000, travel expense of $134,000, testing of $95,000, legal of $50,000, loan forgiveness to existing corporate joint ventures of $97,000 and external consulting services of $134,000.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0" w:right="239" w:bottom="1440" w:gutter="0" w:footer="0" w:header="0"/>
        </w:sectPr>
      </w:pPr>
    </w:p>
    <w:bookmarkStart w:id="25" w:name="page26"/>
    <w:bookmarkEnd w:id="25"/>
    <w:p>
      <w:pPr>
        <w:ind w:right="120"/>
        <w:spacing w:after="0" w:line="268" w:lineRule="auto"/>
        <w:rPr>
          <w:sz w:val="20"/>
          <w:szCs w:val="20"/>
          <w:color w:val="auto"/>
        </w:rPr>
      </w:pPr>
      <w:r>
        <w:rPr>
          <w:rFonts w:ascii="Arial" w:cs="Arial" w:eastAsia="Arial" w:hAnsi="Arial"/>
          <w:sz w:val="18"/>
          <w:szCs w:val="18"/>
          <w:color w:val="auto"/>
        </w:rPr>
        <w:t>Such increased expenses derived from NTIC’s efforts to establish new corporate joint ventures and build up the technical support for the existing corporate joint ventures out of the Beachwood, Ohio location.</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$96,282 in fiscal 2005 compared to $63,734 for fiscal 2004 primarily as a result of higher average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balances in fiscal 2005.</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$36,090 in fiscal 2005 compared to $0 for fiscal 2004 as a result of NTIC’s use of its revolving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in fiscal 2005.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Taxes</w:t>
      </w:r>
      <w:r>
        <w:rPr>
          <w:rFonts w:ascii="Arial" w:cs="Arial" w:eastAsia="Arial" w:hAnsi="Arial"/>
          <w:sz w:val="16"/>
          <w:szCs w:val="16"/>
          <w:color w:val="auto"/>
        </w:rPr>
        <w:t>. Income before income taxes decreased $16,034 to $1,209,281 in fiscal 2005 compared to $1,225,315 in fiscal 2004.</w:t>
      </w: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fiscal 2005 and 2004 was calculated based on management’s estimate of NTIC’s annual effective income tax rate. NTIC’s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effective income tax rate for fiscal 2005 is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2006, NTIC’s working capital was $2,221,334, including $299,117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$2,697,693, including $327,458 in cash and cash equivalents, as of August 31, 2005.</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 increased its revolving credit facility from $1,000,000 to $1,500,000 in August 2006. The facility expires on January 31, 2007. Outstanding amounts under the revolving credit facility bear interest at an annual rate based on LIBOR plus 2.25%. As of August 31, 2006, the interest rate was 7.58%, and the average for the year ended August 31, 2006 was 6.98%. Amounts borrowed under the facility are collateralized by a lien on substantially all of NTIC’s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 consent. NTIC is in compliance with all covenants under the revolving credit facility. The facility contains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 judgments entered against NTIC; and a sale of material assets. If an event of default occurs and is continuing, the lender may, among other things, terminate its obligations thereunder and require NTIC to repay all amounts thereunder. As of August 31, 2006, $610,000 was outstanding under the facility. NTIC has the right to prepay the facility at any time without premium or penalty. NTIC has borrowed $582,000 on the revolving credit facility subsequent to August 31, 2006, to bring the balance as of November 17, 2006 to $1,192,000. The line of credit is subject to a borrowing base calculation and at August 31, 2006, NTIC had $890,000 available.</w:t>
      </w:r>
    </w:p>
    <w:p>
      <w:pPr>
        <w:spacing w:after="0" w:line="182"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NTIC believes that a combination of its existing cash and cash equivalents, funds available through existing or anticipated financing arrangements and forecasted cash flows, will continue to be adequate to fund its operations, capital expenditures, debt repayments and stock repurchases for at least the next twelve months.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90" w:right="27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Cash flows provided by operations during fiscal 2006 was $855,467, which resulted principally from net income after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of depreciation and amortization expense and the write-off of a certain note receivable, as well as an increase in accrued liabilities and a decrease in inventories, all offset by equity income of corporate joint ventures, trade excluding corporate joint ventures and an increase in prepaid expenses. Cash flows used in operations during fiscal 2005 was $1,363,175, which resulted principally from net income, depreciation and amortization expense, accounts payable and technical receivables from corporate joint ventures being offset by equity income of corporate joint ventures, trade excluding corporate joint ventures, inventories and accrued liabilities.</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cash used in investing activities during fiscal 2006 was $1,669,020, which resulted from additions to property and equipment and industrial patents, offset by dividends received from corporate joint ventures and cash received on loans. Net cash provided by investing activities during fiscal 2005 was $244,663, which resulted from dividends received from corporate joint ventures, offset by loans made, investments in corporate joint ventures and additions to property and equipment and industrial patents.</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cash provided by financing activities during fiscal 2006 was $785,212, which resulted primarily from the borrowings on a term loan, exercising of stock options and bank overdrafts, offset by the payoff of the note payable and repayments on the line of credit. Net cash provided by financing activities during fiscal 2005 was $783,952, which resulted primarily from borrowing on the line of credit, partially offset by dividends paid to stockholders.</w:t>
      </w:r>
    </w:p>
    <w:p>
      <w:pPr>
        <w:spacing w:after="0" w:line="161"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has no material lease commitments as of August 31, 2006,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 NTIC has no postretirement benefit plan and does not anticipate establishing any postretirement benefit program.</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NTIC recently moved its corporate headquarters.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3, 2011, bears interest at a fixed rate of 8.01% and is payable in 59 monthly installments equal to approximately $10,775 (inclusive of principal and interest) commencing June 1, 2006. All of the remaining unpaid principal and accrued interest is due and payable on the maturity date. The loan is secured by a first lien on the real estate and building.</w:t>
      </w:r>
    </w:p>
    <w:p>
      <w:pPr>
        <w:spacing w:after="0" w:line="19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NTIC sold the real property and building in which NTIC’s former Lino Lakes corporate headquarters was located for a purchase price of $870,000 on September 8, 2006 . The net book value of the building held for sale was $89,636 and the closing costs and fees associated with the sale of the property was $46,571. The gain on sale of the property was $733,793 and will be reflected in NTIC’s first quarter fiscal 2007 financial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90" w:right="279" w:bottom="1440" w:gutter="0" w:footer="0" w:header="0"/>
        </w:sectPr>
      </w:pPr>
    </w:p>
    <w:bookmarkStart w:id="27" w:name="page28"/>
    <w:bookmarkEnd w:id="27"/>
    <w:p>
      <w:pPr>
        <w:ind w:right="160"/>
        <w:spacing w:after="0" w:line="256"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NTIC’s revolving credit facility bears interest at a rate based on LIBOR and thus may subject NTIC to some market risk on interest rates. $610,000 was outstanding under this facility as of August 31,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18 to NTIC’s consolidated financial statements for related party transaction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$10,772,102 and $8,622,361 as of August 31, 2006 and 2005,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consolidated financial statements include the accounts of Northern Technologies International Corporation, its wholly owned subsidiaries, NTI Facilities, Inc. and Northern Technologies Holding Company, LLC, and React-NTI LLC. All significant intercompany transactions and balances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A deterioration in the financial condition of any key customer or a significant slow 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$10,000 and $13,085 at August 31, 2006 and August 31, 2005,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r>
        <w:rPr>
          <w:rFonts w:ascii="Arial" w:cs="Arial" w:eastAsia="Arial" w:hAnsi="Arial"/>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9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accordance with Accounting Principles Board (APB) Opinion No. 25 and related interpretations, NTIC uses the intrinsic value-based method for measuring stock-based compensation cost which measures compensation cost as the excess, if any, of quoted market price of NTIC’s common stock at the grant date over the amount the employee must pay for the stock. NTIC’s general policy is to grant stock options at fair value at the date of grant. NTIC did not recognize any expense in its consolidated financial statements as all option grants were made at fair market value. Options and warrants issued to non-employees are recorded at fair value, as required by Statement of Financial Accounting Standards (SFAS) No. 123, “Accounting for Stock-Based Compensation”, using the Black-Scholes pricing method.</w:t>
      </w:r>
    </w:p>
    <w:p>
      <w:pPr>
        <w:spacing w:after="0" w:line="19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December 2002, the Financial Accounting Standards Board (FASB) issued Statement of Financial Accounting Standards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NTIC adopted the annual disclosure provision of SFAS No. 148 during the fiscal year ended August 31, 2004. NTIC chose not to adopt the voluntary change to the fair value based method of accounting for stock-based employee compensation, pursuant to SFAS No. 148.</w:t>
      </w:r>
    </w:p>
    <w:p>
      <w:pPr>
        <w:spacing w:after="0" w:line="198"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NTIC has adopted the disclosure-only provisions of SFAS No. 148, Accounting for Stock-Based Compensation. Accordingly, no compensation cost has been recognized with respect to stock options. Had compensation cost for stock options been determined based on the fair value methodology prescribed by SFAS 123, NTIC’s net loss and net loss per share would have been reduced to the pro forma amounts set forth in note 3 to NTIC’s consolidated financial statements.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2004, FASB issued SFAS No. 123 (revised 2004), “Share-Based Payment”, that focuses primarily on accounting for transactions in which an entity obtains employee services in share-based payment transactions. This statement replaces SFAS No. 123, “Accounting for Stock-Based Compensation”, and supersedes APB Opinion No. 25, “Accounting for Stock Issued to Employees.” Beginning with NTIC’s quarterly period that begins September 1, 2006, NTIC will be required to expense the fair value of employee stock options and similar awards. As a public company, NTIC is allowed to select from two alternative transition methods, each having different reporting implications. The impact of SFAS No. 123R on NTIC’s consolidated financial statements has not been determined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59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890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2"/>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60" w:type="dxa"/>
            <w:vAlign w:val="bottom"/>
            <w:gridSpan w:val="6"/>
          </w:tcPr>
          <w:p>
            <w:pPr>
              <w:jc w:val="center"/>
              <w:ind w:right="14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9740" w:type="dxa"/>
            <w:vAlign w:val="bottom"/>
            <w:gridSpan w:val="8"/>
          </w:tcPr>
          <w:p>
            <w:pPr>
              <w:spacing w:after="0"/>
              <w:rPr>
                <w:sz w:val="20"/>
                <w:szCs w:val="20"/>
                <w:color w:val="auto"/>
              </w:rPr>
            </w:pPr>
            <w:r>
              <w:rPr>
                <w:rFonts w:ascii="Arial" w:cs="Arial" w:eastAsia="Arial" w:hAnsi="Arial"/>
                <w:sz w:val="18"/>
                <w:szCs w:val="18"/>
                <w:color w:val="auto"/>
              </w:rPr>
              <w:t>The following items are included herein:</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80"/>
        </w:trPr>
        <w:tc>
          <w:tcPr>
            <w:tcW w:w="9740" w:type="dxa"/>
            <w:vAlign w:val="bottom"/>
            <w:gridSpan w:val="8"/>
          </w:tcPr>
          <w:p>
            <w:pPr>
              <w:spacing w:after="0"/>
              <w:rPr>
                <w:sz w:val="20"/>
                <w:szCs w:val="20"/>
                <w:color w:val="auto"/>
              </w:rPr>
            </w:pPr>
            <w:r>
              <w:rPr>
                <w:rFonts w:ascii="Arial" w:cs="Arial" w:eastAsia="Arial" w:hAnsi="Arial"/>
                <w:sz w:val="14"/>
                <w:szCs w:val="14"/>
                <w:b w:val="1"/>
                <w:bCs w:val="1"/>
                <w:color w:val="auto"/>
              </w:rPr>
              <w:t>Financial Statements:</w:t>
            </w:r>
          </w:p>
        </w:tc>
        <w:tc>
          <w:tcPr>
            <w:tcW w:w="112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95"/>
        </w:trPr>
        <w:tc>
          <w:tcPr>
            <w:tcW w:w="308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77"/>
        </w:trPr>
        <w:tc>
          <w:tcPr>
            <w:tcW w:w="974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Report of Independent Registered Public Accounting Firm</w:t>
              </w:r>
            </w:hyperlink>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96"/>
        </w:trPr>
        <w:tc>
          <w:tcPr>
            <w:tcW w:w="9740" w:type="dxa"/>
            <w:vAlign w:val="bottom"/>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Consolidated Balance Sheets as of August 31, 2006 and 2005</w:t>
              </w:r>
            </w:hyperlink>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96"/>
        </w:trPr>
        <w:tc>
          <w:tcPr>
            <w:tcW w:w="58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Consolidated Statements of Income for the years ended August 31, 2006 and 2005</w:t>
              </w:r>
            </w:hyperlink>
          </w:p>
        </w:tc>
        <w:tc>
          <w:tcPr>
            <w:tcW w:w="3940" w:type="dxa"/>
            <w:vAlign w:val="bottom"/>
            <w:gridSpan w:val="3"/>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67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Statements of Stockholders’ Equity for the years ended August 31, 2006 and 2005</w:t>
              </w:r>
            </w:hyperlink>
          </w:p>
        </w:tc>
        <w:tc>
          <w:tcPr>
            <w:tcW w:w="2980" w:type="dxa"/>
            <w:vAlign w:val="bottom"/>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61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Consolidated Statements of Cash Flows for the years ended August 31, 2006 and 2005</w:t>
              </w:r>
            </w:hyperlink>
          </w:p>
        </w:tc>
        <w:tc>
          <w:tcPr>
            <w:tcW w:w="3640" w:type="dxa"/>
            <w:vAlign w:val="bottom"/>
            <w:gridSpan w:val="2"/>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74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Notes to Consolidated Financial Statements</w:t>
              </w:r>
            </w:hyperlink>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36-53</w:t>
            </w:r>
          </w:p>
        </w:tc>
      </w:tr>
      <w:tr>
        <w:trPr>
          <w:trHeight w:val="451"/>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3020" w:type="dxa"/>
            <w:vAlign w:val="bottom"/>
            <w:gridSpan w:val="4"/>
          </w:tcPr>
          <w:p>
            <w:pPr>
              <w:jc w:val="right"/>
              <w:ind w:right="300"/>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40"/>
          </w:cols>
          <w:pgMar w:left="240" w:top="949" w:right="219" w:bottom="1440" w:gutter="0" w:footer="0" w:header="0"/>
        </w:sectPr>
      </w:pPr>
    </w:p>
    <w:bookmarkStart w:id="31" w:name="page32"/>
    <w:bookmarkEnd w:id="31"/>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&amp; Subsidiaries</w:t>
      </w:r>
    </w:p>
    <w:p>
      <w:pPr>
        <w:spacing w:after="0" w:line="21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audited the accompanying consolidated balance sheets of Northern Technologies International Corporation and Subsidiaries (the “Company”) as of August 31, 2006 and 2005, and the related consolidated statements of income, stockholders’ equity and cash flows for the years then ended. These consolidated financial statements are the responsibility of the company’s management. Our responsibility is to express an opinion on these consolidated financial statements based on our audits. We did not audit the financial statements of certain Company joint ventures, as described in Note 8, the investments in which are accounted for by the equity method of accounting. The investments in these joint ventures was $4,237,954 and $3,232,697 as of August 31, 2006 and 2005, respectively, and the equity in their net income was $1,192,927 and $557,434, respectively for the years then ended. The financial statements of these joint ventures were audited by other auditors whose reports have been furnished to us, and our opinion, in insofar as it relates to the amounts included for the joint ventures is based solely on the report of the other auditors.</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and the reports of the other auditors provide a reasonable basis for our opinion.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based on our audits and the reports of the other auditors, the consolidated financial statements referred to above present fairly, in all material respects, the financial position of the Company as of August 31, 2006 and 2005 and the results of their operations and their cash flows for the years then ended,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Virchow, Krause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6,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2" w:name="page33"/>
    <w:bookmarkEnd w:id="32"/>
    <w:p>
      <w:pPr>
        <w:ind w:right="4320"/>
        <w:spacing w:after="0" w:line="27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 AUGUST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155" w:type="dxa"/>
            <w:vAlign w:val="bottom"/>
          </w:tcPr>
          <w:p>
            <w:pPr>
              <w:jc w:val="right"/>
              <w:ind w:right="253"/>
              <w:spacing w:after="0"/>
              <w:rPr>
                <w:sz w:val="20"/>
                <w:szCs w:val="20"/>
                <w:color w:val="auto"/>
              </w:rPr>
            </w:pPr>
            <w:r>
              <w:rPr>
                <w:rFonts w:ascii="Arial" w:cs="Arial" w:eastAsia="Arial" w:hAnsi="Arial"/>
                <w:sz w:val="14"/>
                <w:szCs w:val="14"/>
                <w:b w:val="1"/>
                <w:bCs w:val="1"/>
                <w:color w:val="auto"/>
              </w:rPr>
              <w:t>August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Trade excluding corporate joint ventures, less allowance for doubtful accounts of $10,000 &amp;</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$13,085 at August 31, 2006 &amp; 2005, respectively</w:t>
            </w:r>
          </w:p>
        </w:tc>
        <w:tc>
          <w:tcPr>
            <w:tcW w:w="125" w:type="dxa"/>
            <w:vAlign w:val="bottom"/>
            <w:shd w:val="clear" w:color="auto" w:fill="CCEEFF"/>
          </w:tcPr>
          <w:p>
            <w:pPr>
              <w:spacing w:after="0"/>
              <w:rPr>
                <w:sz w:val="19"/>
                <w:szCs w:val="19"/>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1,772,568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Trade corporate joint ventures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598,162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Technical and other services, corporate joint ventures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333,819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233,648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current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6,210,109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PROPERTY AND EQUIPMENT,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3,430,573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Investments in corporate joint ventures: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chemical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10,397,463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Industrial non-chemical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374,639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Notes receivable and foreign deposit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497,179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1,522,922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 from employee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Industrial patents and trademarks,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996,592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375,199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13,629,948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LIABILITIES: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Bank overdrafts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Borrowings made on line of credit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610,000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portion of notes payable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1,775,926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1,284,784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Payroll and related benefits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1,056,556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joint venture royalties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94,179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current liabilities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NOTES PAYABLE, NET OF CURRENT PORTION</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1,240,848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1060"/>
              <w:spacing w:after="0"/>
              <w:rPr>
                <w:sz w:val="20"/>
                <w:szCs w:val="20"/>
                <w:color w:val="auto"/>
              </w:rPr>
            </w:pPr>
            <w:r>
              <w:rPr>
                <w:rFonts w:ascii="Arial" w:cs="Arial" w:eastAsia="Arial" w:hAnsi="Arial"/>
                <w:sz w:val="18"/>
                <w:szCs w:val="18"/>
                <w:color w:val="auto"/>
              </w:rPr>
              <w:t>3,618,993 and 3,589,993, respectively</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72,380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Retained earnings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12,895,574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11,176,509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17,985,753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-3648075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-3648075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-3648075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-3648075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-3648075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-3648075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68" w:right="239" w:bottom="1440" w:gutter="0" w:footer="0" w:header="0"/>
          <w:type w:val="continuous"/>
        </w:sectPr>
      </w:pPr>
    </w:p>
    <w:bookmarkStart w:id="33" w:name="page34"/>
    <w:bookmarkEnd w:id="33"/>
    <w:p>
      <w:pPr>
        <w:ind w:right="432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INCOME YEARS ENDED AUGUST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16,604,964</w:t>
            </w:r>
          </w:p>
        </w:tc>
        <w:tc>
          <w:tcPr>
            <w:tcW w:w="18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14,816,672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10,346,437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6,258,527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Selling</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3,075,072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2,795,194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2,364,667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Lab and technical support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6,166,942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NORTH AMERICAN OPERATING INCOME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CORPORATE JOINT VENTURES AND HOLDING COMPANIES: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Equity in income of industrial chemical corporate joint ventures and holding companies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2,678,901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of industrial non-chemical corporate joint ventures and holding companies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Fees for technical support and other services provided to corporate joint ventures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4,695,124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4,136,913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Expenses incurred in support of corporate joint ventures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(5,481,757)</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(4,977,375)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 HOLDING COMPANIES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1,926,463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34,251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(94,751)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254,000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3,603,340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3,584,085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3,630,677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COMMON SHARE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8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gridSpan w:val="2"/>
          </w:tcPr>
          <w:p>
            <w:pPr>
              <w:jc w:val="right"/>
              <w:ind w:right="267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-1964055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-1964055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-1964055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-1964055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-1964055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-1964055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-1663700</wp:posOffset>
            </wp:positionV>
            <wp:extent cx="176212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212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-1226185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-1226185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-1226185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-1226185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-1226185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-1226185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-926465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-926465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-926465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-926465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-926465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-926465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ind w:right="432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STOCKHOLDERS’ EQUITY AUGUST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w w:val="83"/>
              </w:rPr>
              <w:t>Common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restart"/>
          </w:tcPr>
          <w:p>
            <w:pPr>
              <w:jc w:val="right"/>
              <w:ind w:right="257"/>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restart"/>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vMerge w:val="restart"/>
          </w:tcPr>
          <w:p>
            <w:pPr>
              <w:jc w:val="right"/>
              <w:ind w:right="357"/>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140" w:type="dxa"/>
            <w:vAlign w:val="bottom"/>
            <w:vMerge w:val="restart"/>
          </w:tcPr>
          <w:p>
            <w:pPr>
              <w:jc w:val="center"/>
              <w:ind w:right="7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37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57"/>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2004,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Restated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3,581,992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71,640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4,105,564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10,233,967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310,889</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14,722,060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w w:val="93"/>
              </w:rPr>
              <w:t>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 - $.07 per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(250,739)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Comprehensive income, 2005:</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1,193,281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1,193,281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2005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3,589,993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71,800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11,176,509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w w:val="93"/>
              </w:rPr>
              <w:t>580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132,540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2006: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Foreign currency translation adj.</w:t>
            </w:r>
          </w:p>
        </w:tc>
        <w:tc>
          <w:tcPr>
            <w:tcW w:w="14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310,687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2006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3,618,993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72,380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12,895,574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745,164</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508952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89525"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5" w:name="page36"/>
    <w:bookmarkEnd w:id="35"/>
    <w:p>
      <w:pPr>
        <w:ind w:right="432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YEARS ENDED AUGUST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17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1,719,065</w:t>
            </w:r>
          </w:p>
        </w:tc>
        <w:tc>
          <w:tcPr>
            <w:tcW w:w="180" w:type="dxa"/>
            <w:vAlign w:val="bottom"/>
          </w:tcPr>
          <w:p>
            <w:pPr>
              <w:spacing w:after="0"/>
              <w:rPr>
                <w:sz w:val="18"/>
                <w:szCs w:val="18"/>
                <w:color w:val="auto"/>
              </w:rPr>
            </w:pP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1,193,281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Depreciation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199,011</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207,437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160,381</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(12,284)</w:t>
            </w: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(10,326)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Reserve of notes receivable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571,179</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Equity in (income) loss from corporate joint ventures: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chemical</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(2,678,901)</w:t>
            </w: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(1,937,230)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Industrial non-chemical</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(34,195)</w:t>
            </w: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(341,000)</w:t>
            </w: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Deferred gross profit</w:t>
            </w: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joint venture royalties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Change in current assets and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Trade excluding corporate joint ventures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218,021</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(321,324)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Trade corporate joint ventures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(147,319)</w:t>
            </w: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(264,066)</w:t>
            </w: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139,875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183,200</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169,816</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(336,257)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(84,010)</w:t>
            </w: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Employee note receivable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25,437</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25,215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491,142</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658,692</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(576,987)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855,467</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joint ventures: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Industrial chemical</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(143,091)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received from corporate joint ventures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899,042</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made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Cash received on loans made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454,564</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509,267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(2,908,938)</w:t>
            </w: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(Increase) Decrease in other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8,068</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(74,365)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industrial patents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63,211</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Additions to industrial patents</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(159,967)</w:t>
            </w:r>
          </w:p>
        </w:tc>
        <w:tc>
          <w:tcPr>
            <w:tcW w:w="130" w:type="dxa"/>
            <w:vAlign w:val="bottom"/>
          </w:tcPr>
          <w:p>
            <w:pPr>
              <w:spacing w:after="0"/>
              <w:rPr>
                <w:sz w:val="19"/>
                <w:szCs w:val="19"/>
                <w:color w:val="auto"/>
              </w:rPr>
            </w:pPr>
          </w:p>
        </w:tc>
        <w:tc>
          <w:tcPr>
            <w:tcW w:w="1270" w:type="dxa"/>
            <w:vAlign w:val="bottom"/>
            <w:gridSpan w:val="2"/>
          </w:tcPr>
          <w:p>
            <w:pPr>
              <w:jc w:val="right"/>
              <w:ind w:right="60"/>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(1,669,020)</w:t>
            </w: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Bank overdraft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328,804</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7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notes payable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Repayment of note payable</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(561,712)</w:t>
            </w:r>
          </w:p>
        </w:tc>
        <w:tc>
          <w:tcPr>
            <w:tcW w:w="130" w:type="dxa"/>
            <w:vAlign w:val="bottom"/>
          </w:tcPr>
          <w:p>
            <w:pPr>
              <w:spacing w:after="0"/>
              <w:rPr>
                <w:sz w:val="18"/>
                <w:szCs w:val="18"/>
                <w:color w:val="auto"/>
              </w:rPr>
            </w:pPr>
          </w:p>
        </w:tc>
        <w:tc>
          <w:tcPr>
            <w:tcW w:w="127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made on line of credit (repayments)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(390,000)</w:t>
            </w: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Stock options exercised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133,120</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34,691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785,212</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(28,341)</w:t>
            </w:r>
          </w:p>
        </w:tc>
        <w:tc>
          <w:tcPr>
            <w:tcW w:w="13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327,458</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662,038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299,117</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68" w:right="239" w:bottom="1440" w:gutter="0" w:footer="0" w:header="0"/>
          <w:type w:val="continuous"/>
        </w:sectPr>
      </w:pPr>
    </w:p>
    <w:bookmarkStart w:id="36" w:name="page37"/>
    <w:bookmarkEnd w:id="36"/>
    <w:p>
      <w:pPr>
        <w:ind w:right="424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YEARS ENDED AUGUST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31"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i w:val="1"/>
          <w:iCs w:val="1"/>
          <w:color w:val="auto"/>
        </w:rPr>
        <w:t xml:space="preserve">Nature of Business </w:t>
      </w:r>
      <w:r>
        <w:rPr>
          <w:rFonts w:ascii="Arial" w:cs="Arial" w:eastAsia="Arial" w:hAnsi="Arial"/>
          <w:sz w:val="15"/>
          <w:szCs w:val="15"/>
          <w:color w:val="auto"/>
        </w:rPr>
        <w:t>– Northern Technologies International Corporation and Subsidiaries (the Company) develops, manufactures, markets and sells primarily rust</w:t>
      </w:r>
      <w:r>
        <w:rPr>
          <w:rFonts w:ascii="Arial" w:cs="Arial" w:eastAsia="Arial" w:hAnsi="Arial"/>
          <w:sz w:val="15"/>
          <w:szCs w:val="15"/>
          <w:i w:val="1"/>
          <w:iCs w:val="1"/>
          <w:color w:val="auto"/>
        </w:rPr>
        <w:t xml:space="preserve"> </w:t>
      </w:r>
      <w:r>
        <w:rPr>
          <w:rFonts w:ascii="Arial" w:cs="Arial" w:eastAsia="Arial" w:hAnsi="Arial"/>
          <w:sz w:val="15"/>
          <w:szCs w:val="15"/>
          <w:color w:val="auto"/>
        </w:rPr>
        <w:t>and corrosion protection products and custom packaging systems for primarily automotive, electronics, electrical, mechanical and military applications, sold</w:t>
      </w:r>
    </w:p>
    <w:p>
      <w:pPr>
        <w:ind w:right="20"/>
        <w:spacing w:after="0" w:line="267" w:lineRule="auto"/>
        <w:rPr>
          <w:sz w:val="20"/>
          <w:szCs w:val="20"/>
          <w:color w:val="auto"/>
        </w:rPr>
      </w:pPr>
      <w:r>
        <w:rPr>
          <w:rFonts w:ascii="Arial" w:cs="Arial" w:eastAsia="Arial" w:hAnsi="Arial"/>
          <w:sz w:val="16"/>
          <w:szCs w:val="16"/>
          <w:color w:val="auto"/>
        </w:rPr>
        <w:t>under the brand name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Excor</w:t>
      </w:r>
      <w:r>
        <w:rPr>
          <w:rFonts w:ascii="Arial" w:cs="Arial" w:eastAsia="Arial" w:hAnsi="Arial"/>
          <w:sz w:val="26"/>
          <w:szCs w:val="26"/>
          <w:color w:val="auto"/>
          <w:vertAlign w:val="superscript"/>
        </w:rPr>
        <w:t>®</w:t>
      </w:r>
      <w:r>
        <w:rPr>
          <w:rFonts w:ascii="Arial" w:cs="Arial" w:eastAsia="Arial" w:hAnsi="Arial"/>
          <w:sz w:val="16"/>
          <w:szCs w:val="16"/>
          <w:color w:val="auto"/>
        </w:rPr>
        <w:t>. The Company sells its products, as well as technical services, directly and via a network of independent distributors, manufacturer sales representatives and joint ventures in over 50 countries. The Company participates, either directly or indirectly through holding companies, in approximately 30 corporate joint venture arrangements in North America, South America, Europe, Asia and the Middle East. Each of these joint ventures manufactures, markets and sells finished products generally in the countries to which it is assigned. While most of the Company’s joint ventures currently sell rust and corrosion inhibiting products and custom packaging systems, the Company also has joint ventures that manufacture, market and sell bio-based additives with both industrial and personal care applications, plastic recycling technology and electronic sensing instruments.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Sales Originating in North America </w:t>
      </w:r>
      <w:r>
        <w:rPr>
          <w:rFonts w:ascii="Arial" w:cs="Arial" w:eastAsia="Arial" w:hAnsi="Arial"/>
          <w:sz w:val="18"/>
          <w:szCs w:val="18"/>
          <w:color w:val="auto"/>
        </w:rPr>
        <w:t>– The Company considers sales originating in North America to be all sales shipped/invoiced from the Company’s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Minnesota and Ohio. There are no sales from the Corporate Joint Ventures included in the amount as the Company’s investments in Corporate Joint Ventures are accounted for using the equity method.</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The Company reviews customers’ credit history before extending unsecured credit and establishes an allowance for uncollectible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factors surrounding the credit risk of specific customers and other information. Accounts receivable over 30 days are considered past due for most customers. The Company does not accrue interest on past due accounts receivable. If accounts receivable in excess of the provided allowance are determined uncollectible, they are charged to expense in the year that determination is made. Accounts receivable have been reduced by an allowance for uncollectible accounts of $10,000 and $13,085 on August 31, 2006 and 2005,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lives of the various assets as follows:</w:t>
      </w:r>
    </w:p>
    <w:p>
      <w:pPr>
        <w:sectPr>
          <w:pgSz w:w="11900" w:h="16838" w:orient="portrait"/>
          <w:cols w:equalWidth="0" w:num="1">
            <w:col w:w="11340"/>
          </w:cols>
          <w:pgMar w:left="240" w:top="368" w:right="319" w:bottom="1440" w:gutter="0" w:footer="0" w:header="0"/>
        </w:sectPr>
      </w:pPr>
    </w:p>
    <w:p>
      <w:pPr>
        <w:spacing w:after="0" w:line="18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Buildings and improvements</w:t>
      </w:r>
    </w:p>
    <w:p>
      <w:pPr>
        <w:spacing w:after="0" w:line="3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Machinery and equipment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5-20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3-10 years</w:t>
      </w:r>
    </w:p>
    <w:p>
      <w:pPr>
        <w:spacing w:after="0" w:line="211" w:lineRule="exact"/>
        <w:rPr>
          <w:sz w:val="20"/>
          <w:szCs w:val="20"/>
          <w:color w:val="auto"/>
        </w:rPr>
      </w:pPr>
    </w:p>
    <w:p>
      <w:pPr>
        <w:sectPr>
          <w:pgSz w:w="11900" w:h="16838" w:orient="portrait"/>
          <w:cols w:equalWidth="0" w:num="2">
            <w:col w:w="6420" w:space="720"/>
            <w:col w:w="4200"/>
          </w:cols>
          <w:pgMar w:left="240" w:top="368" w:right="319" w:bottom="1440" w:gutter="0" w:footer="0" w:header="0"/>
          <w:type w:val="continuous"/>
        </w:sectPr>
      </w:pPr>
    </w:p>
    <w:p>
      <w:pPr>
        <w:spacing w:after="0" w:line="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Investments in Corporate Joint Ventures </w:t>
      </w:r>
      <w:r>
        <w:rPr>
          <w:rFonts w:ascii="Arial" w:cs="Arial" w:eastAsia="Arial" w:hAnsi="Arial"/>
          <w:sz w:val="18"/>
          <w:szCs w:val="18"/>
          <w:color w:val="auto"/>
        </w:rPr>
        <w:t>- Investments in Corporate Joint Ventures are accounted for using the equity method. Intercompany profits on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held by the Corporate Joint Ventures that were purchased from the Company have been eliminated based on the Company’s ownership percentage in each corporate joint venture.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368" w:right="319" w:bottom="1440" w:gutter="0" w:footer="0" w:header="0"/>
          <w:type w:val="continuous"/>
        </w:sectPr>
      </w:pPr>
    </w:p>
    <w:bookmarkStart w:id="37" w:name="page38"/>
    <w:bookmarkEnd w:id="37"/>
    <w:p>
      <w:pPr>
        <w:ind w:right="40"/>
        <w:spacing w:after="0" w:line="370" w:lineRule="auto"/>
        <w:rPr>
          <w:sz w:val="20"/>
          <w:szCs w:val="20"/>
          <w:color w:val="auto"/>
        </w:rPr>
      </w:pPr>
      <w:r>
        <w:rPr>
          <w:rFonts w:ascii="Arial" w:cs="Arial" w:eastAsia="Arial" w:hAnsi="Arial"/>
          <w:sz w:val="15"/>
          <w:szCs w:val="15"/>
          <w:color w:val="auto"/>
        </w:rPr>
        <w:t>Periodically, the Company evaluates the investments for any impairment and assesses the future cash flow projections to determine if there are any going concern issues. If an investment were determined to be impaired then a reserve would be created to reflect the impairment on the financial results of the Company.</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may not be recoverable. The Company determines potential impairment by comparing the carrying value of the assets with expected net cash flows expected to be provided by operating activities of the business or related products. Should the sum of the expected undiscounted future net cash flows are less than the carrying value, the Company would determine whether an impairment loss should be recognized. An impairment loss would be measured by comparing the amount by which the carrying value exceeds the fair value of the asset. For the years ended August 31, 2006 and 2005, the Company did not record any impairment charges.</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Northern Technologies International Corporation,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NTI Facilities, Inc. and Northern Technologies Holding Company, LLC, and its 75% owned subsidiary React NTI LLC. All significant intercompany transactions and balances have been eliminated in consolidation.</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utilizes the liability method of accounting for income taxes as set forth in Statement of Financial Accounting Standards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109, Accounting for Income Taxes. SFAS No. 109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each international corporate joint venture is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9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recognizing revenue, the Company applies the provisions of the Securities and Exchange Commission Staff Accounting Bulletin 104,</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Recognition. The Company recognizes revenue from the sale of its products when persuasive evidence of an arrangement exists, the product has been delivered, the fee is fixed and determinable and collection of the resulting receivable is reasonably assured</w:t>
      </w:r>
    </w:p>
    <w:p>
      <w:pPr>
        <w:spacing w:after="0" w:line="16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sales.</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The Company expenses all costs related to product research and development as incurred. The Company spent $2,043,611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2006 and $1,292,143 in fiscal 2005 in connection with its research and development activities. These fees are accounted for in the “Expenses incurred in support of corporate joint ventures” section of the income statement.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90" w:right="259" w:bottom="1440" w:gutter="0" w:footer="0" w:header="0"/>
        </w:sectPr>
      </w:pPr>
    </w:p>
    <w:bookmarkStart w:id="38" w:name="page39"/>
    <w:bookmarkEnd w:id="38"/>
    <w:p>
      <w:pPr>
        <w:spacing w:after="0" w:line="256"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The Financial Accounting Standards Board (FASB) has published FIN No. 48 (FIN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to address the noncomparability in reporting tax assets and liabilities resulting from a lack of specific guidance in FASB No. 109 (SFAS No. 109), Accounting for Income Taxes, on the uncertainty in income taxes recognized in an enterprise’s financial statements. Specifically, FIN No. 48 prescribes (a) a consistent recognition threshold and (b) a measurement attribute for the financial statement recognition and measurement of a tax position taken or expected to be taken in a tax return, and provides related guidance on derecognition, classification, interest and penalties, accounting in interim periods, disclosure, and transition. FIN No. 48 will apply to fiscal years beginning after December 15, 2006, with earlier adoption permitted. The Company does not expect the adoption of FIN No. 48 to have a material effect on its consolidated financial statements.</w:t>
      </w:r>
    </w:p>
    <w:p>
      <w:pPr>
        <w:spacing w:after="0" w:line="17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The FASB has issued Statement of Financial Accounting Standards (SFAS) SFAS No. 157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to eliminate the diversity in practice that exists due to the different definitions of fair value and the limited guidance for applying those definitions in GAAP that are dispersed among the many accounting pronouncements that require fair value measurements. SFAS No. 157 retains the exchange price notion in earlier definitions of fair value, but clarifies that the exchange price is the price in an orderly transaction between market participants to sell an asset or liability in the principal or most advantageous market for the asset or liability. Moreover, the SFAS states that the transaction is hypothetical at the measurement date, considered from the perspective of the market participant who holds the asset or liability. Consequently, fair value is defined as the price that would be received to sell an asset or paid to transfer a liability in an orderly transaction between market participants at the measurement date (an exit price), as opposed to the price that would be paid to acquire the asset or received to assume the liability at the measurement date (an entry price).</w:t>
      </w:r>
    </w:p>
    <w:p>
      <w:pPr>
        <w:spacing w:after="0" w:line="17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SFAS No. 157 also stipulates that, as a market-based measurement, fair value measurement should be determined based on the assumptions that market participants would use in pricing the asset or liability, and establishes a fair value hierarchy that distinguishes between (a) market participant assumptions developed based on market data obtained from sources independent of the reporting entity (observable inputs) and (b) the reporting entity’s own assumptions about market participant assumptions developed based on the best information available in the circumstances (unobservable inputs). Finally, SFAS No. 157 expands disclosures about the use of fair value to measure assets and liabilities in interim and annual periods subsequent to initial recognition. Entities are encouraged to combine the fair value information disclosed under SFAS No. 157 with the fair value information disclosed under other accounting pronouncements, including SFAS No. 107, Disclosures about Fair Value of Financial Instruments, where practicable. The guidance in this Statement applies for derivatives and other financial instruments measured at fair value under SFAS No. 133, Accounting for Derivative Instruments and Hedging Activities, at initial recognition and in all subsequent periods.</w:t>
      </w:r>
    </w:p>
    <w:p>
      <w:pPr>
        <w:spacing w:after="0" w:line="1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SFAS No. 157 is effective for financial statements issued for fiscal years beginning after November 15, 2007, and interim periods within those fiscal years, although earlier application is encouraged. Additionally, prospective application of the provisions of SFAS No. 157 is required as of the beginning of the fiscal year in which it is initially applied, except when certain circumstances require retrospective application. The Company is currently evaluating the evaluating the effect of adopting SFAS No. 157 on their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0" w:right="239" w:bottom="1440" w:gutter="0" w:footer="0" w:header="0"/>
        </w:sectPr>
      </w:pPr>
    </w:p>
    <w:bookmarkStart w:id="39" w:name="page40"/>
    <w:bookmarkEnd w:id="39"/>
    <w:p>
      <w:pPr>
        <w:spacing w:after="0" w:line="286" w:lineRule="auto"/>
        <w:rPr>
          <w:sz w:val="20"/>
          <w:szCs w:val="20"/>
          <w:color w:val="auto"/>
        </w:rPr>
      </w:pPr>
      <w:r>
        <w:rPr>
          <w:rFonts w:ascii="Arial" w:cs="Arial" w:eastAsia="Arial" w:hAnsi="Arial"/>
          <w:sz w:val="16"/>
          <w:szCs w:val="16"/>
          <w:color w:val="auto"/>
        </w:rPr>
        <w:t xml:space="preserve">The FASB has issued SFAS No. 158 (SFAS No. 158), </w:t>
      </w:r>
      <w:r>
        <w:rPr>
          <w:rFonts w:ascii="Arial" w:cs="Arial" w:eastAsia="Arial" w:hAnsi="Arial"/>
          <w:sz w:val="16"/>
          <w:szCs w:val="16"/>
          <w:i w:val="1"/>
          <w:iCs w:val="1"/>
          <w:color w:val="auto"/>
        </w:rPr>
        <w:t>Employers’ Accounting for Defined Benefit Pension and Other Postretirement Plans</w:t>
      </w:r>
      <w:r>
        <w:rPr>
          <w:rFonts w:ascii="Arial" w:cs="Arial" w:eastAsia="Arial" w:hAnsi="Arial"/>
          <w:sz w:val="16"/>
          <w:szCs w:val="16"/>
          <w:color w:val="auto"/>
        </w:rPr>
        <w:t>, to require an employer to fully recognize the obligations associated with single-employer defined benefit pension, retiree healthcare, and other postretirement plans in their financial statements. Previous standards required an employer to disclose the complete funded status of its plan only in the notes to the financial statements. Moreover, because those standards allowed an employer to delay recognition of certain changes in plan assets and obligations that affected the costs of providing benefits, employers reported an asset or liability that almost always differed from the plan’s funded status. Under SFAS No. 158, a defined benefit postretirement plan sponsor that is a public or private company or a nongovernmental not-for-profit organization must (a) recognize in its statement of financial position an asset for a plan’s overfunded status or a liability for the plan’s underfunded status, (b) measure the plan’s assets and its obligations that determine its funded status as of the end of the employer’s fiscal year (with limited exceptions), and (c) recognize, as a component of other comprehensive income, the changes in the funded status of the plan that arise during the year but are not recognized as components of net periodic benefit cost pursuant to SFAS No. 87, Employers’ Accounting for Pensions, or SFAS No. 106, Employers’ Accounting for Postretirement Benefits Other Than Pensions. SFAS No. 158 also requires an employer to disclose in the notes to financial statements additional information on how delayed recognition of certain changes in the funded status of a defined benefit postretirement plan affects net periodic benefit cost for the next fiscal year. The Company is evaluating the effect of adopting SFAS No. 158 on their consolidated financial statements.</w:t>
      </w:r>
    </w:p>
    <w:p>
      <w:pPr>
        <w:spacing w:after="0" w:line="16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accordance with Accounting Principles Board (APB) Opinion No. 25 and related interpretations, the Company uses the intrinsic value-based method for measuring stock-based compensation cost, which measures compensation cost as the excess, if any, of quoted market price of the Company’s common stock at the grant date over the amount the employee must pay for the stock. The Company’s general policy is to grant stock options at fair value at the date of grant. The Company did not recognize any expense in the financial statements as they were all issued at fair market value. Options and warrants issued to non-employees are recorded at fair value, as required by SFAS No. 123, “Accounting for Stock-Based Compensation”, using the Black-Scholes pricing method.</w:t>
      </w:r>
    </w:p>
    <w:p>
      <w:pPr>
        <w:spacing w:after="0" w:line="17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The Company adopted the annual disclosure provision of SFAS No. 148 during the fiscal year ended August 31, 2003. The Company chose to not adopt the voluntary change to the fair value based method of accounting for stock-based employee compensation, pursuant to SFAS No. 148.</w:t>
      </w:r>
    </w:p>
    <w:p>
      <w:pPr>
        <w:spacing w:after="0" w:line="17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has adopted the disclosure-only provisions of SFAS No. 148, Accounting for Stock-Based Compensation. Accordingly, no compensation cost has been recognized with respect to stock options. Had compensation cost for stock options been determined based on the fair value methodology prescribed by SFAS 123, the Company’s net income and net income per common share would have been reduced to the pro forma amounts indicated below: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90" w:right="279" w:bottom="1440" w:gutter="0" w:footer="0" w:header="0"/>
        </w:sectPr>
      </w:pPr>
    </w:p>
    <w:bookmarkStart w:id="40" w:name="page41"/>
    <w:bookmarkEnd w:id="40"/>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56"/>
              <w:spacing w:after="0"/>
              <w:rPr>
                <w:sz w:val="20"/>
                <w:szCs w:val="20"/>
                <w:color w:val="auto"/>
              </w:rPr>
            </w:pPr>
            <w:r>
              <w:rPr>
                <w:rFonts w:ascii="Arial" w:cs="Arial" w:eastAsia="Arial" w:hAnsi="Arial"/>
                <w:sz w:val="14"/>
                <w:szCs w:val="14"/>
                <w:b w:val="1"/>
                <w:bCs w:val="1"/>
                <w:color w:val="auto"/>
              </w:rPr>
              <w:t>August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1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1,719,065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1,193,281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 forma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1,683,432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 forma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Stock-based compensation, net: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35,633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As noted above, accounting principles require the Company to show, on a pro forma basis, the Company’s net income as if it recorded an expense for stock options at the time of grant. Other than disclosure in this footnote, the Company does not use these pro forma results for any purpose.</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August 31,</w:t>
            </w: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60" w:type="dxa"/>
            <w:vAlign w:val="bottom"/>
          </w:tcPr>
          <w:p>
            <w:pPr>
              <w:jc w:val="right"/>
              <w:ind w:right="41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60" w:type="dxa"/>
            <w:vAlign w:val="bottom"/>
          </w:tcPr>
          <w:p>
            <w:pPr>
              <w:jc w:val="right"/>
              <w:ind w:right="439"/>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2004, FASB issued SFAS No. 123 (revised 2004), “Share-Based Payment”, that focuses primarily on accounting for transactions in which an entity obtains employee services in share-based payment transactions. This statement replaces SFAS No. 123, “Accounting for Stock-Based Compensation”, and supersedes APB Opinion No. 25, “Accounting for Stock Issued to Employees.”</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Beginning with the Company’s fiscal quarter that begins September 1, 2006, the Company will be required to expense the fair value of employee stock options and similar awards. As a public company, the Company is allowed to select from two alternative transition methods, each having different reporting implications. The anticipated impact of SFAS No. 123R on the Company’s consolidated operating results has not been determined at this time</w:t>
      </w:r>
      <w:r>
        <w:rPr>
          <w:rFonts w:ascii="Arial" w:cs="Arial" w:eastAsia="Arial" w:hAnsi="Arial"/>
          <w:sz w:val="16"/>
          <w:szCs w:val="16"/>
          <w:b w:val="1"/>
          <w:bCs w:val="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b w:val="1"/>
                <w:bCs w:val="1"/>
                <w:color w:val="auto"/>
              </w:rPr>
              <w:t>4.</w:t>
            </w:r>
          </w:p>
        </w:tc>
        <w:tc>
          <w:tcPr>
            <w:tcW w:w="3820" w:type="dxa"/>
            <w:vAlign w:val="bottom"/>
            <w:gridSpan w:val="2"/>
          </w:tcPr>
          <w:p>
            <w:pPr>
              <w:ind w:left="220"/>
              <w:spacing w:after="0"/>
              <w:rPr>
                <w:sz w:val="20"/>
                <w:szCs w:val="20"/>
                <w:color w:val="auto"/>
              </w:rPr>
            </w:pPr>
            <w:r>
              <w:rPr>
                <w:rFonts w:ascii="Arial" w:cs="Arial" w:eastAsia="Arial" w:hAnsi="Arial"/>
                <w:sz w:val="18"/>
                <w:szCs w:val="18"/>
                <w:b w:val="1"/>
                <w:bCs w:val="1"/>
                <w:color w:val="auto"/>
              </w:rPr>
              <w:t>INVENTORIES</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40"/>
              <w:spacing w:after="0"/>
              <w:rPr>
                <w:sz w:val="20"/>
                <w:szCs w:val="20"/>
                <w:color w:val="auto"/>
              </w:rPr>
            </w:pPr>
            <w:r>
              <w:rPr>
                <w:rFonts w:ascii="Arial" w:cs="Arial" w:eastAsia="Arial" w:hAnsi="Arial"/>
                <w:sz w:val="14"/>
                <w:szCs w:val="14"/>
                <w:b w:val="1"/>
                <w:bCs w:val="1"/>
                <w:color w:val="auto"/>
              </w:rPr>
              <w:t>August 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0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52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353,516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Finished goods</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1,024,437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1,336,056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960" w:type="dxa"/>
            <w:vAlign w:val="bottom"/>
            <w:vMerge w:val="restart"/>
          </w:tcPr>
          <w:p>
            <w:pPr>
              <w:jc w:val="right"/>
              <w:ind w:right="1252"/>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-368935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-368935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-368935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-368935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-368935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-368935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80"/>
          </w:cols>
          <w:pgMar w:left="240" w:top="357" w:right="279" w:bottom="1440" w:gutter="0" w:footer="0" w:header="0"/>
        </w:sectPr>
      </w:pPr>
    </w:p>
    <w:bookmarkStart w:id="41" w:name="page42"/>
    <w:bookmarkEnd w:id="41"/>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August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3,420,596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(1,043,144)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(844,133)</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3,430,573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55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INDUSTRIAL PATENTS AND TRADEMARKS, NET</w:t>
            </w:r>
          </w:p>
        </w:tc>
        <w:tc>
          <w:tcPr>
            <w:tcW w:w="1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360" w:type="dxa"/>
            <w:vAlign w:val="bottom"/>
            <w:vMerge w:val="continue"/>
          </w:tcPr>
          <w:p>
            <w:pPr>
              <w:spacing w:after="0"/>
              <w:rPr>
                <w:sz w:val="24"/>
                <w:szCs w:val="24"/>
                <w:color w:val="auto"/>
              </w:rPr>
            </w:pPr>
          </w:p>
        </w:tc>
        <w:tc>
          <w:tcPr>
            <w:tcW w:w="55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gridSpan w:val="3"/>
          </w:tcPr>
          <w:p>
            <w:pPr>
              <w:spacing w:after="0"/>
              <w:rPr>
                <w:sz w:val="20"/>
                <w:szCs w:val="20"/>
                <w:color w:val="auto"/>
              </w:rPr>
            </w:pPr>
            <w:r>
              <w:rPr>
                <w:rFonts w:ascii="Arial" w:cs="Arial" w:eastAsia="Arial" w:hAnsi="Arial"/>
                <w:sz w:val="18"/>
                <w:szCs w:val="18"/>
                <w:color w:val="auto"/>
              </w:rPr>
              <w:t>Industrial patents and trademarks, net consisted of the following:</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August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460" w:type="dxa"/>
            <w:vAlign w:val="bottom"/>
            <w:gridSpan w:val="3"/>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1,278,845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(282,253)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(121,872)</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460" w:type="dxa"/>
            <w:vAlign w:val="bottom"/>
            <w:gridSpan w:val="3"/>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996,592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-1787525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-1787525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-1787525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-1787525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-1787525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-1787525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Patent and trademark costs are amortized over seven years once it is filed and approved. Amortization expense was $160,381 and $80,935, for the years ended August 31, 2006 and 2005, respectively. Amortization expense is estimated to approximate $160,000 in each of the next five fiscal years.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b w:val="1"/>
                <w:bCs w:val="1"/>
                <w:color w:val="auto"/>
              </w:rPr>
              <w:t>7.</w:t>
            </w:r>
          </w:p>
        </w:tc>
        <w:tc>
          <w:tcPr>
            <w:tcW w:w="570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NOTES RECEIVABLE AND FOREIGN DEPOSITS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color w:val="auto"/>
              </w:rPr>
              <w:t>Notes receivable and foreign deposits consisted of the following:</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39"/>
              <w:spacing w:after="0"/>
              <w:rPr>
                <w:sz w:val="20"/>
                <w:szCs w:val="20"/>
                <w:color w:val="auto"/>
              </w:rPr>
            </w:pPr>
            <w:r>
              <w:rPr>
                <w:rFonts w:ascii="Arial" w:cs="Arial" w:eastAsia="Arial" w:hAnsi="Arial"/>
                <w:sz w:val="14"/>
                <w:szCs w:val="14"/>
                <w:b w:val="1"/>
                <w:bCs w:val="1"/>
                <w:color w:val="auto"/>
              </w:rPr>
              <w:t>August 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corporate joint venture partners</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Notes receivable from other sources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1,027,453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Foreign deposits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497,179</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37"/>
              <w:spacing w:after="0"/>
              <w:rPr>
                <w:sz w:val="20"/>
                <w:szCs w:val="20"/>
                <w:color w:val="auto"/>
              </w:rPr>
            </w:pPr>
            <w:r>
              <w:rPr>
                <w:rFonts w:ascii="Arial" w:cs="Arial" w:eastAsia="Arial" w:hAnsi="Arial"/>
                <w:sz w:val="14"/>
                <w:szCs w:val="14"/>
                <w:b w:val="1"/>
                <w:bCs w:val="1"/>
                <w:color w:val="auto"/>
              </w:rPr>
              <w:t>August 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33,954,156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22,949,103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39,030,247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30,345,208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14,323,903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1,496,557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23,209,788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16,806,617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4"/>
              </w:rPr>
              <w:t>Northern Technologies International Corporation’s share of Corporate Joint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Ventures’ equity</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10,772,102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8,622,361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68" w:right="239" w:bottom="1440" w:gutter="0" w:footer="0" w:header="0"/>
          <w:type w:val="continuous"/>
        </w:sectPr>
      </w:pPr>
    </w:p>
    <w:bookmarkStart w:id="42" w:name="page43"/>
    <w:bookmarkEnd w:id="42"/>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39"/>
              <w:spacing w:after="0"/>
              <w:rPr>
                <w:sz w:val="20"/>
                <w:szCs w:val="20"/>
                <w:color w:val="auto"/>
              </w:rPr>
            </w:pPr>
            <w:r>
              <w:rPr>
                <w:rFonts w:ascii="Arial" w:cs="Arial" w:eastAsia="Arial" w:hAnsi="Arial"/>
                <w:sz w:val="14"/>
                <w:szCs w:val="14"/>
                <w:b w:val="1"/>
                <w:bCs w:val="1"/>
                <w:color w:val="auto"/>
              </w:rPr>
              <w:t>August 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63,959,090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57,167,054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29,204,129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26,503,607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5,209,499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Corporate Joint Ventures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2,713,096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1,968,777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2006, the Company invested in corporate joint ventures as follows:</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June 2006, the Company invested $25,000, in a new industrial chemical corporate joint venture to develop operations in Ukraine. The Company has a 50% ownership interest in the new entity. The new entity had no operations prior to the Company’s investment. It is anticipated that this is the first of two installments towards the Company’s 50% capitalization of an estimated $50,000 over the next 12 months; however, there is currently no contractual commitment to the investment. It is anticipated that the total capitalization by all owners of the joint venture will be $100,000.</w:t>
      </w:r>
    </w:p>
    <w:p>
      <w:pPr>
        <w:spacing w:after="0" w:line="161"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August 31, 2006 and August 31, 2005 was $304,000.</w:t>
      </w:r>
    </w:p>
    <w:p>
      <w:pPr>
        <w:spacing w:after="0" w:line="180"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a revolving credit facility of $1,500,000 that expires on January 31, 2007. Outstanding amounts under the revolving credit facility bear interest at an annual rate based on LIBOR plus 2.25%. As of August 31, 2006, the interest rate was 7.58% and the average for the year ended August 31, 2006 was 6.98%.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the maintenance of a minimum fixed charge coverage ratio of 1.0 to 1.0. The Company is in compliance with all covenants under the revolving credit facility. Outstanding balances were $610,000 and $1,000,000 as of August 31, 2006 and August 31, 2005, respectively.</w:t>
      </w: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a term loan that in the principal amount of $1,275,000 that matures on May 1, 2011, bears interest at a fixed rate of 8.01% and is payable in 59 monthly payments equal to approximately $10,776 (inclusive of principal and interest) commencing June 1, 2006. All of the remaining unpaid principal and accrued interest is due and payable on the maturity date. The Note is secured by a first lien on the Company’s Circle Pines facility pursuant to a Mortgage dated as of May 3, 2006 between Northern Technologies Holding Company LLC and National City Bank and is guaranteed by the Company. Future minimum payments on the term loan are as follows:</w:t>
      </w:r>
    </w:p>
    <w:p>
      <w:pPr>
        <w:spacing w:after="0" w:line="20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Fiscal 2007</w:t>
            </w:r>
          </w:p>
        </w:tc>
        <w:tc>
          <w:tcPr>
            <w:tcW w:w="2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Fiscal 2008</w:t>
            </w:r>
          </w:p>
        </w:tc>
        <w:tc>
          <w:tcPr>
            <w:tcW w:w="2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29,188</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Fiscal 2009</w:t>
            </w:r>
          </w:p>
        </w:tc>
        <w:tc>
          <w:tcPr>
            <w:tcW w:w="2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Fiscal 2010</w:t>
            </w:r>
          </w:p>
        </w:tc>
        <w:tc>
          <w:tcPr>
            <w:tcW w:w="2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34,897</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2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1,146,919</w:t>
            </w:r>
          </w:p>
        </w:tc>
      </w:tr>
      <w:tr>
        <w:trPr>
          <w:trHeight w:val="430"/>
        </w:trPr>
        <w:tc>
          <w:tcPr>
            <w:tcW w:w="1500" w:type="dxa"/>
            <w:vAlign w:val="bottom"/>
          </w:tcPr>
          <w:p>
            <w:pPr>
              <w:spacing w:after="0"/>
              <w:rPr>
                <w:sz w:val="24"/>
                <w:szCs w:val="24"/>
                <w:color w:val="auto"/>
              </w:rPr>
            </w:pPr>
          </w:p>
        </w:tc>
        <w:tc>
          <w:tcPr>
            <w:tcW w:w="2000" w:type="dxa"/>
            <w:vAlign w:val="bottom"/>
          </w:tcPr>
          <w:p>
            <w:pPr>
              <w:jc w:val="right"/>
              <w:ind w:right="1052"/>
              <w:spacing w:after="0"/>
              <w:rPr>
                <w:sz w:val="20"/>
                <w:szCs w:val="20"/>
                <w:color w:val="auto"/>
              </w:rPr>
            </w:pPr>
            <w:r>
              <w:rPr>
                <w:rFonts w:ascii="Arial" w:cs="Arial" w:eastAsia="Arial" w:hAnsi="Arial"/>
                <w:sz w:val="18"/>
                <w:szCs w:val="18"/>
                <w:color w:val="auto"/>
              </w:rPr>
              <w:t>42</w:t>
            </w:r>
          </w:p>
        </w:tc>
        <w:tc>
          <w:tcPr>
            <w:tcW w:w="1060" w:type="dxa"/>
            <w:vAlign w:val="bottom"/>
          </w:tcPr>
          <w:p>
            <w:pPr>
              <w:spacing w:after="0"/>
              <w:rPr>
                <w:sz w:val="24"/>
                <w:szCs w:val="24"/>
                <w:color w:val="auto"/>
              </w:rPr>
            </w:pPr>
          </w:p>
        </w:tc>
      </w:tr>
    </w:tbl>
    <w:p>
      <w:pPr>
        <w:sectPr>
          <w:pgSz w:w="11900" w:h="16838" w:orient="portrait"/>
          <w:cols w:equalWidth="0" w:num="1">
            <w:col w:w="11360"/>
          </w:cols>
          <w:pgMar w:left="240" w:top="357" w:right="299" w:bottom="1440" w:gutter="0" w:footer="0" w:header="0"/>
        </w:sectPr>
      </w:pPr>
    </w:p>
    <w:bookmarkStart w:id="43" w:name="page44"/>
    <w:bookmarkEnd w:id="43"/>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fiscal 2006, the Company did not purchase or retire any shares of common stock. The following stock options to purchase shares of common stock were exercised:</w:t>
      </w:r>
    </w:p>
    <w:p>
      <w:pPr>
        <w:spacing w:after="0" w:line="182"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2940" w:type="dxa"/>
            <w:vAlign w:val="bottom"/>
          </w:tcPr>
          <w:p>
            <w:pPr>
              <w:ind w:left="920"/>
              <w:spacing w:after="0"/>
              <w:rPr>
                <w:sz w:val="20"/>
                <w:szCs w:val="20"/>
                <w:color w:val="auto"/>
              </w:rPr>
            </w:pPr>
            <w:r>
              <w:rPr>
                <w:rFonts w:ascii="Arial" w:cs="Arial" w:eastAsia="Arial" w:hAnsi="Arial"/>
                <w:sz w:val="14"/>
                <w:szCs w:val="14"/>
                <w:b w:val="1"/>
                <w:bCs w:val="1"/>
                <w:color w:val="auto"/>
              </w:rPr>
              <w:t>Options Exercised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 Price</w:t>
            </w:r>
          </w:p>
        </w:tc>
      </w:tr>
      <w:tr>
        <w:trPr>
          <w:trHeight w:val="95"/>
        </w:trPr>
        <w:tc>
          <w:tcPr>
            <w:tcW w:w="2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4"/>
              </w:rPr>
              <w:t>1,000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8"/>
                <w:szCs w:val="18"/>
                <w:color w:val="auto"/>
              </w:rPr>
            </w:pPr>
          </w:p>
        </w:tc>
      </w:tr>
      <w:tr>
        <w:trPr>
          <w:trHeight w:val="222"/>
        </w:trPr>
        <w:tc>
          <w:tcPr>
            <w:tcW w:w="294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9"/>
                <w:szCs w:val="19"/>
                <w:color w:val="auto"/>
              </w:rPr>
            </w:pPr>
          </w:p>
        </w:tc>
      </w:tr>
    </w:tbl>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did not acquire or retire any shares of common stock during fiscal 2005. The following stock options to purchase shares of common stock were exercised:</w:t>
      </w:r>
    </w:p>
    <w:p>
      <w:pPr>
        <w:spacing w:after="0" w:line="182"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2940" w:type="dxa"/>
            <w:vAlign w:val="bottom"/>
          </w:tcPr>
          <w:p>
            <w:pPr>
              <w:ind w:left="920"/>
              <w:spacing w:after="0"/>
              <w:rPr>
                <w:sz w:val="20"/>
                <w:szCs w:val="20"/>
                <w:color w:val="auto"/>
              </w:rPr>
            </w:pPr>
            <w:r>
              <w:rPr>
                <w:rFonts w:ascii="Arial" w:cs="Arial" w:eastAsia="Arial" w:hAnsi="Arial"/>
                <w:sz w:val="14"/>
                <w:szCs w:val="14"/>
                <w:b w:val="1"/>
                <w:bCs w:val="1"/>
                <w:color w:val="auto"/>
              </w:rPr>
              <w:t>Options Exercised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 Price</w:t>
            </w:r>
          </w:p>
        </w:tc>
      </w:tr>
      <w:tr>
        <w:trPr>
          <w:trHeight w:val="95"/>
        </w:trPr>
        <w:tc>
          <w:tcPr>
            <w:tcW w:w="2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4"/>
              </w:rPr>
              <w:t>1,334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667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 November 12, 2004, the Company’s Board of Directors declared a cash dividend of $0.07 per share that totaled $250,739 and was paid during fiscal 2005 on December 17, 2004 to shareholders of record on December 3, 2004. No dividend was declared or paid during fiscal 2006.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ind w:left="70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22"/>
              <w:spacing w:after="0"/>
              <w:rPr>
                <w:sz w:val="20"/>
                <w:szCs w:val="20"/>
                <w:color w:val="auto"/>
              </w:rPr>
            </w:pPr>
            <w:r>
              <w:rPr>
                <w:rFonts w:ascii="Arial" w:cs="Arial" w:eastAsia="Arial" w:hAnsi="Arial"/>
                <w:sz w:val="14"/>
                <w:szCs w:val="14"/>
                <w:b w:val="1"/>
                <w:bCs w:val="1"/>
                <w:color w:val="auto"/>
                <w:w w:val="94"/>
              </w:rPr>
              <w:t>August 31,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40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40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1,719,065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comprehensive income – foreign currency translation adjustment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310,687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2,029,752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68"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 options to purchase shares of common stock were excluded from the computation of common share equivalents as of August 31, 2006.</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Options to purchase 2,000, 3,000 and 334 shares of common stock with per share exercise prices of $6.75, $6.15 and $5.96, respectively, were outstanding as of August 31, 2005, but were excluded from the computation of common share equivalents, because their exercise prices were greater than the average market price of a share of common stock.</w:t>
      </w:r>
    </w:p>
    <w:p>
      <w:pPr>
        <w:spacing w:after="0" w:line="188"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has one stock-based compensation plan, the 2000 Stock Incentive Plan (the Plan). The Company’s Board of Directors and stockholders approved the Plan and the Compensation Committee of the Board of Directors administers the distribution of options under the Plan. Under the Plan, incentive stock options and nonqualified stock options could be granted to directors, officers, non-officer employees, and independent consultants of the Company. Options granted under the Plan generally have a term of five years and become exercisable over a three- or four-year period beginning on the one-year anniversary date of the grant. Options are granted at per share exercise prices equal to the market value of the Company’s common stock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stock options for the fiscal years ended August 31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15"/>
                <w:szCs w:val="15"/>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Wgtd Avg</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Wgtd Avg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Exer Price</w:t>
            </w:r>
          </w:p>
        </w:tc>
        <w:tc>
          <w:tcPr>
            <w:tcW w:w="180" w:type="dxa"/>
            <w:vAlign w:val="bottom"/>
          </w:tcPr>
          <w:p>
            <w:pPr>
              <w:spacing w:after="0"/>
              <w:rPr>
                <w:sz w:val="15"/>
                <w:szCs w:val="15"/>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115,655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19,334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Canceled</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(60,654)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year-end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49,669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-329565</wp:posOffset>
            </wp:positionV>
            <wp:extent cx="329755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9755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31,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212"/>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jc w:val="right"/>
              <w:ind w:right="632"/>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Options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Number of Options</w:t>
            </w:r>
          </w:p>
        </w:tc>
      </w:tr>
      <w:tr>
        <w:trPr>
          <w:trHeight w:val="174"/>
        </w:trPr>
        <w:tc>
          <w:tcPr>
            <w:tcW w:w="2580" w:type="dxa"/>
            <w:vAlign w:val="bottom"/>
          </w:tcPr>
          <w:p>
            <w:pPr>
              <w:ind w:left="740"/>
              <w:spacing w:after="0"/>
              <w:rPr>
                <w:sz w:val="20"/>
                <w:szCs w:val="20"/>
                <w:color w:val="auto"/>
              </w:rPr>
            </w:pPr>
            <w:r>
              <w:rPr>
                <w:rFonts w:ascii="Arial" w:cs="Arial" w:eastAsia="Arial" w:hAnsi="Arial"/>
                <w:sz w:val="14"/>
                <w:szCs w:val="14"/>
                <w:b w:val="1"/>
                <w:bCs w:val="1"/>
                <w:color w:val="auto"/>
              </w:rPr>
              <w:t>Option Grant Date</w:t>
            </w:r>
          </w:p>
        </w:tc>
        <w:tc>
          <w:tcPr>
            <w:tcW w:w="200" w:type="dxa"/>
            <w:vAlign w:val="bottom"/>
          </w:tcPr>
          <w:p>
            <w:pPr>
              <w:spacing w:after="0"/>
              <w:rPr>
                <w:sz w:val="15"/>
                <w:szCs w:val="15"/>
                <w:color w:val="auto"/>
              </w:rPr>
            </w:pPr>
          </w:p>
        </w:tc>
        <w:tc>
          <w:tcPr>
            <w:tcW w:w="1540" w:type="dxa"/>
            <w:vAlign w:val="bottom"/>
          </w:tcPr>
          <w:p>
            <w:pPr>
              <w:jc w:val="right"/>
              <w:ind w:right="52"/>
              <w:spacing w:after="0"/>
              <w:rPr>
                <w:sz w:val="20"/>
                <w:szCs w:val="20"/>
                <w:color w:val="auto"/>
              </w:rPr>
            </w:pPr>
            <w:r>
              <w:rPr>
                <w:rFonts w:ascii="Arial" w:cs="Arial" w:eastAsia="Arial" w:hAnsi="Arial"/>
                <w:sz w:val="14"/>
                <w:szCs w:val="14"/>
                <w:b w:val="1"/>
                <w:bCs w:val="1"/>
                <w:color w:val="auto"/>
              </w:rPr>
              <w:t>Exercise Prices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Pr>
          <w:p>
            <w:pPr>
              <w:jc w:val="right"/>
              <w:ind w:right="452"/>
              <w:spacing w:after="0"/>
              <w:rPr>
                <w:sz w:val="20"/>
                <w:szCs w:val="20"/>
                <w:color w:val="auto"/>
              </w:rPr>
            </w:pPr>
            <w:r>
              <w:rPr>
                <w:rFonts w:ascii="Arial" w:cs="Arial" w:eastAsia="Arial" w:hAnsi="Arial"/>
                <w:sz w:val="14"/>
                <w:szCs w:val="14"/>
                <w:b w:val="1"/>
                <w:bCs w:val="1"/>
                <w:color w:val="auto"/>
              </w:rPr>
              <w:t>Contractual Life</w:t>
            </w:r>
          </w:p>
        </w:tc>
        <w:tc>
          <w:tcPr>
            <w:tcW w:w="18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Exercisable (#)</w:t>
            </w:r>
          </w:p>
        </w:tc>
      </w:tr>
      <w:tr>
        <w:trPr>
          <w:trHeight w:val="95"/>
        </w:trPr>
        <w:tc>
          <w:tcPr>
            <w:tcW w:w="2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2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2/15/2002</w:t>
            </w:r>
          </w:p>
        </w:tc>
        <w:tc>
          <w:tcPr>
            <w:tcW w:w="1740" w:type="dxa"/>
            <w:vAlign w:val="bottom"/>
            <w:gridSpan w:val="2"/>
            <w:shd w:val="clear" w:color="auto" w:fill="CCEEFF"/>
          </w:tcPr>
          <w:p>
            <w:pPr>
              <w:jc w:val="right"/>
              <w:ind w:right="13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0.5</w:t>
            </w:r>
          </w:p>
        </w:tc>
        <w:tc>
          <w:tcPr>
            <w:tcW w:w="2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7"/>
              </w:rPr>
              <w:t>22,000</w:t>
            </w:r>
          </w:p>
        </w:tc>
        <w:tc>
          <w:tcPr>
            <w:tcW w:w="220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7"/>
              </w:rPr>
              <w:t>22,000</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8"/>
              </w:rPr>
              <w:t>9/1/2003</w:t>
            </w:r>
          </w:p>
        </w:tc>
        <w:tc>
          <w:tcPr>
            <w:tcW w:w="1740" w:type="dxa"/>
            <w:vAlign w:val="bottom"/>
            <w:gridSpan w:val="2"/>
          </w:tcPr>
          <w:p>
            <w:pPr>
              <w:jc w:val="right"/>
              <w:ind w:right="13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2180" w:type="dxa"/>
            <w:vAlign w:val="bottom"/>
            <w:gridSpan w:val="3"/>
          </w:tcPr>
          <w:p>
            <w:pPr>
              <w:jc w:val="right"/>
              <w:ind w:right="732"/>
              <w:spacing w:after="0"/>
              <w:rPr>
                <w:sz w:val="20"/>
                <w:szCs w:val="20"/>
                <w:color w:val="auto"/>
              </w:rPr>
            </w:pPr>
            <w:r>
              <w:rPr>
                <w:rFonts w:ascii="Arial" w:cs="Arial" w:eastAsia="Arial" w:hAnsi="Arial"/>
                <w:sz w:val="18"/>
                <w:szCs w:val="18"/>
                <w:color w:val="auto"/>
              </w:rPr>
              <w:t>2.0</w:t>
            </w:r>
          </w:p>
        </w:tc>
        <w:tc>
          <w:tcPr>
            <w:tcW w:w="21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4,000</w:t>
            </w:r>
          </w:p>
        </w:tc>
        <w:tc>
          <w:tcPr>
            <w:tcW w:w="220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2,668</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9/1/2004</w:t>
            </w:r>
          </w:p>
        </w:tc>
        <w:tc>
          <w:tcPr>
            <w:tcW w:w="1740" w:type="dxa"/>
            <w:vAlign w:val="bottom"/>
            <w:gridSpan w:val="2"/>
            <w:shd w:val="clear" w:color="auto" w:fill="CCEEFF"/>
          </w:tcPr>
          <w:p>
            <w:pPr>
              <w:jc w:val="right"/>
              <w:ind w:right="13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3.0</w:t>
            </w:r>
          </w:p>
        </w:tc>
        <w:tc>
          <w:tcPr>
            <w:tcW w:w="2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6,000</w:t>
            </w:r>
          </w:p>
        </w:tc>
        <w:tc>
          <w:tcPr>
            <w:tcW w:w="220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8"/>
              </w:rPr>
              <w:t>2,001</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8"/>
              </w:rPr>
              <w:t>11/12/2004</w:t>
            </w:r>
          </w:p>
        </w:tc>
        <w:tc>
          <w:tcPr>
            <w:tcW w:w="1740" w:type="dxa"/>
            <w:vAlign w:val="bottom"/>
            <w:gridSpan w:val="2"/>
          </w:tcPr>
          <w:p>
            <w:pPr>
              <w:jc w:val="right"/>
              <w:ind w:right="13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6.15</w:t>
            </w:r>
          </w:p>
        </w:tc>
        <w:tc>
          <w:tcPr>
            <w:tcW w:w="2180" w:type="dxa"/>
            <w:vAlign w:val="bottom"/>
            <w:gridSpan w:val="3"/>
          </w:tcPr>
          <w:p>
            <w:pPr>
              <w:jc w:val="right"/>
              <w:ind w:right="732"/>
              <w:spacing w:after="0"/>
              <w:rPr>
                <w:sz w:val="20"/>
                <w:szCs w:val="20"/>
                <w:color w:val="auto"/>
              </w:rPr>
            </w:pPr>
            <w:r>
              <w:rPr>
                <w:rFonts w:ascii="Arial" w:cs="Arial" w:eastAsia="Arial" w:hAnsi="Arial"/>
                <w:sz w:val="18"/>
                <w:szCs w:val="18"/>
                <w:color w:val="auto"/>
              </w:rPr>
              <w:t>3.2</w:t>
            </w:r>
          </w:p>
        </w:tc>
        <w:tc>
          <w:tcPr>
            <w:tcW w:w="21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3,000</w:t>
            </w:r>
          </w:p>
        </w:tc>
        <w:tc>
          <w:tcPr>
            <w:tcW w:w="220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7/29/2005</w:t>
            </w:r>
          </w:p>
        </w:tc>
        <w:tc>
          <w:tcPr>
            <w:tcW w:w="1740" w:type="dxa"/>
            <w:vAlign w:val="bottom"/>
            <w:gridSpan w:val="2"/>
            <w:shd w:val="clear" w:color="auto" w:fill="CCEEFF"/>
          </w:tcPr>
          <w:p>
            <w:pPr>
              <w:jc w:val="right"/>
              <w:ind w:right="13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3.9</w:t>
            </w:r>
          </w:p>
        </w:tc>
        <w:tc>
          <w:tcPr>
            <w:tcW w:w="2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3"/>
              </w:rPr>
              <w:t>334</w:t>
            </w:r>
          </w:p>
        </w:tc>
        <w:tc>
          <w:tcPr>
            <w:tcW w:w="220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8"/>
              </w:rPr>
              <w:t>9/1/2005</w:t>
            </w:r>
          </w:p>
        </w:tc>
        <w:tc>
          <w:tcPr>
            <w:tcW w:w="1740" w:type="dxa"/>
            <w:vAlign w:val="bottom"/>
            <w:gridSpan w:val="2"/>
          </w:tcPr>
          <w:p>
            <w:pPr>
              <w:jc w:val="right"/>
              <w:ind w:right="13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5.75</w:t>
            </w:r>
          </w:p>
        </w:tc>
        <w:tc>
          <w:tcPr>
            <w:tcW w:w="2180" w:type="dxa"/>
            <w:vAlign w:val="bottom"/>
            <w:gridSpan w:val="3"/>
          </w:tcPr>
          <w:p>
            <w:pPr>
              <w:jc w:val="right"/>
              <w:ind w:right="732"/>
              <w:spacing w:after="0"/>
              <w:rPr>
                <w:sz w:val="20"/>
                <w:szCs w:val="20"/>
                <w:color w:val="auto"/>
              </w:rPr>
            </w:pPr>
            <w:r>
              <w:rPr>
                <w:rFonts w:ascii="Arial" w:cs="Arial" w:eastAsia="Arial" w:hAnsi="Arial"/>
                <w:sz w:val="18"/>
                <w:szCs w:val="18"/>
                <w:color w:val="auto"/>
              </w:rPr>
              <w:t>4.0</w:t>
            </w:r>
          </w:p>
        </w:tc>
        <w:tc>
          <w:tcPr>
            <w:tcW w:w="218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14,000</w:t>
            </w:r>
          </w:p>
        </w:tc>
        <w:tc>
          <w:tcPr>
            <w:tcW w:w="2200" w:type="dxa"/>
            <w:vAlign w:val="bottom"/>
            <w:gridSpan w:val="3"/>
          </w:tcPr>
          <w:p>
            <w:pPr>
              <w:jc w:val="center"/>
              <w:ind w:left="312"/>
              <w:spacing w:after="0"/>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11/4/2005</w:t>
            </w:r>
          </w:p>
        </w:tc>
        <w:tc>
          <w:tcPr>
            <w:tcW w:w="1740" w:type="dxa"/>
            <w:vAlign w:val="bottom"/>
            <w:gridSpan w:val="2"/>
            <w:shd w:val="clear" w:color="auto" w:fill="CCEEFF"/>
          </w:tcPr>
          <w:p>
            <w:pPr>
              <w:jc w:val="right"/>
              <w:ind w:right="13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1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4.2</w:t>
            </w:r>
          </w:p>
        </w:tc>
        <w:tc>
          <w:tcPr>
            <w:tcW w:w="2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7"/>
              </w:rPr>
              <w:t>56,000</w:t>
            </w:r>
          </w:p>
        </w:tc>
        <w:tc>
          <w:tcPr>
            <w:tcW w:w="220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8"/>
                <w:szCs w:val="18"/>
                <w:color w:val="auto"/>
              </w:rPr>
            </w:pPr>
          </w:p>
        </w:tc>
      </w:tr>
      <w:tr>
        <w:trPr>
          <w:trHeight w:val="132"/>
        </w:trPr>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6"/>
              </w:rPr>
              <w:t>105,334</w:t>
            </w:r>
          </w:p>
        </w:tc>
        <w:tc>
          <w:tcPr>
            <w:tcW w:w="220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7"/>
              </w:rPr>
              <w:t>27,669</w:t>
            </w:r>
          </w:p>
        </w:tc>
        <w:tc>
          <w:tcPr>
            <w:tcW w:w="100" w:type="dxa"/>
            <w:vAlign w:val="bottom"/>
            <w:shd w:val="clear" w:color="auto" w:fill="CCEEFF"/>
          </w:tcPr>
          <w:p>
            <w:pPr>
              <w:spacing w:after="0"/>
              <w:rPr>
                <w:sz w:val="18"/>
                <w:szCs w:val="18"/>
                <w:color w:val="auto"/>
              </w:rPr>
            </w:pPr>
          </w:p>
        </w:tc>
      </w:tr>
      <w:tr>
        <w:trPr>
          <w:trHeight w:val="430"/>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3"/>
          </w:tcPr>
          <w:p>
            <w:pPr>
              <w:jc w:val="right"/>
              <w:ind w:right="1072"/>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-506095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-506095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-506095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-506095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-506095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-506095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-506095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-506095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-506095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-506095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-506095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-506095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weighted average fair value of options granted during the year ended August 31, 2006 and 2005, was $1.46 and $1.98,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SEGMENT INFORMATION</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40" w:type="dxa"/>
            <w:vAlign w:val="bottom"/>
            <w:gridSpan w:val="4"/>
          </w:tcPr>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w:t>
            </w:r>
          </w:p>
        </w:tc>
        <w:tc>
          <w:tcPr>
            <w:tcW w:w="12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right"/>
              <w:ind w:right="37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Joint Ventures in which the Company is a shareholder directly and indirectly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60" w:type="dxa"/>
            <w:vAlign w:val="bottom"/>
            <w:gridSpan w:val="2"/>
          </w:tcPr>
          <w:p>
            <w:pPr>
              <w:ind w:left="440"/>
              <w:spacing w:after="0"/>
              <w:rPr>
                <w:sz w:val="20"/>
                <w:szCs w:val="20"/>
                <w:color w:val="auto"/>
              </w:rPr>
            </w:pPr>
            <w:r>
              <w:rPr>
                <w:rFonts w:ascii="Arial" w:cs="Arial" w:eastAsia="Arial" w:hAnsi="Arial"/>
                <w:sz w:val="18"/>
                <w:szCs w:val="18"/>
                <w:color w:val="auto"/>
              </w:rPr>
              <w:t>Unaffiliated customers</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52209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22095"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3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$103,544 and $96,717, for the fiscal years ended August 31, 2006 and 2005, respectively.</w:t>
      </w:r>
    </w:p>
    <w:p>
      <w:pPr>
        <w:spacing w:after="0" w:line="155"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18, 2006, the Company and Emeritushnic Facilities Company, Inc. (“EFC”), an entity owned by the Company’s former Chairman of the Board and Chief Executive Officer and current Chairman Emeritus, Philip M. Lynch, and certain of his family members, excluding G. Patrick Lynch, the Company’s current President and Chief Executive Officer, entered into a Consulting Agreement, effective as of May 1, 2006. Pursuant to the Consulting Agreement, the Company has engaged EFC to perform certain consulting services to the Company, including maintaining communications and relations between the Company and its joint venture partners. In consideration for such services, the Company paid EFC monthly consulting fees totaling $100,000 during fiscal 2006 and reimbursed EFC for out-of-pocket expenses reasonably incurred in the course of providing such services in an aggregate amount of $60,000 during fiscal 2006. The Consulting Agreement calls for fees of $25,000 per month and up to $180,000 in expense reimbursement in a given fiscal year. Additionally, it may be terminated by either party for any reason upon at least 90 days prior written notice to the other party and may be terminated upon the occurrence of other certain events, as set forth in the Consulting Agreement. The Consulting Agreement also contains other standard and customary terms, including provisions regarding confidentiality, non-competition and non-solicitation.</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May 1, 2006, the Company and Inter Alia Holding Co. (“Inter Alia”) entered into a termination agreement pursuant to which they agreed to mutually terminate that certain Manufacturer’s Representative Agreement dated as of October 1, 1976 and as subsequently amended thereafter. Inter Alia beneficially owns approximately 25.4% of the Company’s outstanding common stock, and Philip M. Lynch, the Company’s former Chairman of the Board and Chief Executive Officer and current Chairman Emeritus, and G. Patrick Lynch, the Company’s current President and Chief Executive Officer, are shareholders of Inter Alia. Prior to terminating the agreement, the Company reimbursed Inter Alia for travel and related expenses in the aggregate amount of $320,000 during fiscal 2006 and $602,000 during fiscal 2005, respectively. The Company paid Inter Alia commissions on royalties paid by corporate joint ventures and net proceeds of sales of the Company’s products of approximately $65,000 during fiscal 2006, and approximately $137,089 during fiscal 2005, respectively.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90" w:right="259" w:bottom="1440" w:gutter="0" w:footer="0" w:header="0"/>
        </w:sectPr>
      </w:pPr>
    </w:p>
    <w:bookmarkStart w:id="46" w:name="page47"/>
    <w:bookmarkEnd w:id="46"/>
    <w:p>
      <w:pPr>
        <w:spacing w:after="0" w:line="268" w:lineRule="auto"/>
        <w:rPr>
          <w:sz w:val="20"/>
          <w:szCs w:val="20"/>
          <w:color w:val="auto"/>
        </w:rPr>
      </w:pPr>
      <w:r>
        <w:rPr>
          <w:rFonts w:ascii="Arial" w:cs="Arial" w:eastAsia="Arial" w:hAnsi="Arial"/>
          <w:sz w:val="18"/>
          <w:szCs w:val="18"/>
          <w:color w:val="auto"/>
        </w:rPr>
        <w:t>In addition, the Company paid health insurance premiums of $6,623 during fiscal 2006 and $17,510 during fiscal 2005, respectively, related to policies that insure Philip M. Lynch, the Company’s former Chairman of the Board and Chief Executive Officer and current Chairman Emeritus.</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made consulting payments to Dr. Ramani Narayan, a director of the Company, of $25,000 on each of September 9, 2004, December 2, 2004, April 7, 2005, June 14, 2005, November 8, 2005, February 1, 2006, May 1, 2006 and August 1, 2006. The consulting services rendered by Dr. Narayan related to research and development associated with various new technologies.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made a consulting payment to Dr. Sunggyu Lee, a director of the Company, of $50,000 on each of February 2, 2005 and June 6, 2005 and $25,000 on each of November 8, 2005, February 1, 2006, May 1, 2006 and August 1, 2006. The consulting services rendered by Dr. Lee related to research and development associated with various new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The provisions for income taxes for the fiscal years ended August 31 consist of the following:</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Federal</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560,000</w:t>
            </w:r>
          </w:p>
        </w:tc>
        <w:tc>
          <w:tcPr>
            <w:tcW w:w="10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(321,000)</w:t>
            </w: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(99,800)</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State</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the expected federal income tax at the statutory rate with the provisions for income taxes for the fiscal years ended August 31 are as follows: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055" w:type="dxa"/>
            <w:vAlign w:val="bottom"/>
          </w:tcPr>
          <w:p>
            <w:pPr>
              <w:jc w:val="right"/>
              <w:ind w:right="3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7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689,000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155"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229,000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155"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155"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7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not recognized a deferred tax liability relating to undistributed earnings of Corporate Joint Ventures and holding companies that are essentially permanent in duration of $2,781,000 and $2,152,000 at August 31, 2005 and 2006, respectively. If some or all of the undistributed earnings of the Corporate Joint Ventures and holding companies are remitted to the Company in the future, income taxes, if any, after the application of foreign tax credits will be provided at that time.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90" w:right="259" w:bottom="1440" w:gutter="0" w:footer="0" w:header="0"/>
        </w:sectPr>
      </w:pPr>
    </w:p>
    <w:bookmarkStart w:id="47" w:name="page48"/>
    <w:bookmarkEnd w:id="47"/>
    <w:p>
      <w:pPr>
        <w:ind w:right="140"/>
        <w:spacing w:after="0" w:line="268" w:lineRule="auto"/>
        <w:rPr>
          <w:sz w:val="20"/>
          <w:szCs w:val="20"/>
          <w:color w:val="auto"/>
        </w:rPr>
      </w:pPr>
      <w:r>
        <w:rPr>
          <w:rFonts w:ascii="Arial" w:cs="Arial" w:eastAsia="Arial" w:hAnsi="Arial"/>
          <w:sz w:val="18"/>
          <w:szCs w:val="18"/>
          <w:color w:val="auto"/>
        </w:rPr>
        <w:t>At August 31, 2006 the Company had foreign tax credit carryforwards of approximately $,2,349,000 which begin to expire in 2010. The Company established a valuation allowance of $2,099,000 with respect to the foreign tax credit carryforwards.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tax effect of the temporary differences and tax carry forwards comprising the net deferred taxes shown on the balance sheets at August 31 are as follows: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055" w:type="dxa"/>
            <w:vAlign w:val="bottom"/>
          </w:tcPr>
          <w:p>
            <w:pPr>
              <w:jc w:val="right"/>
              <w:ind w:right="3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85"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Inventory costs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155" w:type="dxa"/>
            <w:vAlign w:val="bottom"/>
            <w:gridSpan w:val="2"/>
          </w:tcPr>
          <w:p>
            <w:pPr>
              <w:jc w:val="right"/>
              <w:ind w:right="80"/>
              <w:spacing w:after="0"/>
              <w:rPr>
                <w:sz w:val="20"/>
                <w:szCs w:val="20"/>
                <w:color w:val="auto"/>
              </w:rPr>
            </w:pPr>
            <w:r>
              <w:rPr>
                <w:rFonts w:ascii="Arial" w:cs="Arial" w:eastAsia="Arial" w:hAnsi="Arial"/>
                <w:sz w:val="18"/>
                <w:szCs w:val="18"/>
                <w:color w:val="auto"/>
              </w:rPr>
              <w:t>(50,900)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Accrued bonus</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225,900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158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5" w:type="dxa"/>
            <w:vAlign w:val="bottom"/>
          </w:tcPr>
          <w:p>
            <w:pPr>
              <w:spacing w:after="0"/>
              <w:rPr>
                <w:sz w:val="9"/>
                <w:szCs w:val="9"/>
                <w:color w:val="auto"/>
              </w:rPr>
            </w:pPr>
          </w:p>
        </w:tc>
        <w:tc>
          <w:tcPr>
            <w:tcW w:w="1055"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Excess of book over tax depreciation</w:t>
            </w:r>
          </w:p>
        </w:tc>
        <w:tc>
          <w:tcPr>
            <w:tcW w:w="1585"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Asset valuation reserves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Foreign tax credits, net of a valuation allowance at August 31, 2006</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Federal Net Operating Loss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noncurrent</w:t>
            </w:r>
          </w:p>
        </w:tc>
        <w:tc>
          <w:tcPr>
            <w:tcW w:w="158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628,000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-1298575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-1298575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-1298575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-1298575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-1298575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-1298575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During fiscal 2006, the Company was under audit by the Internal Revenue Service for tax years ended August 31, 2004 and 2005. To date, the Company has orally agreed on the adjustments and has included these adjustments in the current year income tax calculation. These adjustments are not deemed to have a material impact on NTIC’s financial statements.</w:t>
      </w:r>
    </w:p>
    <w:p>
      <w:pPr>
        <w:spacing w:after="0" w:line="188"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Company is involved in a legal action in Finland whereby the Company sued a Finish company for trademark infringement. The Company won the initial case, but has subsequently lost on appeal. The Company is currently appealing the latest court decision. The outcome of the appeal is unknown and any potential loss can not be estimated at this time; however, the potential judgment or settlement resulting from the case could have a material impact on the financial position or results of operations of the Company. The Company has put up a deposit of $445,469 that is being held by the courts in Finland against the defendants product that was seized as contraband pending the outcome of the lawsuit. There are no other legal actions arising in the ordinary course of business that management is of the opinion that any judgment or settlement therefrom would have a material adverse effect on the financial position or results of operations of the Company.</w:t>
      </w:r>
    </w:p>
    <w:p>
      <w:pPr>
        <w:spacing w:after="0" w:line="159"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In fiscal 1999, a subsidiary of the Company, NTI Facilities, Inc., acquired a one-third ownership of Omni-Northern Ltd., an Ohio limited liability company to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NTI Facilities consolidates its ownership in Omni-Northern LTD utilizing the equity method of consolidation.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90" w:right="259" w:bottom="1440" w:gutter="0" w:footer="0" w:header="0"/>
        </w:sectPr>
      </w:pPr>
    </w:p>
    <w:bookmarkStart w:id="48" w:name="page49"/>
    <w:bookmarkEnd w:id="48"/>
    <w:p>
      <w:pPr>
        <w:ind w:right="180"/>
        <w:spacing w:after="0" w:line="291" w:lineRule="auto"/>
        <w:rPr>
          <w:sz w:val="20"/>
          <w:szCs w:val="20"/>
          <w:color w:val="auto"/>
        </w:rPr>
      </w:pPr>
      <w:r>
        <w:rPr>
          <w:rFonts w:ascii="Arial" w:cs="Arial" w:eastAsia="Arial" w:hAnsi="Arial"/>
          <w:sz w:val="16"/>
          <w:szCs w:val="16"/>
          <w:color w:val="auto"/>
        </w:rPr>
        <w:t>The property has an approximate value of $2,205,000, based upon the cash-to-mortgage acquisition price of the property paid in fiscal 2000. The Company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w:t>
      </w:r>
    </w:p>
    <w:p>
      <w:pPr>
        <w:spacing w:after="0" w:line="1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May 3, 2006, the Company completed the first step in its purchase of certain real estate and a 40,000 square feet building on such real estate for a new corporate headquarters located in Circle Pines, Minnesota. The Company entered into a Purchase Agreement in June 2005 with Circle Pines Mainstreet II, LLC pursuant to which the Company agreed to purchase the real estate. The Company decided to structure the real estate purchase and its expected sale of its current corporate headquarters in such a manner so as to qualify as a like-kind exchange within the meaning of Section 1031 of the Internal Revenue Code of 1986, as amended. To facilitate the Code Section 1031 like-kind exchange, the Company entered into a Qualified Exchange Accommodation Agreement on May 3, 2006 with Northern Technologies Holding Company, LLC, a Minnesota limited liability company owned by First American Exchange Company, LLC, which is acting as a qualified intermediary within the meaning of Code Section 1031. Pursuant to the Exchange Agreement, the Company assigned its rights, but not its obligations, in the Purchase Agreement to the Exchange Company and the Exchange Company agreed to borrow monies to purchase the New Facility and then lease the New Facility to the Company. Upon the Company’s sale of its current corporate headquarters to a third party, with First American Exchange Company acting as intermediary, the Exchange Company will sell the New Facility to the Company, and the Company will assume the loan incurred by the Exchange Company to finance the purchase of the New Facility. The purchase price of the New Facility was $1,475,000 and renovations are expected to be $1,300,000 these costs were financed with the net proceeds of a secured term loan in the principal amount of $1,275,000 (see Note 10). As of September 6, 2006 the Circle Pines location became the Company’s principal executive office and center for production facilities and domestic research and development operations.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 2006, the Company entered into a Purchase and Sale Agreement with Underground Properties, LLC pursuant to which the Company agreed to sell the real property and building in which the Company’s former Lino Lakes corporate headquarters was located for a purchase price of $870,000. The Company closed on the sale of its former corporate headquarters pursuant the Purchase and Sale Agreement on September 8, 2006. The net book value of the building held for sale was $89,636 and the closing costs and fees associated with the sale of the property was $46,571. The gain on sale of the property was $733,793 and will be reflected in first quarter fiscal 2007 financial results.</w:t>
      </w:r>
    </w:p>
    <w:p>
      <w:pPr>
        <w:spacing w:after="0" w:line="197" w:lineRule="exact"/>
        <w:rPr>
          <w:sz w:val="20"/>
          <w:szCs w:val="20"/>
          <w:color w:val="auto"/>
        </w:rPr>
      </w:pPr>
    </w:p>
    <w:p>
      <w:pPr>
        <w:ind w:right="40" w:firstLine="44"/>
        <w:spacing w:after="0" w:line="254" w:lineRule="auto"/>
        <w:rPr>
          <w:sz w:val="20"/>
          <w:szCs w:val="20"/>
          <w:color w:val="auto"/>
        </w:rPr>
      </w:pPr>
      <w:r>
        <w:rPr>
          <w:rFonts w:ascii="Arial" w:cs="Arial" w:eastAsia="Arial" w:hAnsi="Arial"/>
          <w:sz w:val="18"/>
          <w:szCs w:val="18"/>
          <w:color w:val="auto"/>
        </w:rPr>
        <w:t>On January 30, 2006, the Compensation Committee of the Board of Directors of the Company approved the final terms of an annual cash bonus plan for executive officers and certain employees of the Company for fiscal year ending August 31, 2006. The total amount available under the cash bonus plan will be up to 25% of the Company’s income before income taxes, provided that the Company is at a positive variance to the Board of Director approved budgeted net income for the fiscal year. The bonus will be divided amongst the Company’s executive officers and other plan participants depending upon each executive officer’s and other participant’s individual performance during the fiscal year ending August 31, 2006 as determined by the Compensation Committee in its sole discretion.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90" w:right="239" w:bottom="1440" w:gutter="0" w:footer="0" w:header="0"/>
        </w:sectPr>
      </w:pPr>
    </w:p>
    <w:bookmarkStart w:id="49" w:name="page50"/>
    <w:bookmarkEnd w:id="49"/>
    <w:p>
      <w:pPr>
        <w:ind w:right="140"/>
        <w:spacing w:after="0" w:line="332" w:lineRule="auto"/>
        <w:rPr>
          <w:sz w:val="20"/>
          <w:szCs w:val="20"/>
          <w:color w:val="auto"/>
        </w:rPr>
      </w:pPr>
      <w:r>
        <w:rPr>
          <w:rFonts w:ascii="Arial" w:cs="Arial" w:eastAsia="Arial" w:hAnsi="Arial"/>
          <w:sz w:val="16"/>
          <w:szCs w:val="16"/>
          <w:color w:val="auto"/>
        </w:rPr>
        <w:t>One of NTIC’s North American customers accounted for, in the aggregate, approximately 26.6% and 27.7% of NTIC’s consolidated net sales for the fiscal years ended August 31, 2006 and 2005 respectively, and $207,630 and $484,967 of NTIC’s receivables at August 31, 2006 and 2005,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STATEMENTS OF CASH FLOWS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w w:val="89"/>
              </w:rPr>
              <w:t>Supplemental disclosures of cash flow information for the fiscal years ended August 31, 2006 and 2005 consist of:</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9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year for income taxes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(99,535)</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89"/>
              </w:rPr>
              <w:t>Increase in the Company’s investment in Corporate Joint Ventures and accumulated other comprehensive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80" w:type="dxa"/>
            <w:vAlign w:val="bottom"/>
          </w:tcPr>
          <w:p>
            <w:pPr>
              <w:ind w:left="220"/>
              <w:spacing w:after="0"/>
              <w:rPr>
                <w:sz w:val="20"/>
                <w:szCs w:val="20"/>
                <w:color w:val="auto"/>
              </w:rPr>
            </w:pPr>
            <w:r>
              <w:rPr>
                <w:rFonts w:ascii="Arial" w:cs="Arial" w:eastAsia="Arial" w:hAnsi="Arial"/>
                <w:sz w:val="18"/>
                <w:szCs w:val="18"/>
                <w:color w:val="auto"/>
              </w:rPr>
              <w:t>loss due to changes in exchange rates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310,687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123,588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 payable in connection with acquisition of intellectual property rights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cash paid for interest was $86,004 and $36,090 for the years ended August 31, 2006 and 2005, respectively.</w:t>
      </w:r>
    </w:p>
    <w:p>
      <w:pPr>
        <w:spacing w:after="0" w:line="219"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November 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February 28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May 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2006:</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4,403,630</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3,775,693</w:t>
            </w:r>
          </w:p>
        </w:tc>
        <w:tc>
          <w:tcPr>
            <w:tcW w:w="12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4,320,371</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4,105,270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905,985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235,730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633,985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204,730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3,589,993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3,597,815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3,607,564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3,628,594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3,638,795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3,647,439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November 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February 28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May 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3,832,216</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3,478,352</w:t>
            </w:r>
          </w:p>
        </w:tc>
        <w:tc>
          <w:tcPr>
            <w:tcW w:w="12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3,680,263</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3,825,841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228,320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(54,684)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412,615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347,320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(161,684)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373,615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3,581,992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3,581,992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3,586,388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3,605,695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3,604,051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3,599,005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3,599,005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0" w:right="239" w:bottom="1440" w:gutter="0" w:footer="0" w:header="0"/>
        </w:sectPr>
      </w:pPr>
    </w:p>
    <w:bookmarkStart w:id="50" w:name="page51"/>
    <w:bookmarkEnd w:id="50"/>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June 2, 2006, the Company entered into a Purchase and Sale Agreement with Underground Properties, LLC pursuant to which the Company agreed to sell the real property and building in which the Company’s former Lino Lakes corporate headquarters was located for a purchase price of $870,000. The Company closed on the sale of its former corporate headquarters pursuant the Purchase and Sale Agreement on September 8, 2006. The net book value of the building held for sale was $89,636 and the closing costs and fees associated with the sale of the property was $46,571. The gain on sale of the property was $733,793 and will be reflected in NTIC’s first quarter fiscal 2007 financial results.</w:t>
      </w:r>
    </w:p>
    <w:p>
      <w:pPr>
        <w:spacing w:after="0" w:line="1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was no change in NTIC’s internal control over financial reporting that occurred during fiscal 2006 that has materially affected, or is reasonably likely to materially affect NTIC’s internal control over financial reporting.</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8B.</w:t>
      </w:r>
      <w:r>
        <w:rPr>
          <w:sz w:val="20"/>
          <w:szCs w:val="20"/>
          <w:color w:val="auto"/>
        </w:rPr>
        <w:tab/>
      </w:r>
      <w:r>
        <w:rPr>
          <w:rFonts w:ascii="Arial" w:cs="Arial" w:eastAsia="Arial" w:hAnsi="Arial"/>
          <w:sz w:val="18"/>
          <w:szCs w:val="18"/>
          <w:b w:val="1"/>
          <w:bCs w:val="1"/>
          <w:color w:val="auto"/>
        </w:rPr>
        <w:t>OTHER INFORMATION.</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August 24, 2006, NTIC entered into a Promissory Note Modification Agreement (the “Modification Agreement”) with National City Bank pursuant to which NTIC’s revolving credit facility was increased from $1,000,000 to $1,500,000. The foregoing description of the Modification Agreement is qualified in its entirety by reference to a copy of the actual Modification Agreement, which is filed as Exhibit 10.19 to this report and is incorporated herein by reference.</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17, 2006, NTIC’s Board of Directors, upon recommendation of the Compensation Committee of the Board, approved annual performance bonuses for NTIC’s executive officers, to be paid in cash and NTIC common stock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NTIC 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ind w:left="200"/>
              <w:spacing w:after="0"/>
              <w:rPr>
                <w:sz w:val="20"/>
                <w:szCs w:val="20"/>
                <w:color w:val="auto"/>
              </w:rPr>
            </w:pPr>
            <w:r>
              <w:rPr>
                <w:rFonts w:ascii="Arial" w:cs="Arial" w:eastAsia="Arial" w:hAnsi="Arial"/>
                <w:sz w:val="14"/>
                <w:szCs w:val="14"/>
                <w:b w:val="1"/>
                <w:bCs w:val="1"/>
                <w:color w:val="auto"/>
              </w:rPr>
              <w:t>Name of Executive Officer</w:t>
            </w:r>
          </w:p>
        </w:tc>
        <w:tc>
          <w:tcPr>
            <w:tcW w:w="200" w:type="dxa"/>
            <w:vAlign w:val="bottom"/>
          </w:tcPr>
          <w:p>
            <w:pPr>
              <w:spacing w:after="0"/>
              <w:rPr>
                <w:sz w:val="15"/>
                <w:szCs w:val="15"/>
                <w:color w:val="auto"/>
              </w:rPr>
            </w:pPr>
          </w:p>
        </w:tc>
        <w:tc>
          <w:tcPr>
            <w:tcW w:w="4960" w:type="dxa"/>
            <w:vAlign w:val="bottom"/>
          </w:tcPr>
          <w:p>
            <w:pPr>
              <w:ind w:left="232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4"/>
                <w:szCs w:val="14"/>
                <w:b w:val="1"/>
                <w:bCs w:val="1"/>
                <w:color w:val="auto"/>
                <w:w w:val="85"/>
              </w:rPr>
              <w:t>Cash Bonus ($)</w:t>
            </w:r>
          </w:p>
        </w:tc>
        <w:tc>
          <w:tcPr>
            <w:tcW w:w="180" w:type="dxa"/>
            <w:vAlign w:val="bottom"/>
          </w:tcPr>
          <w:p>
            <w:pPr>
              <w:spacing w:after="0"/>
              <w:rPr>
                <w:sz w:val="15"/>
                <w:szCs w:val="15"/>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Stock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G. Patrick Lynch</w:t>
            </w:r>
          </w:p>
        </w:tc>
        <w:tc>
          <w:tcPr>
            <w:tcW w:w="200" w:type="dxa"/>
            <w:vAlign w:val="bottom"/>
            <w:shd w:val="clear" w:color="auto" w:fill="CCEEFF"/>
          </w:tcPr>
          <w:p>
            <w:pPr>
              <w:spacing w:after="0"/>
              <w:rPr>
                <w:sz w:val="18"/>
                <w:szCs w:val="18"/>
                <w:color w:val="auto"/>
              </w:rPr>
            </w:pP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President and Chief Executive Officer</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Dr. Donald Kubik</w:t>
            </w:r>
          </w:p>
        </w:tc>
        <w:tc>
          <w:tcPr>
            <w:tcW w:w="20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Vice Chairman and Chief Technology Officer</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40,000</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4,994(1)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Matthew C. Wolsfeld</w:t>
            </w:r>
          </w:p>
        </w:tc>
        <w:tc>
          <w:tcPr>
            <w:tcW w:w="200" w:type="dxa"/>
            <w:vAlign w:val="bottom"/>
            <w:shd w:val="clear" w:color="auto" w:fill="CCEEFF"/>
          </w:tcPr>
          <w:p>
            <w:pPr>
              <w:spacing w:after="0"/>
              <w:rPr>
                <w:sz w:val="18"/>
                <w:szCs w:val="18"/>
                <w:color w:val="auto"/>
              </w:rPr>
            </w:pP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Chief Financial Officer and Secretary</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6465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00" w:right="560" w:hanging="518"/>
        <w:spacing w:after="0" w:line="268"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of NTIC common stock were determined based on $8.01 per share, which represents the closing sale price of a share of NTIC common stock on November 17, 2006, as reported by the American Stock Exchange.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584" w:right="3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160" w:right="280" w:hanging="1147"/>
        <w:spacing w:after="0" w:line="275" w:lineRule="auto"/>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DIRECTORS, EXECUTIVE OFFICERS, PROMOTERS AND CONTROL PERSONS; COMPLIANCE WITH SECTION 16(A) OF THE EXCHANGE ACT.</w:t>
      </w:r>
    </w:p>
    <w:p>
      <w:pPr>
        <w:spacing w:after="0" w:line="1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information required under Item 9 of this report is to be contained under the captions “Election of Directors — Information About Nominees,” “Election of Directors — Other Information About Nominees,” “Election of Directors — Board and Committee Meetings,” “Election of Directors — Corporate Governance,” “Section 16(a) Beneficial Ownership Reporting Compliance” and “Other Matters – Director Nominations” in NTIC’s definitive proxy statement to be filed with the SEC with respect to its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information concerning NTIC’s executive officers and officers is included in this report under Item 4A, “Executive Officers of NTIC” and is incorporated herein by reference.</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American Stock Exchange. A copy of NTIC’s Code of Ethics is filed as an exhibit to this report. NTIC intends to disclose any amendments to any waivers from a provision of NTIC’s code of ethics on a Form 8-K filed with the SEC.</w:t>
      </w:r>
    </w:p>
    <w:p>
      <w:pPr>
        <w:spacing w:after="0" w:line="1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information required under Item 10 of this report is to be contained under the captions “Election of Directors — Director Compensation” and “Executive Compensation and Other Benefits”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61" w:lineRule="exact"/>
        <w:rPr>
          <w:sz w:val="20"/>
          <w:szCs w:val="20"/>
          <w:color w:val="auto"/>
        </w:rPr>
      </w:pPr>
    </w:p>
    <w:p>
      <w:pPr>
        <w:ind w:left="1160" w:right="620" w:hanging="1147"/>
        <w:spacing w:after="0" w:line="275" w:lineRule="auto"/>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information required under Item 11 of this report is to be contained under the caption “Security Ownership of Principal Stockholders and Management”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NTIC has two equity compensation plans under which equity compensation awards are outstanding – Northern Technologies International Corporation 1994 Stock Incentive Plan and the Northern Technologies International Corporation 2000 Stock Incentive Plan. The following table summarizes NTIC’s equity compensation plans as of August 31, 2006: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left="12"/>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8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Price of Outstanding Options,</w:t>
            </w:r>
          </w:p>
        </w:tc>
        <w:tc>
          <w:tcPr>
            <w:tcW w:w="18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 reflected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ind w:left="2120"/>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5"/>
                <w:szCs w:val="15"/>
                <w:color w:val="auto"/>
              </w:rPr>
            </w:pPr>
          </w:p>
        </w:tc>
        <w:tc>
          <w:tcPr>
            <w:tcW w:w="18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Warrants and Rights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8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the American Stock Exchange rules, NTIC is required to disclose in its annual report the number of outstanding options and options available for grant under its equity compensation plans as of September 1, 2005 and August 31, 2006. As of September 1, 2005, the number of securities to be issued upon exercise of outstanding options, warrants and rights were 66,334 shares of NTIC’s common stock at a weighted average exercise price of $4.82 per share. The number of securities remaining available for future issuance under NTIC’s equity compensation plans (excluding securities to be issued upon exercise of outstanding options, warrants and rights) was 117,000 shares of NTIC’s common stock. This information as of August 31, 2006 is contained in the table above.</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2006, NTIC’s Board of Directors approved the Northern Technologies International Corporation 2007 Stock Incentive Plan and the Northern Technologies International Corporation Employee Stock Purchase Plan and expects to submit proposals to approve the plans to NTIC’s stockholders at NTIC’s 2007 Annual Meeting of Stockholders to be held on January 23, 2007.</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CERTAIN RELATIONSHIPS AND RELATED PARTY TRANSACTIONS.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information required under Item 12 of this report is to be contained under the caption “Related Party Relationships and Transactions”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6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Exhibit Index hereinafter contained, at page 59 of this report.</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57"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KSB pursuant to Item 13(a):</w:t>
      </w:r>
    </w:p>
    <w:p>
      <w:pPr>
        <w:spacing w:after="0" w:line="219" w:lineRule="exact"/>
        <w:rPr>
          <w:sz w:val="20"/>
          <w:szCs w:val="20"/>
          <w:color w:val="auto"/>
        </w:rPr>
      </w:pPr>
    </w:p>
    <w:p>
      <w:pPr>
        <w:ind w:left="1160" w:right="80" w:hanging="663"/>
        <w:spacing w:after="0" w:line="26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Northern Technologies International Corporation 1994 Stock Incentive Plan (incorporated by reference to Exhibit 10.3 to NTIC’s Annual Report on Form 10-KSB for the fiscal year ended August 31, 1993).</w:t>
      </w:r>
    </w:p>
    <w:p>
      <w:pPr>
        <w:spacing w:after="0" w:line="118" w:lineRule="exact"/>
        <w:rPr>
          <w:rFonts w:ascii="Arial" w:cs="Arial" w:eastAsia="Arial" w:hAnsi="Arial"/>
          <w:sz w:val="18"/>
          <w:szCs w:val="18"/>
          <w:color w:val="auto"/>
        </w:rPr>
      </w:pPr>
    </w:p>
    <w:p>
      <w:pPr>
        <w:ind w:left="1160" w:right="340" w:hanging="658"/>
        <w:spacing w:after="0" w:line="332" w:lineRule="auto"/>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 of Incentive Stock Option Agreement for Northern Technologies International Corporation 1994 Stock Incentive Plan (incorporated by reference to Exhibit 10.1 to NTIC’s Annual Report on Form 10-KSB for the fiscal year ended August 31, 1993).</w:t>
      </w:r>
    </w:p>
    <w:p>
      <w:pPr>
        <w:spacing w:after="0" w:line="71" w:lineRule="exact"/>
        <w:rPr>
          <w:rFonts w:ascii="Arial" w:cs="Arial" w:eastAsia="Arial" w:hAnsi="Arial"/>
          <w:sz w:val="16"/>
          <w:szCs w:val="16"/>
          <w:color w:val="auto"/>
        </w:rPr>
      </w:pPr>
    </w:p>
    <w:p>
      <w:pPr>
        <w:ind w:left="1160" w:right="180" w:hanging="658"/>
        <w:spacing w:after="0" w:line="332" w:lineRule="auto"/>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1994 Stock Incentive Plan (incorporated by reference to Exhibit 10.2 to NTIC’s Annual Report on Form 10-KSB for the fiscal year ended August 31, 1993).</w:t>
      </w:r>
    </w:p>
    <w:p>
      <w:pPr>
        <w:spacing w:after="0" w:line="71" w:lineRule="exact"/>
        <w:rPr>
          <w:rFonts w:ascii="Arial" w:cs="Arial" w:eastAsia="Arial" w:hAnsi="Arial"/>
          <w:sz w:val="16"/>
          <w:szCs w:val="16"/>
          <w:color w:val="auto"/>
        </w:rPr>
      </w:pPr>
    </w:p>
    <w:p>
      <w:pPr>
        <w:ind w:left="1160" w:right="80" w:hanging="663"/>
        <w:spacing w:after="0" w:line="26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2000 Stock Incentive Plan (incorporated by reference to Exhibit 10.4 to NTIC’s Annual Report on Form 10-KSB for the fiscal year ended August 31, 2000).</w:t>
      </w:r>
    </w:p>
    <w:p>
      <w:pPr>
        <w:spacing w:after="0" w:line="118" w:lineRule="exact"/>
        <w:rPr>
          <w:rFonts w:ascii="Arial" w:cs="Arial" w:eastAsia="Arial" w:hAnsi="Arial"/>
          <w:sz w:val="18"/>
          <w:szCs w:val="18"/>
          <w:color w:val="auto"/>
        </w:rPr>
      </w:pPr>
    </w:p>
    <w:p>
      <w:pPr>
        <w:ind w:left="1160" w:right="340" w:hanging="654"/>
        <w:spacing w:after="0" w:line="332" w:lineRule="auto"/>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 of Incentive Stock Option Agreement for Northern Technologies International Corporation 2000 Stock Incentive Plan (incorporated by reference to Exhibit 10.5 to NTIC’s Annual Report on Form 10-KSB for the fiscal year ended August 31, 2000).</w:t>
      </w:r>
    </w:p>
    <w:p>
      <w:pPr>
        <w:spacing w:after="0" w:line="72" w:lineRule="exact"/>
        <w:rPr>
          <w:sz w:val="20"/>
          <w:szCs w:val="20"/>
          <w:color w:val="auto"/>
        </w:rPr>
      </w:pPr>
    </w:p>
    <w:p>
      <w:pPr>
        <w:ind w:left="1160" w:right="180" w:hanging="642"/>
        <w:spacing w:after="0" w:line="332" w:lineRule="auto"/>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2000 Stock Incentive Plan (incorporated by reference to Exhibit 10.6 to NTIC’s Annual Report on Form 10-KSB for the fiscal year ended August 31, 2000).</w:t>
      </w:r>
    </w:p>
    <w:p>
      <w:pPr>
        <w:spacing w:after="0" w:line="72" w:lineRule="exact"/>
        <w:rPr>
          <w:sz w:val="20"/>
          <w:szCs w:val="20"/>
          <w:color w:val="auto"/>
        </w:rPr>
      </w:pPr>
    </w:p>
    <w:p>
      <w:pPr>
        <w:ind w:left="1160" w:hanging="663"/>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2007 Stock Incentive Plan (filed herewith).</w:t>
      </w:r>
    </w:p>
    <w:p>
      <w:pPr>
        <w:spacing w:after="0" w:line="157" w:lineRule="exact"/>
        <w:rPr>
          <w:rFonts w:ascii="Arial" w:cs="Arial" w:eastAsia="Arial" w:hAnsi="Arial"/>
          <w:sz w:val="18"/>
          <w:szCs w:val="18"/>
          <w:color w:val="auto"/>
        </w:rPr>
      </w:pPr>
    </w:p>
    <w:p>
      <w:pPr>
        <w:ind w:left="1160" w:hanging="663"/>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Form of Incentive Stock Option Agreement for Northern Technologies International Corporation 2007 Stock Incentive Plan (filed herewith).</w:t>
      </w:r>
    </w:p>
    <w:p>
      <w:pPr>
        <w:spacing w:after="0" w:line="181" w:lineRule="exact"/>
        <w:rPr>
          <w:sz w:val="20"/>
          <w:szCs w:val="20"/>
          <w:color w:val="auto"/>
        </w:rPr>
      </w:pPr>
    </w:p>
    <w:p>
      <w:pPr>
        <w:ind w:left="1160" w:hanging="629"/>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2007 Stock Incentive Plan (filed herewith).</w:t>
      </w:r>
    </w:p>
    <w:p>
      <w:pPr>
        <w:spacing w:after="0" w:line="180" w:lineRule="exact"/>
        <w:rPr>
          <w:rFonts w:ascii="Arial" w:cs="Arial" w:eastAsia="Arial" w:hAnsi="Arial"/>
          <w:sz w:val="16"/>
          <w:szCs w:val="16"/>
          <w:color w:val="auto"/>
        </w:rPr>
      </w:pPr>
    </w:p>
    <w:p>
      <w:pPr>
        <w:ind w:left="1160" w:hanging="634"/>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 of Restricted Stock Agreement for Northern Technologies International Corporation 2007 Stock Incentive Plan (filed herewith).</w:t>
      </w:r>
    </w:p>
    <w:p>
      <w:pPr>
        <w:spacing w:after="0" w:line="181" w:lineRule="exact"/>
        <w:rPr>
          <w:sz w:val="20"/>
          <w:szCs w:val="20"/>
          <w:color w:val="auto"/>
        </w:rPr>
      </w:pPr>
    </w:p>
    <w:p>
      <w:pPr>
        <w:ind w:left="1160" w:hanging="663"/>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(filed herewith).</w:t>
      </w:r>
    </w:p>
    <w:p>
      <w:pPr>
        <w:spacing w:after="0" w:line="157" w:lineRule="exact"/>
        <w:rPr>
          <w:rFonts w:ascii="Arial" w:cs="Arial" w:eastAsia="Arial" w:hAnsi="Arial"/>
          <w:sz w:val="18"/>
          <w:szCs w:val="18"/>
          <w:color w:val="auto"/>
        </w:rPr>
      </w:pPr>
    </w:p>
    <w:p>
      <w:pPr>
        <w:ind w:left="1160" w:hanging="654"/>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158" w:lineRule="exact"/>
        <w:rPr>
          <w:sz w:val="20"/>
          <w:szCs w:val="20"/>
          <w:color w:val="auto"/>
        </w:rPr>
      </w:pPr>
    </w:p>
    <w:p>
      <w:pPr>
        <w:ind w:left="5620" w:right="4660" w:hanging="5138"/>
        <w:spacing w:after="0" w:line="519" w:lineRule="auto"/>
        <w:tabs>
          <w:tab w:leader="none" w:pos="11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Description of Executive Officer Compensation Arrangements (filed herewith). 54</w:t>
      </w:r>
    </w:p>
    <w:p>
      <w:pPr>
        <w:sectPr>
          <w:pgSz w:w="11900" w:h="16838" w:orient="portrait"/>
          <w:cols w:equalWidth="0" w:num="1">
            <w:col w:w="11400"/>
          </w:cols>
          <w:pgMar w:left="240" w:top="590" w:right="259" w:bottom="1440" w:gutter="0" w:footer="0" w:header="0"/>
        </w:sectPr>
      </w:pPr>
    </w:p>
    <w:bookmarkStart w:id="55" w:name="page56"/>
    <w:bookmarkEnd w:id="55"/>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information required under Item 14 of this report is to be contained under the captions “Ratification of Selection of Independent Registered Public Accounting Firm – Audit, Audit-Related, Tax and Other Fees” and “Ratification of Selection of Independent Registered Public Accounting Firm – Auditor Fees Pre-Approval Policy”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240" w:top="368"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Section 13 or 15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109220</wp:posOffset>
            </wp:positionV>
            <wp:extent cx="1732280" cy="445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November 17, 2006</w:t>
      </w:r>
      <w:r>
        <w:rPr>
          <w:sz w:val="20"/>
          <w:szCs w:val="20"/>
          <w:color w:val="auto"/>
        </w:rPr>
        <w:tab/>
      </w: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November 17, 2006 in the capacities indicated.</w:t>
      </w:r>
    </w:p>
    <w:p>
      <w:pPr>
        <w:sectPr>
          <w:pgSz w:w="11900" w:h="16838" w:orient="portrait"/>
          <w:cols w:equalWidth="0" w:num="1">
            <w:col w:w="11420"/>
          </w:cols>
          <w:pgMar w:left="240" w:top="584" w:right="239" w:bottom="1440" w:gutter="0" w:footer="0" w:header="0"/>
        </w:sectPr>
      </w:pPr>
    </w:p>
    <w:p>
      <w:pPr>
        <w:spacing w:after="0" w:line="182" w:lineRule="exact"/>
        <w:rPr>
          <w:sz w:val="20"/>
          <w:szCs w:val="20"/>
          <w:color w:val="auto"/>
        </w:rPr>
      </w:pPr>
    </w:p>
    <w:p>
      <w:pPr>
        <w:jc w:val="right"/>
        <w:ind w:right="168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5558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Pierre Chenu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Pierre Chenu</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 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5558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Donald A. Kubik,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Donald A. Kubik,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25558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Jean-Guy Coulombe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25558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Dr. Vera Kallmeyer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Dr. Sunggyu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Dr. Sunggyu Lee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Mark Mayers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Mark Mayers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Dr. Ramani Narayan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Dr. Ramani Narayan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Mark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Mark J. Stone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43649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and Director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Chief Financial Officer and Corporate Secretary (principal financial officer and principal accounting officer)</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Chief Technology Officer and Vice Chairman of the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56</w:t>
      </w:r>
    </w:p>
    <w:p>
      <w:pPr>
        <w:sectPr>
          <w:pgSz w:w="11900" w:h="16838" w:orient="portrait"/>
          <w:cols w:equalWidth="0" w:num="2">
            <w:col w:w="3860" w:space="720"/>
            <w:col w:w="6840"/>
          </w:cols>
          <w:pgMar w:left="240" w:top="584" w:right="239" w:bottom="1440" w:gutter="0" w:footer="0" w:header="0"/>
          <w:type w:val="continuous"/>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 TO ANNUAL REPORT ON FORM 10-KSB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AUGUST 31, 2006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Item No.</w:t>
            </w:r>
          </w:p>
        </w:tc>
        <w:tc>
          <w:tcPr>
            <w:tcW w:w="5280" w:type="dxa"/>
            <w:vAlign w:val="bottom"/>
            <w:gridSpan w:val="2"/>
          </w:tcPr>
          <w:p>
            <w:pPr>
              <w:ind w:left="540"/>
              <w:spacing w:after="0"/>
              <w:rPr>
                <w:sz w:val="20"/>
                <w:szCs w:val="20"/>
                <w:color w:val="auto"/>
              </w:rPr>
            </w:pPr>
            <w:r>
              <w:rPr>
                <w:rFonts w:ascii="Arial" w:cs="Arial" w:eastAsia="Arial" w:hAnsi="Arial"/>
                <w:sz w:val="14"/>
                <w:szCs w:val="14"/>
                <w:b w:val="1"/>
                <w:bCs w:val="1"/>
                <w:color w:val="auto"/>
              </w:rPr>
              <w:t>Item</w:t>
            </w:r>
          </w:p>
        </w:tc>
        <w:tc>
          <w:tcPr>
            <w:tcW w:w="54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88"/>
              </w:rPr>
              <w:t>Method of Filing</w:t>
            </w:r>
          </w:p>
        </w:tc>
      </w:tr>
      <w:tr>
        <w:trPr>
          <w:trHeight w:val="95"/>
        </w:trPr>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r>
        <w:trPr>
          <w:trHeight w:val="309"/>
        </w:trPr>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5"/>
              </w:rPr>
              <w:t>Restated Certificate of Incorporation of Northern Technologies</w:t>
            </w:r>
          </w:p>
        </w:tc>
        <w:tc>
          <w:tcPr>
            <w:tcW w:w="5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International Corporation</w:t>
            </w:r>
          </w:p>
        </w:tc>
        <w:tc>
          <w:tcPr>
            <w:tcW w:w="5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Amended and Restated Bylaws of Northern Technologies</w:t>
            </w:r>
          </w:p>
        </w:tc>
        <w:tc>
          <w:tcPr>
            <w:tcW w:w="5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3.1 to NTIC’s Quarterly</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International Corporation</w:t>
            </w:r>
          </w:p>
        </w:tc>
        <w:tc>
          <w:tcPr>
            <w:tcW w:w="5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8"/>
              </w:rPr>
              <w:t>Report on Form 10-QSB for the fiscal quarter ended November 30,</w:t>
            </w:r>
          </w:p>
        </w:tc>
      </w:tr>
      <w:tr>
        <w:trPr>
          <w:trHeight w:val="222"/>
        </w:trPr>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2005 (File No. 001-11038)</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8"/>
              </w:rPr>
              <w:t>Northern Technologies International Corporation 1994 Stock</w:t>
            </w:r>
          </w:p>
        </w:tc>
        <w:tc>
          <w:tcPr>
            <w:tcW w:w="5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10.3 to NTIC’s Annual Report</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Incentive Plan</w:t>
            </w:r>
          </w:p>
        </w:tc>
        <w:tc>
          <w:tcPr>
            <w:tcW w:w="5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on Form 10-KSB for the year ended August 31, 1993 (File No.</w:t>
            </w:r>
          </w:p>
        </w:tc>
      </w:tr>
      <w:tr>
        <w:trPr>
          <w:trHeight w:val="222"/>
        </w:trPr>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320" w:type="dxa"/>
            <w:vAlign w:val="bottom"/>
            <w:gridSpan w:val="2"/>
          </w:tcPr>
          <w:p>
            <w:pPr>
              <w:jc w:val="center"/>
              <w:ind w:left="432"/>
              <w:spacing w:after="0"/>
              <w:rPr>
                <w:sz w:val="20"/>
                <w:szCs w:val="20"/>
                <w:color w:val="auto"/>
              </w:rPr>
            </w:pPr>
            <w:r>
              <w:rPr>
                <w:rFonts w:ascii="Arial" w:cs="Arial" w:eastAsia="Arial" w:hAnsi="Arial"/>
                <w:sz w:val="18"/>
                <w:szCs w:val="18"/>
                <w:color w:val="auto"/>
                <w:w w:val="86"/>
              </w:rPr>
              <w:t>001-11038)</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Form of Incentive Stock Option Agreement for Northern</w:t>
            </w:r>
          </w:p>
        </w:tc>
        <w:tc>
          <w:tcPr>
            <w:tcW w:w="5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10.1 to NTIC’s Annual Report</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Technologies International Corporation 1994 Stock Incentive Plan</w:t>
            </w:r>
          </w:p>
        </w:tc>
        <w:tc>
          <w:tcPr>
            <w:tcW w:w="5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on Form 10-KSB for the fiscal year ended August 31, 1993 (File</w:t>
            </w:r>
          </w:p>
        </w:tc>
      </w:tr>
      <w:tr>
        <w:trPr>
          <w:trHeight w:val="222"/>
        </w:trPr>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No. 001-11038)</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8"/>
              </w:rPr>
              <w:t>Form of Non-Qualified Stock Option Agreement for Northern</w:t>
            </w:r>
          </w:p>
        </w:tc>
        <w:tc>
          <w:tcPr>
            <w:tcW w:w="5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10.2 to NTIC’s Annual Report</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Technologies International Corporation 1994 Stock Incentive Plan</w:t>
            </w:r>
          </w:p>
        </w:tc>
        <w:tc>
          <w:tcPr>
            <w:tcW w:w="5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on Form 10-KSB for the fiscal year ended August 31, 1993 (File</w:t>
            </w:r>
          </w:p>
        </w:tc>
      </w:tr>
      <w:tr>
        <w:trPr>
          <w:trHeight w:val="222"/>
        </w:trPr>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No. 001-11038)</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8"/>
              </w:rPr>
              <w:t>Northern Technologies International Corporation 2000 Stock</w:t>
            </w:r>
          </w:p>
        </w:tc>
        <w:tc>
          <w:tcPr>
            <w:tcW w:w="5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10.4 to NTIC’s Annual Report</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Incentive Plan</w:t>
            </w:r>
          </w:p>
        </w:tc>
        <w:tc>
          <w:tcPr>
            <w:tcW w:w="5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on Form 10-KSB for the year ended August 31, 2000 (File No.</w:t>
            </w:r>
          </w:p>
        </w:tc>
      </w:tr>
      <w:tr>
        <w:trPr>
          <w:trHeight w:val="222"/>
        </w:trPr>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320" w:type="dxa"/>
            <w:vAlign w:val="bottom"/>
            <w:gridSpan w:val="2"/>
          </w:tcPr>
          <w:p>
            <w:pPr>
              <w:jc w:val="center"/>
              <w:ind w:left="432"/>
              <w:spacing w:after="0"/>
              <w:rPr>
                <w:sz w:val="20"/>
                <w:szCs w:val="20"/>
                <w:color w:val="auto"/>
              </w:rPr>
            </w:pPr>
            <w:r>
              <w:rPr>
                <w:rFonts w:ascii="Arial" w:cs="Arial" w:eastAsia="Arial" w:hAnsi="Arial"/>
                <w:sz w:val="18"/>
                <w:szCs w:val="18"/>
                <w:color w:val="auto"/>
                <w:w w:val="86"/>
              </w:rPr>
              <w:t>001-11038)</w:t>
            </w:r>
          </w:p>
        </w:tc>
      </w:tr>
    </w:tbl>
    <w:p>
      <w:pPr>
        <w:spacing w:after="0" w:line="142" w:lineRule="exact"/>
        <w:rPr>
          <w:sz w:val="20"/>
          <w:szCs w:val="20"/>
          <w:color w:val="auto"/>
        </w:rPr>
      </w:pPr>
    </w:p>
    <w:p>
      <w:pPr>
        <w:sectPr>
          <w:pgSz w:w="11900" w:h="16838" w:orient="portrait"/>
          <w:cols w:equalWidth="0" w:num="1">
            <w:col w:w="11440"/>
          </w:cols>
          <w:pgMar w:left="240" w:top="584" w:right="219" w:bottom="1440" w:gutter="0" w:footer="0" w:header="0"/>
        </w:sectPr>
      </w:pPr>
    </w:p>
    <w:tbl>
      <w:tblPr>
        <w:tblLayout w:type="fixed"/>
        <w:tblInd w:w="260" w:type="dxa"/>
        <w:tblCellMar>
          <w:top w:w="0" w:type="dxa"/>
          <w:left w:w="0" w:type="dxa"/>
          <w:bottom w:w="0" w:type="dxa"/>
          <w:right w:w="0" w:type="dxa"/>
        </w:tblCellMar>
      </w:tblPr>
      <w:tr>
        <w:trPr>
          <w:trHeight w:val="216"/>
        </w:trPr>
        <w:tc>
          <w:tcPr>
            <w:tcW w:w="700" w:type="dxa"/>
            <w:vAlign w:val="bottom"/>
          </w:tcPr>
          <w:p>
            <w:pPr>
              <w:jc w:val="right"/>
              <w:ind w:right="312"/>
              <w:spacing w:after="0"/>
              <w:rPr>
                <w:sz w:val="20"/>
                <w:szCs w:val="20"/>
                <w:color w:val="auto"/>
              </w:rPr>
            </w:pPr>
            <w:r>
              <w:rPr>
                <w:rFonts w:ascii="Arial" w:cs="Arial" w:eastAsia="Arial" w:hAnsi="Arial"/>
                <w:sz w:val="18"/>
                <w:szCs w:val="18"/>
                <w:color w:val="auto"/>
                <w:w w:val="79"/>
              </w:rPr>
              <w:t>10.5</w:t>
            </w:r>
          </w:p>
        </w:tc>
        <w:tc>
          <w:tcPr>
            <w:tcW w:w="5080" w:type="dxa"/>
            <w:vAlign w:val="bottom"/>
          </w:tcPr>
          <w:p>
            <w:pPr>
              <w:ind w:left="420"/>
              <w:spacing w:after="0"/>
              <w:rPr>
                <w:sz w:val="20"/>
                <w:szCs w:val="20"/>
                <w:color w:val="auto"/>
              </w:rPr>
            </w:pPr>
            <w:r>
              <w:rPr>
                <w:rFonts w:ascii="Arial" w:cs="Arial" w:eastAsia="Arial" w:hAnsi="Arial"/>
                <w:sz w:val="18"/>
                <w:szCs w:val="18"/>
                <w:color w:val="auto"/>
              </w:rPr>
              <w:t>Form of Incentive Stock Option Agreement for Northern</w:t>
            </w:r>
          </w:p>
        </w:tc>
      </w:tr>
      <w:tr>
        <w:trPr>
          <w:trHeight w:val="222"/>
        </w:trPr>
        <w:tc>
          <w:tcPr>
            <w:tcW w:w="70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88"/>
              </w:rPr>
              <w:t>Technologies International Corporation 2000 Stock Incentive Plan</w:t>
            </w:r>
          </w:p>
        </w:tc>
      </w:tr>
    </w:tbl>
    <w:p>
      <w:pPr>
        <w:spacing w:after="0" w:line="20" w:lineRule="exact"/>
        <w:rPr>
          <w:sz w:val="20"/>
          <w:szCs w:val="20"/>
          <w:color w:val="auto"/>
        </w:rPr>
      </w:pPr>
      <w:r>
        <w:rPr>
          <w:sz w:val="20"/>
          <w:szCs w:val="20"/>
          <w:color w:val="auto"/>
        </w:rPr>
        <w:br w:type="column"/>
      </w:r>
    </w:p>
    <w:p>
      <w:pPr>
        <w:jc w:val="center"/>
        <w:ind w:right="20"/>
        <w:spacing w:after="0" w:line="259" w:lineRule="auto"/>
        <w:rPr>
          <w:sz w:val="20"/>
          <w:szCs w:val="20"/>
          <w:color w:val="auto"/>
        </w:rPr>
      </w:pPr>
      <w:r>
        <w:rPr>
          <w:rFonts w:ascii="Arial" w:cs="Arial" w:eastAsia="Arial" w:hAnsi="Arial"/>
          <w:sz w:val="18"/>
          <w:szCs w:val="18"/>
          <w:color w:val="auto"/>
        </w:rPr>
        <w:t>Incorporated by reference to Exhibit 10.5 to NTIC’s Annual Report on Form 10-KSB for the year ended August 31, 2000 (File No. 001-11038)</w:t>
      </w:r>
    </w:p>
    <w:p>
      <w:pPr>
        <w:spacing w:after="0" w:line="127" w:lineRule="exact"/>
        <w:rPr>
          <w:sz w:val="20"/>
          <w:szCs w:val="20"/>
          <w:color w:val="auto"/>
        </w:rPr>
      </w:pPr>
    </w:p>
    <w:p>
      <w:pPr>
        <w:sectPr>
          <w:pgSz w:w="11900" w:h="16838" w:orient="portrait"/>
          <w:cols w:equalWidth="0" w:num="2">
            <w:col w:w="6040" w:space="640"/>
            <w:col w:w="4760"/>
          </w:cols>
          <w:pgMar w:left="240" w:top="584" w:right="219" w:bottom="1440" w:gutter="0" w:footer="0" w:header="0"/>
          <w:type w:val="continuous"/>
        </w:sectPr>
      </w:pPr>
    </w:p>
    <w:tbl>
      <w:tblPr>
        <w:tblLayout w:type="fixed"/>
        <w:tblInd w:w="260" w:type="dxa"/>
        <w:tblCellMar>
          <w:top w:w="0" w:type="dxa"/>
          <w:left w:w="0" w:type="dxa"/>
          <w:bottom w:w="0" w:type="dxa"/>
          <w:right w:w="0" w:type="dxa"/>
        </w:tblCellMar>
      </w:tblPr>
      <w:tr>
        <w:trPr>
          <w:trHeight w:val="216"/>
        </w:trPr>
        <w:tc>
          <w:tcPr>
            <w:tcW w:w="700" w:type="dxa"/>
            <w:vAlign w:val="bottom"/>
          </w:tcPr>
          <w:p>
            <w:pPr>
              <w:jc w:val="right"/>
              <w:ind w:right="312"/>
              <w:spacing w:after="0"/>
              <w:rPr>
                <w:sz w:val="20"/>
                <w:szCs w:val="20"/>
                <w:color w:val="auto"/>
              </w:rPr>
            </w:pPr>
            <w:r>
              <w:rPr>
                <w:rFonts w:ascii="Arial" w:cs="Arial" w:eastAsia="Arial" w:hAnsi="Arial"/>
                <w:sz w:val="18"/>
                <w:szCs w:val="18"/>
                <w:color w:val="auto"/>
                <w:w w:val="79"/>
              </w:rPr>
              <w:t>10.6</w:t>
            </w:r>
          </w:p>
        </w:tc>
        <w:tc>
          <w:tcPr>
            <w:tcW w:w="5080" w:type="dxa"/>
            <w:vAlign w:val="bottom"/>
          </w:tcPr>
          <w:p>
            <w:pPr>
              <w:ind w:left="420"/>
              <w:spacing w:after="0"/>
              <w:rPr>
                <w:sz w:val="20"/>
                <w:szCs w:val="20"/>
                <w:color w:val="auto"/>
              </w:rPr>
            </w:pPr>
            <w:r>
              <w:rPr>
                <w:rFonts w:ascii="Arial" w:cs="Arial" w:eastAsia="Arial" w:hAnsi="Arial"/>
                <w:sz w:val="18"/>
                <w:szCs w:val="18"/>
                <w:color w:val="auto"/>
                <w:w w:val="96"/>
              </w:rPr>
              <w:t>Form of Non-Qualified Stock Option Agreement for Northern</w:t>
            </w:r>
          </w:p>
        </w:tc>
      </w:tr>
      <w:tr>
        <w:trPr>
          <w:trHeight w:val="222"/>
        </w:trPr>
        <w:tc>
          <w:tcPr>
            <w:tcW w:w="70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88"/>
              </w:rPr>
              <w:t>Technologies International Corporation 2000 Stock Incentive Plan</w:t>
            </w:r>
          </w:p>
        </w:tc>
      </w:tr>
    </w:tbl>
    <w:p>
      <w:pPr>
        <w:spacing w:after="0" w:line="20" w:lineRule="exact"/>
        <w:rPr>
          <w:sz w:val="20"/>
          <w:szCs w:val="20"/>
          <w:color w:val="auto"/>
        </w:rPr>
      </w:pPr>
      <w:r>
        <w:rPr>
          <w:sz w:val="20"/>
          <w:szCs w:val="20"/>
          <w:color w:val="auto"/>
        </w:rPr>
        <w:br w:type="column"/>
      </w:r>
    </w:p>
    <w:p>
      <w:pPr>
        <w:jc w:val="center"/>
        <w:ind w:right="20"/>
        <w:spacing w:after="0" w:line="259" w:lineRule="auto"/>
        <w:rPr>
          <w:sz w:val="20"/>
          <w:szCs w:val="20"/>
          <w:color w:val="auto"/>
        </w:rPr>
      </w:pPr>
      <w:r>
        <w:rPr>
          <w:rFonts w:ascii="Arial" w:cs="Arial" w:eastAsia="Arial" w:hAnsi="Arial"/>
          <w:sz w:val="18"/>
          <w:szCs w:val="18"/>
          <w:color w:val="auto"/>
        </w:rPr>
        <w:t>Incorporated by reference to Exhibit 10.6 to NTIC’s Annual Report on Form 10-KSB for the year ended August 31, 2000 (File No. 001-11038)</w:t>
      </w:r>
    </w:p>
    <w:p>
      <w:pPr>
        <w:spacing w:after="0" w:line="127" w:lineRule="exact"/>
        <w:rPr>
          <w:sz w:val="20"/>
          <w:szCs w:val="20"/>
          <w:color w:val="auto"/>
        </w:rPr>
      </w:pPr>
    </w:p>
    <w:p>
      <w:pPr>
        <w:sectPr>
          <w:pgSz w:w="11900" w:h="16838" w:orient="portrait"/>
          <w:cols w:equalWidth="0" w:num="2">
            <w:col w:w="6040" w:space="640"/>
            <w:col w:w="4760"/>
          </w:cols>
          <w:pgMar w:left="240" w:top="584" w:right="219" w:bottom="1440" w:gutter="0" w:footer="0" w:header="0"/>
          <w:type w:val="continuous"/>
        </w:sectPr>
      </w:pPr>
    </w:p>
    <w:p>
      <w:pPr>
        <w:ind w:left="1380" w:right="1880" w:hanging="1118"/>
        <w:spacing w:after="0" w:line="254" w:lineRule="auto"/>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Northern Technologies International Corporation 2007 Stock Filed herewith Incentive Plan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40"/>
          </w:cols>
          <w:pgMar w:left="240" w:top="584" w:right="21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74"/>
        </w:trPr>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Item No.</w:t>
            </w:r>
          </w:p>
        </w:tc>
        <w:tc>
          <w:tcPr>
            <w:tcW w:w="5280" w:type="dxa"/>
            <w:vAlign w:val="bottom"/>
            <w:gridSpan w:val="2"/>
          </w:tcPr>
          <w:p>
            <w:pPr>
              <w:ind w:left="540"/>
              <w:spacing w:after="0"/>
              <w:rPr>
                <w:sz w:val="20"/>
                <w:szCs w:val="20"/>
                <w:color w:val="auto"/>
              </w:rPr>
            </w:pPr>
            <w:r>
              <w:rPr>
                <w:rFonts w:ascii="Arial" w:cs="Arial" w:eastAsia="Arial" w:hAnsi="Arial"/>
                <w:sz w:val="14"/>
                <w:szCs w:val="14"/>
                <w:b w:val="1"/>
                <w:bCs w:val="1"/>
                <w:color w:val="auto"/>
              </w:rPr>
              <w:t>Item</w:t>
            </w:r>
          </w:p>
        </w:tc>
      </w:tr>
      <w:tr>
        <w:trPr>
          <w:trHeight w:val="95"/>
        </w:trPr>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r>
      <w:tr>
        <w:trPr>
          <w:trHeight w:val="309"/>
        </w:trPr>
        <w:tc>
          <w:tcPr>
            <w:tcW w:w="8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Form of Incentive Stock Option Agreement for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Technologies International Corporation 2007 Stock Incentive Plan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8"/>
              </w:rPr>
              <w:t>Form of Non-Statutory Stock Option Agreement for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Technologies International Corporation 2007 Stock Incentive Plan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3"/>
              </w:rPr>
              <w:t>Form of Restricted Stock Agreement for Northern Technologies</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International Corporation 2007 Stock Incentive Plan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Northern Technologies International Corporation Employee Stock</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Purchase Plan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Description of Non-Employee Director Compensation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Arrangements</w:t>
            </w:r>
          </w:p>
        </w:tc>
      </w:tr>
      <w:tr>
        <w:trPr>
          <w:trHeight w:val="365"/>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6"/>
              </w:rPr>
              <w:t>Description of Executive Officer Compensation Arrangements</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8"/>
              </w:rPr>
              <w:t>Commercial Note: Revolving Credit dated August 6, 2004 by</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9"/>
              </w:rPr>
              <w:t>Northern Technologies International Corporation payable to</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National City Bank</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8"/>
              </w:rPr>
              <w:t>Commercial Note Addendum dated August 6, 2004 between</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6"/>
              </w:rPr>
              <w:t>Northern Technologies International Corporation and National</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City Bank</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7"/>
              </w:rPr>
              <w:t>Security Agreement dated August 6, 2004 between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4"/>
              </w:rPr>
              <w:t>Technologies International Corporation and National City Bank</w:t>
            </w:r>
          </w:p>
        </w:tc>
      </w:tr>
      <w:tr>
        <w:trPr>
          <w:trHeight w:val="574"/>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4"/>
              </w:rPr>
              <w:t>Modification and Extension of Promissory Note dated March 2,</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3"/>
              </w:rPr>
              <w:t>2005 between Northern Technologies International Corporation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and National City Bank</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Promissory Note Modification Agreement dated January 30, 2006</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5"/>
              </w:rPr>
              <w:t>between Northern Technologies International Corporation and</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National City Bank</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1"/>
              </w:rPr>
              <w:t>Promissory Note Modification Agreement dated August 24, 2006</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5"/>
              </w:rPr>
              <w:t>between Northern Technologies International Corporation and</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National City Bank</w:t>
            </w:r>
          </w:p>
        </w:tc>
      </w:tr>
      <w:tr>
        <w:trPr>
          <w:trHeight w:val="432"/>
        </w:trPr>
        <w:tc>
          <w:tcPr>
            <w:tcW w:w="840" w:type="dxa"/>
            <w:vAlign w:val="bottom"/>
          </w:tcPr>
          <w:p>
            <w:pPr>
              <w:spacing w:after="0"/>
              <w:rPr>
                <w:sz w:val="24"/>
                <w:szCs w:val="24"/>
                <w:color w:val="auto"/>
              </w:rPr>
            </w:pPr>
          </w:p>
        </w:tc>
        <w:tc>
          <w:tcPr>
            <w:tcW w:w="5280" w:type="dxa"/>
            <w:vAlign w:val="bottom"/>
            <w:gridSpan w:val="2"/>
          </w:tcPr>
          <w:p>
            <w:pPr>
              <w:ind w:left="4780"/>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68580</wp:posOffset>
            </wp:positionV>
            <wp:extent cx="30359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10.1 to NTIC’s Quarterly Report on Form 10-QSB for the year ended May 31, 2005 (File No. 001-11038)</w:t>
      </w:r>
    </w:p>
    <w:p>
      <w:pPr>
        <w:spacing w:after="0" w:line="127"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10.2 to NTIC’s Quarterly Report on Form 10-QSB for the year ended May 31, 2005 (File No. 001-11038)</w:t>
      </w:r>
    </w:p>
    <w:p>
      <w:pPr>
        <w:spacing w:after="0" w:line="127"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10.3 to NTIC’s Quarterly Report on Form 10-QSB for the year ended May 31, 2005 (File No. 001-11038)</w:t>
      </w:r>
    </w:p>
    <w:p>
      <w:pPr>
        <w:spacing w:after="0" w:line="127"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10.4 to NTIC’s Quarterly Report on Form 10-QSB for the year ended May 31, 2005 (File No. 001-11038)</w:t>
      </w:r>
    </w:p>
    <w:p>
      <w:pPr>
        <w:spacing w:after="0" w:line="1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120" w:space="700"/>
            <w:col w:w="4460"/>
          </w:cols>
          <w:pgMar w:left="240" w:top="370" w:right="3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4"/>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Item No.</w:t>
            </w:r>
          </w:p>
        </w:tc>
        <w:tc>
          <w:tcPr>
            <w:tcW w:w="5280" w:type="dxa"/>
            <w:vAlign w:val="bottom"/>
            <w:gridSpan w:val="2"/>
          </w:tcPr>
          <w:p>
            <w:pPr>
              <w:ind w:left="540"/>
              <w:spacing w:after="0"/>
              <w:rPr>
                <w:sz w:val="20"/>
                <w:szCs w:val="20"/>
                <w:color w:val="auto"/>
              </w:rPr>
            </w:pPr>
            <w:r>
              <w:rPr>
                <w:rFonts w:ascii="Arial" w:cs="Arial" w:eastAsia="Arial" w:hAnsi="Arial"/>
                <w:sz w:val="14"/>
                <w:szCs w:val="14"/>
                <w:b w:val="1"/>
                <w:bCs w:val="1"/>
                <w:color w:val="auto"/>
              </w:rPr>
              <w:t>Item</w:t>
            </w:r>
          </w:p>
        </w:tc>
      </w:tr>
      <w:tr>
        <w:trPr>
          <w:trHeight w:val="95"/>
        </w:trPr>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r>
      <w:tr>
        <w:trPr>
          <w:trHeight w:val="309"/>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2"/>
              </w:rPr>
              <w:t>Settlement Agreement and Asset Purchase dated April 28, 2005</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4"/>
              </w:rPr>
              <w:t>among Northern Technologies International Corporation, Excor</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Korrosionsforschung GmbH, Fibro-NTI Urun Gelistirme Ve</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9"/>
              </w:rPr>
              <w:t>Pazarlama Ticaret Anonim, Acobal SAS, Henkel KGaA and</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Henkel Surface Technologies SAS</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Consulting Agreement dated as of May 1, 2006 between Northern</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Technologies International Corporation and Emeritushnic</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Facilities Company, Inc.</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3"/>
              </w:rPr>
              <w:t>Purchase Agreement dated as of June 24, 2005 between Circle</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1"/>
              </w:rPr>
              <w:t>Pines Mainstreet II, LLC and Northern Technologies International</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Corporation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Amendment No. 1 to Purchase Agreement dated as of August 21,</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2005 between Circle Pines Mainstreet II, LLC and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Technologies International Corporation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89"/>
              </w:rPr>
              <w:t>Amendment No. 2 to Purchase Agreement dated as of September</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4"/>
              </w:rPr>
              <w:t>21, 2005 between Circle Pines Mainstreet II, LLC and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Technologies International Corporation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Amendment No. 3 to Purchase Agreement dated as of December</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4"/>
              </w:rPr>
              <w:t>31, 2005 between Circle Pines Mainstreet II, LLC and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Technologies International Corporation</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1"/>
              </w:rPr>
              <w:t>Qualified Exchange Accommodation Agreement dated as of May</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3, 2006 between Northern Technologies International Corporation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and Northern Technologies Holding Company, LLC</w:t>
            </w:r>
          </w:p>
        </w:tc>
      </w:tr>
      <w:tr>
        <w:trPr>
          <w:trHeight w:val="432"/>
        </w:trPr>
        <w:tc>
          <w:tcPr>
            <w:tcW w:w="840" w:type="dxa"/>
            <w:vAlign w:val="bottom"/>
          </w:tcPr>
          <w:p>
            <w:pPr>
              <w:spacing w:after="0"/>
              <w:rPr>
                <w:sz w:val="24"/>
                <w:szCs w:val="24"/>
                <w:color w:val="auto"/>
              </w:rPr>
            </w:pPr>
          </w:p>
        </w:tc>
        <w:tc>
          <w:tcPr>
            <w:tcW w:w="5280" w:type="dxa"/>
            <w:vAlign w:val="bottom"/>
            <w:gridSpan w:val="2"/>
          </w:tcPr>
          <w:p>
            <w:pPr>
              <w:ind w:left="478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68580</wp:posOffset>
            </wp:positionV>
            <wp:extent cx="30359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10.5 to NTIC’s Quarterly Report on Form 10-QSB for the year ended May 31, 2005 (File No. 001-11038)</w:t>
      </w:r>
    </w:p>
    <w:p>
      <w:pPr>
        <w:spacing w:after="0" w:line="200" w:lineRule="exact"/>
        <w:rPr>
          <w:sz w:val="20"/>
          <w:szCs w:val="20"/>
          <w:color w:val="auto"/>
        </w:rPr>
      </w:pPr>
    </w:p>
    <w:p>
      <w:pPr>
        <w:spacing w:after="0" w:line="359" w:lineRule="exact"/>
        <w:rPr>
          <w:sz w:val="20"/>
          <w:szCs w:val="20"/>
          <w:color w:val="auto"/>
        </w:rPr>
      </w:pPr>
    </w:p>
    <w:p>
      <w:pPr>
        <w:jc w:val="center"/>
        <w:ind w:left="40"/>
        <w:spacing w:after="0" w:line="306" w:lineRule="auto"/>
        <w:rPr>
          <w:sz w:val="20"/>
          <w:szCs w:val="20"/>
          <w:color w:val="auto"/>
        </w:rPr>
      </w:pPr>
      <w:r>
        <w:rPr>
          <w:rFonts w:ascii="Arial" w:cs="Arial" w:eastAsia="Arial" w:hAnsi="Arial"/>
          <w:sz w:val="16"/>
          <w:szCs w:val="16"/>
          <w:color w:val="auto"/>
        </w:rPr>
        <w:t>Incorporated by reference to Exhibit 10.1 to NTIC’s Current Report on Form 8-K as filed with the Securities and Exchange Commission on May 22, 2006 (File No. 001-11038)</w:t>
      </w:r>
    </w:p>
    <w:p>
      <w:pPr>
        <w:spacing w:after="0" w:line="93" w:lineRule="exact"/>
        <w:rPr>
          <w:sz w:val="20"/>
          <w:szCs w:val="20"/>
          <w:color w:val="auto"/>
        </w:rPr>
      </w:pPr>
    </w:p>
    <w:p>
      <w:pPr>
        <w:jc w:val="both"/>
        <w:ind w:left="60" w:right="80" w:firstLine="44"/>
        <w:spacing w:after="0" w:line="306" w:lineRule="auto"/>
        <w:rPr>
          <w:sz w:val="20"/>
          <w:szCs w:val="20"/>
          <w:color w:val="auto"/>
        </w:rPr>
      </w:pPr>
      <w:r>
        <w:rPr>
          <w:rFonts w:ascii="Arial" w:cs="Arial" w:eastAsia="Arial" w:hAnsi="Arial"/>
          <w:sz w:val="16"/>
          <w:szCs w:val="16"/>
          <w:color w:val="auto"/>
        </w:rPr>
        <w:t>Incorporated by reference to Exhibit 10.1 to the Registrant’s Current Report on Form 8-K as filed with the Securities and Exchange Commission on May 9, 2006 (File No. 001-11038)</w:t>
      </w:r>
    </w:p>
    <w:p>
      <w:pPr>
        <w:spacing w:after="0" w:line="93" w:lineRule="exact"/>
        <w:rPr>
          <w:sz w:val="20"/>
          <w:szCs w:val="20"/>
          <w:color w:val="auto"/>
        </w:rPr>
      </w:pPr>
    </w:p>
    <w:p>
      <w:pPr>
        <w:jc w:val="both"/>
        <w:ind w:left="60" w:right="80" w:firstLine="44"/>
        <w:spacing w:after="0" w:line="306" w:lineRule="auto"/>
        <w:rPr>
          <w:sz w:val="20"/>
          <w:szCs w:val="20"/>
          <w:color w:val="auto"/>
        </w:rPr>
      </w:pPr>
      <w:r>
        <w:rPr>
          <w:rFonts w:ascii="Arial" w:cs="Arial" w:eastAsia="Arial" w:hAnsi="Arial"/>
          <w:sz w:val="16"/>
          <w:szCs w:val="16"/>
          <w:color w:val="auto"/>
        </w:rPr>
        <w:t>Incorporated by reference to Exhibit 10.2 to the Registrant’s Current Report on Form 8-K as filed with the Securities and Exchange Commission on May 9, 2006 (File No. 001-11038)</w:t>
      </w:r>
    </w:p>
    <w:p>
      <w:pPr>
        <w:spacing w:after="0" w:line="93" w:lineRule="exact"/>
        <w:rPr>
          <w:sz w:val="20"/>
          <w:szCs w:val="20"/>
          <w:color w:val="auto"/>
        </w:rPr>
      </w:pPr>
    </w:p>
    <w:p>
      <w:pPr>
        <w:jc w:val="both"/>
        <w:ind w:left="60" w:right="80" w:firstLine="44"/>
        <w:spacing w:after="0" w:line="306" w:lineRule="auto"/>
        <w:rPr>
          <w:sz w:val="20"/>
          <w:szCs w:val="20"/>
          <w:color w:val="auto"/>
        </w:rPr>
      </w:pPr>
      <w:r>
        <w:rPr>
          <w:rFonts w:ascii="Arial" w:cs="Arial" w:eastAsia="Arial" w:hAnsi="Arial"/>
          <w:sz w:val="16"/>
          <w:szCs w:val="16"/>
          <w:color w:val="auto"/>
        </w:rPr>
        <w:t>Incorporated by reference to Exhibit 10.3 to the Registrant’s Current Report on Form 8-K as filed with the Securities and Exchange Commission on May 9, 2006 (File No. 001-11038)</w:t>
      </w:r>
    </w:p>
    <w:p>
      <w:pPr>
        <w:spacing w:after="0" w:line="93" w:lineRule="exact"/>
        <w:rPr>
          <w:sz w:val="20"/>
          <w:szCs w:val="20"/>
          <w:color w:val="auto"/>
        </w:rPr>
      </w:pPr>
    </w:p>
    <w:p>
      <w:pPr>
        <w:jc w:val="both"/>
        <w:ind w:left="60" w:right="80" w:firstLine="44"/>
        <w:spacing w:after="0" w:line="306" w:lineRule="auto"/>
        <w:rPr>
          <w:sz w:val="20"/>
          <w:szCs w:val="20"/>
          <w:color w:val="auto"/>
        </w:rPr>
      </w:pPr>
      <w:r>
        <w:rPr>
          <w:rFonts w:ascii="Arial" w:cs="Arial" w:eastAsia="Arial" w:hAnsi="Arial"/>
          <w:sz w:val="16"/>
          <w:szCs w:val="16"/>
          <w:color w:val="auto"/>
        </w:rPr>
        <w:t>Incorporated by reference to Exhibit 10.4 to the Registrant’s Current Report on Form 8-K as filed with the Securities and Exchange Commission on May 9, 2006 (File No. 001-11038)</w:t>
      </w:r>
    </w:p>
    <w:p>
      <w:pPr>
        <w:spacing w:after="0" w:line="93" w:lineRule="exact"/>
        <w:rPr>
          <w:sz w:val="20"/>
          <w:szCs w:val="20"/>
          <w:color w:val="auto"/>
        </w:rPr>
      </w:pPr>
    </w:p>
    <w:p>
      <w:pPr>
        <w:jc w:val="center"/>
        <w:ind w:left="40"/>
        <w:spacing w:after="0" w:line="306" w:lineRule="auto"/>
        <w:rPr>
          <w:sz w:val="20"/>
          <w:szCs w:val="20"/>
          <w:color w:val="auto"/>
        </w:rPr>
      </w:pPr>
      <w:r>
        <w:rPr>
          <w:rFonts w:ascii="Arial" w:cs="Arial" w:eastAsia="Arial" w:hAnsi="Arial"/>
          <w:sz w:val="16"/>
          <w:szCs w:val="16"/>
          <w:color w:val="auto"/>
        </w:rPr>
        <w:t>Incorporated by reference to Exhibit 10.5 to NTIC’s Current Report on Form 8-K as filed with the Securities and Exchange Commission on May 9, 2006 (File No. 001-11038)</w:t>
      </w:r>
    </w:p>
    <w:p>
      <w:pPr>
        <w:sectPr>
          <w:pgSz w:w="11900" w:h="16838" w:orient="portrait"/>
          <w:cols w:equalWidth="0" w:num="2">
            <w:col w:w="6120" w:space="700"/>
            <w:col w:w="4460"/>
          </w:cols>
          <w:pgMar w:left="240" w:top="370"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4"/>
        </w:trPr>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Item No.</w:t>
            </w:r>
          </w:p>
        </w:tc>
        <w:tc>
          <w:tcPr>
            <w:tcW w:w="5280" w:type="dxa"/>
            <w:vAlign w:val="bottom"/>
            <w:gridSpan w:val="2"/>
          </w:tcPr>
          <w:p>
            <w:pPr>
              <w:ind w:left="540"/>
              <w:spacing w:after="0"/>
              <w:rPr>
                <w:sz w:val="20"/>
                <w:szCs w:val="20"/>
                <w:color w:val="auto"/>
              </w:rPr>
            </w:pPr>
            <w:r>
              <w:rPr>
                <w:rFonts w:ascii="Arial" w:cs="Arial" w:eastAsia="Arial" w:hAnsi="Arial"/>
                <w:sz w:val="14"/>
                <w:szCs w:val="14"/>
                <w:b w:val="1"/>
                <w:bCs w:val="1"/>
                <w:color w:val="auto"/>
              </w:rPr>
              <w:t>Item</w:t>
            </w:r>
          </w:p>
        </w:tc>
      </w:tr>
      <w:tr>
        <w:trPr>
          <w:trHeight w:val="95"/>
        </w:trPr>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r>
      <w:tr>
        <w:trPr>
          <w:trHeight w:val="309"/>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5"/>
              </w:rPr>
              <w:t>Commercial Note dated as of May 3, 2006 issued by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Technologies Holding Company, LLC to National City Bank</w:t>
            </w:r>
          </w:p>
        </w:tc>
      </w:tr>
      <w:tr>
        <w:trPr>
          <w:trHeight w:val="574"/>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88"/>
              </w:rPr>
              <w:t>Mortgage dated as of May 3, 2006 between Northern Technologies</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Holding Company, LLC and National City Bank</w:t>
            </w:r>
          </w:p>
        </w:tc>
      </w:tr>
      <w:tr>
        <w:trPr>
          <w:trHeight w:val="574"/>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89"/>
              </w:rPr>
              <w:t>Commercial Guaranty dated as of May 3, 2006 issued by Northern</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Technologies International Corporation, as Guarantor</w:t>
            </w:r>
          </w:p>
        </w:tc>
      </w:tr>
      <w:tr>
        <w:trPr>
          <w:trHeight w:val="574"/>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Purchase and Sale Agreement dated as of June 2, 2006 between</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89"/>
              </w:rPr>
              <w:t>Northern Technologies International Corporation and Underground</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Properties, LLC</w:t>
            </w:r>
          </w:p>
        </w:tc>
      </w:tr>
      <w:tr>
        <w:trPr>
          <w:trHeight w:val="365"/>
        </w:trPr>
        <w:tc>
          <w:tcPr>
            <w:tcW w:w="840" w:type="dxa"/>
            <w:vAlign w:val="bottom"/>
          </w:tcPr>
          <w:p>
            <w:pPr>
              <w:jc w:val="center"/>
              <w:spacing w:after="0"/>
              <w:rPr>
                <w:sz w:val="20"/>
                <w:szCs w:val="20"/>
                <w:color w:val="auto"/>
              </w:rPr>
            </w:pPr>
            <w:r>
              <w:rPr>
                <w:rFonts w:ascii="Arial" w:cs="Arial" w:eastAsia="Arial" w:hAnsi="Arial"/>
                <w:sz w:val="18"/>
                <w:szCs w:val="18"/>
                <w:color w:val="auto"/>
                <w:w w:val="85"/>
              </w:rPr>
              <w:t>14.1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Code of Ethics</w:t>
            </w:r>
          </w:p>
        </w:tc>
      </w:tr>
      <w:tr>
        <w:trPr>
          <w:trHeight w:val="797"/>
        </w:trPr>
        <w:tc>
          <w:tcPr>
            <w:tcW w:w="8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365"/>
        </w:trPr>
        <w:tc>
          <w:tcPr>
            <w:tcW w:w="8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Consent of Virchow, Krause &amp; Company, LLP</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1"/>
              </w:rPr>
              <w:t>Certification of President and Chief Executive Officer Pursuant to</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3"/>
              </w:rPr>
              <w:t>SEC Rule 13a-14(a), as adopted pursuant to Section 302 of the</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Sarbanes-Oxley Act of 2002</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Financial Officer Pursuant to SEC Rule 13a-</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14(a), as adopted pursuant to Section 302 of the Sarbanes-Oxley</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Act of 2002</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1"/>
              </w:rPr>
              <w:t>Certification of President and Chief Executive Officer Pursuant to</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Rule 18 U.S.C. Section 1350, as adopted pursuant to Section 906</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of the Sarbanes-Oxley Act of 2002</w:t>
            </w:r>
          </w:p>
        </w:tc>
      </w:tr>
      <w:tr>
        <w:trPr>
          <w:trHeight w:val="358"/>
        </w:trPr>
        <w:tc>
          <w:tcPr>
            <w:tcW w:w="8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Financial Officer Pursuant to Rule 18 U.S.C.</w:t>
            </w:r>
          </w:p>
        </w:tc>
      </w:tr>
      <w:tr>
        <w:trPr>
          <w:trHeight w:val="216"/>
        </w:trPr>
        <w:tc>
          <w:tcPr>
            <w:tcW w:w="840" w:type="dxa"/>
            <w:vAlign w:val="bottom"/>
          </w:tcPr>
          <w:p>
            <w:pPr>
              <w:spacing w:after="0"/>
              <w:rPr>
                <w:sz w:val="18"/>
                <w:szCs w:val="18"/>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w w:val="87"/>
              </w:rPr>
              <w:t>Section 1350, as adopted pursuant to Section 906 of the Sarbanes-</w:t>
            </w:r>
          </w:p>
        </w:tc>
      </w:tr>
      <w:tr>
        <w:trPr>
          <w:trHeight w:val="222"/>
        </w:trPr>
        <w:tc>
          <w:tcPr>
            <w:tcW w:w="840" w:type="dxa"/>
            <w:vAlign w:val="bottom"/>
          </w:tcPr>
          <w:p>
            <w:pPr>
              <w:spacing w:after="0"/>
              <w:rPr>
                <w:sz w:val="19"/>
                <w:szCs w:val="19"/>
                <w:color w:val="auto"/>
              </w:rPr>
            </w:pPr>
          </w:p>
        </w:tc>
        <w:tc>
          <w:tcPr>
            <w:tcW w:w="5280" w:type="dxa"/>
            <w:vAlign w:val="bottom"/>
            <w:gridSpan w:val="2"/>
          </w:tcPr>
          <w:p>
            <w:pPr>
              <w:ind w:left="540"/>
              <w:spacing w:after="0"/>
              <w:rPr>
                <w:sz w:val="20"/>
                <w:szCs w:val="20"/>
                <w:color w:val="auto"/>
              </w:rPr>
            </w:pPr>
            <w:r>
              <w:rPr>
                <w:rFonts w:ascii="Arial" w:cs="Arial" w:eastAsia="Arial" w:hAnsi="Arial"/>
                <w:sz w:val="18"/>
                <w:szCs w:val="18"/>
                <w:color w:val="auto"/>
              </w:rPr>
              <w:t>Oxley Act of 2002</w:t>
            </w:r>
          </w:p>
        </w:tc>
      </w:tr>
      <w:tr>
        <w:trPr>
          <w:trHeight w:val="432"/>
        </w:trPr>
        <w:tc>
          <w:tcPr>
            <w:tcW w:w="840" w:type="dxa"/>
            <w:vAlign w:val="bottom"/>
          </w:tcPr>
          <w:p>
            <w:pPr>
              <w:spacing w:after="0"/>
              <w:rPr>
                <w:sz w:val="24"/>
                <w:szCs w:val="24"/>
                <w:color w:val="auto"/>
              </w:rPr>
            </w:pPr>
          </w:p>
        </w:tc>
        <w:tc>
          <w:tcPr>
            <w:tcW w:w="5280" w:type="dxa"/>
            <w:vAlign w:val="bottom"/>
            <w:gridSpan w:val="2"/>
          </w:tcPr>
          <w:p>
            <w:pPr>
              <w:ind w:left="4780"/>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br w:type="column"/>
      </w:r>
    </w:p>
    <w:p>
      <w:pPr>
        <w:ind w:left="18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30359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2" w:lineRule="exact"/>
        <w:rPr>
          <w:sz w:val="20"/>
          <w:szCs w:val="20"/>
          <w:color w:val="auto"/>
        </w:rPr>
      </w:pPr>
    </w:p>
    <w:p>
      <w:pPr>
        <w:jc w:val="center"/>
        <w:ind w:left="180"/>
        <w:spacing w:after="0" w:line="306" w:lineRule="auto"/>
        <w:rPr>
          <w:sz w:val="20"/>
          <w:szCs w:val="20"/>
          <w:color w:val="auto"/>
        </w:rPr>
      </w:pPr>
      <w:r>
        <w:rPr>
          <w:rFonts w:ascii="Arial" w:cs="Arial" w:eastAsia="Arial" w:hAnsi="Arial"/>
          <w:sz w:val="16"/>
          <w:szCs w:val="16"/>
          <w:color w:val="auto"/>
        </w:rPr>
        <w:t>Incorporated by reference to Exhibit 10.6 to NTIC’s Current Report on Form 8-K as filed with the Securities and Exchange Commission on May 9, 2006 (File No. 001-11038)</w:t>
      </w:r>
    </w:p>
    <w:p>
      <w:pPr>
        <w:spacing w:after="0" w:line="93" w:lineRule="exact"/>
        <w:rPr>
          <w:sz w:val="20"/>
          <w:szCs w:val="20"/>
          <w:color w:val="auto"/>
        </w:rPr>
      </w:pPr>
    </w:p>
    <w:p>
      <w:pPr>
        <w:jc w:val="center"/>
        <w:ind w:left="180"/>
        <w:spacing w:after="0" w:line="306" w:lineRule="auto"/>
        <w:rPr>
          <w:sz w:val="20"/>
          <w:szCs w:val="20"/>
          <w:color w:val="auto"/>
        </w:rPr>
      </w:pPr>
      <w:r>
        <w:rPr>
          <w:rFonts w:ascii="Arial" w:cs="Arial" w:eastAsia="Arial" w:hAnsi="Arial"/>
          <w:sz w:val="16"/>
          <w:szCs w:val="16"/>
          <w:color w:val="auto"/>
        </w:rPr>
        <w:t>Incorporated by reference to Exhibit 10.7 to NTIC’s Current Report on Form 8-K as filed with the Securities and Exchange Commission on May 9, 2006 (File No. 001-11038)</w:t>
      </w:r>
    </w:p>
    <w:p>
      <w:pPr>
        <w:spacing w:after="0" w:line="93" w:lineRule="exact"/>
        <w:rPr>
          <w:sz w:val="20"/>
          <w:szCs w:val="20"/>
          <w:color w:val="auto"/>
        </w:rPr>
      </w:pPr>
    </w:p>
    <w:p>
      <w:pPr>
        <w:jc w:val="center"/>
        <w:ind w:left="180"/>
        <w:spacing w:after="0" w:line="306" w:lineRule="auto"/>
        <w:rPr>
          <w:sz w:val="20"/>
          <w:szCs w:val="20"/>
          <w:color w:val="auto"/>
        </w:rPr>
      </w:pPr>
      <w:r>
        <w:rPr>
          <w:rFonts w:ascii="Arial" w:cs="Arial" w:eastAsia="Arial" w:hAnsi="Arial"/>
          <w:sz w:val="16"/>
          <w:szCs w:val="16"/>
          <w:color w:val="auto"/>
        </w:rPr>
        <w:t>Incorporated by reference to Exhibit 10.8 to NTIC’s Current Report on Form 8-K as filed with the Securities and Exchange Commission on May 9, 2006 (File No. 001-11038)</w:t>
      </w:r>
    </w:p>
    <w:p>
      <w:pPr>
        <w:spacing w:after="0" w:line="93" w:lineRule="exact"/>
        <w:rPr>
          <w:sz w:val="20"/>
          <w:szCs w:val="20"/>
          <w:color w:val="auto"/>
        </w:rPr>
      </w:pPr>
    </w:p>
    <w:p>
      <w:pPr>
        <w:jc w:val="center"/>
        <w:ind w:left="180"/>
        <w:spacing w:after="0" w:line="306" w:lineRule="auto"/>
        <w:rPr>
          <w:sz w:val="20"/>
          <w:szCs w:val="20"/>
          <w:color w:val="auto"/>
        </w:rPr>
      </w:pPr>
      <w:r>
        <w:rPr>
          <w:rFonts w:ascii="Arial" w:cs="Arial" w:eastAsia="Arial" w:hAnsi="Arial"/>
          <w:sz w:val="16"/>
          <w:szCs w:val="16"/>
          <w:color w:val="auto"/>
        </w:rPr>
        <w:t>Incorporated by reference to Exhibit 10.1 to NTIC’s Current Report on Form 8-K as filed with the Securities and Exchange Commission on June 5, 2006 (File No. 001-11038)</w:t>
      </w:r>
    </w:p>
    <w:p>
      <w:pPr>
        <w:spacing w:after="0" w:line="93"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14.1 to NTIC’s Annual Report on Form 10-KSB for the year ended August 31, 2004 (File No. 001-11038)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9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6120" w:space="560"/>
            <w:col w:w="4740"/>
          </w:cols>
          <w:pgMar w:left="240" w:top="37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245 of the General Corporation Law of the State of Delaware)</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Northern Technologies International Corporation, a corporation organized and existing under and by virtue of the provisions of the General Corporation Law of the State of Delaware (the “General Corporation Law”),</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ind w:right="140" w:firstLine="439"/>
        <w:spacing w:after="0" w:line="332" w:lineRule="auto"/>
        <w:rPr>
          <w:sz w:val="20"/>
          <w:szCs w:val="20"/>
          <w:color w:val="auto"/>
        </w:rPr>
      </w:pPr>
      <w:r>
        <w:rPr>
          <w:rFonts w:ascii="Arial" w:cs="Arial" w:eastAsia="Arial" w:hAnsi="Arial"/>
          <w:sz w:val="16"/>
          <w:szCs w:val="16"/>
          <w:color w:val="auto"/>
        </w:rPr>
        <w:t>FIRST: That the name of this corporation is Northern Technologies International Corporation (the “Corporation”) and that the Corporation was originally incorporated pursuant to the General Corporation Law on October 12, 1977 under the name Northern Instruments Corporation.</w:t>
      </w:r>
    </w:p>
    <w:p>
      <w:pPr>
        <w:spacing w:after="0" w:line="139" w:lineRule="exact"/>
        <w:rPr>
          <w:sz w:val="20"/>
          <w:szCs w:val="20"/>
          <w:color w:val="auto"/>
        </w:rPr>
      </w:pPr>
    </w:p>
    <w:p>
      <w:pPr>
        <w:ind w:right="320" w:firstLine="439"/>
        <w:spacing w:after="0" w:line="306" w:lineRule="auto"/>
        <w:rPr>
          <w:sz w:val="20"/>
          <w:szCs w:val="20"/>
          <w:color w:val="auto"/>
        </w:rPr>
      </w:pPr>
      <w:r>
        <w:rPr>
          <w:rFonts w:ascii="Arial" w:cs="Arial" w:eastAsia="Arial" w:hAnsi="Arial"/>
          <w:sz w:val="16"/>
          <w:szCs w:val="16"/>
          <w:color w:val="auto"/>
        </w:rPr>
        <w:t>SECOND: That the Corporation’s Restated Certificate of Incorporation only restates and integrates and does not further amend the provisions of the Corporation’s Certificate of Incorporation as theretofore amended or supplemented, and there is no discrepancy between those provisions in the Corporation’s Certificate of Incorporation and the provisions of the Corporation’s Restated Certificate of Incorporation.</w:t>
      </w:r>
    </w:p>
    <w:p>
      <w:pPr>
        <w:spacing w:after="0" w:line="161"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THIRD: That the Board of Directors duly adopted resolutions approving the restatement and integration of the Corporation’s Certificate of Incorporation pursuant to Section 245 of the General Corporation Law, declaring said restatement and integration to be advisable and in the best interests of the Corporation and its stockholders, which resolution setting forth the proposed restatement and integrations is as follows: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RESOLVED, that the Certificate of Incorporation of the Corporation be restated and integrated in its entirety as follows:</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Northern Technologies International 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address of its registered office in the State of Delaware is No. 100 West Tenth Street, in the City of Wilmington, County of New Castle. The name of its registered agent is The Corporation Trust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ind w:right="220" w:firstLine="436"/>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Delaware.</w:t>
      </w:r>
    </w:p>
    <w:p>
      <w:pPr>
        <w:sectPr>
          <w:pgSz w:w="11900" w:h="16838" w:orient="portrait"/>
          <w:cols w:equalWidth="0" w:num="1">
            <w:col w:w="11420"/>
          </w:cols>
          <w:pgMar w:left="240" w:top="125" w:right="23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The Corporation shall have the authority to issue Ten Million Ten Thousand (10,010,000) shares of stock divided into Ten Million (10,000,000) shares of Two Cent ($.02) par value common stock and Ten Thousand (10,000) shares of no par value preferred stock.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 of directors need not be by written ballot.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31" w:lineRule="exact"/>
        <w:rPr>
          <w:sz w:val="20"/>
          <w:szCs w:val="20"/>
          <w:color w:val="auto"/>
        </w:rPr>
      </w:pPr>
    </w:p>
    <w:p>
      <w:pPr>
        <w:ind w:right="160" w:firstLine="436"/>
        <w:spacing w:after="0" w:line="268" w:lineRule="auto"/>
        <w:rPr>
          <w:sz w:val="20"/>
          <w:szCs w:val="20"/>
          <w:color w:val="auto"/>
        </w:rPr>
      </w:pPr>
      <w:r>
        <w:rPr>
          <w:rFonts w:ascii="Arial" w:cs="Arial" w:eastAsia="Arial" w:hAnsi="Arial"/>
          <w:sz w:val="18"/>
          <w:szCs w:val="18"/>
          <w:color w:val="auto"/>
        </w:rPr>
        <w:t>The Corporation shall be managed by the Board of Directors, which shall exercise all powers conferred under the law of the State of Delaware, including without limitation the power:</w:t>
      </w:r>
    </w:p>
    <w:p>
      <w:pPr>
        <w:spacing w:after="0" w:line="186" w:lineRule="exact"/>
        <w:rPr>
          <w:sz w:val="20"/>
          <w:szCs w:val="20"/>
          <w:color w:val="auto"/>
        </w:rPr>
      </w:pPr>
    </w:p>
    <w:p>
      <w:pPr>
        <w:ind w:left="1160" w:right="140" w:hanging="571"/>
        <w:spacing w:after="0" w:line="332"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hold meetings, to have one or more offices and to keep the books of the Corporation, except as otherwise expressly provided by law, at such places, whether within or without the State of Delaware, as may from time to time be designated by the Board.</w:t>
      </w:r>
    </w:p>
    <w:p>
      <w:pPr>
        <w:spacing w:after="0" w:line="139" w:lineRule="exact"/>
        <w:rPr>
          <w:rFonts w:ascii="Arial" w:cs="Arial" w:eastAsia="Arial" w:hAnsi="Arial"/>
          <w:sz w:val="16"/>
          <w:szCs w:val="16"/>
          <w:color w:val="auto"/>
        </w:rPr>
      </w:pPr>
    </w:p>
    <w:p>
      <w:pPr>
        <w:ind w:left="1160" w:hanging="571"/>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adopt, amend or repeal bylaws of the Corporation, subject to the reserved power of the stockholders to adopt, amend or repeal bylaws.</w:t>
      </w:r>
    </w:p>
    <w:p>
      <w:pPr>
        <w:spacing w:after="0" w:line="248"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fix and determine from time to time an amount to be set apart out of any funds of the Corporation available for dividends a reserve or reserves for working capital or any other proper purpose or to abolish any such reserve or reserves.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Each director and officer, past or present, of the Corporation, and their respective heirs, administrators and executors, shall be indemnified by the Corporation in accordance with, and to the fullest extent provided by, the provisions of the Delaware General Corporation Laws as they may from time to time be amended.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31" w:lineRule="exact"/>
        <w:rPr>
          <w:sz w:val="20"/>
          <w:szCs w:val="20"/>
          <w:color w:val="auto"/>
        </w:rPr>
      </w:pPr>
    </w:p>
    <w:p>
      <w:pPr>
        <w:ind w:right="280" w:firstLine="436"/>
        <w:spacing w:after="0" w:line="33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Restated Certificate of Incorporation, in the manner now or hereafter prescribed by statute, and all rights conferred upon stockholders herein are granted subject to this reservation.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4" w:right="299" w:bottom="1440" w:gutter="0" w:footer="0" w:header="0"/>
        </w:sectPr>
      </w:pPr>
    </w:p>
    <w:bookmarkStart w:id="63" w:name="page64"/>
    <w:bookmarkEnd w:id="63"/>
    <w:p>
      <w:pPr>
        <w:ind w:firstLine="439"/>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Restated Certificate of Incorporation has been executed by a duly authorized officer of this Corporation on this 17th day</w:t>
      </w:r>
      <w:r>
        <w:rPr>
          <w:rFonts w:ascii="Arial" w:cs="Arial" w:eastAsia="Arial" w:hAnsi="Arial"/>
          <w:sz w:val="18"/>
          <w:szCs w:val="18"/>
          <w:b w:val="1"/>
          <w:bCs w:val="1"/>
          <w:color w:val="auto"/>
        </w:rPr>
        <w:t xml:space="preserve"> </w:t>
      </w:r>
      <w:r>
        <w:rPr>
          <w:rFonts w:ascii="Arial" w:cs="Arial" w:eastAsia="Arial" w:hAnsi="Arial"/>
          <w:sz w:val="18"/>
          <w:szCs w:val="18"/>
          <w:color w:val="auto"/>
        </w:rPr>
        <w:t>of November, 2006.</w:t>
      </w:r>
    </w:p>
    <w:p>
      <w:pPr>
        <w:spacing w:after="0" w:line="174"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NORTHERN TECHNOLOGIES INTERNATIONAL</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30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Matthew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Chief Financial Officer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584"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w:t>
      </w:r>
    </w:p>
    <w:p>
      <w:pPr>
        <w:spacing w:after="0" w:line="219"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Purpose of Plan.</w:t>
      </w:r>
    </w:p>
    <w:p>
      <w:pPr>
        <w:spacing w:after="0" w:line="225" w:lineRule="exact"/>
        <w:rPr>
          <w:sz w:val="20"/>
          <w:szCs w:val="20"/>
          <w:color w:val="auto"/>
        </w:rPr>
      </w:pPr>
    </w:p>
    <w:p>
      <w:pPr>
        <w:ind w:right="200" w:firstLine="436"/>
        <w:spacing w:after="0" w:line="256" w:lineRule="auto"/>
        <w:rPr>
          <w:sz w:val="20"/>
          <w:szCs w:val="20"/>
          <w:color w:val="auto"/>
        </w:rPr>
      </w:pPr>
      <w:r>
        <w:rPr>
          <w:rFonts w:ascii="Arial" w:cs="Arial" w:eastAsia="Arial" w:hAnsi="Arial"/>
          <w:sz w:val="18"/>
          <w:szCs w:val="18"/>
          <w:color w:val="auto"/>
        </w:rPr>
        <w:t>The purpose of the Northern Technologies International Corporation 2007 Stock Incentive Plan (the “Plan”) is to advance the interests of Northern Technologies International Corporation (the ”Company”) and its stockholders by enabling the Company and its Subsidiaries to attract and retain qualified individuals through opportunities for equity participation in the Company, and to reward those individuals who contribute to the achievement of the Company’s economic objectives.</w:t>
      </w:r>
    </w:p>
    <w:p>
      <w:pPr>
        <w:spacing w:after="0" w:line="197"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following terms will have the meanings set forth below, unless the context clearly otherwise requires: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Broker Exercise Notice</w:t>
      </w:r>
      <w:r>
        <w:rPr>
          <w:rFonts w:ascii="Arial" w:cs="Arial" w:eastAsia="Arial" w:hAnsi="Arial"/>
          <w:sz w:val="18"/>
          <w:szCs w:val="18"/>
          <w:color w:val="auto"/>
        </w:rPr>
        <w:t>” means a written notice pursuant to which a Participant, upon exercise of an Option, irrevocably instructs a broker or dealer to sell a sufficient number of shares or loan a sufficient amount of money to pay all or a portion of the exercise price of the Option and/or any related withholding tax obligations and remit such sums to the Company and directs the Company to deliver stock certificates to be issued upon such exercise directly to such broker or dealer or their nominee.</w:t>
      </w:r>
    </w:p>
    <w:p>
      <w:pPr>
        <w:spacing w:after="0" w:line="197"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means (i) dishonesty, fraud, misrepresentation, embezzlement or other act of dishonesty with respect to the Company or any Subsidiary,</w:t>
      </w:r>
    </w:p>
    <w:p>
      <w:pPr>
        <w:spacing w:after="0" w:line="15" w:lineRule="exact"/>
        <w:rPr>
          <w:sz w:val="20"/>
          <w:szCs w:val="20"/>
          <w:color w:val="auto"/>
        </w:rPr>
      </w:pPr>
    </w:p>
    <w:p>
      <w:pPr>
        <w:ind w:right="160" w:firstLine="8"/>
        <w:spacing w:after="0" w:line="255" w:lineRule="auto"/>
        <w:tabs>
          <w:tab w:leader="none" w:pos="2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unlawful or criminal activity of a serious nature, (iii) any intentional and deliberate breach of a duty or duties that, individually or in the aggregate, are material in relation to the Participant’s overall duties, or (iv) any material breach of any employment, service, confidentiality or non-compete agreement entered into with the Company or any Subsidiary.</w:t>
      </w:r>
    </w:p>
    <w:p>
      <w:pPr>
        <w:spacing w:after="0" w:line="198"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described in Section 14.1 of the Plan; provided, however, if distribution of an Incentive Award subject to Section 409A of the Code is triggered by a Change in Control, the term Change in Control will mean a change in the ownership or effective control of the Company, or in the ownership of a substantial portion of the assets of the Company, as such term is defined in Section 409A of the Code and the regulations and rulings issued thereunder.</w:t>
      </w:r>
    </w:p>
    <w:p>
      <w:pPr>
        <w:spacing w:after="0" w:line="197"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(including, when the context requires, all regulations, interpretations and rulings issued thereunder).</w:t>
      </w:r>
    </w:p>
    <w:p>
      <w:pPr>
        <w:spacing w:after="0" w:line="186"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group of individuals administering the Plan, as provided in Section 3 of the Plan.</w:t>
      </w:r>
    </w:p>
    <w:p>
      <w:pPr>
        <w:spacing w:after="0" w:line="225" w:lineRule="exact"/>
        <w:rPr>
          <w:sz w:val="20"/>
          <w:szCs w:val="20"/>
          <w:color w:val="auto"/>
        </w:rPr>
      </w:pPr>
    </w:p>
    <w:p>
      <w:pPr>
        <w:ind w:right="620" w:firstLine="439"/>
        <w:spacing w:after="0" w:line="268"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$0.02 per share, or the number and kind of shares of stock or other securities into which such Common Stock may be changed in accordance with Section 4.3 of the Plan.</w:t>
      </w:r>
    </w:p>
    <w:p>
      <w:pPr>
        <w:sectPr>
          <w:pgSz w:w="11900" w:h="16838" w:orient="portrait"/>
          <w:cols w:equalWidth="0" w:num="1">
            <w:col w:w="11420"/>
          </w:cols>
          <w:pgMar w:left="240" w:top="125" w:right="239" w:bottom="1440" w:gutter="0" w:footer="0" w:header="0"/>
        </w:sectPr>
      </w:pPr>
    </w:p>
    <w:bookmarkStart w:id="65" w:name="page66"/>
    <w:bookmarkEnd w:id="65"/>
    <w:p>
      <w:pPr>
        <w:ind w:right="80" w:firstLine="439"/>
        <w:spacing w:after="0" w:line="255"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disability of the Participant such as would entitle the Participant to receive disability income benefits pursuant to the long-term disability plan of the Company or Subsidiary then covering the Participant or, if no such plan exists or is applicable to the Participant, the permanent and total disability of the Participant within the meaning of Section 22(e)(3) of the Code; provided, however, if distribution of an Incentive Award subject to Section 409A of the Code is triggered by an Eligible Recipient’s Disability, such term will mean that the Eligible Recipient is disabled as defined by Section 409A of the Code and the regulations and rulings issued thereunder.</w:t>
      </w:r>
    </w:p>
    <w:p>
      <w:pPr>
        <w:spacing w:after="0" w:line="197" w:lineRule="exact"/>
        <w:rPr>
          <w:sz w:val="20"/>
          <w:szCs w:val="20"/>
          <w:color w:val="auto"/>
        </w:rPr>
      </w:pPr>
    </w:p>
    <w:p>
      <w:pPr>
        <w:jc w:val="both"/>
        <w:ind w:right="160" w:firstLine="439"/>
        <w:spacing w:after="0" w:line="306"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Eligible Recipients</w:t>
      </w:r>
      <w:r>
        <w:rPr>
          <w:rFonts w:ascii="Arial" w:cs="Arial" w:eastAsia="Arial" w:hAnsi="Arial"/>
          <w:sz w:val="16"/>
          <w:szCs w:val="16"/>
          <w:color w:val="auto"/>
        </w:rPr>
        <w:t>” means all employees (including, without limitation, officers and directors who are also employees) of the Company or any Subsidiary, and any non-employee directors, consultants, advisors and independent contractors of the Company or any Subsidiary and any joint venture partners (including without limitation, officers, directors and partners thereof) of the Company or any Subsidiary.</w:t>
      </w:r>
    </w:p>
    <w:p>
      <w:pPr>
        <w:spacing w:after="0" w:line="161"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225"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with respect to the Common Stock, as of any date: (i) the mean between the reported high and low sale prices of the Common Stock as of such date during the regular daily trading session, as reported on the American Stock Exchange, the New York Stock Exchange, the Nasdaq Global Select or Global Market, or any other national securities exchange or market on which the Common Stock is then traded or quoted (or, if no shares were traded or quoted on such date, as of the next preceding date on which there was such a trade or quote); or (ii) if the Common Stock is not so listed, admitted to unlisted trading privileges, or reported on the American Stock Exchange, the New York Stock Exchange, the Nasdaq Global Select or Global Market, or any other national securities exchange or market, the mean between the reported high and low sale prices as of such date during the regular daily trading session, as reported by the Nasdaq Capital Market, OTC Bulletin Board or the Pink Sheets LLC, or other comparable service (or, if no shares were traded or quoted on such date, as of the next preceding date on which there was such a trade or quote); or (iii) if the Common Stock is not so listed or reported, such price as the Committee determines in good faith, and consistent with the definition of “fair market value” under Section 409A of the Code.</w:t>
      </w:r>
    </w:p>
    <w:p>
      <w:pPr>
        <w:spacing w:after="0" w:line="174"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Incentive Award</w:t>
      </w:r>
      <w:r>
        <w:rPr>
          <w:rFonts w:ascii="Arial" w:cs="Arial" w:eastAsia="Arial" w:hAnsi="Arial"/>
          <w:sz w:val="18"/>
          <w:szCs w:val="18"/>
          <w:color w:val="auto"/>
        </w:rPr>
        <w:t>” means an Option, Stock Appreciation Right, Restricted Stock Award, Stock Unit Award, Performance Award or Stock Bonus granted to an Eligible Recipient pursuant to the Plan.</w:t>
      </w:r>
    </w:p>
    <w:p>
      <w:pPr>
        <w:spacing w:after="0" w:line="186"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 right to purchase shares of Common Stock granted to an Eligible Recipient pursuant to Section 6 of the Plan that qualifies as an “incentive stock option” within the meaning of Section 422 of the Code.</w:t>
      </w:r>
    </w:p>
    <w:p>
      <w:pPr>
        <w:spacing w:after="0" w:line="186"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 right to purchase shares of Common Stock granted to an Eligible Recipient pursuant to Section 6 of the Plan that does not qualify as an Incentive Stock Option.</w:t>
      </w:r>
    </w:p>
    <w:p>
      <w:pPr>
        <w:spacing w:after="0" w:line="186"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Incentive Stock Option or a Non-Statutory Stock Option.</w:t>
      </w:r>
    </w:p>
    <w:p>
      <w:pPr>
        <w:spacing w:after="0" w:line="225"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Recipient who receives one or more Incentive Awards under the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0" w:right="239" w:bottom="1440" w:gutter="0" w:footer="0" w:header="0"/>
        </w:sectPr>
      </w:pPr>
    </w:p>
    <w:bookmarkStart w:id="66" w:name="page67"/>
    <w:bookmarkEnd w:id="66"/>
    <w:p>
      <w:pPr>
        <w:ind w:right="200" w:firstLine="439"/>
        <w:spacing w:after="0" w:line="288"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means the performance criteria that may be used by the Committee in granting Incentive Awards contingent upon achievement of performance goals, consisting of net sales; operating income; income before income taxes; income before interest, taxes, depreciation and amortization; income before income taxes; income before interest, taxes, depreciation and amortization and other non-cash items; net income; net income per share (basic or diluted); profitability as measured by return ratios (including return on assets, return on equity, return on capital, return on investment and return on sales); cash flows; market share; cost of sales; sales, general and administrative expense, cost reduction goals; margins (including one or more of gross, operating and net income margins); stock price; total return to stockholders; economic value added; working capital and strategic plan development and implementation. The Committee may select one criterion or multiple criteria for measuring performance, and the measurement may be based upon Company, Subsidiary or business unit performance, either absolute or by relative comparison to prior periods or other companies or any other external measure of the selected criteria.</w:t>
      </w:r>
    </w:p>
    <w:p>
      <w:pPr>
        <w:spacing w:after="0" w:line="174"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Performance Award</w:t>
      </w:r>
      <w:r>
        <w:rPr>
          <w:rFonts w:ascii="Arial" w:cs="Arial" w:eastAsia="Arial" w:hAnsi="Arial"/>
          <w:sz w:val="16"/>
          <w:szCs w:val="16"/>
          <w:color w:val="auto"/>
        </w:rPr>
        <w:t>” means a right granted to an Eligible Recipient pursuant to Section 10 of the Plan to receive an amount of cash, a number of shares of Common Stock, or a combination of both, contingent upon achievement of Performance Criteria or other objectives during a specified period.</w:t>
      </w:r>
    </w:p>
    <w:p>
      <w:pPr>
        <w:spacing w:after="0" w:line="139"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Previously Acquired Shares</w:t>
      </w:r>
      <w:r>
        <w:rPr>
          <w:rFonts w:ascii="Arial" w:cs="Arial" w:eastAsia="Arial" w:hAnsi="Arial"/>
          <w:sz w:val="18"/>
          <w:szCs w:val="18"/>
          <w:color w:val="auto"/>
        </w:rPr>
        <w:t>” means shares of Common Stock that are already owned by the Participant or, with respect to any Incentive Award, that are to be issued to the Participant upon the grant, exercise or vesting of such Incentive Award.</w:t>
      </w:r>
    </w:p>
    <w:p>
      <w:pPr>
        <w:spacing w:after="0" w:line="186"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Restricted Stock Award</w:t>
      </w:r>
      <w:r>
        <w:rPr>
          <w:rFonts w:ascii="Arial" w:cs="Arial" w:eastAsia="Arial" w:hAnsi="Arial"/>
          <w:sz w:val="18"/>
          <w:szCs w:val="18"/>
          <w:color w:val="auto"/>
        </w:rPr>
        <w:t>” means an award of shares of Common Stock granted to an Eligible Recipient pursuant to Section 8 of the Plan that are subject to restrictions on transferability and a risk of forfeiture.</w:t>
      </w:r>
    </w:p>
    <w:p>
      <w:pPr>
        <w:spacing w:after="0" w:line="186"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employment or service pursuant to and in accordance with the regular (or, if approved by the Board for purposes of the Plan, early) retirement/pension plan or practice of the Company or Subsidiary then covering the Participant, provided that if the Participant is not covered by any such plan or practice, the Participant will be deemed to be covered by the Company plan or practice for purposes of this determination/termination of employment or if the Company does not have any such retirement/pension plan or practice, service at age 55 or older and completion of at least 10 years of continuous service.</w:t>
      </w:r>
    </w:p>
    <w:p>
      <w:pPr>
        <w:spacing w:after="0" w:line="197"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225"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 right granted to an Eligible Recipient pursuant to Section 7 of the Plan to receive a payment from the Company, in the form of shares of Common Stock, cash or a combination of both, equal to the difference between the Fair Market Value of one or more shares of Common Stock and a specified exercise price of such shares.</w:t>
      </w:r>
    </w:p>
    <w:p>
      <w:pPr>
        <w:spacing w:after="0" w:line="194"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Stock Bonus</w:t>
      </w:r>
      <w:r>
        <w:rPr>
          <w:rFonts w:ascii="Arial" w:cs="Arial" w:eastAsia="Arial" w:hAnsi="Arial"/>
          <w:sz w:val="15"/>
          <w:szCs w:val="15"/>
          <w:color w:val="auto"/>
        </w:rPr>
        <w:t>” means an award of shares of Common Stock granted to an Eligible Recipient pursuant to Section 11 of the Plan.</w:t>
      </w:r>
    </w:p>
    <w:p>
      <w:pPr>
        <w:spacing w:after="0" w:line="225" w:lineRule="exact"/>
        <w:rPr>
          <w:sz w:val="20"/>
          <w:szCs w:val="20"/>
          <w:color w:val="auto"/>
        </w:rPr>
      </w:pPr>
    </w:p>
    <w:p>
      <w:pPr>
        <w:ind w:right="180" w:firstLine="439"/>
        <w:spacing w:after="0" w:line="306"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Stock Unit Award</w:t>
      </w:r>
      <w:r>
        <w:rPr>
          <w:rFonts w:ascii="Arial" w:cs="Arial" w:eastAsia="Arial" w:hAnsi="Arial"/>
          <w:sz w:val="16"/>
          <w:szCs w:val="16"/>
          <w:color w:val="auto"/>
        </w:rPr>
        <w:t>” means a right granted to an Eligible Recipient pursuant to Section 9 of the Plan to receive the Fair Market Value of one or more shares of Common Stock, payable in cash, shares of Common Stock, or a combination of both, the payment, issuance, retention and/or vesting of which is subject to the satisfaction of specified conditions, which may include achievement of Performance Criteria or other objectives.</w:t>
      </w:r>
    </w:p>
    <w:p>
      <w:pPr>
        <w:spacing w:after="0" w:line="161"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entity that is directly or indirectly controlled by the Company or any entity in which the Company has a significant equity interest, as determined by the Committee.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0" w:right="239" w:bottom="1440" w:gutter="0" w:footer="0" w:header="0"/>
        </w:sectPr>
      </w:pPr>
    </w:p>
    <w:bookmarkStart w:id="67" w:name="page68"/>
    <w:bookmarkEnd w:id="67"/>
    <w:p>
      <w:pPr>
        <w:ind w:left="440"/>
        <w:spacing w:after="0"/>
        <w:tabs>
          <w:tab w:leader="none" w:pos="10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Tax Date</w:t>
      </w:r>
      <w:r>
        <w:rPr>
          <w:rFonts w:ascii="Arial" w:cs="Arial" w:eastAsia="Arial" w:hAnsi="Arial"/>
          <w:sz w:val="16"/>
          <w:szCs w:val="16"/>
          <w:color w:val="auto"/>
        </w:rPr>
        <w:t>” means the date any withholding tax obligation arises under the Code for a Participant with respect to an Incentive Award.</w:t>
      </w:r>
    </w:p>
    <w:p>
      <w:pPr>
        <w:spacing w:after="0" w:line="225"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p>
    <w:p>
      <w:pPr>
        <w:spacing w:after="0" w:line="225"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The Committee</w:t>
      </w:r>
      <w:r>
        <w:rPr>
          <w:rFonts w:ascii="Arial" w:cs="Arial" w:eastAsia="Arial" w:hAnsi="Arial"/>
          <w:sz w:val="16"/>
          <w:szCs w:val="16"/>
          <w:color w:val="auto"/>
        </w:rPr>
        <w:t>. The Plan will be administered by the Board or by a committee of the Board. So long as the Company has a class of its equity securities registered under Section 12 of the Exchange Act, any committee administering the Plan will consist solely of two or more members of the Board who are “non-employee directors” within the meaning of Rule 16b-3 under the Exchange Act, who are “independent” as required by the listing standards of the American Stock Exchange (or other applicable market or exchange on which the Company’s Common Stock may be quoted or traded) and who are “outside directors” within the meaning of Section 162(m) of the Code. Such a committee, if established, will act by majority approval of the members (but may also take action by the written consent of all of the members of such committee), and a majority of the members of such a committee will constitute a quorum. As used in the Plan, “Committee” will refer to the Board or to such a committee, if established. To the extent consistent with applicable corporate law of the Company’s jurisdiction of incorporation, the Committee may delegate to any officers of the Company the duties, power and authority of the Committee under the Plan pursuant to such conditions or limitations as the Committee may establish; provided, however, that only the Committee may exercise such duties, power and authority with respect to Eligible Recipients who are subject to Section 16 of the Exchange Act or whose compensation in the fiscal year may be subject to the limits on deductible compensation pursuant to Section 162(m) of the Code. The Committee may exercise its duties, power and authority under the Plan in its sole and absolute discretion without the consent of any Participant or other party, unless the Plan specifically provides otherwise. Each determination, interpretation or other action made or taken by the Committee pursuant to the provisions of the Plan will be final, conclusive and binding for all purposes and on all persons, and no member of the Committee will be liable for any action or determination made in good faith with respect to the Plan or any Incentive Award granted under the Plan.</w:t>
      </w:r>
    </w:p>
    <w:p>
      <w:pPr>
        <w:spacing w:after="0" w:line="18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w:t>
      </w:r>
    </w:p>
    <w:p>
      <w:pPr>
        <w:spacing w:after="0" w:line="225" w:lineRule="exact"/>
        <w:rPr>
          <w:sz w:val="20"/>
          <w:szCs w:val="20"/>
          <w:color w:val="auto"/>
        </w:rPr>
      </w:pPr>
    </w:p>
    <w:p>
      <w:pPr>
        <w:ind w:left="580" w:right="120" w:firstLine="623"/>
        <w:spacing w:after="0" w:line="288" w:lineRule="auto"/>
        <w:tabs>
          <w:tab w:leader="none" w:pos="18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accordance with and subject to the provisions of the Plan, the Committee will have the authority to determine all provisions of Incentive Awards as the Committee may deem necessary or desirable and as consistent with the terms of the Plan, including, without limitation, the following: (i) the Eligible Recipients to be selected as Participants; (ii) the nature and extent of the Incentive Awards to be made to each Participant (including the number of shares of Common Stock to be subject to each Incentive Award, any exercise price, the manner in which Incentive Awards will vest or become exercisable and whether Incentive Awards will be granted in tandem with other Incentive Awards) and the form of written agreement, if any, evidencing such Incentive Award; (iii) the time or times when Incentive Awar ds will be granted; (iv) the duration of each Incentive Award; and (v) the restrictions and other conditions to which the payment or vesting of Incentive Awards may be subject. In addition, the Committee will have the authority under the Plan in its sole discretion to pay the economic value of any Incentive Award in the form of cash, Common Stock or any combination of both.</w:t>
      </w:r>
    </w:p>
    <w:p>
      <w:pPr>
        <w:spacing w:after="0" w:line="106" w:lineRule="exact"/>
        <w:rPr>
          <w:rFonts w:ascii="Arial" w:cs="Arial" w:eastAsia="Arial" w:hAnsi="Arial"/>
          <w:sz w:val="16"/>
          <w:szCs w:val="16"/>
          <w:color w:val="auto"/>
        </w:rPr>
      </w:pPr>
    </w:p>
    <w:p>
      <w:pPr>
        <w:ind w:left="580" w:right="160" w:firstLine="623"/>
        <w:spacing w:after="0" w:line="298" w:lineRule="auto"/>
        <w:tabs>
          <w:tab w:leader="none" w:pos="18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Subject to Section 3.2(d) of the Plan, the Committee will have the authority under the Plan to amend or modify the terms of any outstanding Incentive Award in any manner, including, without limitation, the authority to modify the number of shares or other terms and conditions of an Incentive Award, extend the term of an Incentive Award, accelerate the exercisability or vesting or otherwise terminate any restrictions relating to an Incentive Award, accept the surrender of any outstanding Incentive Award or, to the extent not previously exercised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0" w:right="239" w:bottom="1440" w:gutter="0" w:footer="0" w:header="0"/>
        </w:sectPr>
      </w:pPr>
    </w:p>
    <w:bookmarkStart w:id="68" w:name="page69"/>
    <w:bookmarkEnd w:id="68"/>
    <w:p>
      <w:pPr>
        <w:ind w:right="20"/>
        <w:spacing w:after="0" w:line="259" w:lineRule="auto"/>
        <w:rPr>
          <w:sz w:val="20"/>
          <w:szCs w:val="20"/>
          <w:color w:val="auto"/>
        </w:rPr>
      </w:pPr>
      <w:r>
        <w:rPr>
          <w:rFonts w:ascii="Arial" w:cs="Arial" w:eastAsia="Arial" w:hAnsi="Arial"/>
          <w:sz w:val="18"/>
          <w:szCs w:val="18"/>
          <w:color w:val="auto"/>
        </w:rPr>
        <w:t>or vested, authorize the grant of new Incentive Awards in substitution for surrendered Incentive Awards; provided, however that the amended or modified terms are permitted by the Plan as then in effect and that any Participant adversely affected by such amended or modified terms has consented to such amendment or modification.</w:t>
      </w:r>
    </w:p>
    <w:p>
      <w:pPr>
        <w:spacing w:after="0" w:line="127" w:lineRule="exact"/>
        <w:rPr>
          <w:sz w:val="20"/>
          <w:szCs w:val="20"/>
          <w:color w:val="auto"/>
        </w:rPr>
      </w:pPr>
    </w:p>
    <w:p>
      <w:pPr>
        <w:ind w:firstLine="623"/>
        <w:spacing w:after="0" w:line="286" w:lineRule="auto"/>
        <w:tabs>
          <w:tab w:leader="none" w:pos="1248"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event of (i) any reorganization, merger, consolidation, recapitalization, liquidation, reclassification, stock dividend, stock split, combination of shares, rights offering, extraordinary dividend or divestiture (including a spin-off) or any other similar change in corporate structure or shares; (ii) any purchase, acquisition, sale, disposition or write-down of a significant amount of assets or a significant business; (iii) any change in accounting principles or practices, tax laws or other such laws or provisions affecting reported results; (iv) any uninsured catastrophic losses or extraordinary non-recurring items as described in Accounting Principles Board Opinion No. 30 or in management’s discussion and analysis of financial performance appearing in the Company’s annual report to stoc kholders for the applicable year; or (v) any other similar change, in each case with respect to the Company or any other entity whose performance is relevant to the grant or vesting of an Incentive Award, the Committee (or, if the Company is not the surviving corporation in any such transaction, the board of directors of the surviving corporation) may, without the consent of any affected Participant, amend or modify the vesting criteria (including Performance Criteria) of any outstanding Incentive Award that is based in whole or in part on the financial performance of the Company (or any Subsidiary or division or other subunit thereof) or such other entity so as equitably to reflect such event, with the desired result that the criteria for evaluating such financial performance of the Company or such other entity will be substantially the same (in the sole discretion of the Committee or the board of directors of the surviving corporation) following such event as prior to such event; provided, however, that the amended or modified terms are permitted by the Plan as then in effect, including the limitations in Section 3.2(a) and 3.2(b).</w:t>
      </w:r>
    </w:p>
    <w:p>
      <w:pPr>
        <w:spacing w:after="0" w:line="107" w:lineRule="exact"/>
        <w:rPr>
          <w:rFonts w:ascii="Arial" w:cs="Arial" w:eastAsia="Arial" w:hAnsi="Arial"/>
          <w:sz w:val="16"/>
          <w:szCs w:val="16"/>
          <w:color w:val="auto"/>
        </w:rPr>
      </w:pPr>
    </w:p>
    <w:p>
      <w:pPr>
        <w:ind w:firstLine="623"/>
        <w:spacing w:after="0" w:line="290" w:lineRule="auto"/>
        <w:tabs>
          <w:tab w:leader="none" w:pos="1258"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Notwithstanding any other provision of this Plan other than Section 4.3, the Committee may not, without prior approval of the Company’s stockholders, seek to effect any re-pricing of any previously granted, “underwater” Option or Stock Appreciation Right by: (i) amending or modifying the terms of the Option or Stock Appreciation Right to lower the exercise price; (ii) canceling the underwater Option or Stock Appreciation Right and granting either (A) replacement Options or Stock Appreciation Rights having a lower exercise price; (B) Restricted Stock Awards; or (C) Stock Unit Awards, Performance Awards or Stock Bonuses in exchange; or (iii) repurchasing the underwater Options or Stock Appreciation Rights and granting new Incentive Awards under this Plan. For purposes of this Se ction 3.2(d), Options and Stock Appreciation Rights will be deemed to be “underwater” at any time when the Fair Market Value of the Common Stock is less than the exercise price of the Option or Stock Appreciation Right.</w:t>
      </w:r>
    </w:p>
    <w:p>
      <w:pPr>
        <w:spacing w:after="0" w:line="104" w:lineRule="exact"/>
        <w:rPr>
          <w:rFonts w:ascii="Arial" w:cs="Arial" w:eastAsia="Arial" w:hAnsi="Arial"/>
          <w:sz w:val="16"/>
          <w:szCs w:val="16"/>
          <w:color w:val="auto"/>
        </w:rPr>
      </w:pPr>
    </w:p>
    <w:p>
      <w:pPr>
        <w:ind w:right="20" w:firstLine="623"/>
        <w:spacing w:after="0" w:line="302" w:lineRule="auto"/>
        <w:tabs>
          <w:tab w:leader="none" w:pos="1248" w:val="left"/>
        </w:tabs>
        <w:numPr>
          <w:ilvl w:val="1"/>
          <w:numId w:val="39"/>
        </w:numPr>
        <w:rPr>
          <w:rFonts w:ascii="Arial" w:cs="Arial" w:eastAsia="Arial" w:hAnsi="Arial"/>
          <w:sz w:val="15"/>
          <w:szCs w:val="15"/>
          <w:color w:val="auto"/>
        </w:rPr>
      </w:pPr>
      <w:r>
        <w:rPr>
          <w:rFonts w:ascii="Arial" w:cs="Arial" w:eastAsia="Arial" w:hAnsi="Arial"/>
          <w:sz w:val="15"/>
          <w:szCs w:val="15"/>
          <w:color w:val="auto"/>
        </w:rPr>
        <w:t>In addition to the authority of the Committee under Section 3.2(b) of the Plan and notwithstanding any other provision of the Plan, the Committee may, in its sole discretion, amend the terms of the Plan or Incentive Awards with respect to Participants resident outside of the United States or employed by a non-U.S. Subsidiary in order to comply with local legal requirements, to otherwise protect the Company’s or Subsidiary’s interests, or to meet objectives of the Plan, and may, where appropriate, establish one or more sub-plans (including the adoption of any required rules and regulations) for the purposes of qualifying for preferred tax treatment under foreign tax laws. The Committee shall have no authority, however, to take action pursuant to this Section 3.2(e) of the Plan: (i) to reser ve shares or grant Incentive Awards in excess of the limitations provided in Section 4.1 of the Plan;</w:t>
      </w:r>
    </w:p>
    <w:p>
      <w:pPr>
        <w:ind w:left="260" w:hanging="251"/>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effect any re-pricing in violation of Section 3.2(d) of the Plan; (iii) to grant Options or Stock Appreciation Rights having an exercise price in</w:t>
      </w:r>
    </w:p>
    <w:p>
      <w:pPr>
        <w:spacing w:after="0" w:line="24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820" w:top="374" w:right="259" w:bottom="1440" w:gutter="0" w:footer="0" w:header="0"/>
        </w:sectPr>
      </w:pPr>
    </w:p>
    <w:bookmarkStart w:id="69" w:name="page70"/>
    <w:bookmarkEnd w:id="69"/>
    <w:p>
      <w:pPr>
        <w:jc w:val="both"/>
        <w:ind w:left="580" w:right="100"/>
        <w:spacing w:after="0" w:line="259" w:lineRule="auto"/>
        <w:rPr>
          <w:sz w:val="20"/>
          <w:szCs w:val="20"/>
          <w:color w:val="auto"/>
        </w:rPr>
      </w:pPr>
      <w:r>
        <w:rPr>
          <w:rFonts w:ascii="Arial" w:cs="Arial" w:eastAsia="Arial" w:hAnsi="Arial"/>
          <w:sz w:val="18"/>
          <w:szCs w:val="18"/>
          <w:color w:val="auto"/>
        </w:rPr>
        <w:t>violation of Section 6.2 or 7.2 of the Plan, as the case may be; or (iv) for which stockholder approval would then be required pursuant to Section 422 of the Code or the rules of the New York Stock Exchange (or other applicable market or exchange on which the Company’s Common Stock may be quoted or traded).</w:t>
      </w:r>
    </w:p>
    <w:p>
      <w:pPr>
        <w:spacing w:after="0" w:line="194"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Shares Available for Issuance.</w:t>
      </w:r>
    </w:p>
    <w:p>
      <w:pPr>
        <w:spacing w:after="0" w:line="225" w:lineRule="exact"/>
        <w:rPr>
          <w:sz w:val="20"/>
          <w:szCs w:val="20"/>
          <w:color w:val="auto"/>
        </w:rPr>
      </w:pPr>
    </w:p>
    <w:p>
      <w:pPr>
        <w:ind w:right="620" w:firstLine="439"/>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Maximum Number of Shares Available; Certain Restrictions on Awards</w:t>
      </w:r>
      <w:r>
        <w:rPr>
          <w:rFonts w:ascii="Arial" w:cs="Arial" w:eastAsia="Arial" w:hAnsi="Arial"/>
          <w:sz w:val="18"/>
          <w:szCs w:val="18"/>
          <w:color w:val="auto"/>
        </w:rPr>
        <w:t>. Subject to adjustment as provided in Section 4.3 of the Plan, the maximum number of shares of Common Stock that will be available for issuance under the Plan will be the sum of:</w:t>
      </w:r>
    </w:p>
    <w:p>
      <w:pPr>
        <w:spacing w:after="0" w:line="186" w:lineRule="exact"/>
        <w:rPr>
          <w:sz w:val="20"/>
          <w:szCs w:val="20"/>
          <w:color w:val="auto"/>
        </w:rPr>
      </w:pPr>
    </w:p>
    <w:p>
      <w:pPr>
        <w:ind w:left="1840" w:hanging="637"/>
        <w:spacing w:after="0"/>
        <w:tabs>
          <w:tab w:leader="none" w:pos="1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400,000;</w:t>
      </w:r>
    </w:p>
    <w:p>
      <w:pPr>
        <w:spacing w:after="0" w:line="157" w:lineRule="exact"/>
        <w:rPr>
          <w:rFonts w:ascii="Arial" w:cs="Arial" w:eastAsia="Arial" w:hAnsi="Arial"/>
          <w:sz w:val="18"/>
          <w:szCs w:val="18"/>
          <w:color w:val="auto"/>
        </w:rPr>
      </w:pPr>
    </w:p>
    <w:p>
      <w:pPr>
        <w:ind w:left="580" w:firstLine="623"/>
        <w:spacing w:after="0" w:line="259" w:lineRule="auto"/>
        <w:tabs>
          <w:tab w:leader="none" w:pos="18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issued or Incentive Awards granted under the Plan in connection with the settlement, assumption or substitution of outstanding awards or obligations to grant future awards as a condition of the Company and/or any Subsidiary(ies) acquiring, merging or consolidating with another entity; and</w:t>
      </w:r>
    </w:p>
    <w:p>
      <w:pPr>
        <w:spacing w:after="0" w:line="126" w:lineRule="exact"/>
        <w:rPr>
          <w:rFonts w:ascii="Arial" w:cs="Arial" w:eastAsia="Arial" w:hAnsi="Arial"/>
          <w:sz w:val="18"/>
          <w:szCs w:val="18"/>
          <w:color w:val="auto"/>
        </w:rPr>
      </w:pPr>
    </w:p>
    <w:p>
      <w:pPr>
        <w:ind w:left="580" w:right="100" w:firstLine="623"/>
        <w:spacing w:after="0" w:line="255" w:lineRule="auto"/>
        <w:tabs>
          <w:tab w:leader="none" w:pos="18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that are unallocated and available for grant under a stock plan assumed by the Company or any Subsidiary(ies) in connection with the merger, consolidation, or acquisition of another entity by the Company and/or any of its Subsidiaries, based on the applicable exchange ratio and other transaction terms, but only to the extent that such shares may be utilized by the Company or its Subsidiaries following the transaction pursuant to the rules and regulations of the American Stock Exchange (or other applicable market or exchange on which the Company’s Common Stock may be quoted or traded).</w:t>
      </w:r>
    </w:p>
    <w:p>
      <w:pPr>
        <w:spacing w:after="0" w:line="197"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Notwithstanding any other provisions of the Plan to the contrary, (i) no Participant in the Plan may be granted Options and Stock Appreciation Rights relating to more than 100,000 shares of Common Stock in the aggregate during any calendar year; (ii) no Participant in the Plan may be granted Restricted Stock Awards, Stock Unit Awards, Performance Awards and Stock Bonuses relating to more than 100,000 shares of Common Stock in the aggregate during any calendar year;</w:t>
      </w:r>
    </w:p>
    <w:p>
      <w:pPr>
        <w:spacing w:after="0" w:line="1" w:lineRule="exact"/>
        <w:rPr>
          <w:sz w:val="20"/>
          <w:szCs w:val="20"/>
          <w:color w:val="auto"/>
        </w:rPr>
      </w:pPr>
    </w:p>
    <w:p>
      <w:pPr>
        <w:ind w:right="80" w:firstLine="8"/>
        <w:spacing w:after="0" w:line="309" w:lineRule="auto"/>
        <w:tabs>
          <w:tab w:leader="none" w:pos="307" w:val="left"/>
        </w:tabs>
        <w:numPr>
          <w:ilvl w:val="0"/>
          <w:numId w:val="43"/>
        </w:numPr>
        <w:rPr>
          <w:rFonts w:ascii="Arial" w:cs="Arial" w:eastAsia="Arial" w:hAnsi="Arial"/>
          <w:sz w:val="15"/>
          <w:szCs w:val="15"/>
          <w:color w:val="auto"/>
        </w:rPr>
      </w:pPr>
      <w:r>
        <w:rPr>
          <w:rFonts w:ascii="Arial" w:cs="Arial" w:eastAsia="Arial" w:hAnsi="Arial"/>
          <w:sz w:val="15"/>
          <w:szCs w:val="15"/>
          <w:color w:val="auto"/>
        </w:rPr>
        <w:t>no more than 400,000 shares of Common Stock may be issued pursuant to the exercise of Incentive Stock Options granted under the Plan; and (iv) no more than 300,000 shares of Common Stock may be issued or issuable under the Plan in connection with the grant of Incentive Awards, other than Options or Stock Appreciation Rights; provided, however, that the limits in clauses (i) and (ii), above, will be 150,000 shares and 150,000 shares, respectively, as to a Participant who, during the calendar year, is first appointed or elected as an officer, hired as an employee, elected as a director or retained as a consultant by the Company or who receives a promotion that results in an increase in responsibilities or duties. All of the foregoing share limits are subject, in each case, to adjustment as provided in Section 4.3 of the Plan. The limits in clauses (i), (ii) and (iv) will not apply, however, to the extent Incentive Awards are granted as a result of the Company’s assumption or substitution of like awards issued by any acquired, merged or consolidated entity pursuant to the applicable transaction terms, nor will any Incentive Stock Options issued in any such assumption or substitution pursuant to applicable provisions of the Code count towards the limit in clause (iii).</w:t>
      </w:r>
    </w:p>
    <w:p>
      <w:pPr>
        <w:spacing w:after="0" w:line="162"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Accounting for Incentive Awards</w:t>
      </w:r>
      <w:r>
        <w:rPr>
          <w:rFonts w:ascii="Arial" w:cs="Arial" w:eastAsia="Arial" w:hAnsi="Arial"/>
          <w:sz w:val="18"/>
          <w:szCs w:val="18"/>
          <w:color w:val="auto"/>
        </w:rPr>
        <w:t>. Shares of Common Stock that are issued under the Plan or that are potentially issuable pursuant to outstanding Incentive Awards will be applied to reduce the maximum number of shares of Common Stock remaining available for issuance under the Plan</w:t>
      </w:r>
      <w:r>
        <w:rPr>
          <w:rFonts w:ascii="Arial" w:cs="Arial" w:eastAsia="Arial" w:hAnsi="Arial"/>
          <w:sz w:val="18"/>
          <w:szCs w:val="18"/>
          <w:b w:val="1"/>
          <w:bCs w:val="1"/>
          <w:color w:val="auto"/>
        </w:rPr>
        <w:t>.</w:t>
      </w:r>
      <w:r>
        <w:rPr>
          <w:rFonts w:ascii="Arial" w:cs="Arial" w:eastAsia="Arial" w:hAnsi="Arial"/>
          <w:sz w:val="18"/>
          <w:szCs w:val="18"/>
          <w:color w:val="auto"/>
        </w:rPr>
        <w:t xml:space="preserve"> All shares so subtracted from the amount available under the Plan with respect to an Incentive Award that lapses, expires, is forfeited (including issued shares forfeited under a Restricted Stock Award) or for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74" w:right="259" w:bottom="1440" w:gutter="0" w:footer="0" w:header="0"/>
        </w:sectPr>
      </w:pPr>
    </w:p>
    <w:bookmarkStart w:id="70" w:name="page71"/>
    <w:bookmarkEnd w:id="70"/>
    <w:p>
      <w:pPr>
        <w:spacing w:after="0" w:line="294" w:lineRule="auto"/>
        <w:rPr>
          <w:sz w:val="20"/>
          <w:szCs w:val="20"/>
          <w:color w:val="auto"/>
        </w:rPr>
      </w:pPr>
      <w:r>
        <w:rPr>
          <w:rFonts w:ascii="Arial" w:cs="Arial" w:eastAsia="Arial" w:hAnsi="Arial"/>
          <w:sz w:val="16"/>
          <w:szCs w:val="16"/>
          <w:color w:val="auto"/>
        </w:rPr>
        <w:t>reason is terminated unexercised or unvested or is settled or paid in cash or any form other than shares of Common Stock will automatically again become available for issuance under the Plan; provided, however, that (i) any shares which would have been issued upon any exercise of an Option but for the fact that the exercise price was paid by a “net exercise” pursuant to Section 6.4(b) of the Plan or the tender or attestation as to ownership of Previously Acquired Shares pursuant to Section 6.4(a) of the Plan will not again become available for issuance under the Plan; and (ii) shares covered by a Stock Appreciation Right, to the extent exercised, will not again become available for issuance under the Plan.</w:t>
      </w:r>
    </w:p>
    <w:p>
      <w:pPr>
        <w:spacing w:after="0" w:line="170" w:lineRule="exact"/>
        <w:rPr>
          <w:sz w:val="20"/>
          <w:szCs w:val="20"/>
          <w:color w:val="auto"/>
        </w:rPr>
      </w:pPr>
    </w:p>
    <w:p>
      <w:pPr>
        <w:ind w:right="60" w:firstLine="439"/>
        <w:spacing w:after="0" w:line="25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to Shares and Incentive Awards</w:t>
      </w:r>
      <w:r>
        <w:rPr>
          <w:rFonts w:ascii="Arial" w:cs="Arial" w:eastAsia="Arial" w:hAnsi="Arial"/>
          <w:sz w:val="18"/>
          <w:szCs w:val="18"/>
          <w:color w:val="auto"/>
        </w:rPr>
        <w:t>. In the event of any reorganization, merger, consolidation, recapitalization, liquidation, reclassification, stock dividend, stock split, combination of shares, rights offering, divestiture or extraordinary dividend (including a spin-off) or any other similar change in the corporate structure or shares of the Company, the Committee (or, if the Company is not the surviving corporation in any such transaction, the board of directors of the surviving corporation) will make appropriate adjustment (which determination will be conclusive) as to the number and kind of securities or other property (including cash) available for issuance or payment under the Plan and, in order to prevent dilution or enlargement of the rights of Participants, (a) the number and kind of securities or other property (including cash) subject to outstanding Incentive Awards, and (b) the exercise price of outstanding Options and Stock Appreciation Rights.</w:t>
      </w:r>
    </w:p>
    <w:p>
      <w:pPr>
        <w:spacing w:after="0" w:line="201"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225" w:lineRule="exact"/>
        <w:rPr>
          <w:sz w:val="20"/>
          <w:szCs w:val="20"/>
          <w:color w:val="auto"/>
        </w:rPr>
      </w:pPr>
    </w:p>
    <w:p>
      <w:pPr>
        <w:ind w:right="180" w:firstLine="439"/>
        <w:spacing w:after="0" w:line="255" w:lineRule="auto"/>
        <w:rPr>
          <w:sz w:val="20"/>
          <w:szCs w:val="20"/>
          <w:color w:val="auto"/>
        </w:rPr>
      </w:pPr>
      <w:r>
        <w:rPr>
          <w:rFonts w:ascii="Arial" w:cs="Arial" w:eastAsia="Arial" w:hAnsi="Arial"/>
          <w:sz w:val="18"/>
          <w:szCs w:val="18"/>
          <w:color w:val="auto"/>
        </w:rPr>
        <w:t>Participants in the Plan will be those Eligible Recipients who, in the judgment of the Committee, have contributed, are contributing or are expected to contribute to the achievement of economic objectives of the Company or its Subsidiaries. Eligible Recipients may be granted from time to time one or more Incentive Awards, singly or in combination or in tandem with other Incentive Awards, as may be determined by the Committee in its sole discretion. Incentive Awards will be deemed to be granted as of the date specified in the grant resolution of the Committee, which date will be the date of any related agreement with the Participant.</w:t>
      </w:r>
    </w:p>
    <w:p>
      <w:pPr>
        <w:spacing w:after="0" w:line="197"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jc w:val="both"/>
        <w:ind w:right="100" w:firstLine="439"/>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w:t>
      </w:r>
      <w:r>
        <w:rPr>
          <w:rFonts w:ascii="Arial" w:cs="Arial" w:eastAsia="Arial" w:hAnsi="Arial"/>
          <w:sz w:val="16"/>
          <w:szCs w:val="16"/>
          <w:color w:val="auto"/>
        </w:rPr>
        <w:t>. An Eligible Recipient may be granted one or more Options under the Plan, and such Options will be subject to such terms and conditions, consistent with the other provisions of the Plan, as may be determined by the Committee in its sole discretion. The Committee may designate whether an Option is to be considered an Incentive Stock Option or a Non-Statutory Stock Option. To the extent that any Incentive Stock Option (or portion thereof) granted under the Plan ceases for any reason to qualify as an “incentive stock option” for purposes of Section 422 of the Code, such Incentive Stock Option (or portion thereof) will continue to be outstanding for purposes of the Plan but will thereafter be deemed to be a Non-Statutory Stock Option.</w:t>
      </w:r>
    </w:p>
    <w:p>
      <w:pPr>
        <w:spacing w:after="0" w:line="170"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per share price to be paid by a Participant upon exercise of an Option will be determined by the Committee in its discretion at the time of the Option grant, provided that such price will not be less than 100% of the Fair Market Value of one share of Common Stock on the date of grant (or 110% of the Fair Market Value of one share of Common Stock on the date of grant of an Incentive Stock Option if, at the time the Incentive Stock Option is granted, the Participant owns, directly or indirectly, more than 10% of the total combined voting power of all classes of stock of the Company or any parent or subsidiary corporation of the Company). Notwithstanding the foregoing, to the extent that Options are granted under the Plan as a result of the Company’s assumption or substitution of options issued by any acquired, merged or consolidated entity, the exercise price for such Options shall be the price determined by the Committee pursuant to the conversion terms applicable to the transaction.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0" w:right="239" w:bottom="1440" w:gutter="0" w:footer="0" w:header="0"/>
        </w:sectPr>
      </w:pPr>
    </w:p>
    <w:bookmarkStart w:id="71" w:name="page72"/>
    <w:bookmarkEnd w:id="71"/>
    <w:p>
      <w:pPr>
        <w:ind w:right="40" w:firstLine="439"/>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Exercisability and Duration</w:t>
      </w:r>
      <w:r>
        <w:rPr>
          <w:rFonts w:ascii="Arial" w:cs="Arial" w:eastAsia="Arial" w:hAnsi="Arial"/>
          <w:sz w:val="16"/>
          <w:szCs w:val="16"/>
          <w:color w:val="auto"/>
        </w:rPr>
        <w:t>. An Option will become exercisable at such times and in such installments and upon such terms and conditions as may be determined by the Committee in its sole discretion at the time of grant (including without limitation (i) the achievement of one or more of the Performance Criteria; and/or that (ii) the Participant remain in the continuous employ or service of the Company or a Subsidiary for a certain period); provided, however, that no Option may be exercisable after ten (10) years from its date of grant (five years from its date of grant in the case of an Incentive Stock Option if, at the time the Incentive Stock Option is granted, the Participant owns, directly or indirectly, more than 10% of the total combined voting power of all classes of stock of the Company or any parent or subsidiary corporation of the Company).</w:t>
      </w:r>
    </w:p>
    <w:p>
      <w:pPr>
        <w:spacing w:after="0" w:line="174"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u w:val="single" w:color="auto"/>
          <w:color w:val="auto"/>
        </w:rPr>
        <w:t>Payment of Exercise Price</w:t>
      </w:r>
      <w:r>
        <w:rPr>
          <w:rFonts w:ascii="Arial" w:cs="Arial" w:eastAsia="Arial" w:hAnsi="Arial"/>
          <w:sz w:val="15"/>
          <w:szCs w:val="15"/>
          <w:color w:val="auto"/>
        </w:rPr>
        <w:t>.</w:t>
      </w:r>
    </w:p>
    <w:p>
      <w:pPr>
        <w:spacing w:after="0" w:line="225" w:lineRule="exact"/>
        <w:rPr>
          <w:sz w:val="20"/>
          <w:szCs w:val="20"/>
          <w:color w:val="auto"/>
        </w:rPr>
      </w:pPr>
    </w:p>
    <w:p>
      <w:pPr>
        <w:ind w:left="580" w:firstLine="623"/>
        <w:spacing w:after="0" w:line="255" w:lineRule="auto"/>
        <w:tabs>
          <w:tab w:leader="none" w:pos="18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total purchase price of the shares to be purchased upon exercise of an Option will be paid entirely in cash (including check, bank draft or money order); provided, however, that the Committee, in its sole discretion and upon terms and conditions established by the Committee, may allow such payments to be made, in whole or in part, by (i) tender of a Broker Exercise Notice; (ii) by tender, or attestation as to ownership, of Previously Acquired Shares that are acceptable to the Committee; (iii) by a “net exercise” of the Option (as further described in paragraph (b), below); or (iv) by a combination of such methods.</w:t>
      </w:r>
    </w:p>
    <w:p>
      <w:pPr>
        <w:spacing w:after="0" w:line="129" w:lineRule="exact"/>
        <w:rPr>
          <w:rFonts w:ascii="Arial" w:cs="Arial" w:eastAsia="Arial" w:hAnsi="Arial"/>
          <w:sz w:val="18"/>
          <w:szCs w:val="18"/>
          <w:color w:val="auto"/>
        </w:rPr>
      </w:pPr>
    </w:p>
    <w:p>
      <w:pPr>
        <w:ind w:left="580" w:right="60" w:firstLine="623"/>
        <w:spacing w:after="0" w:line="302" w:lineRule="auto"/>
        <w:tabs>
          <w:tab w:leader="none" w:pos="1838" w:val="left"/>
        </w:tabs>
        <w:numPr>
          <w:ilvl w:val="1"/>
          <w:numId w:val="46"/>
        </w:numPr>
        <w:rPr>
          <w:rFonts w:ascii="Arial" w:cs="Arial" w:eastAsia="Arial" w:hAnsi="Arial"/>
          <w:sz w:val="15"/>
          <w:szCs w:val="15"/>
          <w:color w:val="auto"/>
        </w:rPr>
      </w:pPr>
      <w:r>
        <w:rPr>
          <w:rFonts w:ascii="Arial" w:cs="Arial" w:eastAsia="Arial" w:hAnsi="Arial"/>
          <w:sz w:val="15"/>
          <w:szCs w:val="15"/>
          <w:color w:val="auto"/>
        </w:rPr>
        <w:t>In the case of a “net exercise” of an Option, the Company will not require a payment of the exercise price of the Option from the Participant but will reduce the number of shares of Common Stock issued upon the exercise by the largest number of whole shares that has a Fair Market Value on the exercise date that does not exceed the aggregate exercise price for the shares exercised under this method. Shares of Common Stock will no longer be outstanding under an Option (and will therefore not thereafter be exercisable) following the exercise of such Option to the extent of (i) shares used to pay the exercise price of an Option under the “net exercise,” (ii) shares actually delivered to the Participant as a result of such exercise and</w:t>
      </w:r>
    </w:p>
    <w:p>
      <w:pPr>
        <w:spacing w:after="0" w:line="1" w:lineRule="exact"/>
        <w:rPr>
          <w:rFonts w:ascii="Arial" w:cs="Arial" w:eastAsia="Arial" w:hAnsi="Arial"/>
          <w:sz w:val="15"/>
          <w:szCs w:val="15"/>
          <w:color w:val="auto"/>
        </w:rPr>
      </w:pPr>
    </w:p>
    <w:p>
      <w:pPr>
        <w:ind w:left="900" w:hanging="311"/>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shares withheld for purposes of tax with holding pursuant to Section 13.1 of the Plan</w:t>
      </w:r>
      <w:r>
        <w:rPr>
          <w:rFonts w:ascii="Arial" w:cs="Arial" w:eastAsia="Arial" w:hAnsi="Arial"/>
          <w:sz w:val="18"/>
          <w:szCs w:val="18"/>
          <w:b w:val="1"/>
          <w:bCs w:val="1"/>
          <w:color w:val="auto"/>
        </w:rPr>
        <w:t>.</w:t>
      </w:r>
    </w:p>
    <w:p>
      <w:pPr>
        <w:spacing w:after="0" w:line="151" w:lineRule="exact"/>
        <w:rPr>
          <w:rFonts w:ascii="Arial" w:cs="Arial" w:eastAsia="Arial" w:hAnsi="Arial"/>
          <w:sz w:val="18"/>
          <w:szCs w:val="18"/>
          <w:color w:val="auto"/>
        </w:rPr>
      </w:pPr>
    </w:p>
    <w:p>
      <w:pPr>
        <w:ind w:left="580" w:right="280" w:firstLine="623"/>
        <w:spacing w:after="0" w:line="268" w:lineRule="auto"/>
        <w:tabs>
          <w:tab w:leader="none" w:pos="18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Previously Acquired Shares tendered or covered by an attestation as payment of an Option exercise price will be valued at their Fair Market Value on the exercise date.</w:t>
      </w:r>
    </w:p>
    <w:p>
      <w:pPr>
        <w:spacing w:after="0" w:line="186"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An Option may be exercised by a Participant in whole or in part from time to time, subject to the conditions contained in the Plan and in the agreement evidencing such Option, by delivery in person, by facsimile or electronic transmission or through the mail of written notice of exercise to the Company at its principal executive office in Circle Pines, Minnesota and by paying in full the total exercise price for the shares of Common Stock to be purchased in accordance with Section 6.4 of the Plan.</w:t>
      </w:r>
    </w:p>
    <w:p>
      <w:pPr>
        <w:spacing w:after="0" w:line="197" w:lineRule="exact"/>
        <w:rPr>
          <w:sz w:val="20"/>
          <w:szCs w:val="20"/>
          <w:color w:val="auto"/>
        </w:rPr>
      </w:pPr>
    </w:p>
    <w:p>
      <w:pPr>
        <w:ind w:right="500" w:firstLine="439"/>
        <w:spacing w:after="0" w:line="25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Early Exercise</w:t>
      </w:r>
      <w:r>
        <w:rPr>
          <w:rFonts w:ascii="Arial" w:cs="Arial" w:eastAsia="Arial" w:hAnsi="Arial"/>
          <w:sz w:val="18"/>
          <w:szCs w:val="18"/>
          <w:color w:val="auto"/>
        </w:rPr>
        <w:t>. An Option may, but need not, include a provision whereby the Participant may elect at any time before the Participant’s employment or service terminates to exercise the Option as to any part or all of the shares subject to the Option prior to the full vesting of the Option. Any unvested shares so purchased shall be subject to a repurchase option in favor of the Company and to any other restriction the Committee determines to be appropriate.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0" w:right="259" w:bottom="1440" w:gutter="0" w:footer="0" w:header="0"/>
        </w:sectPr>
      </w:pPr>
    </w:p>
    <w:bookmarkStart w:id="72" w:name="page73"/>
    <w:bookmarkEnd w:id="72"/>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ind w:right="120" w:firstLine="439"/>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w:t>
      </w:r>
      <w:r>
        <w:rPr>
          <w:rFonts w:ascii="Arial" w:cs="Arial" w:eastAsia="Arial" w:hAnsi="Arial"/>
          <w:sz w:val="18"/>
          <w:szCs w:val="18"/>
          <w:color w:val="auto"/>
        </w:rPr>
        <w:t>. An Eligible Recipient may be granted one or more Stock Appreciation Rights under the Plan, and such Stock Appreciation Rights will be subject to such terms and conditions, consistent with the other provisions of the Plan, as may be determined by the Committee in its sole discretion. The Committee will have the sole discretion to determine the form in which payment of the economic value of Stock Appreciation Rights will be made to a Participant (i.e., cash, shares of Common Stock or any combination thereof) or to consent to or disapprove the election by a Participant of the form of such payment.</w:t>
      </w:r>
    </w:p>
    <w:p>
      <w:pPr>
        <w:spacing w:after="0" w:line="197"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 Stock Appreciation Right will be determined by the Committee, in its discretion, at the date of grant but may not be less than 100% of the Fair Market Value of one share of Common Stock on the date of grant, except as provided in Section 7.4 of the Plan. Notwithstanding the foregoing, to the extent that Stock Appreciation Rights are granted under the Plan as a result of the Company’s assumption or substitution of stock appreciation rights issued by any acquired, merged or consolidated entity, the exercise price for such Stock Appreciation Rights shall be the price determined by the Committee pursuant to the conversion terms applicable to the transaction.</w:t>
      </w:r>
    </w:p>
    <w:p>
      <w:pPr>
        <w:spacing w:after="0" w:line="170" w:lineRule="exact"/>
        <w:rPr>
          <w:sz w:val="20"/>
          <w:szCs w:val="20"/>
          <w:color w:val="auto"/>
        </w:rPr>
      </w:pPr>
    </w:p>
    <w:p>
      <w:pPr>
        <w:jc w:val="both"/>
        <w:ind w:right="40" w:firstLine="439"/>
        <w:spacing w:after="0" w:line="30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Exercisability and Duration</w:t>
      </w:r>
      <w:r>
        <w:rPr>
          <w:rFonts w:ascii="Arial" w:cs="Arial" w:eastAsia="Arial" w:hAnsi="Arial"/>
          <w:sz w:val="16"/>
          <w:szCs w:val="16"/>
          <w:color w:val="auto"/>
        </w:rPr>
        <w:t>. A Stock Appreciation Right will become exercisable at such time and in such installments as may be determined by the Committee in its sole discretion at the time of grant; provided, however, that no Stock Appreciation Right may be exercisable after ten (10) years from its date of grant. A Stock Appreciation Right will be exercised by giving notice in the same manner as for Options, as set forth in Section 6.5 of the Plan.</w:t>
      </w:r>
    </w:p>
    <w:p>
      <w:pPr>
        <w:spacing w:after="0" w:line="161"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Grants in Tandem with Options</w:t>
      </w:r>
      <w:r>
        <w:rPr>
          <w:rFonts w:ascii="Arial" w:cs="Arial" w:eastAsia="Arial" w:hAnsi="Arial"/>
          <w:sz w:val="16"/>
          <w:szCs w:val="16"/>
          <w:color w:val="auto"/>
        </w:rPr>
        <w:t>. Stock Appreciation Rights may be granted alone or in addition to other Incentive Awards, or in tandem with an Option, either at the time of grant of the Option or at any time thereafter during the term of the Option. A Stock Appreciation Right granted in tandem with an Option shall cover the same number of shares of Common Stock as covered by the Option (or such lesser number as the Committee may determine), shall be exercisable at such time or times and only to the extent that the related Option is exercisable, have the same term as the Option and shall have an exercise price equal to the exercise price for the Option. Upon the exercise of a Stock Appreciation Right granted in tandem with an Option, the Option shall be canceled automatically to the extent of the number of shares covered by such exercise; conversely, upon exercise of an Option having a related Stock Appreciation Right, the Stock Appreciation Right shall be canceled automatically to the extent of the number of shares covered by the Option exercise.</w:t>
      </w:r>
    </w:p>
    <w:p>
      <w:pPr>
        <w:spacing w:after="0" w:line="172"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w:t>
      </w:r>
      <w:r>
        <w:rPr>
          <w:rFonts w:ascii="Arial" w:cs="Arial" w:eastAsia="Arial" w:hAnsi="Arial"/>
          <w:sz w:val="18"/>
          <w:szCs w:val="18"/>
          <w:color w:val="auto"/>
        </w:rPr>
        <w:t>. An Eligible Recipient may be granted one or more Restricted Stock Awards under the Plan, and such Restricted Stock Awards will be subject to such terms and conditions, consistent with the other provisions of the Plan, as may be determined by the Committee in its sole discretion. The Committee may impose such restrictions or conditions, not inconsistent with the provisions of the Plan, to the vesting of such Restricted Stock Awards as it deems appropriate, including, without limitation, (i) the achievement of one or more of the Performance Criteria; and/or that (ii) the Participant remain in the continuous employ or service of the Company or a Subsidiary for a certain period.</w:t>
      </w:r>
    </w:p>
    <w:p>
      <w:pPr>
        <w:spacing w:after="0" w:line="197" w:lineRule="exact"/>
        <w:rPr>
          <w:sz w:val="20"/>
          <w:szCs w:val="20"/>
          <w:color w:val="auto"/>
        </w:rPr>
      </w:pPr>
    </w:p>
    <w:p>
      <w:pPr>
        <w:ind w:right="80" w:firstLine="439"/>
        <w:spacing w:after="0" w:line="30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Rights as a Stockholder; Transferability</w:t>
      </w:r>
      <w:r>
        <w:rPr>
          <w:rFonts w:ascii="Arial" w:cs="Arial" w:eastAsia="Arial" w:hAnsi="Arial"/>
          <w:sz w:val="16"/>
          <w:szCs w:val="16"/>
          <w:color w:val="auto"/>
        </w:rPr>
        <w:t>. Except as provided in Sections 8.1, 8.3, 8.4 and 15.3 of the Plan, a Participant will have all voting, dividend, liquidation and other rights with respect to shares of Common Stock issued to the Participant as a Restricted Stock Award under this Section 8 upon the Participant becoming the holder of record of such shares as if such Participant were a holder of record of shares of unrestricted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0" w:right="239" w:bottom="1440" w:gutter="0" w:footer="0" w:header="0"/>
        </w:sectPr>
      </w:pPr>
    </w:p>
    <w:bookmarkStart w:id="73" w:name="page74"/>
    <w:bookmarkEnd w:id="73"/>
    <w:p>
      <w:pPr>
        <w:ind w:right="40" w:firstLine="439"/>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Unless the Committee determines otherwise in its sole discretion (either in the agreement evidencing the Restricted Stock Award at the time of grant or at any time after the grant of the Restricted Stock Award), any dividends or distributions (including regular quarterly cash dividends) paid with respect to shares of Common Stock subject to the unvested portion of a Restricted Stock Award will be subject to the same restrictions as the shares to which such dividends or distributions relate. In the event the Committee determines not to pay such dividends or distributions currently, the Committee will determine in its sole discretion whether any interest will be paid on such dividends or distributions. In addition, the Committee in its sole discretion may require such dividends and distributions to be reinvested (and in such case the Participants consent to such reinvestment) in shares of Common Stock that will be subject to the same restrictions as the shares to which such dividends or distributions relate.</w:t>
      </w:r>
    </w:p>
    <w:p>
      <w:pPr>
        <w:spacing w:after="0" w:line="172"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Enforcement of Restrictions</w:t>
      </w:r>
      <w:r>
        <w:rPr>
          <w:rFonts w:ascii="Arial" w:cs="Arial" w:eastAsia="Arial" w:hAnsi="Arial"/>
          <w:sz w:val="18"/>
          <w:szCs w:val="18"/>
          <w:color w:val="auto"/>
        </w:rPr>
        <w:t>. To enforce the restrictions referred to in this Section 8, the Committee may place a legend on the stock certificates referring to such restrictions and may require the Participant, until the restrictions have lapsed, to keep the stock certificates, together with duly endorsed stock powers, in the custody of the Company or its transfer agent, or to maintain evidence of stock ownership, together with duly endorsed stock powers, in a certificateless book-entry stock account with the Company’s transfer agent.</w:t>
      </w:r>
    </w:p>
    <w:p>
      <w:pPr>
        <w:spacing w:after="0" w:line="197"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Stock Unit Awards.</w:t>
      </w:r>
    </w:p>
    <w:p>
      <w:pPr>
        <w:spacing w:after="0" w:line="225" w:lineRule="exact"/>
        <w:rPr>
          <w:sz w:val="20"/>
          <w:szCs w:val="20"/>
          <w:color w:val="auto"/>
        </w:rPr>
      </w:pPr>
    </w:p>
    <w:p>
      <w:pPr>
        <w:ind w:firstLine="429"/>
        <w:spacing w:after="0" w:line="253" w:lineRule="auto"/>
        <w:rPr>
          <w:sz w:val="20"/>
          <w:szCs w:val="20"/>
          <w:color w:val="auto"/>
        </w:rPr>
      </w:pPr>
      <w:r>
        <w:rPr>
          <w:rFonts w:ascii="Arial" w:cs="Arial" w:eastAsia="Arial" w:hAnsi="Arial"/>
          <w:sz w:val="18"/>
          <w:szCs w:val="18"/>
          <w:color w:val="auto"/>
        </w:rPr>
        <w:t>An Eligible Recipient may be granted one or more Stock Unit Awards under the Plan, and such Stock Unit Awards will be subject to such terms and conditions, consistent with the other provisions of the Plan, as may be determined by the Committee in its sole discretion. The Committee may impose such restrictions or conditions, not inconsistent with the provisions of the Plan, to the payment, issuance, retention and/or vesting of such Stock Unit Awards as it deems appropriate, including, without limitation, (i) the achievement of one or more of the Performance Criteria; and/or that (ii) the Participant remain in the continuous employ or service of the Company or a Subsidiary for a certain period; provided, however, that in all cases payment of a Stock Unit Award will be made within two and one-half months following the end of the Eligible Recipient’s tax year during which receipt of the Stock Unit Award is no longer subject to a “substantial risk of forfeiture” within the meaning of Section 409A of the Code, unless otherwise determined by the Committee pursuant to Section 18 of the Plan.</w:t>
      </w:r>
    </w:p>
    <w:p>
      <w:pPr>
        <w:spacing w:after="0" w:line="199"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225" w:lineRule="exact"/>
        <w:rPr>
          <w:sz w:val="20"/>
          <w:szCs w:val="20"/>
          <w:color w:val="auto"/>
        </w:rPr>
      </w:pPr>
    </w:p>
    <w:p>
      <w:pPr>
        <w:ind w:right="20" w:firstLine="429"/>
        <w:spacing w:after="0" w:line="294" w:lineRule="auto"/>
        <w:rPr>
          <w:sz w:val="20"/>
          <w:szCs w:val="20"/>
          <w:color w:val="auto"/>
        </w:rPr>
      </w:pPr>
      <w:r>
        <w:rPr>
          <w:rFonts w:ascii="Arial" w:cs="Arial" w:eastAsia="Arial" w:hAnsi="Arial"/>
          <w:sz w:val="16"/>
          <w:szCs w:val="16"/>
          <w:color w:val="auto"/>
        </w:rPr>
        <w:t>An Eligible Recipient may be granted one or more Performance Awards under the Plan, and such Performance Awards will be subject to such terms and conditions, if any, consistent with the other provisions of the Plan, as may be determined by the Committee in its sole discretion, including, but not limited to, the achievement of one or more of the Performance Criteria; provided, however, that in all cases payment of the Performance Award will be made within two and one-half months following the end of the Eligible Recipient’s tax year during which receipt of the Performance Award is no longer subject to a “substantial risk of forfeiture” within the meaning of Section 409A of the Code, unless otherwise determined by the Committee pursuant to Section 18 of the Plan.</w:t>
      </w:r>
    </w:p>
    <w:p>
      <w:pPr>
        <w:spacing w:after="0" w:line="170"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Stock Bonuses.</w:t>
      </w:r>
    </w:p>
    <w:p>
      <w:pPr>
        <w:spacing w:after="0" w:line="225" w:lineRule="exact"/>
        <w:rPr>
          <w:sz w:val="20"/>
          <w:szCs w:val="20"/>
          <w:color w:val="auto"/>
        </w:rPr>
      </w:pPr>
    </w:p>
    <w:p>
      <w:pPr>
        <w:ind w:right="120" w:firstLine="429"/>
        <w:spacing w:after="0" w:line="294" w:lineRule="auto"/>
        <w:rPr>
          <w:sz w:val="20"/>
          <w:szCs w:val="20"/>
          <w:color w:val="auto"/>
        </w:rPr>
      </w:pPr>
      <w:r>
        <w:rPr>
          <w:rFonts w:ascii="Arial" w:cs="Arial" w:eastAsia="Arial" w:hAnsi="Arial"/>
          <w:sz w:val="16"/>
          <w:szCs w:val="16"/>
          <w:color w:val="auto"/>
        </w:rPr>
        <w:t>An Eligible Recipient may be granted one or more Stock Bonuses under the Plan, and such Stock Bonuses will be subject to such terms and conditions, if any, consistent with the other provisions of the Plan, as may be determined by the Committee in its sole discretion, including, but not limited to, the achievement of one or more of the Performance Criteria; provided, however, that in all cases payment of the Stock Bonus will be made within two and one-half months following the end of the Eligible Recipient’s tax year during which receipt of the Stock Bonus is no longer subject to a “substantial risk of forfeiture” within the meaning of Section 409A of the Code, unless otherwise determined by the Committee pursuant to Section 18 of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0" w:right="239" w:bottom="1440" w:gutter="0" w:footer="0" w:header="0"/>
        </w:sectPr>
      </w:pPr>
    </w:p>
    <w:bookmarkStart w:id="74" w:name="page75"/>
    <w:bookmarkEnd w:id="74"/>
    <w:p>
      <w:pPr>
        <w:ind w:right="100" w:firstLine="8"/>
        <w:spacing w:after="0" w:line="259" w:lineRule="auto"/>
        <w:tabs>
          <w:tab w:leader="none" w:pos="43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Other Service.</w:t>
      </w:r>
      <w:r>
        <w:rPr>
          <w:rFonts w:ascii="Arial" w:cs="Arial" w:eastAsia="Arial" w:hAnsi="Arial"/>
          <w:sz w:val="18"/>
          <w:szCs w:val="18"/>
          <w:color w:val="auto"/>
        </w:rPr>
        <w:t xml:space="preserve"> The following provisions shall apply upon termination of a Participant’s employment or other service with the Company and all Subsidiaries, except to the extent that the Committee provides otherwise in an agreement evidencing an Incentive Award at the time of grant or determines pursuant to Section 12.3 of the Plan.</w:t>
      </w:r>
    </w:p>
    <w:p>
      <w:pPr>
        <w:spacing w:after="0" w:line="19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Termination Due to Death, Disability or Retirement</w:t>
      </w:r>
      <w:r>
        <w:rPr>
          <w:rFonts w:ascii="Arial" w:cs="Arial" w:eastAsia="Arial" w:hAnsi="Arial"/>
          <w:sz w:val="16"/>
          <w:szCs w:val="16"/>
          <w:color w:val="auto"/>
        </w:rPr>
        <w:t>. In the event a Participant’s employment or other service with the Company and all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Subsidiaries is terminated by reason of death, Disability or Retirement:</w:t>
      </w:r>
    </w:p>
    <w:p>
      <w:pPr>
        <w:spacing w:after="0" w:line="219" w:lineRule="exact"/>
        <w:rPr>
          <w:sz w:val="20"/>
          <w:szCs w:val="20"/>
          <w:color w:val="auto"/>
        </w:rPr>
      </w:pPr>
    </w:p>
    <w:p>
      <w:pPr>
        <w:ind w:left="580" w:firstLine="579"/>
        <w:spacing w:after="0" w:line="306" w:lineRule="auto"/>
        <w:tabs>
          <w:tab w:leader="none" w:pos="17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outstanding Options and Stock Appreciation Rights then held by the Participant will, to the extent exercisable as of such termination, remain exercisable in full for a period of twelve months after such termination (but in no event after the expiration date of any such Option or Stock Appreciation Right). Options and Stock Appreciation Rights not exercisable as of such termination will be forfeited and terminate.</w:t>
      </w:r>
    </w:p>
    <w:p>
      <w:pPr>
        <w:spacing w:after="0" w:line="93" w:lineRule="exact"/>
        <w:rPr>
          <w:rFonts w:ascii="Arial" w:cs="Arial" w:eastAsia="Arial" w:hAnsi="Arial"/>
          <w:sz w:val="16"/>
          <w:szCs w:val="16"/>
          <w:color w:val="auto"/>
        </w:rPr>
      </w:pPr>
    </w:p>
    <w:p>
      <w:pPr>
        <w:ind w:left="1800" w:hanging="641"/>
        <w:spacing w:after="0"/>
        <w:tabs>
          <w:tab w:leader="none" w:pos="1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Restricted Stock Awards then held by the Participant that have not vested as of such termination will be terminated and forfeited;</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rFonts w:ascii="Arial" w:cs="Arial" w:eastAsia="Arial" w:hAnsi="Arial"/>
          <w:sz w:val="16"/>
          <w:szCs w:val="16"/>
          <w:color w:val="auto"/>
        </w:rPr>
      </w:pPr>
    </w:p>
    <w:p>
      <w:pPr>
        <w:ind w:left="1780" w:hanging="621"/>
        <w:spacing w:after="0"/>
        <w:tabs>
          <w:tab w:leader="none" w:pos="1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outstanding but unpaid Stock Unit Awards, Performance Awards and Stock Bonuses then held by the Participant will be terminated</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and forfeited.</w:t>
      </w:r>
    </w:p>
    <w:p>
      <w:pPr>
        <w:spacing w:after="0" w:line="219"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Termination for Reasons Other than Death, Disability or Retirement</w:t>
      </w:r>
      <w:r>
        <w:rPr>
          <w:rFonts w:ascii="Arial" w:cs="Arial" w:eastAsia="Arial" w:hAnsi="Arial"/>
          <w:sz w:val="18"/>
          <w:szCs w:val="18"/>
          <w:color w:val="auto"/>
        </w:rPr>
        <w:t>. Subject to Section 12.4 of the Plan, in the event a Participant’s employment or other service is terminated with the Company and all Subsidiaries for any reason other than death, Disability or Retirement, or a Participant is in the employ or service of a Subsidiary and the Subsidiary ceases to be a Subsidiary of the Company (unless the Participant continues in the employ or service of the Company or another Subsidiary):</w:t>
      </w:r>
    </w:p>
    <w:p>
      <w:pPr>
        <w:spacing w:after="0" w:line="197" w:lineRule="exact"/>
        <w:rPr>
          <w:sz w:val="20"/>
          <w:szCs w:val="20"/>
          <w:color w:val="auto"/>
        </w:rPr>
      </w:pPr>
    </w:p>
    <w:p>
      <w:pPr>
        <w:ind w:left="580" w:firstLine="579"/>
        <w:spacing w:after="0" w:line="306" w:lineRule="auto"/>
        <w:tabs>
          <w:tab w:leader="none" w:pos="17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outstanding Options and Stock Appreciation Rights then held by the Participant will, to the extent exercisable as of such termination, remain exercisable in full for a period of three months after such termination (but in no event after the expiration date of any such Option or Stock Appreciation Right). Options and Stock Appreciation Rights not exercisable as of such termination will be forfeited and terminate;</w:t>
      </w:r>
    </w:p>
    <w:p>
      <w:pPr>
        <w:spacing w:after="0" w:line="93" w:lineRule="exact"/>
        <w:rPr>
          <w:rFonts w:ascii="Arial" w:cs="Arial" w:eastAsia="Arial" w:hAnsi="Arial"/>
          <w:sz w:val="16"/>
          <w:szCs w:val="16"/>
          <w:color w:val="auto"/>
        </w:rPr>
      </w:pPr>
    </w:p>
    <w:p>
      <w:pPr>
        <w:ind w:left="1800" w:hanging="641"/>
        <w:spacing w:after="0"/>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Restricted Stock Awards then held by the Participant that have not vested as of such termination will be terminated and forfeited;</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rFonts w:ascii="Arial" w:cs="Arial" w:eastAsia="Arial" w:hAnsi="Arial"/>
          <w:sz w:val="16"/>
          <w:szCs w:val="16"/>
          <w:color w:val="auto"/>
        </w:rPr>
      </w:pPr>
    </w:p>
    <w:p>
      <w:pPr>
        <w:ind w:left="1780" w:hanging="621"/>
        <w:spacing w:after="0"/>
        <w:tabs>
          <w:tab w:leader="none" w:pos="1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outstanding but unpaid Stock Unit Awards, Performance Awards and Stock Bonuses then held by the Participant will be terminated</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and forfeited.</w:t>
      </w:r>
    </w:p>
    <w:p>
      <w:pPr>
        <w:spacing w:after="0" w:line="219"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Modification of Rights Upon Termination</w:t>
      </w:r>
      <w:r>
        <w:rPr>
          <w:rFonts w:ascii="Arial" w:cs="Arial" w:eastAsia="Arial" w:hAnsi="Arial"/>
          <w:sz w:val="16"/>
          <w:szCs w:val="16"/>
          <w:color w:val="auto"/>
        </w:rPr>
        <w:t>. Notwithstanding the other provisions of this Section 12, upon a Participant’s termination of employment or other service with the Company and all Subsidiaries, the Committee may, in its sole discretion (which may be exercised at any time on or after the date of grant, including following such termination), except as provided in clause (ii), below, cause Options or Stock Appreciation Rights (or any part thereof) then held by such Participant to terminate, become or continue to become exercisable and/or remain exercisable following such termination of employment or service, and Restricted Stock Awards, Stock Unit Awards, Performance Awards or Stock Bonuses then held by such Participant to terminate, vest and/or continue to vest or become free of restrictions and conditions to payment, as the case may be, following such termination of employment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90" w:right="259" w:bottom="1440" w:gutter="0" w:footer="0" w:header="0"/>
        </w:sectPr>
      </w:pPr>
    </w:p>
    <w:bookmarkStart w:id="75" w:name="page76"/>
    <w:bookmarkEnd w:id="75"/>
    <w:p>
      <w:pPr>
        <w:ind w:right="100"/>
        <w:spacing w:after="0" w:line="259" w:lineRule="auto"/>
        <w:rPr>
          <w:sz w:val="20"/>
          <w:szCs w:val="20"/>
          <w:color w:val="auto"/>
        </w:rPr>
      </w:pPr>
      <w:r>
        <w:rPr>
          <w:rFonts w:ascii="Arial" w:cs="Arial" w:eastAsia="Arial" w:hAnsi="Arial"/>
          <w:sz w:val="18"/>
          <w:szCs w:val="18"/>
          <w:color w:val="auto"/>
        </w:rPr>
        <w:t>service, in each case in the manner determined by the Committee; and (ii) any such action adversely affecting any outstanding Incentive Award will not be effective without the consent of the affected Participant (subject to the right of the Committee to take whatever action it deems appropriate under Sections 3.2(c), 4.3 and 14 of the Plan).</w:t>
      </w:r>
    </w:p>
    <w:p>
      <w:pPr>
        <w:spacing w:after="0" w:line="194"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Effects of Actions Constituting Cause</w:t>
      </w:r>
      <w:r>
        <w:rPr>
          <w:rFonts w:ascii="Arial" w:cs="Arial" w:eastAsia="Arial" w:hAnsi="Arial"/>
          <w:sz w:val="16"/>
          <w:szCs w:val="16"/>
          <w:color w:val="auto"/>
        </w:rPr>
        <w:t>. Notwithstanding anything in the Plan to the contrary, in the event that a Participant is determined by the Committee, acting in its sole discretion, to have committed any action which would constitute Cause as defined in Section 2.4 of the Plan, irrespective of whether such action or the Committee’s determination occurs before or after termination of such Participant’s employment with the Company or any Subsidiary, all rights of the Participant under the Plan and any agreements evidencing an Incentive Award then held by the Participant shall terminate and be forfeited without notice of any kind. The Company may defer the exercise of any Option, the vesting of any Restricted Stock Award or the payment of any Stock Unit Award, Performance Award or Stock Bonus for a period of up to ninety (90) days in order for the Committee to make any determination as to the existence of Cause.</w:t>
      </w:r>
    </w:p>
    <w:p>
      <w:pPr>
        <w:spacing w:after="0" w:line="174"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Determination of Termination of Employment or Other Service</w:t>
      </w:r>
      <w:r>
        <w:rPr>
          <w:rFonts w:ascii="Arial" w:cs="Arial" w:eastAsia="Arial" w:hAnsi="Arial"/>
          <w:sz w:val="16"/>
          <w:szCs w:val="16"/>
          <w:color w:val="auto"/>
        </w:rPr>
        <w:t>.</w:t>
      </w:r>
    </w:p>
    <w:p>
      <w:pPr>
        <w:spacing w:after="0" w:line="225" w:lineRule="exact"/>
        <w:rPr>
          <w:sz w:val="20"/>
          <w:szCs w:val="20"/>
          <w:color w:val="auto"/>
        </w:rPr>
      </w:pPr>
    </w:p>
    <w:p>
      <w:pPr>
        <w:ind w:left="580" w:right="180" w:firstLine="623"/>
        <w:spacing w:after="0" w:line="306" w:lineRule="auto"/>
        <w:tabs>
          <w:tab w:leader="none" w:pos="18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change in a Participant’s status from that of an employee of the Company or any Subsidiary to that of a non-employee consultant, director or advisor of the Company or any Subsidiary will, for purposes of the Plan, be deemed to result in a termination of such Participant’s employment with the Company and its Subsidiaries, unless the Committee otherwise determines in its sole discretion.</w:t>
      </w:r>
    </w:p>
    <w:p>
      <w:pPr>
        <w:spacing w:after="0" w:line="93" w:lineRule="exact"/>
        <w:rPr>
          <w:rFonts w:ascii="Arial" w:cs="Arial" w:eastAsia="Arial" w:hAnsi="Arial"/>
          <w:sz w:val="16"/>
          <w:szCs w:val="16"/>
          <w:color w:val="auto"/>
        </w:rPr>
      </w:pPr>
    </w:p>
    <w:p>
      <w:pPr>
        <w:ind w:left="580" w:firstLine="623"/>
        <w:spacing w:after="0" w:line="294" w:lineRule="auto"/>
        <w:tabs>
          <w:tab w:leader="none" w:pos="18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change in a Participant’s status from that of a non-employee consultant, director or advisor of the Company or any Subsidiary to that of an employee of the Company or any Subsidiary will not, for purposes of the Plan, be deemed to result in a termination of such Participant’s service as a non-employee consultant, director or advisor with the Company and its Subsidiaries, and such Participant will thereafter be deemed to be an employee of the Company or its Subsidiaries until such Participant’s employment or service is terminated, in which event such Participant will be governed by the provisions of this Plan relating to termination of employment or service (subject to paragraph (a), above).</w:t>
      </w:r>
    </w:p>
    <w:p>
      <w:pPr>
        <w:spacing w:after="0" w:line="102" w:lineRule="exact"/>
        <w:rPr>
          <w:rFonts w:ascii="Arial" w:cs="Arial" w:eastAsia="Arial" w:hAnsi="Arial"/>
          <w:sz w:val="16"/>
          <w:szCs w:val="16"/>
          <w:color w:val="auto"/>
        </w:rPr>
      </w:pPr>
    </w:p>
    <w:p>
      <w:pPr>
        <w:ind w:left="580" w:right="100" w:firstLine="623"/>
        <w:spacing w:after="0" w:line="294" w:lineRule="auto"/>
        <w:tabs>
          <w:tab w:leader="none" w:pos="1828"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a Participant’s employment or other service will, for purposes of the Plan, be deemed to have terminated on the date recorded on the personnel or other records of the Company or the Subsidiary for which the Participant provides employment or other service, as determined by the Committee in its sole discretion based upon such records; provided, however, if distribution of an Incentive Award subject to Section 409A of the Code is triggered by a termination of a Participant’s employment or other service, such termination must also constitute a “separation from service” within the meaning of Section 409A of the Code.</w:t>
      </w:r>
    </w:p>
    <w:p>
      <w:pPr>
        <w:spacing w:after="0" w:line="170"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Breach of Employment, Service, Confidentiality, Non-Compete or Non-Solicitation Agreements</w:t>
      </w:r>
      <w:r>
        <w:rPr>
          <w:rFonts w:ascii="Arial" w:cs="Arial" w:eastAsia="Arial" w:hAnsi="Arial"/>
          <w:sz w:val="16"/>
          <w:szCs w:val="16"/>
          <w:color w:val="auto"/>
        </w:rPr>
        <w:t>. Notwithstanding anything in the Plan to the contrary and in addition to the rights of the Committee under Section 12.4 of the Plan, in the event that a Participant materially breaches the terms of any employment, service, confidentiality, non-compete or non-solicitation agreement entered into with the Company or any Subsidiary (including an employment, service, confidentiality, non-compete or non-solicitation agreement made in connection with the grant of an Incentive Award), whether such breach occurs before or after termination of such Participant’s employment or other service with the Company or any Subsidiary, the Committee in its sole discretion may require the Participant to surrender shares of Common Stock received, and to disgorge any profits (however defined by the Committee), made or realized by the Participant in connection with any Incentive Awards or any shares issued upon the exercise or vesting of any Incentive Awards.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0" w:right="239" w:bottom="1440" w:gutter="0" w:footer="0" w:header="0"/>
        </w:sectPr>
      </w:pPr>
    </w:p>
    <w:bookmarkStart w:id="76" w:name="page77"/>
    <w:bookmarkEnd w:id="76"/>
    <w:p>
      <w:pPr>
        <w:ind w:left="440" w:hanging="432"/>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Payment of Withholding Taxes.</w:t>
      </w:r>
    </w:p>
    <w:p>
      <w:pPr>
        <w:spacing w:after="0" w:line="225" w:lineRule="exact"/>
        <w:rPr>
          <w:sz w:val="20"/>
          <w:szCs w:val="20"/>
          <w:color w:val="auto"/>
        </w:rPr>
      </w:pPr>
    </w:p>
    <w:p>
      <w:pPr>
        <w:ind w:right="80" w:firstLine="439"/>
        <w:spacing w:after="0" w:line="288"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General Rules</w:t>
      </w:r>
      <w:r>
        <w:rPr>
          <w:rFonts w:ascii="Arial" w:cs="Arial" w:eastAsia="Arial" w:hAnsi="Arial"/>
          <w:sz w:val="16"/>
          <w:szCs w:val="16"/>
          <w:color w:val="auto"/>
        </w:rPr>
        <w:t>. The Company is entitled to (a) withhold and deduct from future wages of the Participant (or from other amounts that may be due and owing to the Participant from the Company or a Subsidiary), or make other arrangements for the collection of, all legally required amounts necessary to satisfy any and all federal, foreign, state and local withholding and employment-related tax requirements attributable to an Incentive Award, including, without limitation, the grant, exercise or vesting of, or payment of dividends with respect to, an Incentive Award or a disqualifying disposition of stock received upon exercise of an Incentive Stock Option; (b) withhold cash paid or payable or shares of Common Stock from the shares issued or otherwise issuable to the Participant in connection with an Incentive Award; or (c) require the Participant promptly to remit the amount of such withholding to the Company before taking any action, including issuing any shares of Common Stock, with respect to an Incentive Award. Shares of Common Stock issued or otherwise issuable to the Participant in connection with an Incentive Award that gives rise to the tax withholding obligation that are withheld for purposes of satisfying the Participant’s withholding or employment-related tax obligation will be valued at their Fair Market Value on the Tax Date.</w:t>
      </w:r>
    </w:p>
    <w:p>
      <w:pPr>
        <w:spacing w:after="0" w:line="174"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u w:val="single" w:color="auto"/>
          <w:color w:val="auto"/>
        </w:rPr>
        <w:t>Special Rules</w:t>
      </w:r>
      <w:r>
        <w:rPr>
          <w:rFonts w:ascii="Arial" w:cs="Arial" w:eastAsia="Arial" w:hAnsi="Arial"/>
          <w:sz w:val="15"/>
          <w:szCs w:val="15"/>
          <w:color w:val="auto"/>
        </w:rPr>
        <w:t>. The Committee may, in its sole discretion and upon terms and conditions established by the Committee, permit or require a</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Participant to satisfy, in whole or in part, any withholding or employment-related tax obligation described in Section 13.1 of the Plan by electing to tender, or by attestation as to ownership of, Previously Acquired Shares, by delivery of a Broker Exercise Notice or a combination of such methods. For purposes of satisfying a Participant’s withholding or employment-related tax obligation, Previously Acquired Shares tendered or covered by an attestation will be valued at their Fair Market Value on the Tax Date.</w:t>
      </w:r>
    </w:p>
    <w:p>
      <w:pPr>
        <w:spacing w:after="0" w:line="198"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Definition of Change in Control</w:t>
      </w:r>
      <w:r>
        <w:rPr>
          <w:rFonts w:ascii="Arial" w:cs="Arial" w:eastAsia="Arial" w:hAnsi="Arial"/>
          <w:sz w:val="16"/>
          <w:szCs w:val="16"/>
          <w:color w:val="auto"/>
        </w:rPr>
        <w:t>. A “Change in Control” shall be deemed to have occurred if the event set forth in any one of the following paragraphs shall have occurred For purposes of this Section 14.1, a “Change in Control” of the Company will mean (a) the sale, lease, exchange or other transfer of substantially all of the assets of the Company (in one transaction or in a series of related transaction) to a person or entity that is not controlled, directly or indirectly, by the Company, (b) a merger or consolidation to which the Company is a party if the stockholders of the Company immediately prior to effective date of such merger or consolidation do not have “beneficial ownership” (as defined in Rule 13d-3 under the Exchange Act) immediately following the effective date of such merger or consolidation of more than 80% of the combined voting power of the surviving corporation’s outstanding securities ordinarily having the right to vote at elections of directors, or (c) a change in control of the Company of a nature that would be required to be reported pursuant to Section 13 or 15(d)of the Exchange Act, whether or not the Company is then subject to such reporting requirements, including, without limitation, such time as (i) any person becomes, after the effective date of the Plan, the “beneficial owner” (as defined in Rule 13d-3 under the Exchange Act), directly or indirectly, of 40% or more of the combined voting power of the Company’s outstanding securities ordinarily having the right to vote at elections of directors, or (ii) individuals who constitute the Board on the effective date of the Plan cease for any reason to constitute at least a majority of the Board, provided that any person becoming a director subsequent to the effective date of the Plan whose election, or nomination for election by the Company’s stockholders, was approved by a vote of at least a majority of the directors comprising the Board on the effective date of the Plan will, for purposes of this clause (ii), be considered as though such persons were a member of the Board on the effective date of the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0" w:right="259" w:bottom="1440" w:gutter="0" w:footer="0" w:header="0"/>
        </w:sectPr>
      </w:pPr>
    </w:p>
    <w:bookmarkStart w:id="77" w:name="page78"/>
    <w:bookmarkEnd w:id="77"/>
    <w:p>
      <w:pPr>
        <w:ind w:firstLine="439"/>
        <w:spacing w:after="0" w:line="290"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Acceleration of Vesting</w:t>
      </w:r>
      <w:r>
        <w:rPr>
          <w:rFonts w:ascii="Arial" w:cs="Arial" w:eastAsia="Arial" w:hAnsi="Arial"/>
          <w:sz w:val="16"/>
          <w:szCs w:val="16"/>
          <w:color w:val="auto"/>
        </w:rPr>
        <w:t>. Without limiting the authority of the Committee under Sections 3.2 and 4.3 of the Plan, if a Change in Control of the Company occurs, then, if approved by the Committee in its sole discretion either in an agreement evidencing an Incentive Award at the time of grant or at any time after the grant of an Incentive Award: (a) all outstanding Options and Stock Appreciation Rights will become immediately exercisable in full and will remain exercisable in accordance with their terms, regardless of whether the Participants to whom such Options or Stock Appreciation Rights have been granted remain in the employ or service of the Company or any Subsidiary; (b) all outstanding Restricted Stock Awards will become immediately fully vested and non-forfeitable; and (c) all outstanding Stock Unit Awards, Performance Awards and Stock Bonuses then held by the Participant will vest and/or continue to vest in the manner determined by the Committee and set forth in the agreement evidencing such Performance Units or Stock Bonuses.</w:t>
      </w:r>
    </w:p>
    <w:p>
      <w:pPr>
        <w:spacing w:after="0" w:line="172" w:lineRule="exact"/>
        <w:rPr>
          <w:sz w:val="20"/>
          <w:szCs w:val="20"/>
          <w:color w:val="auto"/>
        </w:rPr>
      </w:pPr>
    </w:p>
    <w:p>
      <w:pPr>
        <w:ind w:right="100" w:firstLine="439"/>
        <w:spacing w:after="0" w:line="289"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Cash Payment</w:t>
      </w:r>
      <w:r>
        <w:rPr>
          <w:rFonts w:ascii="Arial" w:cs="Arial" w:eastAsia="Arial" w:hAnsi="Arial"/>
          <w:sz w:val="16"/>
          <w:szCs w:val="16"/>
          <w:color w:val="auto"/>
        </w:rPr>
        <w:t>. If a Change in Control of the Company occurs, then the Committee, if approved by the Committee in its sole discretion either in an agreement evidencing an Incentive Award at the time of grant or at any time after the grant of an Incentive Award, and without the consent of any Participant affected thereby, may determine that: (i) some or all Participants holding outstanding Options will receive, with respect to some or all of the shares of Common Stock subject to such Options, as of the effective date of any such Change in Control of the Company, cash in an amount equal to the excess of the Fair Market Value of such shares immediately prior to the effective date of such Change in Control of the Company over the exercise price per share of such Options (or, in the event that there is no excess, that such Options will be terminated); and (ii) some or all Participants holding Performance Awards will receive, with respect to some or all of the shares of Common Stock subject to such Performance Awards, as of the effective date of any such Change in Control of the Company, cash in an amount equal the Fair Market Value of such shares immediately prior to the effective date of such Change in Control of the Company.</w:t>
      </w:r>
    </w:p>
    <w:p>
      <w:pPr>
        <w:spacing w:after="0" w:line="172"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Limitation on Change in Control Payments</w:t>
      </w:r>
      <w:r>
        <w:rPr>
          <w:rFonts w:ascii="Arial" w:cs="Arial" w:eastAsia="Arial" w:hAnsi="Arial"/>
          <w:sz w:val="16"/>
          <w:szCs w:val="16"/>
          <w:color w:val="auto"/>
        </w:rPr>
        <w:t>. Notwithstanding anything in Section 14.2 or 14.3 of the Plan to the contrary, if, with respect to a Participant, the acceleration of the vesting of an Incentive Award as provided in Section 14.2 of the Plan or the payment of cash in exchange for all or part of an Incentive Award as provided in Section 14.3 of the Plan (which acceleration or payment could be deemed a “payment” within the meaning of Section 280G(b)(2) of the Code), together with any other “payments” that such Participant has the right to receive from the Company or any corporation that is a member of an “affiliated group” (as defined in Section 1504(a) of the Code without regard to Section 1504(b) of the Code) of which the Company is a member, would constitute a “parachute payment” (as defined in Section 280G(b)(2) of the Code), then the “payments” to such Participant pursuant to Section 14.2 or 14.3 of the Plan will be reduced to the largest amount as will result in no portion of such “payments” being subject to the excise tax imposed by Section 4999 of the Code; provided, that such reduction shall be made only if the aggregate amount of the payments after such reduction exceeds the difference between (A) the amount of such payments absent such reduction minus (B) the aggregate amount of the excise tax imposed under Section 4999 of the Code attributable to any such excess parachute payments. Notwithstanding the foregoing sentence, if a Participant is subject to a separate agreement with the Company or a Subsidiary that expressly addresses the potential application of Sections 280G or 4999 of the Code (including, without limitation, that “payments” under such agreement or otherwise will be reduced, that the Participant will have the discretion to determine which “payments” will be reduced, that such “payments” will not be reduced or that such “payments” will be “grossed up” for tax purposes), then this Section 14.4 will not apply, and any “payments” to a Participant pursuant to Section 14.2 or 14.3 of the Plan will be treated as “payments” arising under such separate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0" w:right="239" w:bottom="1440" w:gutter="0" w:footer="0" w:header="0"/>
        </w:sectPr>
      </w:pPr>
    </w:p>
    <w:bookmarkStart w:id="78" w:name="page79"/>
    <w:bookmarkEnd w:id="78"/>
    <w:p>
      <w:pPr>
        <w:ind w:left="440" w:hanging="432"/>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Rights of Eligible Recipients and Participants; Transferability.</w:t>
      </w:r>
    </w:p>
    <w:p>
      <w:pPr>
        <w:spacing w:after="0" w:line="225"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Employment or Service</w:t>
      </w:r>
      <w:r>
        <w:rPr>
          <w:rFonts w:ascii="Arial" w:cs="Arial" w:eastAsia="Arial" w:hAnsi="Arial"/>
          <w:sz w:val="18"/>
          <w:szCs w:val="18"/>
          <w:color w:val="auto"/>
        </w:rPr>
        <w:t>. Nothing in the Plan will interfere with or limit in any way the right of the Company or any Subsidiary to terminate the employment or service of any Eligible Recipient or Participant at any time, nor confer upon any Eligible Recipient or Participant any right to continue in the employ or service of the Company or any Subsidiary.</w:t>
      </w:r>
    </w:p>
    <w:p>
      <w:pPr>
        <w:spacing w:after="0" w:line="194" w:lineRule="exact"/>
        <w:rPr>
          <w:sz w:val="20"/>
          <w:szCs w:val="20"/>
          <w:color w:val="auto"/>
        </w:rPr>
      </w:pPr>
    </w:p>
    <w:p>
      <w:pPr>
        <w:ind w:right="60" w:firstLine="439"/>
        <w:spacing w:after="0" w:line="28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Rights as a Stockholder; Dividends</w:t>
      </w:r>
      <w:r>
        <w:rPr>
          <w:rFonts w:ascii="Arial" w:cs="Arial" w:eastAsia="Arial" w:hAnsi="Arial"/>
          <w:sz w:val="16"/>
          <w:szCs w:val="16"/>
          <w:color w:val="auto"/>
        </w:rPr>
        <w:t>. As a holder of Incentive Awards (other than Restricted Stock Awards), a Participant will have no rights as a stockholder unless and until such Incentive Awards are exercised for, or paid in the form of, shares of Common Stock and the Participant becomes the holder of record of such shares. Except as otherwise provided in the Plan or otherwise provided by the Committee, no adjustment will be made in the amount of cash payable or in the number of shares of Common Stock issuable under Incentive Awards denominated in or based on the value of shares of Common Stock as a result of cash dividends or distributions paid to holders of Common Stock prior to the payment of, or issuance of shares of Common Stock under, such Incentive Awards. In its discretion, the Committee may provide in an agreement evidencing an Incentive Award that the Participant will be entitled to receive dividend equivalents, in the form of a cash credit to an account for the benefit of the Participant, for any such dividends and distributions. The terms of any rights to dividend equivalents will be determined by the Committee and set forth in the agreement evidencing the Incentive Award, including the time and form of payment and whether such equivalents will be credited with interest or deemed to be reinvested in Common Stock; provided, however, that dividend equivalents in respect of Options and Stock Appreciation Rights will only be paid out in cash.</w:t>
      </w:r>
    </w:p>
    <w:p>
      <w:pPr>
        <w:spacing w:after="0" w:line="177"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u w:val="single" w:color="auto"/>
          <w:color w:val="auto"/>
        </w:rPr>
        <w:t>Restrictions on Transfer</w:t>
      </w:r>
      <w:r>
        <w:rPr>
          <w:rFonts w:ascii="Arial" w:cs="Arial" w:eastAsia="Arial" w:hAnsi="Arial"/>
          <w:sz w:val="15"/>
          <w:szCs w:val="15"/>
          <w:color w:val="auto"/>
        </w:rPr>
        <w:t>.</w:t>
      </w:r>
    </w:p>
    <w:p>
      <w:pPr>
        <w:spacing w:after="0" w:line="225" w:lineRule="exact"/>
        <w:rPr>
          <w:sz w:val="20"/>
          <w:szCs w:val="20"/>
          <w:color w:val="auto"/>
        </w:rPr>
      </w:pPr>
    </w:p>
    <w:p>
      <w:pPr>
        <w:ind w:left="1840" w:hanging="637"/>
        <w:spacing w:after="0"/>
        <w:tabs>
          <w:tab w:leader="none" w:pos="18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Except pursuant to testamentary will or the laws of descent and distribution or as otherwise expressly permitted by subsections (b) and</w:t>
      </w:r>
    </w:p>
    <w:p>
      <w:pPr>
        <w:spacing w:after="0" w:line="38" w:lineRule="exact"/>
        <w:rPr>
          <w:rFonts w:ascii="Arial" w:cs="Arial" w:eastAsia="Arial" w:hAnsi="Arial"/>
          <w:sz w:val="16"/>
          <w:szCs w:val="16"/>
          <w:color w:val="auto"/>
        </w:rPr>
      </w:pPr>
    </w:p>
    <w:p>
      <w:pPr>
        <w:ind w:left="580" w:right="100" w:firstLine="9"/>
        <w:spacing w:after="0" w:line="302" w:lineRule="auto"/>
        <w:tabs>
          <w:tab w:leader="none" w:pos="819"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below, no right or interest of any Participant in an Incentive Award prior to the exercise (in the case of Options) or vesting or issuance (in the case of Restricted Stock Awards and Performance Awards) of such Incentive Award will be assignable or transferable, or subjected to any lien, during the lifetime of the Participant, either voluntarily or involuntarily, directly or indirectly, by operation of law or otherwise.</w:t>
      </w:r>
    </w:p>
    <w:p>
      <w:pPr>
        <w:spacing w:after="0" w:line="95" w:lineRule="exact"/>
        <w:rPr>
          <w:rFonts w:ascii="Arial" w:cs="Arial" w:eastAsia="Arial" w:hAnsi="Arial"/>
          <w:sz w:val="16"/>
          <w:szCs w:val="16"/>
          <w:color w:val="auto"/>
        </w:rPr>
      </w:pPr>
    </w:p>
    <w:p>
      <w:pPr>
        <w:ind w:left="580" w:firstLine="623"/>
        <w:spacing w:after="0" w:line="310" w:lineRule="auto"/>
        <w:tabs>
          <w:tab w:leader="none" w:pos="1828" w:val="left"/>
        </w:tabs>
        <w:numPr>
          <w:ilvl w:val="1"/>
          <w:numId w:val="61"/>
        </w:numPr>
        <w:rPr>
          <w:rFonts w:ascii="Arial" w:cs="Arial" w:eastAsia="Arial" w:hAnsi="Arial"/>
          <w:sz w:val="15"/>
          <w:szCs w:val="15"/>
          <w:color w:val="auto"/>
        </w:rPr>
      </w:pPr>
      <w:r>
        <w:rPr>
          <w:rFonts w:ascii="Arial" w:cs="Arial" w:eastAsia="Arial" w:hAnsi="Arial"/>
          <w:sz w:val="15"/>
          <w:szCs w:val="15"/>
          <w:color w:val="auto"/>
        </w:rPr>
        <w:t>A Participant will be entitled to designate a beneficiary to receive an Incentive Award upon such Participant’s death, and in the event of such Participant’s death, payment of any amounts due under the Plan will be made to, and exercise of any Options or Stock Appreciation Rights (to the extent permitted pursuant to Section 12 of the Plan) may be made by, such beneficiary. If a deceased Participant has failed to designate a beneficiary, or if a beneficiary designated by the Participant fails to survive the Participant, payment of any amounts due under the Plan will be made to, and exercise of any Options or Stock Appreciation Rights (to the extent permitted pursuant to Section 12 of the Plan) may be made by, the Participant’s legal representatives, heirs and legatees. If a decease d Participant has designated a beneficiary and such beneficiary survives the Participant but dies before complete payment of all amounts due under the Plan or exercise of all exercisable Options or Stock Appreciation Rights, then such payments will be made to, and the exercise of such Options or Stock Appreciation Rights may be made by, the legal representatives, heirs and legatees of the beneficiary.</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590" w:right="299" w:bottom="1440" w:gutter="0" w:footer="0" w:header="0"/>
        </w:sectPr>
      </w:pPr>
    </w:p>
    <w:bookmarkStart w:id="79" w:name="page80"/>
    <w:bookmarkEnd w:id="79"/>
    <w:p>
      <w:pPr>
        <w:ind w:left="580" w:right="40" w:firstLine="623"/>
        <w:spacing w:after="0" w:line="289" w:lineRule="auto"/>
        <w:tabs>
          <w:tab w:leader="none" w:pos="1828" w:val="left"/>
        </w:tabs>
        <w:numPr>
          <w:ilvl w:val="0"/>
          <w:numId w:val="62"/>
        </w:numPr>
        <w:rPr>
          <w:rFonts w:ascii="Arial" w:cs="Arial" w:eastAsia="Arial" w:hAnsi="Arial"/>
          <w:sz w:val="16"/>
          <w:szCs w:val="16"/>
          <w:color w:val="auto"/>
        </w:rPr>
      </w:pPr>
      <w:r>
        <w:rPr>
          <w:rFonts w:ascii="Arial" w:cs="Arial" w:eastAsia="Arial" w:hAnsi="Arial"/>
          <w:sz w:val="16"/>
          <w:szCs w:val="16"/>
          <w:color w:val="auto"/>
        </w:rPr>
        <w:t>Upon a Participant’s request, the Committee may, in its sole discretion, permit a transfer of all or a portion of a Non-Statutory Stock Option, other than for value, to such Participant’s child, stepchild, grandchild, parent, stepparent, grandparent, spouse, former spouse, sibling, niece, nephew, mother-in-law, father-in-law, son-in-law, daughter-in-law, brother-in-law, or sister-in-law, any person sharing such Participant’s household (other than a tenant or employee), a trust in which any of the foregoing have more than fifty percent of the beneficial interests, a foundation in which any of the foregoing (or the Participant) control the management of assets, and any other entity in which these persons (or the Participant) own more than fifty percent of the voting interests. Any permi tted transferee will remain subject to all the terms and conditions applicable to the Participant prior to the transfer. A permitted transfer may be conditioned upon such requirements as the Committee may, in its sole discretion, determine, including, but not limited to execution and/or delivery of appropriate acknowledgements, opinion of counsel, or other documents by the transferee.</w:t>
      </w:r>
    </w:p>
    <w:p>
      <w:pPr>
        <w:spacing w:after="0" w:line="172"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Nothing contained in the Plan is intended to modify or rescind any previously approved compensation plans or programs of the Company or create any limitations on the power or authority of the Board to adopt such additional or other compensation arrangements as the Board may deem necessary or desirable.</w:t>
      </w:r>
    </w:p>
    <w:p>
      <w:pPr>
        <w:spacing w:after="0" w:line="194"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Securities Law and Other Restrictions.</w:t>
      </w:r>
    </w:p>
    <w:p>
      <w:pPr>
        <w:spacing w:after="0" w:line="225" w:lineRule="exact"/>
        <w:rPr>
          <w:sz w:val="20"/>
          <w:szCs w:val="20"/>
          <w:color w:val="auto"/>
        </w:rPr>
      </w:pPr>
    </w:p>
    <w:p>
      <w:pPr>
        <w:ind w:firstLine="439"/>
        <w:spacing w:after="0" w:line="302" w:lineRule="auto"/>
        <w:rPr>
          <w:sz w:val="20"/>
          <w:szCs w:val="20"/>
          <w:color w:val="auto"/>
        </w:rPr>
      </w:pPr>
      <w:r>
        <w:rPr>
          <w:rFonts w:ascii="Arial" w:cs="Arial" w:eastAsia="Arial" w:hAnsi="Arial"/>
          <w:sz w:val="15"/>
          <w:szCs w:val="15"/>
          <w:color w:val="auto"/>
        </w:rPr>
        <w:t>Notwithstanding any other provision of the Plan or any agreements entered into pursuant to the Plan, the Company will not be required to issue any shares of Common Stock under this Plan, and a Participant may not sell, assign, transfer or otherwise dispose of shares of Common Stock issued pursuant to Incentive Awards granted under the Plan, unless (a) there is in effect with respect to such shares a registration statement under the Securities Act and any applicable securities laws of a state or foreign jurisdiction or an exemption from such registration under the Securities Act and applicable state or foreign securities laws, and</w:t>
      </w:r>
    </w:p>
    <w:p>
      <w:pPr>
        <w:spacing w:after="0" w:line="3" w:lineRule="exact"/>
        <w:rPr>
          <w:sz w:val="20"/>
          <w:szCs w:val="20"/>
          <w:color w:val="auto"/>
        </w:rPr>
      </w:pPr>
    </w:p>
    <w:p>
      <w:pPr>
        <w:ind w:right="40" w:firstLine="8"/>
        <w:spacing w:after="0" w:line="254"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has been obtained any other consent, approval or permit from any other U.S. or foreign regulatory body which the Committee, in its sole discretion, deems necessary or advisable. The Company may condition such issuance, sale or transfer upon the receipt of any representations or agreements from the parties involved, and the placement of any legends on certificates representing shares of Common Stock, as may be deemed necessary or advisable by the Company in order to comply with such securities law or other restrictions.</w:t>
      </w:r>
    </w:p>
    <w:p>
      <w:pPr>
        <w:spacing w:after="0" w:line="198"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 Provisions.</w:t>
      </w:r>
    </w:p>
    <w:p>
      <w:pPr>
        <w:spacing w:after="0" w:line="225"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The Committee, when it is comprised solely of two or more outside directors meeting the requirements of Section 162(m) of the Code (“Section 162(m)”), in its sole discretion, may designate whether any Incentive Awards are intended to be “performance-based compensation” within the meaning of Section 162(m). Any Incentive Awards so designated will, to the extent required by Section 162(m), be conditioned upon the achievement of one or more Performance Criteria, and such Performance Criteria will be established by the Committee within the time period prescribed by, and will otherwise comply with the requirements of, Section 162(m) giving due regard to the disparate treatment under Section 162(m) of Options and Stock Appreciation Rights (where compensation is determined based solely on an increase in the value of the underlying stock after the date of grant or award), as compared to other forms of compensation, including Restricted Stock Awards, Stock Unit Awards and Performance Awards. The Committee shall also certify in writing that such Performance Criteria have been met prior to payment of compensation to the extent required by Section 162(m).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74" w:right="259" w:bottom="1440" w:gutter="0" w:footer="0" w:header="0"/>
        </w:sectPr>
      </w:pPr>
    </w:p>
    <w:bookmarkStart w:id="80" w:name="page81"/>
    <w:bookmarkEnd w:id="80"/>
    <w:p>
      <w:pPr>
        <w:ind w:left="440" w:hanging="432"/>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225" w:lineRule="exact"/>
        <w:rPr>
          <w:sz w:val="20"/>
          <w:szCs w:val="20"/>
          <w:color w:val="auto"/>
        </w:rPr>
      </w:pPr>
    </w:p>
    <w:p>
      <w:pPr>
        <w:jc w:val="both"/>
        <w:ind w:right="140" w:firstLine="439"/>
        <w:spacing w:after="0" w:line="284" w:lineRule="auto"/>
        <w:rPr>
          <w:sz w:val="20"/>
          <w:szCs w:val="20"/>
          <w:color w:val="auto"/>
        </w:rPr>
      </w:pPr>
      <w:r>
        <w:rPr>
          <w:rFonts w:ascii="Arial" w:cs="Arial" w:eastAsia="Arial" w:hAnsi="Arial"/>
          <w:sz w:val="16"/>
          <w:szCs w:val="16"/>
          <w:color w:val="auto"/>
        </w:rPr>
        <w:t>It is intended that the Plan and all Incentive Awards hereunder be administered in a manner that will comply with the requirements of Section 409A of the Code, including any exceptions to such requirements. The Committee is authorized to adopt rules or regulations deemed necessary or appropriate to qualify for an exception from or to comply with the requirements of Section 409A of the Code (including any transition or grandfather rules relating thereto).</w:t>
      </w:r>
    </w:p>
    <w:p>
      <w:pPr>
        <w:spacing w:after="0" w:line="1"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Notwithstanding anything in this Section 18 to the contrary, with respect to any Incentive Award subject to Section 409A of the Code, no amendment to or payment under such Incentive Award will be made unless permitted under Section 409A and the regulations or rulings issued thereunder.</w:t>
      </w:r>
    </w:p>
    <w:p>
      <w:pPr>
        <w:spacing w:after="0" w:line="147"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Plan Amendment, Modification and Termination.</w:t>
      </w:r>
    </w:p>
    <w:p>
      <w:pPr>
        <w:spacing w:after="0" w:line="225" w:lineRule="exact"/>
        <w:rPr>
          <w:sz w:val="20"/>
          <w:szCs w:val="20"/>
          <w:color w:val="auto"/>
        </w:rPr>
      </w:pPr>
    </w:p>
    <w:p>
      <w:pPr>
        <w:ind w:right="40" w:firstLine="436"/>
        <w:spacing w:after="0" w:line="309" w:lineRule="auto"/>
        <w:rPr>
          <w:sz w:val="20"/>
          <w:szCs w:val="20"/>
          <w:color w:val="auto"/>
        </w:rPr>
      </w:pPr>
      <w:r>
        <w:rPr>
          <w:rFonts w:ascii="Arial" w:cs="Arial" w:eastAsia="Arial" w:hAnsi="Arial"/>
          <w:sz w:val="15"/>
          <w:szCs w:val="15"/>
          <w:color w:val="auto"/>
        </w:rPr>
        <w:t>The Board may suspend or terminate the Plan or any portion thereof at any time. In addition to the authority of the Committee to amend the Plan under Section 3.2(e) of the Plan, the Board may amend the Plan from time to time in such respects as the Board may deem advisable in order that Incentive Awards under the Plan will conform to any change in applicable laws or regulations or in any other respect the Board may deem to be in the best interests of the Company; provided, however, that no such amendments to the Plan will be effective without approval of the Company’s stockholders if: (i) stockholder approval of the amendment is then required pursuant to Section 422 of the Code or Section 162(m) of the Code or the rules of the New York Stock Exchange (or other applicable market or exchange on which the Company’s Common Stock may be quoted or traded); or (ii) such amendment seeks to increase the number of shares authorized for issuance hereunder (other than by virtue of an adjustment under Section 4.3 of the Plan) or to modify Section 3.2(d) of the Plan. No termination, suspension or amendment of the Plan may adversely affect any outstanding Incentive Award without the consent of the affected Participant; provided, however, that this sentence will not impair the right of the Committee to take whatever action it deems appropriate under Sections 3.2(c), 4.3 and 14 of the Plan.</w:t>
      </w:r>
    </w:p>
    <w:p>
      <w:pPr>
        <w:spacing w:after="0" w:line="162"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Effective Date and Duration of the Plan.</w:t>
      </w:r>
    </w:p>
    <w:p>
      <w:pPr>
        <w:spacing w:after="0" w:line="225"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Plan will be effective as of the date on which the Plan is initially approved by the Company’s stockholders (the “Effective Date”). The Plan will terminate at midnight on the day before the tenth (10th) anniversary of the Effective Date, and may be terminated prior to such time by Board action. No Incentive Award will be granted after termination of the Plan. Incentive Awards outstanding upon termination of the Plan may continue to be exercised, earned or become free of restrictions, according to their terms.</w:t>
      </w:r>
    </w:p>
    <w:p>
      <w:pPr>
        <w:spacing w:after="0" w:line="197"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Governing Law</w:t>
      </w:r>
      <w:r>
        <w:rPr>
          <w:rFonts w:ascii="Arial" w:cs="Arial" w:eastAsia="Arial" w:hAnsi="Arial"/>
          <w:sz w:val="18"/>
          <w:szCs w:val="18"/>
          <w:color w:val="auto"/>
        </w:rPr>
        <w:t>. Except to the extent expressly provided herein or in connection with other matters of corporate governance and authority (all of which shall be governed by the laws of the Company’s jurisdiction of incorporation), the validity, construction, interpretation, administration and effect of the Plan and any rules, regulations and actions relating to the Plan will be governed by and construed exclusively in accordance with the laws of the State of Minnesota, notwithstanding the conflicts of laws principles of any jurisdictions.</w:t>
      </w:r>
    </w:p>
    <w:p>
      <w:pPr>
        <w:spacing w:after="0" w:line="197"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will be binding upon and inure to the benefit of the successors and permitted assigns of the Company and the Participants.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90" w:right="259" w:bottom="1440" w:gutter="0" w:footer="0" w:header="0"/>
        </w:sectPr>
      </w:pPr>
    </w:p>
    <w:bookmarkStart w:id="81" w:name="page82"/>
    <w:bookmarkEnd w:id="81"/>
    <w:p>
      <w:pPr>
        <w:ind w:firstLine="439"/>
        <w:spacing w:after="0" w:line="298"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Construction</w:t>
      </w:r>
      <w:r>
        <w:rPr>
          <w:rFonts w:ascii="Arial" w:cs="Arial" w:eastAsia="Arial" w:hAnsi="Arial"/>
          <w:sz w:val="16"/>
          <w:szCs w:val="16"/>
          <w:color w:val="auto"/>
        </w:rPr>
        <w:t>. Wherever possible, each provision of the Plan and any agreement evidencing an Incentive Award granted under the Plan will be interpreted so that it is valid under the applicable law. If any provision of the Plan or any agreement evidencing an Incentive Award granted under the Plan is to any extent invalid under the applicable law, that provision will still be effective to the extent it remains valid. The remainder of the Plan and the Incentive Award agreement also will continue to be valid, and the entire Plan and Incentive Award agreement will continue to be valid in other jurisdictions.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590" w:right="3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INCENTIVE STOCK OPTION AGREEMENT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INCENTIVE STOCK OPTION AGREEMENT is entered into and effective as of this ____ day of ____________, ______ (the “Date of Grant”),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between Northern Technologies International Corporation (the “Company”) and ----_________________ (the “Optionee”).</w:t>
      </w:r>
    </w:p>
    <w:p>
      <w:pPr>
        <w:spacing w:after="0" w:line="219" w:lineRule="exact"/>
        <w:rPr>
          <w:sz w:val="20"/>
          <w:szCs w:val="20"/>
          <w:color w:val="auto"/>
        </w:rPr>
      </w:pPr>
    </w:p>
    <w:p>
      <w:pPr>
        <w:ind w:right="200" w:firstLine="437"/>
        <w:spacing w:after="0" w:line="259" w:lineRule="auto"/>
        <w:tabs>
          <w:tab w:leader="none" w:pos="10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adopted the Northern Technologies International Corporation 2007 Stock Incentive Plan (the “Plan”) authorizing the Board of Directors of the Company, or a committee as provided for in the Plan (the Board or such a committee to be referred to as the “Committee”), to grant incentive stock options to employees of the Company and its Subsidiaries (as defined in the Plan).</w:t>
      </w:r>
    </w:p>
    <w:p>
      <w:pPr>
        <w:spacing w:after="0" w:line="194" w:lineRule="exact"/>
        <w:rPr>
          <w:rFonts w:ascii="Arial" w:cs="Arial" w:eastAsia="Arial" w:hAnsi="Arial"/>
          <w:sz w:val="18"/>
          <w:szCs w:val="18"/>
          <w:color w:val="auto"/>
        </w:rPr>
      </w:pPr>
    </w:p>
    <w:p>
      <w:pPr>
        <w:ind w:right="180" w:firstLine="447"/>
        <w:spacing w:after="0" w:line="332" w:lineRule="auto"/>
        <w:tabs>
          <w:tab w:leader="none" w:pos="10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desires to give the Optionee an inducement to acquire a proprietary interest in the Company and an added incentive to advance the interests of the Company by granting to the Optionee an option to purchase shares of common stock of the Company pursuant to the Plan.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parties agree as follows:</w:t>
      </w:r>
    </w:p>
    <w:p>
      <w:pPr>
        <w:spacing w:after="0" w:line="225"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hereby grants to the Optionee the right, privilege, and option (the “Option”) to purchase _______________ (______) shares (the “Option</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Shares”) of the Company’s common stock, $0.02 par value (the “Common Stock”), according to the terms and subject to the conditions hereinafter set forth and as set forth in the Plan. Subject to Section 9 of this Agreement, the Option is intended to be an “incentive stock option,” as that term is used in Section 422 of the Internal Revenue Code of 1986, as amended (the “Code”).</w:t>
      </w:r>
    </w:p>
    <w:p>
      <w:pPr>
        <w:spacing w:after="0" w:line="198"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per share price to be paid by Optionee in the event of an exercise of the Option will be $______.</w:t>
      </w:r>
    </w:p>
    <w:p>
      <w:pPr>
        <w:spacing w:after="0" w:line="225"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Duration of Option and Time of Exercise</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Initial Period of Exercisability</w:t>
      </w:r>
      <w:r>
        <w:rPr>
          <w:rFonts w:ascii="Arial" w:cs="Arial" w:eastAsia="Arial" w:hAnsi="Arial"/>
          <w:sz w:val="16"/>
          <w:szCs w:val="16"/>
          <w:color w:val="auto"/>
        </w:rPr>
        <w:t>. The Option will become exercisable with respect to the Option Shares [immediately/in _____ installments]. [The</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following table sets forth the initial dates of exercisability of each installment and the number of Option Shares as to which this Option will become exercisable on such dates: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3240" w:type="dxa"/>
            <w:vAlign w:val="bottom"/>
          </w:tcPr>
          <w:p>
            <w:pPr>
              <w:spacing w:after="0"/>
              <w:rPr>
                <w:sz w:val="20"/>
                <w:szCs w:val="20"/>
                <w:color w:val="auto"/>
              </w:rPr>
            </w:pPr>
            <w:r>
              <w:rPr>
                <w:rFonts w:ascii="Arial" w:cs="Arial" w:eastAsia="Arial" w:hAnsi="Arial"/>
                <w:sz w:val="14"/>
                <w:szCs w:val="14"/>
                <w:b w:val="1"/>
                <w:bCs w:val="1"/>
                <w:color w:val="auto"/>
              </w:rPr>
              <w:t>Exercisability</w:t>
            </w:r>
          </w:p>
        </w:tc>
        <w:tc>
          <w:tcPr>
            <w:tcW w:w="1560" w:type="dxa"/>
            <w:vAlign w:val="bottom"/>
          </w:tcPr>
          <w:p>
            <w:pPr>
              <w:spacing w:after="0"/>
              <w:rPr>
                <w:sz w:val="15"/>
                <w:szCs w:val="15"/>
                <w:color w:val="auto"/>
              </w:rPr>
            </w:pPr>
          </w:p>
        </w:tc>
        <w:tc>
          <w:tcPr>
            <w:tcW w:w="3220" w:type="dxa"/>
            <w:vAlign w:val="bottom"/>
          </w:tcPr>
          <w:p>
            <w:pPr>
              <w:ind w:left="960"/>
              <w:spacing w:after="0"/>
              <w:rPr>
                <w:sz w:val="20"/>
                <w:szCs w:val="20"/>
                <w:color w:val="auto"/>
              </w:rPr>
            </w:pPr>
            <w:r>
              <w:rPr>
                <w:rFonts w:ascii="Arial" w:cs="Arial" w:eastAsia="Arial" w:hAnsi="Arial"/>
                <w:sz w:val="14"/>
                <w:szCs w:val="14"/>
                <w:b w:val="1"/>
                <w:bCs w:val="1"/>
                <w:color w:val="auto"/>
              </w:rPr>
              <w:t>Available for Exercise</w:t>
            </w:r>
          </w:p>
        </w:tc>
      </w:tr>
      <w:tr>
        <w:trPr>
          <w:trHeight w:val="95"/>
        </w:trPr>
        <w:tc>
          <w:tcPr>
            <w:tcW w:w="324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r>
      <w:tr>
        <w:trPr>
          <w:trHeight w:val="309"/>
        </w:trPr>
        <w:tc>
          <w:tcPr>
            <w:tcW w:w="3240" w:type="dxa"/>
            <w:vAlign w:val="bottom"/>
          </w:tcPr>
          <w:p>
            <w:pPr>
              <w:spacing w:after="0"/>
              <w:rPr>
                <w:sz w:val="20"/>
                <w:szCs w:val="20"/>
                <w:color w:val="auto"/>
              </w:rPr>
            </w:pPr>
            <w:r>
              <w:rPr>
                <w:rFonts w:ascii="Arial" w:cs="Arial" w:eastAsia="Arial" w:hAnsi="Arial"/>
                <w:sz w:val="18"/>
                <w:szCs w:val="18"/>
                <w:color w:val="auto"/>
              </w:rPr>
              <w:t>___________________</w:t>
            </w:r>
          </w:p>
        </w:tc>
        <w:tc>
          <w:tcPr>
            <w:tcW w:w="4780" w:type="dxa"/>
            <w:vAlign w:val="bottom"/>
            <w:gridSpan w:val="2"/>
          </w:tcPr>
          <w:p>
            <w:pPr>
              <w:jc w:val="center"/>
              <w:ind w:left="1432"/>
              <w:spacing w:after="0"/>
              <w:rPr>
                <w:sz w:val="20"/>
                <w:szCs w:val="20"/>
                <w:color w:val="auto"/>
              </w:rPr>
            </w:pPr>
            <w:r>
              <w:rPr>
                <w:rFonts w:ascii="Arial" w:cs="Arial" w:eastAsia="Arial" w:hAnsi="Arial"/>
                <w:sz w:val="18"/>
                <w:szCs w:val="18"/>
                <w:color w:val="auto"/>
                <w:w w:val="88"/>
              </w:rPr>
              <w:t>_______</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___________________</w:t>
            </w:r>
          </w:p>
        </w:tc>
        <w:tc>
          <w:tcPr>
            <w:tcW w:w="4780" w:type="dxa"/>
            <w:vAlign w:val="bottom"/>
            <w:gridSpan w:val="2"/>
          </w:tcPr>
          <w:p>
            <w:pPr>
              <w:jc w:val="center"/>
              <w:ind w:left="1432"/>
              <w:spacing w:after="0"/>
              <w:rPr>
                <w:sz w:val="20"/>
                <w:szCs w:val="20"/>
                <w:color w:val="auto"/>
              </w:rPr>
            </w:pPr>
            <w:r>
              <w:rPr>
                <w:rFonts w:ascii="Arial" w:cs="Arial" w:eastAsia="Arial" w:hAnsi="Arial"/>
                <w:sz w:val="18"/>
                <w:szCs w:val="18"/>
                <w:color w:val="auto"/>
                <w:w w:val="88"/>
              </w:rPr>
              <w:t>_______</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___________________</w:t>
            </w:r>
          </w:p>
        </w:tc>
        <w:tc>
          <w:tcPr>
            <w:tcW w:w="4780" w:type="dxa"/>
            <w:vAlign w:val="bottom"/>
            <w:gridSpan w:val="2"/>
          </w:tcPr>
          <w:p>
            <w:pPr>
              <w:jc w:val="center"/>
              <w:ind w:left="1432"/>
              <w:spacing w:after="0"/>
              <w:rPr>
                <w:sz w:val="20"/>
                <w:szCs w:val="20"/>
                <w:color w:val="auto"/>
              </w:rPr>
            </w:pPr>
            <w:r>
              <w:rPr>
                <w:rFonts w:ascii="Arial" w:cs="Arial" w:eastAsia="Arial" w:hAnsi="Arial"/>
                <w:sz w:val="18"/>
                <w:szCs w:val="18"/>
                <w:color w:val="auto"/>
                <w:w w:val="88"/>
              </w:rPr>
              <w:t>_______</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___________________</w:t>
            </w:r>
          </w:p>
        </w:tc>
        <w:tc>
          <w:tcPr>
            <w:tcW w:w="4780" w:type="dxa"/>
            <w:vAlign w:val="bottom"/>
            <w:gridSpan w:val="2"/>
          </w:tcPr>
          <w:p>
            <w:pPr>
              <w:jc w:val="center"/>
              <w:ind w:left="1432"/>
              <w:spacing w:after="0"/>
              <w:rPr>
                <w:sz w:val="20"/>
                <w:szCs w:val="20"/>
                <w:color w:val="auto"/>
              </w:rPr>
            </w:pPr>
            <w:r>
              <w:rPr>
                <w:rFonts w:ascii="Arial" w:cs="Arial" w:eastAsia="Arial" w:hAnsi="Arial"/>
                <w:sz w:val="18"/>
                <w:szCs w:val="18"/>
                <w:color w:val="auto"/>
                <w:w w:val="87"/>
              </w:rPr>
              <w:t>_______]</w:t>
            </w:r>
          </w:p>
        </w:tc>
      </w:tr>
    </w:tbl>
    <w:p>
      <w:pPr>
        <w:spacing w:after="0" w:line="237"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color w:val="auto"/>
        </w:rPr>
        <w:t>[The foregoing rights to exercise this Option will be cumulative with respect to the Option Shares becoming exercisable on each such date.] In no event will this Option be exercisable after, and this Option will become void and expire as to all unexercised Option Shares at 5:00 p.m. Circle Pines, Minnesota time on ______________________ (the “Time of Termination”).</w:t>
      </w:r>
    </w:p>
    <w:p>
      <w:pPr>
        <w:sectPr>
          <w:pgSz w:w="11900" w:h="16838" w:orient="portrait"/>
          <w:cols w:equalWidth="0" w:num="1">
            <w:col w:w="11420"/>
          </w:cols>
          <w:pgMar w:left="240" w:top="125" w:right="239" w:bottom="1440" w:gutter="0" w:footer="0" w:header="0"/>
        </w:sectPr>
      </w:pPr>
    </w:p>
    <w:bookmarkStart w:id="83" w:name="page84"/>
    <w:bookmarkEnd w:id="83"/>
    <w:p>
      <w:pPr>
        <w:spacing w:after="0"/>
        <w:tabs>
          <w:tab w:leader="none" w:pos="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w:t>
      </w:r>
    </w:p>
    <w:p>
      <w:pPr>
        <w:spacing w:after="0" w:line="225" w:lineRule="exact"/>
        <w:rPr>
          <w:sz w:val="20"/>
          <w:szCs w:val="20"/>
          <w:color w:val="auto"/>
        </w:rPr>
      </w:pPr>
    </w:p>
    <w:p>
      <w:pPr>
        <w:ind w:right="160" w:firstLine="448"/>
        <w:spacing w:after="0" w:line="259" w:lineRule="auto"/>
        <w:tabs>
          <w:tab w:leader="none" w:pos="107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Disability or Retirement</w:t>
      </w:r>
      <w:r>
        <w:rPr>
          <w:rFonts w:ascii="Arial" w:cs="Arial" w:eastAsia="Arial" w:hAnsi="Arial"/>
          <w:sz w:val="18"/>
          <w:szCs w:val="18"/>
          <w:color w:val="auto"/>
        </w:rPr>
        <w:t>. In the event the Optionee’s employment with the Company and all Subsidiaries is terminated by reason of death, Disability or Retirement, this Option will remain exercisable, to the extent exercisable as of the date of such termination, for a period of 12 months after such termination (but in no event after the Time of Termination).</w:t>
      </w:r>
    </w:p>
    <w:p>
      <w:pPr>
        <w:spacing w:after="0" w:line="126" w:lineRule="exact"/>
        <w:rPr>
          <w:rFonts w:ascii="Arial" w:cs="Arial" w:eastAsia="Arial" w:hAnsi="Arial"/>
          <w:sz w:val="18"/>
          <w:szCs w:val="18"/>
          <w:color w:val="auto"/>
        </w:rPr>
      </w:pPr>
    </w:p>
    <w:p>
      <w:pPr>
        <w:ind w:firstLine="448"/>
        <w:spacing w:after="0" w:line="253" w:lineRule="auto"/>
        <w:tabs>
          <w:tab w:leader="none" w:pos="108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for Reasons Other Than Death, Disability or Retirement</w:t>
      </w:r>
      <w:r>
        <w:rPr>
          <w:rFonts w:ascii="Arial" w:cs="Arial" w:eastAsia="Arial" w:hAnsi="Arial"/>
          <w:sz w:val="18"/>
          <w:szCs w:val="18"/>
          <w:color w:val="auto"/>
        </w:rPr>
        <w:t>. In the event that the Optionee’s employment with the Company and all Subsidiaries is terminated for any reason other than death, Disability or Retirement, or the Optionee is in the employ of a Subsidiary and the Subsidiary ceases to be a Subsidiary of the Company (unless the Optionee continues in the employ of the Company or another Subsidiary), all rights of the Optionee under the Plan and this Agreement will immediately terminate without notice of any kind, and this Option will no longer be exercisable; provided, however, that if such termination is due to any reason other than termination by the Company or any Subsidiary for “cause” (as defined in the Plan), this Option will remain exercisable to the extent exercisable as of such termination for a period of three months after such termination (but in no event after the Time of Termination).</w:t>
      </w:r>
    </w:p>
    <w:p>
      <w:pPr>
        <w:spacing w:after="0" w:line="133" w:lineRule="exact"/>
        <w:rPr>
          <w:rFonts w:ascii="Arial" w:cs="Arial" w:eastAsia="Arial" w:hAnsi="Arial"/>
          <w:sz w:val="18"/>
          <w:szCs w:val="18"/>
          <w:color w:val="auto"/>
        </w:rPr>
      </w:pPr>
    </w:p>
    <w:p>
      <w:pPr>
        <w:ind w:right="140" w:firstLine="448"/>
        <w:spacing w:after="0" w:line="253" w:lineRule="auto"/>
        <w:tabs>
          <w:tab w:leader="none" w:pos="107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Breach of Employment, Service, Confidentiality, Non-Compete or Non-Solicitation Agreements</w:t>
      </w:r>
      <w:r>
        <w:rPr>
          <w:rFonts w:ascii="Arial" w:cs="Arial" w:eastAsia="Arial" w:hAnsi="Arial"/>
          <w:sz w:val="18"/>
          <w:szCs w:val="18"/>
          <w:color w:val="auto"/>
        </w:rPr>
        <w:t>. Notwithstanding anything in this Agreement to the contrary and in addition to the rights of the Committee under Section 12.4 of the Plan, in the event that the Optionee materially breaches the terms of any employment, service, confidentiality, non-compete or non-solicitation agreement entered into with the Company or any Subsidiary (including an employment, service, confidentiality, non-compete or non-solicitation agreement made in connection with the grant of the Option), whether such breach occurs before or after termination of such Participant’s employment or other service with the Company or any Subsidiary, the Committee in its sole discretion may require the Participant to surrender shares of Common Stock received, and to disgorge any profits (however defined by the Committee), made or realized by the Participant in connection with this Option or any shares issued upon the exercise or vesting of this Option.</w:t>
      </w:r>
    </w:p>
    <w:p>
      <w:pPr>
        <w:spacing w:after="0" w:line="13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158" w:lineRule="exact"/>
        <w:rPr>
          <w:sz w:val="20"/>
          <w:szCs w:val="20"/>
          <w:color w:val="auto"/>
        </w:rPr>
      </w:pPr>
    </w:p>
    <w:p>
      <w:pPr>
        <w:ind w:right="20" w:firstLine="448"/>
        <w:spacing w:after="0" w:line="291" w:lineRule="auto"/>
        <w:tabs>
          <w:tab w:leader="none" w:pos="1073"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Impact of Change in Control</w:t>
      </w:r>
      <w:r>
        <w:rPr>
          <w:rFonts w:ascii="Arial" w:cs="Arial" w:eastAsia="Arial" w:hAnsi="Arial"/>
          <w:sz w:val="16"/>
          <w:szCs w:val="16"/>
          <w:color w:val="auto"/>
        </w:rPr>
        <w:t>. If a Change in Control (as defined in the Plan) of the Company occurs, this Option will become immediately exercisable in full and will remain exercisable until the Time of Termination, regardless of whether the Optionee remains in the employ of the Company or any Subsidiary. In addition, if a Change in Control of the Company occurs, the Committee, in its sole discretion and without the consent of the Optionee, may determine that the Optionee will receive, with respect to some or all of the Option Shares, as of the effective date of any such Change in Control of the Company, cash in an amount equal to the excess of the Fair Market Value (as defined in the Plan) of such Option Shares immediately prior to the effective date of such Change in Control of the Company over the option exercise price per share of this Option.</w:t>
      </w:r>
    </w:p>
    <w:p>
      <w:pPr>
        <w:spacing w:after="0" w:line="106" w:lineRule="exact"/>
        <w:rPr>
          <w:rFonts w:ascii="Arial" w:cs="Arial" w:eastAsia="Arial" w:hAnsi="Arial"/>
          <w:sz w:val="16"/>
          <w:szCs w:val="16"/>
          <w:color w:val="auto"/>
        </w:rPr>
      </w:pPr>
    </w:p>
    <w:p>
      <w:pPr>
        <w:ind w:right="60" w:firstLine="448"/>
        <w:spacing w:after="0" w:line="298" w:lineRule="auto"/>
        <w:tabs>
          <w:tab w:leader="none" w:pos="108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Limitation on Change in Control Payments</w:t>
      </w:r>
      <w:r>
        <w:rPr>
          <w:rFonts w:ascii="Arial" w:cs="Arial" w:eastAsia="Arial" w:hAnsi="Arial"/>
          <w:sz w:val="16"/>
          <w:szCs w:val="16"/>
          <w:color w:val="auto"/>
        </w:rPr>
        <w:t>. Notwithstanding anything in this Section 3.3 to the contrary, if, with respect to the Optionee, the acceleration of the vesting of this Option or the payment of cash in exchange for all or part of the Option Shares as provided above (which acceleration or payment could be deemed a “payment” within the meaning of Section 280G(b)(2) of the Code), together with any other “payments” that the Optionee has the right to receive from the Company or any corporation that is a member of an “affiliated group”</w:t>
      </w:r>
    </w:p>
    <w:p>
      <w:pPr>
        <w:spacing w:after="0" w:line="16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820" w:top="374" w:right="259" w:bottom="1440" w:gutter="0" w:footer="0" w:header="0"/>
        </w:sectPr>
      </w:pPr>
    </w:p>
    <w:bookmarkStart w:id="84" w:name="page85"/>
    <w:bookmarkEnd w:id="84"/>
    <w:p>
      <w:pPr>
        <w:ind w:left="580"/>
        <w:spacing w:after="0" w:line="287" w:lineRule="auto"/>
        <w:rPr>
          <w:sz w:val="20"/>
          <w:szCs w:val="20"/>
          <w:color w:val="auto"/>
        </w:rPr>
      </w:pPr>
      <w:r>
        <w:rPr>
          <w:rFonts w:ascii="Arial" w:cs="Arial" w:eastAsia="Arial" w:hAnsi="Arial"/>
          <w:sz w:val="16"/>
          <w:szCs w:val="16"/>
          <w:color w:val="auto"/>
        </w:rPr>
        <w:t>(as defined in Section 1504(a) of the Code without regard to Section 1504(b) of the Code) of which the Company is a member, would constitute a “parachute payment” (as defined in Section 280G(b)(2) of the Code), then the “payments” to the Optionee as set forth herein will be reduced to the largest amount as will result in no portion of such “payments” being subject to the excise tax imposed by Section 4999 of the Code; provided, that such reduction shall be made only if the aggregate amount of the payments after such reduction exceeds the difference between (A) the amount of such payments absent such reduction minus (B) the aggregate amount of the excise tax imposed under Section 4999 of the Code attributable to any such excess parachute payments. Notwithstanding the foregoing sentence, if the Optionee is subject to a separate agreement with the Company or a Subsidiary that expressly addresses the potential application of Sections 280G or 4999 of the Code (including, without limitation, that “payments” under such agreement or otherwise will be reduced, that the Optionee will have the discretion to determine which “payments” will be reduced, that such “payments” will not be reduced or that such “payments” will be “grossed up” for tax purposes), then this Section 3.3(b) will not apply, and any “payments” to the Optionee as provided herein will be treated as “payments” arising under such separate agreement</w:t>
      </w:r>
    </w:p>
    <w:p>
      <w:pPr>
        <w:spacing w:after="0" w:line="177"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Manner of Option Exercise</w:t>
      </w:r>
      <w:r>
        <w:rPr>
          <w:rFonts w:ascii="Arial" w:cs="Arial" w:eastAsia="Arial" w:hAnsi="Arial"/>
          <w:sz w:val="18"/>
          <w:szCs w:val="18"/>
          <w:color w:val="auto"/>
        </w:rPr>
        <w:t>.</w:t>
      </w:r>
    </w:p>
    <w:p>
      <w:pPr>
        <w:spacing w:after="0" w:line="225"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Notice</w:t>
      </w:r>
      <w:r>
        <w:rPr>
          <w:rFonts w:ascii="Arial" w:cs="Arial" w:eastAsia="Arial" w:hAnsi="Arial"/>
          <w:sz w:val="16"/>
          <w:szCs w:val="16"/>
          <w:color w:val="auto"/>
        </w:rPr>
        <w:t>. This Option may be exercised by the Optionee in whole or in part from time to time, subject to the conditions contained in the Plan and in this Agreement, by delivery, in person, by facsimile or electronic transmission or through the mail, to the Company at its principal executive office in Circle Pines, Minnesota, of a written notice of exercise. Such notice must be in a form satisfactory to the Committee, must identify the Option, must specify the number of Option Shares with respect to which the Option is being exercised, and must be signed by the person or persons so exercising the Option. Such notice must be accompanied by payment in full of the total purchase price of the Option Shares purchased. In the event that the Option is being exercised, as provided by the Plan and Section 3.2 above, by any person or persons other than the Optionee, the notice must be accompanied by appropriate proof of right of such person or persons to exercise the Option. As soon as practicable after the effective exercise of the Option, the Optionee will be recorded on the stock transfer books of the Company as the owner of the Option Shares purchased, and the Company will deliver to the Optionee certificated or uncertificated (“book entry”) shares. In the event that the Option is being exercised, as provided by resolutions of the Committee and Section 4.2 below, by tender of a Broker Exercise Notice, the Company will deliver such shares directly to the Optionee’s broker or dealer or their nominee.</w:t>
      </w:r>
    </w:p>
    <w:p>
      <w:pPr>
        <w:spacing w:after="0" w:line="177"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w:t>
      </w:r>
    </w:p>
    <w:p>
      <w:pPr>
        <w:spacing w:after="0" w:line="225" w:lineRule="exact"/>
        <w:rPr>
          <w:sz w:val="20"/>
          <w:szCs w:val="20"/>
          <w:color w:val="auto"/>
        </w:rPr>
      </w:pPr>
    </w:p>
    <w:p>
      <w:pPr>
        <w:ind w:left="580" w:right="40" w:firstLine="448"/>
        <w:spacing w:after="0" w:line="255" w:lineRule="auto"/>
        <w:tabs>
          <w:tab w:leader="none" w:pos="16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the time of exercise of this Option, the Optionee must pay the total purchase price of the Option Shares to be purchased entirely in cash (including check, bank draft or money order); provided, however, that the Committee, in its sole discretion and upon terms and conditions established by the Committee, may allow such payments to be made, in whole or in part, by (i) tender of a Broker Exercise Notice; (ii) by tender, or attestation as to ownership, of Previously Acquired Shares that are acceptable to the Committee; (iii) by a “net exercise” of the Option (as described in the Plan); or (iv) by a combination of such methods.</w:t>
      </w:r>
    </w:p>
    <w:p>
      <w:pPr>
        <w:spacing w:after="0" w:line="129" w:lineRule="exact"/>
        <w:rPr>
          <w:rFonts w:ascii="Arial" w:cs="Arial" w:eastAsia="Arial" w:hAnsi="Arial"/>
          <w:sz w:val="18"/>
          <w:szCs w:val="18"/>
          <w:color w:val="auto"/>
        </w:rPr>
      </w:pPr>
    </w:p>
    <w:p>
      <w:pPr>
        <w:ind w:left="580" w:right="180" w:firstLine="448"/>
        <w:spacing w:after="0" w:line="268" w:lineRule="auto"/>
        <w:tabs>
          <w:tab w:leader="none" w:pos="16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the Optionee is permitted to pay the total purchase price of this Option in whole or in part with Previously Acquired Shares, the value of such shares will be equal to their Fair Market Value on the date of exercise of this Option.</w:t>
      </w:r>
    </w:p>
    <w:p>
      <w:pPr>
        <w:spacing w:after="0" w:line="118" w:lineRule="exact"/>
        <w:rPr>
          <w:rFonts w:ascii="Arial" w:cs="Arial" w:eastAsia="Arial" w:hAnsi="Arial"/>
          <w:sz w:val="18"/>
          <w:szCs w:val="18"/>
          <w:color w:val="auto"/>
        </w:rPr>
      </w:pPr>
    </w:p>
    <w:p>
      <w:pPr>
        <w:ind w:left="580" w:right="40" w:firstLine="448"/>
        <w:spacing w:after="0" w:line="306" w:lineRule="auto"/>
        <w:tabs>
          <w:tab w:leader="none" w:pos="1653"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a “net exercise” of an Option, the Company will not require a payment of the exercise price of the Option from the Optionee but will reduce the number of shares of Common Stock issued upon the exercise by the largest number of whole shares that has a Fair Market Value on the exercise date that does not exceed the aggregate exercise price for the shares exercised under this method.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4" w:right="239" w:bottom="1440" w:gutter="0" w:footer="0" w:header="0"/>
        </w:sectPr>
      </w:pPr>
    </w:p>
    <w:bookmarkStart w:id="85" w:name="page86"/>
    <w:bookmarkEnd w:id="85"/>
    <w:p>
      <w:pPr>
        <w:ind w:left="580" w:right="40" w:firstLine="448"/>
        <w:spacing w:after="0" w:line="259" w:lineRule="auto"/>
        <w:tabs>
          <w:tab w:leader="none" w:pos="1663"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Shares of Common Stock will no longer be outstanding under this Option (and will therefore not thereafter be exercisable) following the exercise of such Option to the extent of (i) shares used to pay the exercise price of an Option under the “net exercise,” (ii) shares actually delivered to the Optionee as a result of such exercise and (iii) any shares withheld for purposes of tax withholding.</w:t>
      </w:r>
    </w:p>
    <w:p>
      <w:pPr>
        <w:spacing w:after="0" w:line="194" w:lineRule="exact"/>
        <w:rPr>
          <w:rFonts w:ascii="Arial" w:cs="Arial" w:eastAsia="Arial" w:hAnsi="Arial"/>
          <w:sz w:val="18"/>
          <w:szCs w:val="18"/>
          <w:color w:val="auto"/>
        </w:rPr>
      </w:pPr>
    </w:p>
    <w:p>
      <w:pPr>
        <w:ind w:left="220" w:hanging="212"/>
        <w:spacing w:after="0"/>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Rights of Optionee; Transferability</w:t>
      </w:r>
      <w:r>
        <w:rPr>
          <w:rFonts w:ascii="Arial" w:cs="Arial" w:eastAsia="Arial" w:hAnsi="Arial"/>
          <w:sz w:val="18"/>
          <w:szCs w:val="18"/>
          <w:color w:val="auto"/>
        </w:rPr>
        <w:t>.</w:t>
      </w:r>
    </w:p>
    <w:p>
      <w:pPr>
        <w:spacing w:after="0" w:line="225"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Employment</w:t>
      </w:r>
      <w:r>
        <w:rPr>
          <w:rFonts w:ascii="Arial" w:cs="Arial" w:eastAsia="Arial" w:hAnsi="Arial"/>
          <w:sz w:val="18"/>
          <w:szCs w:val="18"/>
          <w:color w:val="auto"/>
        </w:rPr>
        <w:t>. Nothing in this Agreement will interfere with or limit in any way the right of the Company or any Subsidiary to terminate the employment of the Optionee at any time, nor confer upon the Optionee any right to continue in the employ of the Company or any Subsidiary at any particular position or rate of pay or for any particular period of time.</w:t>
      </w:r>
    </w:p>
    <w:p>
      <w:pPr>
        <w:spacing w:after="0" w:line="194" w:lineRule="exact"/>
        <w:rPr>
          <w:sz w:val="20"/>
          <w:szCs w:val="20"/>
          <w:color w:val="auto"/>
        </w:rPr>
      </w:pPr>
    </w:p>
    <w:p>
      <w:pPr>
        <w:ind w:right="40" w:firstLine="439"/>
        <w:spacing w:after="0" w:line="323"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Rights as a Shareholder</w:t>
      </w:r>
      <w:r>
        <w:rPr>
          <w:rFonts w:ascii="Arial" w:cs="Arial" w:eastAsia="Arial" w:hAnsi="Arial"/>
          <w:sz w:val="15"/>
          <w:szCs w:val="15"/>
          <w:color w:val="auto"/>
        </w:rPr>
        <w:t>. The Optionee will have no rights as a shareholder unless and until all conditions to the effective exercise of this Option (including, without limitation, the conditions set forth in Sections 4 and 6 of this Agreement) have been satisfied and the Optionee has become the holder of record of such shares. No adjustment will be made for dividends or distributions with respect to this Option as to which there is a record date preceding the date the Optionee becomes the holder of record of such shares, except as may otherwise be provided in the Plan or determined by the Committee in its sole discretion.</w:t>
      </w:r>
    </w:p>
    <w:p>
      <w:pPr>
        <w:spacing w:after="0" w:line="152"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Except pursuant to testamentary will or the laws of descent and distribution or as otherwise expressly permitted by the Plan, no right or interest of the Optionee in this Option prior to exercise may be assigned or transferred, or subjected to any lien, during the lifetime of the Optionee, either voluntarily or involuntarily, directly or indirectly, by operation of law or otherwise. The Optionee will, however, be entitled to designate a beneficiary to receive this Option upon such Optionee’s death, and, in the event of the Optionee’s death, exercise of this Option (to the extent permitted pursuant to Section 3.2(a) of this Agreement) may be made by the Optionee’s legal representatives, heirs and legatees.</w:t>
      </w:r>
    </w:p>
    <w:p>
      <w:pPr>
        <w:spacing w:after="0" w:line="170"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Breach of Agreements</w:t>
      </w:r>
      <w:r>
        <w:rPr>
          <w:rFonts w:ascii="Arial" w:cs="Arial" w:eastAsia="Arial" w:hAnsi="Arial"/>
          <w:sz w:val="16"/>
          <w:szCs w:val="16"/>
          <w:color w:val="auto"/>
        </w:rPr>
        <w:t>. Notwithstanding anything in this Agreement or the Plan to the contrary, in the event that the Optionee materially breaches the terms of any employment, service, confidentiality, non-compete or non-solicitation agreement entered into with the Company or any Subsidiary, whether such breach occurs before or after termination of the Optionee’s employment or other service with the Company or any Subsidiary, the Committee in its sole discretion may immediately terminate all rights of the Optionee under the Plan and this Agreement without notice of any kind or may require the Optionee to surrender shares of Common Stock received, and to disgorge any profits (however defined by the Committee), made or realized by the Optionee in connection with this Option or any shares issued upon the exercise or vesting of this Option.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74" w:right="279" w:bottom="1440" w:gutter="0" w:footer="0" w:header="0"/>
        </w:sectPr>
      </w:pPr>
    </w:p>
    <w:bookmarkStart w:id="86" w:name="page87"/>
    <w:bookmarkEnd w:id="86"/>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The Company is entitled to (a) withhold and deduct from future wages of the Optionee (or from other amounts that may be due and owing to the Optionee from the Company or a Subsidiary), or make other arrangements for the collection of, all legally required amounts necessary to satisfy any and all federal, foreign, state and local withholding and employment-related tax requirements attributable to the Option, including, without limitation, the grant, exercise or vesting of, this Option or a disqualifying disposition of any Option Shares; (b) withhold cash paid or payable or shares of Common Stock from the shares issued or otherwise issuable to the Optionee in connection with this Option; or (c) require the Optionee promptly to remit the amount of such withholding to the Company before taking any action, including issuing any shares of Common Stock, with respect to this Option. Shares of Common Stock issued or otherwise issuable to the Optionee in connection with this Option that gives rise to the tax withholding obligation that are withheld for purposes of satisfying the Optionee’s withholding or employment-related tax obligation will be valued at their Fair Market Value on the Tax Date.</w:t>
      </w:r>
    </w:p>
    <w:p>
      <w:pPr>
        <w:spacing w:after="0" w:line="172"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right="160" w:firstLine="439"/>
        <w:spacing w:after="0" w:line="294" w:lineRule="auto"/>
        <w:rPr>
          <w:sz w:val="20"/>
          <w:szCs w:val="20"/>
          <w:color w:val="auto"/>
        </w:rPr>
      </w:pPr>
      <w:r>
        <w:rPr>
          <w:rFonts w:ascii="Arial" w:cs="Arial" w:eastAsia="Arial" w:hAnsi="Arial"/>
          <w:sz w:val="16"/>
          <w:szCs w:val="16"/>
          <w:color w:val="auto"/>
        </w:rPr>
        <w:t>In the event of any reorganization, merger, consolidation, recapitalization, liquidation, reclassification, stock dividend, stock split, combination of shares, rights offering, divestiture or extraordinary dividend (including a spin-off), or any other similar change in the corporate structure or shares of the Company, the Committee (or, if the Company is not the surviving corporation in any such transaction, the board of directors of the surviving corporation), in order to prevent dilution or enlargement of the rights of the Optionee, will make appropriate adjustment (which determination will be conclusive) as to the number and kind of securities or other property (including cash) subject to, and the exercise price of, this Option.</w:t>
      </w:r>
    </w:p>
    <w:p>
      <w:pPr>
        <w:spacing w:after="0" w:line="170"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Stock Subject to Plan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Option and the Option Shares granted and issued pursuant to this Agreement have been granted and issued under, and are subject to the terms of, the Plan. The terms of the Plan are incorporated by reference in this Agreement in their entirety, and the Optionee, by execution of this Agreement, acknowledges having received a copy of the Plan. The provisions of this Agreement will be interpreted as to be consistent with the Plan, and any ambiguities in this Agreement will be interpreted by reference to the Plan. In the event that any provision of this Agreement is inconsistent with the terms of the Plan, the terms of the Plan will prevail.</w:t>
      </w:r>
    </w:p>
    <w:p>
      <w:pPr>
        <w:spacing w:after="0" w:line="197" w:lineRule="exact"/>
        <w:rPr>
          <w:sz w:val="20"/>
          <w:szCs w:val="20"/>
          <w:color w:val="auto"/>
        </w:rPr>
      </w:pPr>
    </w:p>
    <w:p>
      <w:pPr>
        <w:ind w:left="220" w:hanging="212"/>
        <w:spacing w:after="0"/>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w:t>
      </w:r>
    </w:p>
    <w:p>
      <w:pPr>
        <w:spacing w:after="0" w:line="225"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Limitation on Amount</w:t>
      </w:r>
      <w:r>
        <w:rPr>
          <w:rFonts w:ascii="Arial" w:cs="Arial" w:eastAsia="Arial" w:hAnsi="Arial"/>
          <w:sz w:val="18"/>
          <w:szCs w:val="18"/>
          <w:color w:val="auto"/>
        </w:rPr>
        <w:t>. To the extent that the aggregate Fair Market Value (determined as of the date of grant) of the shares of Common Stock with respect to which incentive stock options (within the meaning of Section 422 of the Code) are exercisable for the first time by the Optionee during any calendar year (under the Plan and any other incentive stock option plans of the Company or any subsidiary or parent corporation of the Company (within the meaning of the Code)) exceeds $100,000 (or such other amount as may be prescribed by the Code from time to time), such excess incentive stock options will be treated as non-statutory stock options in the manner set forth in the Plan.</w:t>
      </w:r>
    </w:p>
    <w:p>
      <w:pPr>
        <w:spacing w:after="0" w:line="197"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Limitation on Exercisability; Disposition of Option Shares</w:t>
      </w:r>
      <w:r>
        <w:rPr>
          <w:rFonts w:ascii="Arial" w:cs="Arial" w:eastAsia="Arial" w:hAnsi="Arial"/>
          <w:sz w:val="18"/>
          <w:szCs w:val="18"/>
          <w:color w:val="auto"/>
        </w:rPr>
        <w:t>. Any incentive stock option that remains unexercised more than one year following termination of employment by reason of death or disability or more than three months following termination for any reason other than death or Disability will thereafter be deemed to be a non-statutory stock option. In addition, in the event that a disposition (as defined in Section 424(c) of the Code) of shares of Common Stock acquired pursuant to the exercise of an incentive stock option occurs prior to the expiration of two years after its date of grant or the expiration of one year after its date of exercise (a “disqualifying disposition”), such incentive stock option will, to the extent of such disqualifying disposition, be treated in a manner similar to a non-statutory stock option.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590" w:right="299" w:bottom="1440" w:gutter="0" w:footer="0" w:header="0"/>
        </w:sectPr>
      </w:pPr>
    </w:p>
    <w:bookmarkStart w:id="87" w:name="page88"/>
    <w:bookmarkEnd w:id="87"/>
    <w:p>
      <w:pPr>
        <w:ind w:firstLine="439"/>
        <w:spacing w:after="0" w:line="29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No Representation or Warranty</w:t>
      </w:r>
      <w:r>
        <w:rPr>
          <w:rFonts w:ascii="Arial" w:cs="Arial" w:eastAsia="Arial" w:hAnsi="Arial"/>
          <w:sz w:val="16"/>
          <w:szCs w:val="16"/>
          <w:color w:val="auto"/>
        </w:rPr>
        <w:t>. Section 422 of the Code and the rules and regulations thereunder are complex, and neither the Plan nor this Agreement purports to summarize or otherwise set forth all of the conditions that need to be satisfied in order for this Option to qualify as an incentive stock option. In addition, this Option may contain terms and conditions that allow for exercise of this Option beyond the periods permitted by Section 422 of the Code, including, without limitation, the periods described in Section 9.2 of this Agreement. Accordingly, the Company makes no representation or warranty regarding whether the exercise of this Option will qualify as the exercise of an incentive stock option, and the Company recommends that the Optionee consult with the Optionee’s own advisors before making any determination regarding the exercise of this Option or the sale of the Option Shares.</w:t>
      </w:r>
    </w:p>
    <w:p>
      <w:pPr>
        <w:spacing w:after="0" w:line="174"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will be binding upon the heirs, executors, administrators and successors of the parties to this Agreement.</w:t>
      </w:r>
    </w:p>
    <w:p>
      <w:pPr>
        <w:spacing w:after="0" w:line="225" w:lineRule="exact"/>
        <w:rPr>
          <w:sz w:val="20"/>
          <w:szCs w:val="20"/>
          <w:color w:val="auto"/>
        </w:rPr>
      </w:pPr>
    </w:p>
    <w:p>
      <w:pPr>
        <w:ind w:right="160" w:firstLine="439"/>
        <w:spacing w:after="0" w:line="30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rights and obligations under this Agreement will be construed in accordance with the Plan and governed by the laws of the State of Minnesota, without regard to conflicts of laws provisions. Any legal proceeding related to this Agreement will be brought in an appropriate Minnesota court, and the parties to this Agreement consent to the exclusive jurisdiction of the court for this purpose.</w:t>
      </w:r>
    </w:p>
    <w:p>
      <w:pPr>
        <w:spacing w:after="0" w:line="16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set forth the entire agreement and understanding of the parties to this Agreement with respect to the grant and exercise of this Option and the administration of the Plan and supersede all prior agreements, arrangements, plans and understandings relating to the grant and exercise of this Option and the administration of the Plan.</w:t>
      </w:r>
    </w:p>
    <w:p>
      <w:pPr>
        <w:spacing w:after="0" w:line="194"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Other than as provided in the Plan, this Agreement may be amended, waived, modified or canceled only by a written instrument executed by the parties to this Agreement or, in the case of a waiver, by the party waiving compliance.</w:t>
      </w:r>
    </w:p>
    <w:p>
      <w:pPr>
        <w:spacing w:after="0" w:line="186"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Construction</w:t>
      </w:r>
      <w:r>
        <w:rPr>
          <w:rFonts w:ascii="Arial" w:cs="Arial" w:eastAsia="Arial" w:hAnsi="Arial"/>
          <w:sz w:val="18"/>
          <w:szCs w:val="18"/>
          <w:color w:val="auto"/>
        </w:rPr>
        <w:t>. Wherever possible, each provision of this Agreement will be interpreted so that it is valid under the applicable law. If any provision of this Agreement is to any extent invalid under the applicable law, that provision will still be effective to the extent it remains valid. The remainder of this Agreement also will continue to be valid, and the entire Agreement will continue to be valid in other jurisdictions.</w:t>
      </w:r>
    </w:p>
    <w:p>
      <w:pPr>
        <w:spacing w:after="0" w:line="194"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Counterparts</w:t>
      </w:r>
      <w:r>
        <w:rPr>
          <w:rFonts w:ascii="Arial" w:cs="Arial" w:eastAsia="Arial" w:hAnsi="Arial"/>
          <w:sz w:val="18"/>
          <w:szCs w:val="18"/>
          <w:color w:val="auto"/>
        </w:rPr>
        <w:t>. For convenience of the parties hereto, this Agreement may be executed in any number of counterparts, each such counterpart to be deemed an original instrument, and all such counterparts together to constitute the same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90" w:right="27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color w:val="auto"/>
        </w:rPr>
        <w:t>The parties to this Agreement have executed this Agreement effective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780" w:type="dxa"/>
            <w:vAlign w:val="bottom"/>
            <w:gridSpan w:val="3"/>
          </w:tcPr>
          <w:p>
            <w:pPr>
              <w:ind w:left="2200"/>
              <w:spacing w:after="0"/>
              <w:rPr>
                <w:sz w:val="20"/>
                <w:szCs w:val="20"/>
                <w:color w:val="auto"/>
              </w:rPr>
            </w:pPr>
            <w:r>
              <w:rPr>
                <w:rFonts w:ascii="Arial" w:cs="Arial" w:eastAsia="Arial" w:hAnsi="Arial"/>
                <w:sz w:val="18"/>
                <w:szCs w:val="18"/>
                <w:color w:val="auto"/>
              </w:rPr>
              <w:t>NORTHERN TECHNOLOGIES</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19"/>
                <w:szCs w:val="19"/>
                <w:color w:val="auto"/>
              </w:rPr>
            </w:pPr>
          </w:p>
        </w:tc>
        <w:tc>
          <w:tcPr>
            <w:tcW w:w="6780" w:type="dxa"/>
            <w:vAlign w:val="bottom"/>
            <w:gridSpan w:val="3"/>
          </w:tcPr>
          <w:p>
            <w:pPr>
              <w:ind w:left="2200"/>
              <w:spacing w:after="0"/>
              <w:rPr>
                <w:sz w:val="20"/>
                <w:szCs w:val="20"/>
                <w:color w:val="auto"/>
              </w:rPr>
            </w:pPr>
            <w:r>
              <w:rPr>
                <w:rFonts w:ascii="Arial" w:cs="Arial" w:eastAsia="Arial" w:hAnsi="Arial"/>
                <w:sz w:val="18"/>
                <w:szCs w:val="18"/>
                <w:color w:val="auto"/>
              </w:rPr>
              <w:t>INTERNATIONAL CORPORATION</w:t>
            </w:r>
          </w:p>
        </w:tc>
        <w:tc>
          <w:tcPr>
            <w:tcW w:w="0" w:type="dxa"/>
            <w:vAlign w:val="bottom"/>
          </w:tcPr>
          <w:p>
            <w:pPr>
              <w:spacing w:after="0"/>
              <w:rPr>
                <w:sz w:val="1"/>
                <w:szCs w:val="1"/>
                <w:color w:val="auto"/>
              </w:rPr>
            </w:pPr>
          </w:p>
        </w:tc>
      </w:tr>
      <w:tr>
        <w:trPr>
          <w:trHeight w:val="513"/>
        </w:trPr>
        <w:tc>
          <w:tcPr>
            <w:tcW w:w="4660" w:type="dxa"/>
            <w:vAlign w:val="bottom"/>
          </w:tcPr>
          <w:p>
            <w:pPr>
              <w:spacing w:after="0"/>
              <w:rPr>
                <w:sz w:val="24"/>
                <w:szCs w:val="24"/>
                <w:color w:val="auto"/>
              </w:rPr>
            </w:pPr>
          </w:p>
        </w:tc>
        <w:tc>
          <w:tcPr>
            <w:tcW w:w="6780" w:type="dxa"/>
            <w:vAlign w:val="bottom"/>
            <w:gridSpan w:val="3"/>
          </w:tcPr>
          <w:p>
            <w:pPr>
              <w:ind w:left="22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10"/>
        </w:trPr>
        <w:tc>
          <w:tcPr>
            <w:tcW w:w="4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60" w:type="dxa"/>
            <w:vAlign w:val="bottom"/>
          </w:tcPr>
          <w:p>
            <w:pPr>
              <w:spacing w:after="0"/>
              <w:rPr>
                <w:sz w:val="24"/>
                <w:szCs w:val="24"/>
                <w:color w:val="auto"/>
              </w:rPr>
            </w:pPr>
          </w:p>
        </w:tc>
        <w:tc>
          <w:tcPr>
            <w:tcW w:w="6780" w:type="dxa"/>
            <w:vAlign w:val="bottom"/>
            <w:gridSpan w:val="3"/>
          </w:tcPr>
          <w:p>
            <w:pPr>
              <w:ind w:left="2200"/>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110"/>
        </w:trPr>
        <w:tc>
          <w:tcPr>
            <w:tcW w:w="4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4660" w:type="dxa"/>
            <w:vAlign w:val="bottom"/>
          </w:tcPr>
          <w:p>
            <w:pPr>
              <w:spacing w:after="0"/>
              <w:rPr>
                <w:sz w:val="20"/>
                <w:szCs w:val="20"/>
                <w:color w:val="auto"/>
              </w:rPr>
            </w:pPr>
            <w:r>
              <w:rPr>
                <w:rFonts w:ascii="Arial" w:cs="Arial" w:eastAsia="Arial" w:hAnsi="Arial"/>
                <w:sz w:val="18"/>
                <w:szCs w:val="18"/>
                <w:color w:val="auto"/>
              </w:rPr>
              <w:t>By execution of this Agreement,</w:t>
            </w:r>
          </w:p>
        </w:tc>
        <w:tc>
          <w:tcPr>
            <w:tcW w:w="6780" w:type="dxa"/>
            <w:vAlign w:val="bottom"/>
            <w:gridSpan w:val="3"/>
          </w:tcPr>
          <w:p>
            <w:pPr>
              <w:ind w:left="2200"/>
              <w:spacing w:after="0"/>
              <w:rPr>
                <w:sz w:val="20"/>
                <w:szCs w:val="20"/>
                <w:color w:val="auto"/>
              </w:rPr>
            </w:pPr>
            <w:r>
              <w:rPr>
                <w:rFonts w:ascii="Arial" w:cs="Arial" w:eastAsia="Arial" w:hAnsi="Arial"/>
                <w:sz w:val="18"/>
                <w:szCs w:val="18"/>
                <w:color w:val="auto"/>
              </w:rPr>
              <w:t>OPTIONEE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 Optionee acknowledges having</w:t>
            </w:r>
          </w:p>
        </w:tc>
        <w:tc>
          <w:tcPr>
            <w:tcW w:w="2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660" w:type="dxa"/>
            <w:vAlign w:val="bottom"/>
            <w:vMerge w:val="restart"/>
          </w:tcPr>
          <w:p>
            <w:pPr>
              <w:spacing w:after="0"/>
              <w:rPr>
                <w:sz w:val="20"/>
                <w:szCs w:val="20"/>
                <w:color w:val="auto"/>
              </w:rPr>
            </w:pPr>
            <w:r>
              <w:rPr>
                <w:rFonts w:ascii="Arial" w:cs="Arial" w:eastAsia="Arial" w:hAnsi="Arial"/>
                <w:sz w:val="18"/>
                <w:szCs w:val="18"/>
                <w:color w:val="auto"/>
              </w:rPr>
              <w:t>received a copy of the Plan.</w:t>
            </w:r>
          </w:p>
        </w:tc>
        <w:tc>
          <w:tcPr>
            <w:tcW w:w="22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6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4580" w:type="dxa"/>
            <w:vAlign w:val="bottom"/>
            <w:gridSpan w:val="2"/>
            <w:vMerge w:val="restart"/>
          </w:tcPr>
          <w:p>
            <w:pPr>
              <w:ind w:left="4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6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58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(Name and Address)</w:t>
            </w:r>
          </w:p>
        </w:tc>
        <w:tc>
          <w:tcPr>
            <w:tcW w:w="0" w:type="dxa"/>
            <w:vAlign w:val="bottom"/>
          </w:tcPr>
          <w:p>
            <w:pPr>
              <w:spacing w:after="0"/>
              <w:rPr>
                <w:sz w:val="1"/>
                <w:szCs w:val="1"/>
                <w:color w:val="auto"/>
              </w:rPr>
            </w:pPr>
          </w:p>
        </w:tc>
      </w:tr>
      <w:tr>
        <w:trPr>
          <w:trHeight w:val="259"/>
        </w:trPr>
        <w:tc>
          <w:tcPr>
            <w:tcW w:w="46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590"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NON-STATUTORY STOCK OPTION AGREEMENT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NON-STATUTORY STOCK OPTION AGREEMENT is entered into and effective as of this ____ day of ____________, ______ (the “Date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 by and between Northern Technologies International Corporation (the “Company”) and ----_________________ (the “Optionee”).</w:t>
      </w:r>
    </w:p>
    <w:p>
      <w:pPr>
        <w:spacing w:after="0" w:line="219" w:lineRule="exact"/>
        <w:rPr>
          <w:sz w:val="20"/>
          <w:szCs w:val="20"/>
          <w:color w:val="auto"/>
        </w:rPr>
      </w:pPr>
    </w:p>
    <w:p>
      <w:pPr>
        <w:ind w:right="40" w:firstLine="437"/>
        <w:spacing w:after="0" w:line="298" w:lineRule="auto"/>
        <w:tabs>
          <w:tab w:leader="none" w:pos="81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has adopted the Northern Technologies International Corporation 2007 Stock Incentive Plan (the “Plan”) authorizing the Board of Directors of the Company, or a committee as provided for in the Plan (the Board or such a committee to be referred to as the “Committee”), to grant non-statutory stock options to employees (including, without limitation, officers and directors who are also employees) of the Company or any Subsidiary, and any non-employee directors, consultants, advisors and independent contractors of the Company or any Subsidiary (as defined in the Plan).</w:t>
      </w:r>
    </w:p>
    <w:p>
      <w:pPr>
        <w:spacing w:after="0" w:line="166" w:lineRule="exact"/>
        <w:rPr>
          <w:rFonts w:ascii="Arial" w:cs="Arial" w:eastAsia="Arial" w:hAnsi="Arial"/>
          <w:sz w:val="16"/>
          <w:szCs w:val="16"/>
          <w:color w:val="auto"/>
        </w:rPr>
      </w:pPr>
    </w:p>
    <w:p>
      <w:pPr>
        <w:ind w:right="400" w:firstLine="447"/>
        <w:spacing w:after="0" w:line="332" w:lineRule="auto"/>
        <w:tabs>
          <w:tab w:leader="none" w:pos="81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desires to give the Optionee an inducement to acquire a proprietary interest in the Company and an added incentive to advance the interests of the Company by granting to the Optionee an option to purchase shares of common stock of the Company pursuant to the Plan.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parties agree as follows:</w:t>
      </w:r>
    </w:p>
    <w:p>
      <w:pPr>
        <w:spacing w:after="0" w:line="225" w:lineRule="exact"/>
        <w:rPr>
          <w:sz w:val="20"/>
          <w:szCs w:val="20"/>
          <w:color w:val="auto"/>
        </w:rPr>
      </w:pPr>
    </w:p>
    <w:p>
      <w:pPr>
        <w:ind w:left="280" w:hanging="272"/>
        <w:spacing w:after="0"/>
        <w:tabs>
          <w:tab w:leader="none" w:pos="2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hereby grants to the Optionee the right, privilege, and option (the “Option”) to purchase _______________ (______) shares (the “Option</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Shares”) of the Company’s common stock, $0.02 par value (the “Common Stock”), according to the terms and subject to the conditions hereinafter set forth and as set forth in the Plan. The Option is not intended to be an “incentive stock option,” as that term is used in Section 422 of the Internal Revenue Code of 1986, as amended (the “Code”).</w:t>
      </w:r>
    </w:p>
    <w:p>
      <w:pPr>
        <w:spacing w:after="0" w:line="198" w:lineRule="exact"/>
        <w:rPr>
          <w:sz w:val="20"/>
          <w:szCs w:val="20"/>
          <w:color w:val="auto"/>
        </w:rPr>
      </w:pPr>
    </w:p>
    <w:p>
      <w:pPr>
        <w:ind w:left="280" w:hanging="272"/>
        <w:spacing w:after="0"/>
        <w:tabs>
          <w:tab w:leader="none" w:pos="2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per share price to be paid by Optionee in the event of an exercise of the Option will be $______.</w:t>
      </w:r>
    </w:p>
    <w:p>
      <w:pPr>
        <w:spacing w:after="0" w:line="225"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Duration of Option and Time of Exercise</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Initial Period of Exercisability</w:t>
      </w:r>
      <w:r>
        <w:rPr>
          <w:rFonts w:ascii="Arial" w:cs="Arial" w:eastAsia="Arial" w:hAnsi="Arial"/>
          <w:sz w:val="16"/>
          <w:szCs w:val="16"/>
          <w:color w:val="auto"/>
        </w:rPr>
        <w:t>. The Option will become exercisable with respect to the Option Shares [immediately/in _____ installments]. [The</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following table sets forth the initial dates of exercisability of each installment and the number of Option Shares as to which this Option will become exercisable on such dates: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360" w:type="dxa"/>
            <w:vAlign w:val="bottom"/>
          </w:tcPr>
          <w:p>
            <w:pPr>
              <w:spacing w:after="0"/>
              <w:rPr>
                <w:sz w:val="20"/>
                <w:szCs w:val="20"/>
                <w:color w:val="auto"/>
              </w:rPr>
            </w:pPr>
            <w:r>
              <w:rPr>
                <w:rFonts w:ascii="Arial" w:cs="Arial" w:eastAsia="Arial" w:hAnsi="Arial"/>
                <w:sz w:val="14"/>
                <w:szCs w:val="14"/>
                <w:b w:val="1"/>
                <w:bCs w:val="1"/>
                <w:color w:val="auto"/>
              </w:rPr>
              <w:t>Exercisability</w:t>
            </w:r>
          </w:p>
        </w:tc>
        <w:tc>
          <w:tcPr>
            <w:tcW w:w="440" w:type="dxa"/>
            <w:vAlign w:val="bottom"/>
          </w:tcPr>
          <w:p>
            <w:pPr>
              <w:spacing w:after="0"/>
              <w:rPr>
                <w:sz w:val="15"/>
                <w:szCs w:val="15"/>
                <w:color w:val="auto"/>
              </w:rPr>
            </w:pPr>
          </w:p>
        </w:tc>
        <w:tc>
          <w:tcPr>
            <w:tcW w:w="4380" w:type="dxa"/>
            <w:vAlign w:val="bottom"/>
          </w:tcPr>
          <w:p>
            <w:pPr>
              <w:ind w:left="1540"/>
              <w:spacing w:after="0"/>
              <w:rPr>
                <w:sz w:val="20"/>
                <w:szCs w:val="20"/>
                <w:color w:val="auto"/>
              </w:rPr>
            </w:pPr>
            <w:r>
              <w:rPr>
                <w:rFonts w:ascii="Arial" w:cs="Arial" w:eastAsia="Arial" w:hAnsi="Arial"/>
                <w:sz w:val="14"/>
                <w:szCs w:val="14"/>
                <w:b w:val="1"/>
                <w:bCs w:val="1"/>
                <w:color w:val="auto"/>
              </w:rPr>
              <w:t>Available for Exercise</w:t>
            </w:r>
          </w:p>
        </w:tc>
      </w:tr>
      <w:tr>
        <w:trPr>
          <w:trHeight w:val="95"/>
        </w:trPr>
        <w:tc>
          <w:tcPr>
            <w:tcW w:w="4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r>
      <w:tr>
        <w:trPr>
          <w:trHeight w:val="309"/>
        </w:trPr>
        <w:tc>
          <w:tcPr>
            <w:tcW w:w="4360" w:type="dxa"/>
            <w:vAlign w:val="bottom"/>
          </w:tcPr>
          <w:p>
            <w:pPr>
              <w:spacing w:after="0"/>
              <w:rPr>
                <w:sz w:val="20"/>
                <w:szCs w:val="20"/>
                <w:color w:val="auto"/>
              </w:rPr>
            </w:pPr>
            <w:r>
              <w:rPr>
                <w:rFonts w:ascii="Arial" w:cs="Arial" w:eastAsia="Arial" w:hAnsi="Arial"/>
                <w:sz w:val="18"/>
                <w:szCs w:val="18"/>
                <w:color w:val="auto"/>
              </w:rPr>
              <w:t>___________________</w:t>
            </w:r>
          </w:p>
        </w:tc>
        <w:tc>
          <w:tcPr>
            <w:tcW w:w="482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_______</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___________________</w:t>
            </w:r>
          </w:p>
        </w:tc>
        <w:tc>
          <w:tcPr>
            <w:tcW w:w="482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_______</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___________________</w:t>
            </w:r>
          </w:p>
        </w:tc>
        <w:tc>
          <w:tcPr>
            <w:tcW w:w="482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_______</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___________________</w:t>
            </w:r>
          </w:p>
        </w:tc>
        <w:tc>
          <w:tcPr>
            <w:tcW w:w="4820" w:type="dxa"/>
            <w:vAlign w:val="bottom"/>
            <w:gridSpan w:val="2"/>
          </w:tcPr>
          <w:p>
            <w:pPr>
              <w:jc w:val="center"/>
              <w:ind w:left="292"/>
              <w:spacing w:after="0"/>
              <w:rPr>
                <w:sz w:val="20"/>
                <w:szCs w:val="20"/>
                <w:color w:val="auto"/>
              </w:rPr>
            </w:pPr>
            <w:r>
              <w:rPr>
                <w:rFonts w:ascii="Arial" w:cs="Arial" w:eastAsia="Arial" w:hAnsi="Arial"/>
                <w:sz w:val="18"/>
                <w:szCs w:val="18"/>
                <w:color w:val="auto"/>
                <w:w w:val="90"/>
              </w:rPr>
              <w:t>_______]</w:t>
            </w:r>
          </w:p>
        </w:tc>
      </w:tr>
    </w:tbl>
    <w:p>
      <w:pPr>
        <w:spacing w:after="0" w:line="237"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color w:val="auto"/>
        </w:rPr>
        <w:t>[The foregoing rights to exercise this Option will be cumulative with respect to the Option Shares becoming exercisable on each such date.] In no event will this Option be exercisable after, and this Option will become void and expire as to all unexercised Option Shares at 5:00 p.m. Circle Pines, Minnesota time on ______________________ (the “Time of Termination”).</w:t>
      </w:r>
    </w:p>
    <w:p>
      <w:pPr>
        <w:sectPr>
          <w:pgSz w:w="11900" w:h="16838" w:orient="portrait"/>
          <w:cols w:equalWidth="0" w:num="1">
            <w:col w:w="11420"/>
          </w:cols>
          <w:pgMar w:left="240" w:top="125" w:right="239" w:bottom="1440" w:gutter="0" w:footer="0" w:header="0"/>
        </w:sectPr>
      </w:pPr>
    </w:p>
    <w:bookmarkStart w:id="90" w:name="page91"/>
    <w:bookmarkEnd w:id="90"/>
    <w:p>
      <w:pPr>
        <w:spacing w:after="0"/>
        <w:tabs>
          <w:tab w:leader="none" w:pos="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w:t>
      </w:r>
    </w:p>
    <w:p>
      <w:pPr>
        <w:spacing w:after="0" w:line="158" w:lineRule="exact"/>
        <w:rPr>
          <w:sz w:val="20"/>
          <w:szCs w:val="20"/>
          <w:color w:val="auto"/>
        </w:rPr>
      </w:pPr>
    </w:p>
    <w:p>
      <w:pPr>
        <w:jc w:val="both"/>
        <w:ind w:right="140" w:firstLine="448"/>
        <w:spacing w:after="0" w:line="306" w:lineRule="auto"/>
        <w:tabs>
          <w:tab w:leader="none" w:pos="85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Disability or Retirement</w:t>
      </w:r>
      <w:r>
        <w:rPr>
          <w:rFonts w:ascii="Arial" w:cs="Arial" w:eastAsia="Arial" w:hAnsi="Arial"/>
          <w:sz w:val="16"/>
          <w:szCs w:val="16"/>
          <w:color w:val="auto"/>
        </w:rPr>
        <w:t>. In the event the Optionee’s employment or service relationship with the Company and all Subsidiaries is terminated by reason of death, Disability or Retirement, this Option will remain exercisable, to the extent exercisable as of the date of such termination, for a period of 12 months after such termination (but in no event after the Time of Termination).</w:t>
      </w:r>
    </w:p>
    <w:p>
      <w:pPr>
        <w:spacing w:after="0" w:line="93" w:lineRule="exact"/>
        <w:rPr>
          <w:rFonts w:ascii="Arial" w:cs="Arial" w:eastAsia="Arial" w:hAnsi="Arial"/>
          <w:sz w:val="16"/>
          <w:szCs w:val="16"/>
          <w:color w:val="auto"/>
        </w:rPr>
      </w:pPr>
    </w:p>
    <w:p>
      <w:pPr>
        <w:ind w:right="260" w:firstLine="448"/>
        <w:spacing w:after="0" w:line="290" w:lineRule="auto"/>
        <w:tabs>
          <w:tab w:leader="none" w:pos="86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Termination for Reasons Other Than Death, Disability or Retirement</w:t>
      </w:r>
      <w:r>
        <w:rPr>
          <w:rFonts w:ascii="Arial" w:cs="Arial" w:eastAsia="Arial" w:hAnsi="Arial"/>
          <w:sz w:val="16"/>
          <w:szCs w:val="16"/>
          <w:color w:val="auto"/>
        </w:rPr>
        <w:t>. In the event that the Optionee’s employment or service relationship with the Company and all Subsidiaries is terminated for any reason other than death, Disability or Retirement, or the Optionee is in the employ of or perform services to a Subsidiary and the Subsidiary ceases to be a Subsidiary of the Company (unless the Optionee continues in the employ of or performs services to the Company or another Subsidiary), all rights of the Optionee under the Plan and this Agreement will immediately terminate without notice of any kind, and this Option will no longer be exercisable; provided, however, that if such termination is due to any reason other than termination by the Company or any Subsidiary for “cause” (as defined in the Plan), this Option will remain exercisable to the extent exercisable as of such termination for a period of three months after such termination (but in no event after the Time of Termination).</w:t>
      </w:r>
    </w:p>
    <w:p>
      <w:pPr>
        <w:spacing w:after="0" w:line="104" w:lineRule="exact"/>
        <w:rPr>
          <w:rFonts w:ascii="Arial" w:cs="Arial" w:eastAsia="Arial" w:hAnsi="Arial"/>
          <w:sz w:val="16"/>
          <w:szCs w:val="16"/>
          <w:color w:val="auto"/>
        </w:rPr>
      </w:pPr>
    </w:p>
    <w:p>
      <w:pPr>
        <w:ind w:right="140" w:firstLine="448"/>
        <w:spacing w:after="0" w:line="253" w:lineRule="auto"/>
        <w:tabs>
          <w:tab w:leader="none" w:pos="85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Breach of Employment, Service, Confidentiality, Non-Compete or Non-Solicitation Agreements</w:t>
      </w:r>
      <w:r>
        <w:rPr>
          <w:rFonts w:ascii="Arial" w:cs="Arial" w:eastAsia="Arial" w:hAnsi="Arial"/>
          <w:sz w:val="18"/>
          <w:szCs w:val="18"/>
          <w:color w:val="auto"/>
        </w:rPr>
        <w:t>. Notwithstanding anything in this Agreement to the contrary and in addition to the rights of the Committee under Section 12.4 of the Plan, in the event that the Optionee materially breaches the terms of any employment, service, confidentiality, non-compete or non-solicitation agreement entered into with the Company or any Subsidiary (including an employment, service, confidentiality, non-compete or non-solicitation agreement made in connection with the grant of the Option), whether such breach occurs before or after termination of such Participant’s employment or other service with the Company or any Subsidiary, the Committee in its sole discretion may require the Participant to surrender shares of Common Stock received, and to disgorge any profits (however defined by the Committee), made or realized by the Participant in connection with this Option or any shares issued upon the exercise or vesting of this Option.</w:t>
      </w:r>
    </w:p>
    <w:p>
      <w:pPr>
        <w:spacing w:after="0" w:line="13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158" w:lineRule="exact"/>
        <w:rPr>
          <w:sz w:val="20"/>
          <w:szCs w:val="20"/>
          <w:color w:val="auto"/>
        </w:rPr>
      </w:pPr>
    </w:p>
    <w:p>
      <w:pPr>
        <w:ind w:right="100" w:firstLine="448"/>
        <w:spacing w:after="0" w:line="291" w:lineRule="auto"/>
        <w:tabs>
          <w:tab w:leader="none" w:pos="853"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Impact of Change in Control</w:t>
      </w:r>
      <w:r>
        <w:rPr>
          <w:rFonts w:ascii="Arial" w:cs="Arial" w:eastAsia="Arial" w:hAnsi="Arial"/>
          <w:sz w:val="16"/>
          <w:szCs w:val="16"/>
          <w:color w:val="auto"/>
        </w:rPr>
        <w:t>. If a Change in Control (as defined in the Plan) of the Company occurs, this Option will become immediately exercisable in full and will remain exercisable until the Time of Termination, regardless of whether the Optionee remains in the employ or service of the Company or any Subsidiary. In addition, if a Change in Control of the Company occurs, the Committee, in its sole discretion and without the consent of the Optionee, may determine that the Optionee will receive, with respect to some or all of the Option Shares, as of the effective date of any such Change in Control of the Company, cash in an amount equal to the excess of the Fair Market Value (as defined in the Plan) of such Option Shares immediately prior to the effective date of such Change in Control of the Company over the option exercise price per share of this Option.</w:t>
      </w:r>
    </w:p>
    <w:p>
      <w:pPr>
        <w:spacing w:after="0" w:line="106" w:lineRule="exact"/>
        <w:rPr>
          <w:rFonts w:ascii="Arial" w:cs="Arial" w:eastAsia="Arial" w:hAnsi="Arial"/>
          <w:sz w:val="16"/>
          <w:szCs w:val="16"/>
          <w:color w:val="auto"/>
        </w:rPr>
      </w:pPr>
    </w:p>
    <w:p>
      <w:pPr>
        <w:jc w:val="both"/>
        <w:ind w:firstLine="448"/>
        <w:spacing w:after="0" w:line="256" w:lineRule="auto"/>
        <w:tabs>
          <w:tab w:leader="none" w:pos="86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Limitation on Change in Control Payments</w:t>
      </w:r>
      <w:r>
        <w:rPr>
          <w:rFonts w:ascii="Arial" w:cs="Arial" w:eastAsia="Arial" w:hAnsi="Arial"/>
          <w:sz w:val="18"/>
          <w:szCs w:val="18"/>
          <w:color w:val="auto"/>
        </w:rPr>
        <w:t>. Notwithstanding anything in this Section 3.3 to the contrary, if, with respect to the Optionee, the acceleration of the vesting of this Option or the payment of cash in exchange for all or part of the Option Shares as provided above (which acceleration or payment could be deemed a “payment” within the meaning of Section 280G(b)(2) of the Code), together with any other “payments” that the Optionee has the</w:t>
      </w:r>
    </w:p>
    <w:p>
      <w:pPr>
        <w:spacing w:after="0" w:line="19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820" w:top="374" w:right="259" w:bottom="1440" w:gutter="0" w:footer="0" w:header="0"/>
        </w:sectPr>
      </w:pPr>
    </w:p>
    <w:bookmarkStart w:id="91" w:name="page92"/>
    <w:bookmarkEnd w:id="91"/>
    <w:p>
      <w:pPr>
        <w:ind w:left="580"/>
        <w:spacing w:after="0" w:line="286" w:lineRule="auto"/>
        <w:rPr>
          <w:sz w:val="20"/>
          <w:szCs w:val="20"/>
          <w:color w:val="auto"/>
        </w:rPr>
      </w:pPr>
      <w:r>
        <w:rPr>
          <w:rFonts w:ascii="Arial" w:cs="Arial" w:eastAsia="Arial" w:hAnsi="Arial"/>
          <w:sz w:val="16"/>
          <w:szCs w:val="16"/>
          <w:color w:val="auto"/>
        </w:rPr>
        <w:t>right to receive from the Company or any corporation that is a member of an “affiliated group” (as defined in Section 1504(a) of the Code without regard to Section 1504(b) of the Code) of which the Company is a member, would constitute a “parachute payment” (as defined in Section 280G(b)(2) of the Code), then the “payments” to the Optionee as set forth herein will be reduced to the largest amount as will result in no portion of such “payments” being subject to the excise tax imposed by Section 4999 of the Code; provided, that such reduction shall be made only if the aggregate amount of the payments after such reduction exceeds the difference between (A) the amount of such payments absent such reduction minus (B) the aggregate amount of the excise tax imposed under Section 4999 of the Code attributable to any such excess parachute payments. Notwithstanding the foregoing sentence, if the Optionee is subject to a separate agreement with the Company or a Subsidiary that expressly addresses the potential application of Sections 280G or 4999 of the Code (including, without limitation, that “payments” under such agreement or otherwise will be reduced, that the Optionee will have the discretion to determine which “payments” will be reduced, that such “payments” will not be reduced or that such “payments” will be “grossed up” for tax purposes), then this Section 3.3(b) will not apply, and any “payments” to the Optionee as provided herein will be treated as “payments” arising under such separate agreement</w:t>
      </w:r>
    </w:p>
    <w:p>
      <w:pPr>
        <w:spacing w:after="0" w:line="181" w:lineRule="exact"/>
        <w:rPr>
          <w:sz w:val="20"/>
          <w:szCs w:val="20"/>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Manner of Option Exercise</w:t>
      </w:r>
      <w:r>
        <w:rPr>
          <w:rFonts w:ascii="Arial" w:cs="Arial" w:eastAsia="Arial" w:hAnsi="Arial"/>
          <w:sz w:val="18"/>
          <w:szCs w:val="18"/>
          <w:color w:val="auto"/>
        </w:rPr>
        <w:t>.</w:t>
      </w:r>
    </w:p>
    <w:p>
      <w:pPr>
        <w:spacing w:after="0" w:line="225"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Notice</w:t>
      </w:r>
      <w:r>
        <w:rPr>
          <w:rFonts w:ascii="Arial" w:cs="Arial" w:eastAsia="Arial" w:hAnsi="Arial"/>
          <w:sz w:val="16"/>
          <w:szCs w:val="16"/>
          <w:color w:val="auto"/>
        </w:rPr>
        <w:t>. This Option may be exercised by the Optionee in whole or in part from time to time, subject to the conditions contained in the Plan and in this Agreement, by delivery, in person, by facsimile or electronic transmission or through the mail, to the Company at its principal executive office in Circle Pines, Minnesota, of a written notice of exercise. Such notice must be in a form satisfactory to the Committee, must identify the Option, must specify the number of Option Shares with respect to which the Option is being exercised, and must be signed by the person or persons so exercising the Option. Such notice must be accompanied by payment in full of the total purchase price of the Option Shares purchased. In the event that the Option is being exercised, as provided by the Plan and Section 3.2 above, by any person or persons other than the Optionee, the notice must be accompanied by appropriate proof of right of such person or persons to exercise the Option. As soon as practicable after the effective exercise of the Option, the Optionee will be recorded on the stock transfer books of the Company as the owner of the Option Shares purchased, and the Company will deliver to the Optionee certificated or uncertificated (“book entry”) shares. In the event that the Option is being exercised, as provided by resolutions of the Committee and Section 4.2 below, by tender of a Broker Exercise Notice, the Company will deliver such shares directly to the Optionee’s broker or dealer or their nominee.</w:t>
      </w:r>
    </w:p>
    <w:p>
      <w:pPr>
        <w:spacing w:after="0" w:line="17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w:t>
      </w:r>
    </w:p>
    <w:p>
      <w:pPr>
        <w:spacing w:after="0" w:line="158" w:lineRule="exact"/>
        <w:rPr>
          <w:sz w:val="20"/>
          <w:szCs w:val="20"/>
          <w:color w:val="auto"/>
        </w:rPr>
      </w:pPr>
    </w:p>
    <w:p>
      <w:pPr>
        <w:ind w:left="580" w:right="100" w:firstLine="448"/>
        <w:spacing w:after="0" w:line="255" w:lineRule="auto"/>
        <w:tabs>
          <w:tab w:leader="none" w:pos="1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time of exercise of this Option, the Optionee must pay the total purchase price of the Option Shares to be purchased entirely in cash (including check, bank draft or money order); provided, however, that the Committee, in its sole discretion and upon terms and conditions established by the Committee, may allow such payments to be made, in whole or in part, by (i) tender of a Broker Exercise Notice; (ii) by tender, or attestation as to ownership, of Previously Acquired Shares that are acceptable to the Committee; (iii) by a “net exercise” of the Option (as described in the Plan); or (iv) by a combination of such methods.</w:t>
      </w:r>
    </w:p>
    <w:p>
      <w:pPr>
        <w:spacing w:after="0" w:line="129" w:lineRule="exact"/>
        <w:rPr>
          <w:rFonts w:ascii="Arial" w:cs="Arial" w:eastAsia="Arial" w:hAnsi="Arial"/>
          <w:sz w:val="18"/>
          <w:szCs w:val="18"/>
          <w:color w:val="auto"/>
        </w:rPr>
      </w:pPr>
    </w:p>
    <w:p>
      <w:pPr>
        <w:ind w:left="580" w:right="140" w:firstLine="448"/>
        <w:spacing w:after="0" w:line="268" w:lineRule="auto"/>
        <w:tabs>
          <w:tab w:leader="none" w:pos="14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the Optionee is permitted to pay the total purchase price of this Option in whole or in part with Previously Acquired Shares, the value of such shares will be equal to their Fair Market Value on the date of exercise of this Option.</w:t>
      </w:r>
    </w:p>
    <w:p>
      <w:pPr>
        <w:spacing w:after="0" w:line="118" w:lineRule="exact"/>
        <w:rPr>
          <w:rFonts w:ascii="Arial" w:cs="Arial" w:eastAsia="Arial" w:hAnsi="Arial"/>
          <w:sz w:val="18"/>
          <w:szCs w:val="18"/>
          <w:color w:val="auto"/>
        </w:rPr>
      </w:pPr>
    </w:p>
    <w:p>
      <w:pPr>
        <w:jc w:val="both"/>
        <w:ind w:left="580" w:right="220" w:firstLine="448"/>
        <w:spacing w:after="0" w:line="306" w:lineRule="auto"/>
        <w:tabs>
          <w:tab w:leader="none" w:pos="1433"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case of a “net exercise” of an Option, the Company will not require a payment of the exercise price of the Option from the Optionee but will reduce the number of shares of Common Stock issued upon the exercise by the largest number of whole shares that has a Fair Market Value on the exercise date that does not exceed the aggregate exercise price for the shares exercised under this method.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4" w:right="239" w:bottom="1440" w:gutter="0" w:footer="0" w:header="0"/>
        </w:sectPr>
      </w:pPr>
    </w:p>
    <w:bookmarkStart w:id="92" w:name="page93"/>
    <w:bookmarkEnd w:id="92"/>
    <w:p>
      <w:pPr>
        <w:ind w:left="580" w:right="80" w:firstLine="448"/>
        <w:spacing w:after="0" w:line="259" w:lineRule="auto"/>
        <w:tabs>
          <w:tab w:leader="none" w:pos="1355" w:val="left"/>
        </w:tabs>
        <w:numPr>
          <w:ilvl w:val="1"/>
          <w:numId w:val="93"/>
        </w:numPr>
        <w:rPr>
          <w:rFonts w:ascii="Arial" w:cs="Arial" w:eastAsia="Arial" w:hAnsi="Arial"/>
          <w:sz w:val="18"/>
          <w:szCs w:val="18"/>
          <w:color w:val="auto"/>
        </w:rPr>
      </w:pPr>
      <w:r>
        <w:rPr>
          <w:rFonts w:ascii="Arial" w:cs="Arial" w:eastAsia="Arial" w:hAnsi="Arial"/>
          <w:sz w:val="18"/>
          <w:szCs w:val="18"/>
          <w:color w:val="auto"/>
        </w:rPr>
        <w:t>Shares of Common Stock will no longer be outstanding under this Option (and will therefore not thereafter be exercisable) following the exercise of such Option to the extent of (i) shares used to pay the exercise price of an Option under the “net exercise,” (ii) shares actually delivered to the Optionee as a result of such exercise and (iii) any shares withheld for purposes of tax withholding.</w:t>
      </w:r>
    </w:p>
    <w:p>
      <w:pPr>
        <w:spacing w:after="0" w:line="194" w:lineRule="exact"/>
        <w:rPr>
          <w:rFonts w:ascii="Arial" w:cs="Arial" w:eastAsia="Arial" w:hAnsi="Arial"/>
          <w:sz w:val="18"/>
          <w:szCs w:val="18"/>
          <w:color w:val="auto"/>
        </w:rPr>
      </w:pPr>
    </w:p>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Rights of Optionee; Transferability</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39"/>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Employment or Service</w:t>
      </w:r>
      <w:r>
        <w:rPr>
          <w:rFonts w:ascii="Arial" w:cs="Arial" w:eastAsia="Arial" w:hAnsi="Arial"/>
          <w:sz w:val="18"/>
          <w:szCs w:val="18"/>
          <w:color w:val="auto"/>
        </w:rPr>
        <w:t>. Nothing in this Agreement will interfere with or limit in any way the right of the Company or any Subsidiary to terminate the employment or service of the Optionee at any time, nor confer upon the Optionee any right to continue in the employ of or provide services to the Company or any Subsidiary at any particular position or rate of pay or for any particular period of time.</w:t>
      </w:r>
    </w:p>
    <w:p>
      <w:pPr>
        <w:spacing w:after="0" w:line="194" w:lineRule="exact"/>
        <w:rPr>
          <w:sz w:val="20"/>
          <w:szCs w:val="20"/>
          <w:color w:val="auto"/>
        </w:rPr>
      </w:pPr>
    </w:p>
    <w:p>
      <w:pPr>
        <w:ind w:right="80" w:firstLine="439"/>
        <w:spacing w:after="0" w:line="323"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Rights as a Shareholder</w:t>
      </w:r>
      <w:r>
        <w:rPr>
          <w:rFonts w:ascii="Arial" w:cs="Arial" w:eastAsia="Arial" w:hAnsi="Arial"/>
          <w:sz w:val="15"/>
          <w:szCs w:val="15"/>
          <w:color w:val="auto"/>
        </w:rPr>
        <w:t>. The Optionee will have no rights as a shareholder unless and until all conditions to the effective exercise of this Option (including, without limitation, the conditions set forth in Sections 4 and 6 of this Agreement) have been satisfied and the Optionee has become the holder of record of such shares. No adjustment will be made for dividends or distributions with respect to this Option as to which there is a record date preceding the date the Optionee becomes the holder of record of such shares, except as may otherwise be provided in the Plan or determined by the Committee in its sole discretion.</w:t>
      </w:r>
    </w:p>
    <w:p>
      <w:pPr>
        <w:spacing w:after="0" w:line="152"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Except pursuant to testamentary will or the laws of descent and distribution or as otherwise expressly permitted by the Plan, no right or interest of the Optionee in this Option prior to exercise may be assigned or transferred, or subjected to any lien, during the lifetime of the Optionee, either voluntarily or involuntarily, directly or indirectly, by operation of law or otherwise. The Optionee will, however, be entitled to designate a beneficiary to receive this Option upon such Optionee’s death, and, in the event of the Optionee’s death, exercise of this Option (to the extent permitted pursuant to Section 3.2(a) of this Agreement) may be made by the Optionee’s legal representatives, heirs and legatees.</w:t>
      </w:r>
    </w:p>
    <w:p>
      <w:pPr>
        <w:spacing w:after="0" w:line="170"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Breach of Agreements</w:t>
      </w:r>
      <w:r>
        <w:rPr>
          <w:rFonts w:ascii="Arial" w:cs="Arial" w:eastAsia="Arial" w:hAnsi="Arial"/>
          <w:sz w:val="16"/>
          <w:szCs w:val="16"/>
          <w:color w:val="auto"/>
        </w:rPr>
        <w:t>. Notwithstanding anything in this Agreement or the Plan to the contrary, in the event that the Optionee materially breaches the terms of any employment, service, confidentiality, non-compete or non-solicitation agreement entered into with the Company or any Subsidiary, whether such breach occurs before or after termination of the Optionee’s employment or other service with the Company or any Subsidiary, the Committee in its sole discretion may immediately terminate all rights of the Optionee under the Plan and this Agreement without notice of any kind or may require the Optionee to surrender shares of Common Stock received, and to disgorge any profits (however defined by the Committee), made or realized by the Optionee in connection with this Option or any shares issued upon the exercise or vesting of this Option.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4" w:right="239" w:bottom="1440" w:gutter="0" w:footer="0" w:header="0"/>
        </w:sectPr>
      </w:pPr>
    </w:p>
    <w:bookmarkStart w:id="93" w:name="page94"/>
    <w:bookmarkEnd w:id="93"/>
    <w:p>
      <w:pPr>
        <w:ind w:left="280" w:hanging="272"/>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The Company is entitled to (a) withhold and deduct from future wages of the Optionee (or from other amounts that may be due and owing to the Optionee from the Company or a Subsidiary), or make other arrangements for the collection of, all legally required amounts necessary to satisfy any and all federal, foreign, state and local withholding and employment-related tax requirements attributable to the Option, including, without limitation, the grant, exercise or vesting of, this Option or a disqualifying disposition of any Option Shares; (b) withhold cash paid or payable or shares of Common Stock from the shares issued or otherwise issuable to the Optionee in connection with this Option; or (c) require the Optionee promptly to remit the amount of such withholding to the Company before taking any action, including issuing any shares of Common Stock, with respect to this Option. Shares of Common Stock issued or otherwise issuable to the Optionee in connection with this Option that gives rise to the tax withholding obligation that are withheld for purposes of satisfying the Optionee’s withholding or employment-related tax obligation will be valued at their Fair Market Value on the Tax Date.</w:t>
      </w:r>
    </w:p>
    <w:p>
      <w:pPr>
        <w:spacing w:after="0" w:line="172" w:lineRule="exact"/>
        <w:rPr>
          <w:sz w:val="20"/>
          <w:szCs w:val="20"/>
          <w:color w:val="auto"/>
        </w:rPr>
      </w:pPr>
    </w:p>
    <w:p>
      <w:pPr>
        <w:ind w:left="280" w:hanging="272"/>
        <w:spacing w:after="0"/>
        <w:tabs>
          <w:tab w:leader="none" w:pos="2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right="160" w:firstLine="439"/>
        <w:spacing w:after="0" w:line="294" w:lineRule="auto"/>
        <w:rPr>
          <w:sz w:val="20"/>
          <w:szCs w:val="20"/>
          <w:color w:val="auto"/>
        </w:rPr>
      </w:pPr>
      <w:r>
        <w:rPr>
          <w:rFonts w:ascii="Arial" w:cs="Arial" w:eastAsia="Arial" w:hAnsi="Arial"/>
          <w:sz w:val="16"/>
          <w:szCs w:val="16"/>
          <w:color w:val="auto"/>
        </w:rPr>
        <w:t>In the event of any reorganization, merger, consolidation, recapitalization, liquidation, reclassification, stock dividend, stock split, combination of shares, rights offering, divestiture or extraordinary dividend (including a spin-off), or any other similar change in the corporate structure or shares of the Company, the Committee (or, if the Company is not the surviving corporation in any such transaction, the board of directors of the surviving corporation), in order to prevent dilution or enlargement of the rights of the Optionee, will make appropriate adjustment (which determination will be conclusive) as to the number and kind of securities or other property (including cash) subject to, and the exercise price of, this Option.</w:t>
      </w:r>
    </w:p>
    <w:p>
      <w:pPr>
        <w:spacing w:after="0" w:line="170"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Stock Subject to Plan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Option and the Option Shares granted and issued pursuant to this Agreement have been granted and issued under, and are subject to the terms of, the Plan. The terms of the Plan are incorporated by reference in this Agreement in their entirety, and the Optionee, by execution of this Agreement, acknowledges having received a copy of the Plan. The provisions of this Agreement will be interpreted as to be consistent with the Plan, and any ambiguities in this Agreement will be interpreted by reference to the Plan. In the event that any provision of this Agreement is inconsistent with the terms of the Plan, the terms of the Plan will prevail.</w:t>
      </w:r>
    </w:p>
    <w:p>
      <w:pPr>
        <w:spacing w:after="0" w:line="197"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will be binding upon the heirs, executors, administrators and successors of the parties to this Agreement.</w:t>
      </w:r>
    </w:p>
    <w:p>
      <w:pPr>
        <w:spacing w:after="0" w:line="248" w:lineRule="exact"/>
        <w:rPr>
          <w:sz w:val="20"/>
          <w:szCs w:val="20"/>
          <w:color w:val="auto"/>
        </w:rPr>
      </w:pPr>
    </w:p>
    <w:p>
      <w:pPr>
        <w:ind w:right="80" w:firstLine="439"/>
        <w:spacing w:after="0" w:line="30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rights and obligations under this Agreement will be construed in accordance with the Plan and governed by the laws of the State of Minnesota, without regard to conflicts of laws provisions. Any legal proceeding related to this Agreement will be brought in an appropriate Minnesota court, and the parties to this Agreement consent to the exclusive jurisdiction of the court for this purpose.</w:t>
      </w:r>
    </w:p>
    <w:p>
      <w:pPr>
        <w:spacing w:after="0" w:line="161"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set forth the entire agreement and understanding of the parties to this Agreement with respect to the grant and exercise of this Option and the administration of the Plan and supersede all prior agreements, arrangements, plans and understandings relating to the grant and exercise of this Option and the administration of the Plan.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590" w:right="299" w:bottom="1440" w:gutter="0" w:footer="0" w:header="0"/>
        </w:sectPr>
      </w:pPr>
    </w:p>
    <w:bookmarkStart w:id="94" w:name="page95"/>
    <w:bookmarkEnd w:id="94"/>
    <w:p>
      <w:pPr>
        <w:ind w:right="460" w:firstLine="439"/>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Other than as provided in the Plan, this Agreement may be amended, waived, modified or canceled only by a written instrument executed by the parties to this Agreement or, in the case of a waiver, by the party waiving compliance.</w:t>
      </w:r>
    </w:p>
    <w:p>
      <w:pPr>
        <w:spacing w:after="0" w:line="186"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Construction</w:t>
      </w:r>
      <w:r>
        <w:rPr>
          <w:rFonts w:ascii="Arial" w:cs="Arial" w:eastAsia="Arial" w:hAnsi="Arial"/>
          <w:sz w:val="18"/>
          <w:szCs w:val="18"/>
          <w:color w:val="auto"/>
        </w:rPr>
        <w:t>. Wherever possible, each provision of this Agreement will be interpreted so that it is valid under the applicable law. If any provision of this Agreement is to any extent invalid under the applicable law that provision will still be effective to the extent it remains valid. The remainder of this Agreement also will continue to be valid, and the entire Agreement will continue to be valid in other jurisdictions.</w:t>
      </w:r>
    </w:p>
    <w:p>
      <w:pPr>
        <w:spacing w:after="0" w:line="194"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For convenience of the parties hereto, this Agreement may be executed in any number of counterparts, each such counterpart to be deemed an original instrument, and all such counterparts together to constitute the same agreement.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590" w:right="359" w:bottom="1440" w:gutter="0" w:footer="0" w:header="0"/>
        </w:sectPr>
      </w:pPr>
    </w:p>
    <w:bookmarkStart w:id="95" w:name="page96"/>
    <w:bookmarkEnd w:id="95"/>
    <w:p>
      <w:pPr>
        <w:ind w:left="440"/>
        <w:spacing w:after="0"/>
        <w:rPr>
          <w:sz w:val="20"/>
          <w:szCs w:val="20"/>
          <w:color w:val="auto"/>
        </w:rPr>
      </w:pPr>
      <w:r>
        <w:rPr>
          <w:rFonts w:ascii="Arial" w:cs="Arial" w:eastAsia="Arial" w:hAnsi="Arial"/>
          <w:sz w:val="18"/>
          <w:szCs w:val="18"/>
          <w:color w:val="auto"/>
        </w:rPr>
        <w:t>The parties to this Agreement have executed this Agreement effective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NORTHERN TECHNOLOGIES</w:t>
            </w:r>
          </w:p>
        </w:tc>
        <w:tc>
          <w:tcPr>
            <w:tcW w:w="0" w:type="dxa"/>
            <w:vAlign w:val="bottom"/>
          </w:tcPr>
          <w:p>
            <w:pPr>
              <w:spacing w:after="0"/>
              <w:rPr>
                <w:sz w:val="1"/>
                <w:szCs w:val="1"/>
                <w:color w:val="auto"/>
              </w:rPr>
            </w:pPr>
          </w:p>
        </w:tc>
      </w:tr>
      <w:tr>
        <w:trPr>
          <w:trHeight w:val="222"/>
        </w:trPr>
        <w:tc>
          <w:tcPr>
            <w:tcW w:w="686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INTERNATIONAL CORPORATION</w:t>
            </w:r>
          </w:p>
        </w:tc>
        <w:tc>
          <w:tcPr>
            <w:tcW w:w="0" w:type="dxa"/>
            <w:vAlign w:val="bottom"/>
          </w:tcPr>
          <w:p>
            <w:pPr>
              <w:spacing w:after="0"/>
              <w:rPr>
                <w:sz w:val="1"/>
                <w:szCs w:val="1"/>
                <w:color w:val="auto"/>
              </w:rPr>
            </w:pPr>
          </w:p>
        </w:tc>
      </w:tr>
      <w:tr>
        <w:trPr>
          <w:trHeight w:val="365"/>
        </w:trPr>
        <w:tc>
          <w:tcPr>
            <w:tcW w:w="68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10"/>
        </w:trPr>
        <w:tc>
          <w:tcPr>
            <w:tcW w:w="6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68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110"/>
        </w:trPr>
        <w:tc>
          <w:tcPr>
            <w:tcW w:w="6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6"/>
        </w:trPr>
        <w:tc>
          <w:tcPr>
            <w:tcW w:w="6860" w:type="dxa"/>
            <w:vAlign w:val="bottom"/>
          </w:tcPr>
          <w:p>
            <w:pPr>
              <w:spacing w:after="0"/>
              <w:rPr>
                <w:sz w:val="20"/>
                <w:szCs w:val="20"/>
                <w:color w:val="auto"/>
              </w:rPr>
            </w:pPr>
            <w:r>
              <w:rPr>
                <w:rFonts w:ascii="Arial" w:cs="Arial" w:eastAsia="Arial" w:hAnsi="Arial"/>
                <w:sz w:val="18"/>
                <w:szCs w:val="18"/>
                <w:color w:val="auto"/>
              </w:rPr>
              <w:t>By execution of this Agreement,</w:t>
            </w:r>
          </w:p>
        </w:tc>
        <w:tc>
          <w:tcPr>
            <w:tcW w:w="4580" w:type="dxa"/>
            <w:vAlign w:val="bottom"/>
            <w:gridSpan w:val="2"/>
          </w:tcPr>
          <w:p>
            <w:pPr>
              <w:spacing w:after="0"/>
              <w:rPr>
                <w:sz w:val="20"/>
                <w:szCs w:val="20"/>
                <w:color w:val="auto"/>
              </w:rPr>
            </w:pPr>
            <w:r>
              <w:rPr>
                <w:rFonts w:ascii="Arial" w:cs="Arial" w:eastAsia="Arial" w:hAnsi="Arial"/>
                <w:sz w:val="18"/>
                <w:szCs w:val="18"/>
                <w:color w:val="auto"/>
              </w:rPr>
              <w:t>OPTIONEE</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the Optionee acknowledges having</w:t>
            </w: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860" w:type="dxa"/>
            <w:vAlign w:val="bottom"/>
            <w:vMerge w:val="restart"/>
          </w:tcPr>
          <w:p>
            <w:pPr>
              <w:spacing w:after="0"/>
              <w:rPr>
                <w:sz w:val="20"/>
                <w:szCs w:val="20"/>
                <w:color w:val="auto"/>
              </w:rPr>
            </w:pPr>
            <w:r>
              <w:rPr>
                <w:rFonts w:ascii="Arial" w:cs="Arial" w:eastAsia="Arial" w:hAnsi="Arial"/>
                <w:sz w:val="18"/>
                <w:szCs w:val="18"/>
                <w:color w:val="auto"/>
              </w:rPr>
              <w:t>received a copy of the Plan.</w:t>
            </w:r>
          </w:p>
        </w:tc>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6860" w:type="dxa"/>
            <w:vAlign w:val="bottom"/>
            <w:vMerge w:val="continue"/>
          </w:tcPr>
          <w:p>
            <w:pPr>
              <w:spacing w:after="0"/>
              <w:rPr>
                <w:sz w:val="7"/>
                <w:szCs w:val="7"/>
                <w:color w:val="auto"/>
              </w:rPr>
            </w:pPr>
          </w:p>
        </w:tc>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860" w:type="dxa"/>
            <w:vAlign w:val="bottom"/>
          </w:tcPr>
          <w:p>
            <w:pPr>
              <w:spacing w:after="0"/>
              <w:rPr>
                <w:sz w:val="22"/>
                <w:szCs w:val="22"/>
                <w:color w:val="auto"/>
              </w:rPr>
            </w:pPr>
          </w:p>
        </w:tc>
        <w:tc>
          <w:tcPr>
            <w:tcW w:w="458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8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(Name and Address)</w:t>
            </w:r>
          </w:p>
        </w:tc>
        <w:tc>
          <w:tcPr>
            <w:tcW w:w="0" w:type="dxa"/>
            <w:vAlign w:val="bottom"/>
          </w:tcPr>
          <w:p>
            <w:pPr>
              <w:spacing w:after="0"/>
              <w:rPr>
                <w:sz w:val="1"/>
                <w:szCs w:val="1"/>
                <w:color w:val="auto"/>
              </w:rPr>
            </w:pPr>
          </w:p>
        </w:tc>
      </w:tr>
      <w:tr>
        <w:trPr>
          <w:trHeight w:val="259"/>
        </w:trPr>
        <w:tc>
          <w:tcPr>
            <w:tcW w:w="68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68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590"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AWARD AGREEMENT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RESTRICTED STOCK AWARD AGREEMENT is entered into and effective as of this ____ day of ____________, ______ (the “Date of Grant”),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 and between Northern Technologies International Corporation (the “Company”) and ----_________________ (the “Grantee”).</w:t>
      </w:r>
    </w:p>
    <w:p>
      <w:pPr>
        <w:spacing w:after="0" w:line="219" w:lineRule="exact"/>
        <w:rPr>
          <w:sz w:val="20"/>
          <w:szCs w:val="20"/>
          <w:color w:val="auto"/>
        </w:rPr>
      </w:pPr>
    </w:p>
    <w:p>
      <w:pPr>
        <w:ind w:right="320" w:firstLine="437"/>
        <w:spacing w:after="0" w:line="298" w:lineRule="auto"/>
        <w:tabs>
          <w:tab w:leader="none" w:pos="81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has adopted the Northern Technologies International Corporation 2007 Stock Incentive Plan (the “Plan”) authorizing the Board of Directors of the Company, or a committee as provided for in the Plan (the Board or such a committee to be referred to as the “Committee”), to grant restricted stock awards to employees (including, without limitation, officers and directors who are also employees) of the Company or any Subsidiary, and any non-employee directors, consultants, advisors and independent contractors of the Company or any Subsidiary (as defined in the Plan).</w:t>
      </w:r>
    </w:p>
    <w:p>
      <w:pPr>
        <w:spacing w:after="0" w:line="166" w:lineRule="exact"/>
        <w:rPr>
          <w:rFonts w:ascii="Arial" w:cs="Arial" w:eastAsia="Arial" w:hAnsi="Arial"/>
          <w:sz w:val="16"/>
          <w:szCs w:val="16"/>
          <w:color w:val="auto"/>
        </w:rPr>
      </w:pPr>
    </w:p>
    <w:p>
      <w:pPr>
        <w:ind w:right="320" w:firstLine="447"/>
        <w:spacing w:after="0" w:line="259" w:lineRule="auto"/>
        <w:tabs>
          <w:tab w:leader="none" w:pos="81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desires to give the Grantee an incentive in the form of a grant of a restricted stock award pursuant to the Plan, to encourage the Grantee’s long-term performance for the Company and its stockholders as an employee, officer or director and more closely align the Grantee’s interest in the Company with that of the Company’s stockholders.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parties agree as follows:</w:t>
      </w:r>
    </w:p>
    <w:p>
      <w:pPr>
        <w:spacing w:after="0" w:line="225"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hereby grants to the Grantee a restricted stock award (the “Award”) consisting of __________________ (_____) shares (the “Award Shares”)</w:t>
      </w:r>
    </w:p>
    <w:p>
      <w:pPr>
        <w:spacing w:after="0" w:line="5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of the Company’s common stock, $0.02 par value (the “Common Stock”), according to the terms and subject to the restrictions and conditions hereinafter set forth and as set forth in the Plan. Reference to “Award Shares” in this Agreement will be deemed to include the Dividend Proceeds (as defined in Section 3.3 of this Agreement) with respect to such Award Shares that are retained and held by the Committee as provided in Section 3.3 of this Agreement and the Plan</w:t>
      </w:r>
    </w:p>
    <w:p>
      <w:pPr>
        <w:spacing w:after="0" w:line="163"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Grant Restriction</w:t>
      </w:r>
      <w:r>
        <w:rPr>
          <w:rFonts w:ascii="Arial" w:cs="Arial" w:eastAsia="Arial" w:hAnsi="Arial"/>
          <w:sz w:val="18"/>
          <w:szCs w:val="18"/>
          <w:color w:val="auto"/>
        </w:rPr>
        <w:t>.</w:t>
      </w:r>
    </w:p>
    <w:p>
      <w:pPr>
        <w:spacing w:after="0" w:line="225" w:lineRule="exact"/>
        <w:rPr>
          <w:sz w:val="20"/>
          <w:szCs w:val="20"/>
          <w:color w:val="auto"/>
        </w:rPr>
      </w:pPr>
    </w:p>
    <w:p>
      <w:pPr>
        <w:ind w:right="40" w:firstLine="439"/>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Restriction and Forfeiture</w:t>
      </w:r>
      <w:r>
        <w:rPr>
          <w:rFonts w:ascii="Arial" w:cs="Arial" w:eastAsia="Arial" w:hAnsi="Arial"/>
          <w:sz w:val="16"/>
          <w:szCs w:val="16"/>
          <w:color w:val="auto"/>
        </w:rPr>
        <w:t>. The Grantee’s right to retain the Award Shares will be subject to the Grantee remaining in the continuous service of the Company as an employee, officer or director for a period of ________ (___) years (the “Restriction Period”) following the Date of Grant; provided, however, that</w:t>
      </w:r>
    </w:p>
    <w:p>
      <w:pPr>
        <w:ind w:right="380"/>
        <w:spacing w:after="0" w:line="261" w:lineRule="auto"/>
        <w:rPr>
          <w:sz w:val="20"/>
          <w:szCs w:val="20"/>
          <w:color w:val="auto"/>
        </w:rPr>
      </w:pPr>
      <w:r>
        <w:rPr>
          <w:rFonts w:ascii="Arial" w:cs="Arial" w:eastAsia="Arial" w:hAnsi="Arial"/>
          <w:sz w:val="18"/>
          <w:szCs w:val="18"/>
          <w:color w:val="auto"/>
        </w:rPr>
        <w:t>such period restrictions (the “Restrictions”) will lapse and terminate prior to end of the Restriction Period with respect to installments of Award Shares to the extent and on such dates as follows: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c>
          <w:tcPr>
            <w:tcW w:w="440" w:type="dxa"/>
            <w:vAlign w:val="bottom"/>
          </w:tcPr>
          <w:p>
            <w:pPr>
              <w:spacing w:after="0"/>
              <w:rPr>
                <w:sz w:val="14"/>
                <w:szCs w:val="14"/>
                <w:color w:val="auto"/>
              </w:rPr>
            </w:pP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Award Shares for</w:t>
            </w:r>
          </w:p>
        </w:tc>
      </w:tr>
      <w:tr>
        <w:trPr>
          <w:trHeight w:val="174"/>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6"/>
              </w:rPr>
              <w:t>Restriction Lapse</w:t>
            </w:r>
          </w:p>
        </w:tc>
        <w:tc>
          <w:tcPr>
            <w:tcW w:w="44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6"/>
              </w:rPr>
              <w:t>Which Restrictions Lapse</w:t>
            </w:r>
          </w:p>
        </w:tc>
      </w:tr>
      <w:tr>
        <w:trPr>
          <w:trHeight w:val="95"/>
        </w:trPr>
        <w:tc>
          <w:tcPr>
            <w:tcW w:w="4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w:t>
      </w:r>
    </w:p>
    <w:p>
      <w:pPr>
        <w:spacing w:after="0" w:line="158" w:lineRule="exact"/>
        <w:rPr>
          <w:sz w:val="20"/>
          <w:szCs w:val="20"/>
          <w:color w:val="auto"/>
        </w:rPr>
      </w:pPr>
    </w:p>
    <w:p>
      <w:pPr>
        <w:ind w:left="580" w:right="140" w:firstLine="448"/>
        <w:spacing w:after="0" w:line="306" w:lineRule="auto"/>
        <w:tabs>
          <w:tab w:leader="none" w:pos="143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In the event the Grantee’s employment or service relationship with the Company and all Subsidiaries is terminated by reason of death, Disability, Retirement, or any other reason, all outstanding Award Shares held by Grantee that have not vested as of such termination will be terminated and forfeited and the certificate(s) representing the non-vested portion of the Award Shares so forfeited shall be canceled.</w:t>
      </w:r>
    </w:p>
    <w:p>
      <w:pPr>
        <w:sectPr>
          <w:pgSz w:w="11900" w:h="16838" w:orient="portrait"/>
          <w:cols w:equalWidth="0" w:num="1">
            <w:col w:w="11420"/>
          </w:cols>
          <w:pgMar w:left="240" w:top="125" w:right="239" w:bottom="1440" w:gutter="0" w:footer="0" w:header="0"/>
        </w:sectPr>
      </w:pPr>
    </w:p>
    <w:bookmarkStart w:id="97" w:name="page98"/>
    <w:bookmarkEnd w:id="97"/>
    <w:p>
      <w:pPr>
        <w:ind w:left="572" w:right="60" w:firstLine="448"/>
        <w:spacing w:after="0" w:line="291" w:lineRule="auto"/>
        <w:tabs>
          <w:tab w:leader="none" w:pos="143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Modification of Rights Upon Termination</w:t>
      </w:r>
      <w:r>
        <w:rPr>
          <w:rFonts w:ascii="Arial" w:cs="Arial" w:eastAsia="Arial" w:hAnsi="Arial"/>
          <w:sz w:val="16"/>
          <w:szCs w:val="16"/>
          <w:color w:val="auto"/>
        </w:rPr>
        <w:t>. Notwithstanding the other provisions of this Section 2.2, upon a Grantee’s termination of employment or service relationship with the Company, the Committee may, in its sole discretion (which may be exercised at any time on or after the date of grant, including following such termination), cause any or all of any outstanding Award Shares then held by such Grantee to vest and/or continue to vest or become free of restrictions following such termination of employment or service relationship, in each case in the manner determined by the Committee; provided, however, that any modification of an Award upon a Grantee’s termination of employment or service relationship will be subject to Sections 12.3, 12.4 and 12.6 of the Plan.</w:t>
      </w:r>
    </w:p>
    <w:p>
      <w:pPr>
        <w:spacing w:after="0" w:line="107" w:lineRule="exact"/>
        <w:rPr>
          <w:sz w:val="20"/>
          <w:szCs w:val="20"/>
          <w:color w:val="auto"/>
        </w:rPr>
      </w:pPr>
    </w:p>
    <w:p>
      <w:pPr>
        <w:ind w:left="572"/>
        <w:spacing w:after="0"/>
        <w:tabs>
          <w:tab w:leader="none" w:pos="99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158" w:lineRule="exact"/>
        <w:rPr>
          <w:sz w:val="20"/>
          <w:szCs w:val="20"/>
          <w:color w:val="auto"/>
        </w:rPr>
      </w:pPr>
    </w:p>
    <w:p>
      <w:pPr>
        <w:ind w:left="572" w:right="140" w:firstLine="448"/>
        <w:spacing w:after="0" w:line="332" w:lineRule="auto"/>
        <w:tabs>
          <w:tab w:leader="none" w:pos="1425"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Impact of Change in Control</w:t>
      </w:r>
      <w:r>
        <w:rPr>
          <w:rFonts w:ascii="Arial" w:cs="Arial" w:eastAsia="Arial" w:hAnsi="Arial"/>
          <w:sz w:val="16"/>
          <w:szCs w:val="16"/>
          <w:color w:val="auto"/>
        </w:rPr>
        <w:t>. If a Change in Control (as defined in the Plan) of the Company occurs, then the Restrictions applicable to the Award Shares that have been outstanding will become immediately fully vested and non-forfeitable, subject to Section 14.4 of the Plan.</w:t>
      </w:r>
    </w:p>
    <w:p>
      <w:pPr>
        <w:spacing w:after="0" w:line="71" w:lineRule="exact"/>
        <w:rPr>
          <w:rFonts w:ascii="Arial" w:cs="Arial" w:eastAsia="Arial" w:hAnsi="Arial"/>
          <w:sz w:val="16"/>
          <w:szCs w:val="16"/>
          <w:color w:val="auto"/>
        </w:rPr>
      </w:pPr>
    </w:p>
    <w:p>
      <w:pPr>
        <w:ind w:left="572" w:firstLine="448"/>
        <w:spacing w:after="0" w:line="286" w:lineRule="auto"/>
        <w:tabs>
          <w:tab w:leader="none" w:pos="1435"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Limitation on Change in Control Payments</w:t>
      </w:r>
      <w:r>
        <w:rPr>
          <w:rFonts w:ascii="Arial" w:cs="Arial" w:eastAsia="Arial" w:hAnsi="Arial"/>
          <w:sz w:val="16"/>
          <w:szCs w:val="16"/>
          <w:color w:val="auto"/>
        </w:rPr>
        <w:t>. Notwithstanding anything in this Section 2.3 to the contrary, if, with respect to the Grantee, the acceleration of the vesting of the Award Shares as provided above (which acceleration or payment could be deemed a “payment” within the meaning of Section 280G(b)(2) of the Code), together with any other “payments” that the Grantee has the right to receive from the Company or any corporation that is a member of an “affiliated group” (as defined in Section 1504(a) of the Code without regard to Section 1504(b) of the Code) of which the Company is a member, would constitute a “parachute payment” (as defined in Section 280G(b)(2) of the Code), then the “payments” to the Grantee as set forth herein will be reduced to the largest amount as will result in no portion of such “payments” being subject to the excise tax imposed by Section 4999 of the Code; provided, that such reduction shall be made only if the aggregate amount of the payments after such reduction exceeds the difference between (A) the amount of such payments absent such reduction minus (B) the aggregate amount of the excise tax imposed under Section 4999 of the Code attributable to any such excess parachute payments. Notwithstanding the foregoing sentence, if the Grantee is subject to a separate agreement with the Company or a Subsidiary that expressly addresses the potential application of Sections 280G or 4999 of the Code (including, without limitation, that “payments” under such agreement or otherwise will be reduced, that the Grantee will have the discretion to determine which “payments” will be reduced, that such “payments” will not be reduced or that such “payments” will be “grossed up” for tax purposes), then this Section 3.3(b) will not apply, and any “payments” to the Grantee as provided herein will be treated as “payments” arising under such separate agreement.</w:t>
      </w:r>
    </w:p>
    <w:p>
      <w:pPr>
        <w:spacing w:after="0" w:line="107" w:lineRule="exact"/>
        <w:rPr>
          <w:rFonts w:ascii="Arial" w:cs="Arial" w:eastAsia="Arial" w:hAnsi="Arial"/>
          <w:sz w:val="16"/>
          <w:szCs w:val="16"/>
          <w:color w:val="auto"/>
        </w:rPr>
      </w:pPr>
    </w:p>
    <w:p>
      <w:pPr>
        <w:ind w:left="572" w:hanging="572"/>
        <w:spacing w:after="0"/>
        <w:tabs>
          <w:tab w:leader="none" w:pos="57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Issuance of Award Shares</w:t>
      </w:r>
      <w:r>
        <w:rPr>
          <w:rFonts w:ascii="Arial" w:cs="Arial" w:eastAsia="Arial" w:hAnsi="Arial"/>
          <w:sz w:val="18"/>
          <w:szCs w:val="18"/>
          <w:color w:val="auto"/>
        </w:rPr>
        <w:t>.</w:t>
      </w:r>
    </w:p>
    <w:p>
      <w:pPr>
        <w:spacing w:after="0" w:line="158" w:lineRule="exact"/>
        <w:rPr>
          <w:sz w:val="20"/>
          <w:szCs w:val="20"/>
          <w:color w:val="auto"/>
        </w:rPr>
      </w:pPr>
    </w:p>
    <w:p>
      <w:pPr>
        <w:ind w:left="572" w:right="20" w:firstLine="439"/>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Privileges of a Stockholder; Transferability</w:t>
      </w:r>
      <w:r>
        <w:rPr>
          <w:rFonts w:ascii="Arial" w:cs="Arial" w:eastAsia="Arial" w:hAnsi="Arial"/>
          <w:sz w:val="16"/>
          <w:szCs w:val="16"/>
          <w:color w:val="auto"/>
        </w:rPr>
        <w:t>. As soon as practicable after the execution and delivery of this Agreement and the satisfaction of any conditions to the effective issuance of such Award Shares (including, without limitation, the conditions set forth in Section 3 of this Agreement and Section 8 of the Plan), the Grantee will be recorded on the books of the Company as the owner of the Award Shares, and the Company will issue one or more duly issued and executed stock certificates evidencing the Award Shares. Except as provided in Sections 8.1, 8.3, 8.4 and 15.3 of the Plan and this Agreement, the Grantee will have all voting, dividend, liquidation and other rights with respect to the Award Shares in accordance with their terms upon becoming the holder of record of such Award Shares; provided, however, that prior to the lapse</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374" w:right="259" w:bottom="1440" w:gutter="0" w:footer="0" w:header="0"/>
        </w:sectPr>
      </w:pPr>
    </w:p>
    <w:bookmarkStart w:id="98" w:name="page99"/>
    <w:bookmarkEnd w:id="98"/>
    <w:p>
      <w:pPr>
        <w:ind w:right="180"/>
        <w:spacing w:after="0" w:line="255" w:lineRule="auto"/>
        <w:rPr>
          <w:sz w:val="20"/>
          <w:szCs w:val="20"/>
          <w:color w:val="auto"/>
        </w:rPr>
      </w:pPr>
      <w:r>
        <w:rPr>
          <w:rFonts w:ascii="Arial" w:cs="Arial" w:eastAsia="Arial" w:hAnsi="Arial"/>
          <w:sz w:val="18"/>
          <w:szCs w:val="18"/>
          <w:color w:val="auto"/>
        </w:rPr>
        <w:t>or other termination of the Restrictions applicable to Award Shares, except as provided in Section 15.3 of the Plan, such Award Shares will not be assignable or transferable by the Grantee, either voluntarily or involuntarily, and may not be subjected to any lien, directly or indirectly, by operation of law or otherwise. Any attempt to transfer, assign or encumber the Award Shares other than in accordance with this Agreement and the Plan will be null and void and will void the Award, and all Award Shares for which the Restrictions have not lapsed will be forfeited and immediately returned to the Company.</w:t>
      </w:r>
    </w:p>
    <w:p>
      <w:pPr>
        <w:spacing w:after="0" w:line="129"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Escrow of Award Share Certificates</w:t>
      </w:r>
      <w:r>
        <w:rPr>
          <w:rFonts w:ascii="Arial" w:cs="Arial" w:eastAsia="Arial" w:hAnsi="Arial"/>
          <w:sz w:val="16"/>
          <w:szCs w:val="16"/>
          <w:color w:val="auto"/>
        </w:rPr>
        <w:t xml:space="preserve">. To enforce the Restrictions imposed by this Agreement and the Plan, until the Restrictions have lapsed with respect to the Award Shares (a) the stock certificates evidencing the Award Shares will bear a legend referring to the Restrictions and (b) the stock certificates evidencing the Award Shares, together with duly endorsed stock powers,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will be kept in the custody of the Company or its transfer agent or evidence of stock ownership of such Award Shares will be maintained, together with duly endorsed stock powers, in a certificateless book-entry stock account with the Company’s transfer agent.</w:t>
      </w:r>
    </w:p>
    <w:p>
      <w:pPr>
        <w:spacing w:after="0" w:line="10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Unless the Committee determines otherwise in its sole discretion, any dividends or distributions with respect to the Award Shares, including regular cash dividends, stock dividends or dividends in kind (all of which will collectively be referred to as “Dividend Proceeds”), will be subject to the same risk of forfeiture and restrictions on transfer as the forfeitable Award Shares in respect of which they are issued or transferred, will be deposited, along with any necessary duly endorsed stock powers, with the Company or its transfer agent, and will become Award Shares for the purposes of this Agreement. The Committee may, in its sole discretion, determine whether any interest will be paid on such Dividend Proceeds.</w:t>
      </w:r>
    </w:p>
    <w:p>
      <w:pPr>
        <w:spacing w:after="0" w:line="131"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Lapse of Restrictions; Issuance of Unrestricted Shares</w:t>
      </w:r>
      <w:r>
        <w:rPr>
          <w:rFonts w:ascii="Arial" w:cs="Arial" w:eastAsia="Arial" w:hAnsi="Arial"/>
          <w:sz w:val="18"/>
          <w:szCs w:val="18"/>
          <w:color w:val="auto"/>
        </w:rPr>
        <w:t>. Upon the vesting of any Award Shares, such vested Award Shares will no longer be subject to forfeiture as provided in Section 2.2 of this Agreement. Upon the vesting of any Award Shares, all restrictions on such Award Shares will lapse, and the Company will, subject to the provisions of the Plan, issue to the Grantee a certificate evidencing the Award Shares that is free of any transfer or other restrictions arising under this Agreement.</w:t>
      </w:r>
    </w:p>
    <w:p>
      <w:pPr>
        <w:spacing w:after="0" w:line="130" w:lineRule="exact"/>
        <w:rPr>
          <w:sz w:val="20"/>
          <w:szCs w:val="20"/>
          <w:color w:val="auto"/>
        </w:rPr>
      </w:pPr>
    </w:p>
    <w:p>
      <w:pPr>
        <w:ind w:right="60" w:firstLine="439"/>
        <w:spacing w:after="0" w:line="30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Employment or Service</w:t>
      </w:r>
      <w:r>
        <w:rPr>
          <w:rFonts w:ascii="Arial" w:cs="Arial" w:eastAsia="Arial" w:hAnsi="Arial"/>
          <w:sz w:val="16"/>
          <w:szCs w:val="16"/>
          <w:color w:val="auto"/>
        </w:rPr>
        <w:t>. Nothing in this Agreement will interfere with or limit in any way the right of the Company or any Subsidiary to terminate the employment or service of the Grantee at any time, nor confer upon the Grantee any right to continue in the employ of or provide services to the Company or any Subsidiary at any particular position or rate of pay or for any particular period of time.</w:t>
      </w:r>
    </w:p>
    <w:p>
      <w:pPr>
        <w:spacing w:after="0" w:line="93"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Breach of Agreements</w:t>
      </w:r>
      <w:r>
        <w:rPr>
          <w:rFonts w:ascii="Arial" w:cs="Arial" w:eastAsia="Arial" w:hAnsi="Arial"/>
          <w:sz w:val="18"/>
          <w:szCs w:val="18"/>
          <w:color w:val="auto"/>
        </w:rPr>
        <w:t>. Notwithstanding anything in this Agreement or the Plan to the contrary, in the event that the Grantee materially breaches the terms of any employment, service, confidentiality, non-compete or non-solicitation agreement entered into with the Company or any Subsidiary, whether such breach occurs before or after termination of the Grantee’s employment or other service with the Company or any Subsidiary, the Committee in its sole discretion may immediately terminate all rights of the Grantee under the Plan and this Agreement without notice of any kind or may require the Grantee to surrender shares of Common Stock received, and to disgorge any profits (however defined by the Committee), made or realized by the Grantee in connection with this Agreement.</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820" w:top="523" w:right="239" w:bottom="1440" w:gutter="0" w:footer="0" w:header="0"/>
        </w:sectPr>
      </w:pPr>
    </w:p>
    <w:bookmarkStart w:id="99" w:name="page100"/>
    <w:bookmarkEnd w:id="99"/>
    <w:p>
      <w:pPr>
        <w:ind w:left="280" w:hanging="272"/>
        <w:spacing w:after="0"/>
        <w:tabs>
          <w:tab w:leader="none" w:pos="2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The Grantee hereby acknowledges that Grantee has been informed that, with respect to the grant of the Award, an election may be filed by the Grantee with the Internal Revenue Service, within 30 days of the Date of Grant, electing pursuant to Section 83(b) of the Code to be taxed currently on the fair market value of the Award on the Date of Grant. The Grantee acknowledges that it is the Grantee’s sole responsibility to timely file the election under Section 83(b) of the Code if the Grantee chooses to make such an election. The Grantee has been advised that he or she should consult his or her personal tax or financial advisor with any questions regarding whether to make a Section 83(b) election. If the Grantee makes such an election, the Grantee agrees to promptly provide the Company a copy of the election form.</w:t>
      </w:r>
    </w:p>
    <w:p>
      <w:pPr>
        <w:spacing w:after="0" w:line="198"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The Company is entitled to (a) withhold and deduct from future wages of the Grantee (or from other amounts that may be due and owing to the Grantee from the Company or a Subsidiary), or cause to be paid to the Company out of the Dividend Proceeds, or make other arrangements for the collection of, all legally required amounts necessary to satisfy any and all federal, foreign, state and local withholding and employment-related tax requirements attributable to the receipt of the Award, the receipt of dividends or distributions on Award Shares, or the lapse or termination of the Restrictions applicable to the Award Shares; (b) withhold cash paid or payable or shares of Common Stock from the shares issued or otherwise issuable to the Grantee in connection with this Award; or (c) require the Grantee promptly to remit the amount of such withholding to the Company before taking any action, including issuing any shares of Common Stock, with respect to this Award. Shares of Common Stock issued or otherwise issuable to the Grantee in connection with this Award that gives rise to the tax withholding obligation that are withheld for purposes of satisfying the Grantee’s withholding or employment-related tax obligation will be valued at their Fair Market Value on the Tax Date.</w:t>
      </w:r>
    </w:p>
    <w:p>
      <w:pPr>
        <w:spacing w:after="0" w:line="174" w:lineRule="exact"/>
        <w:rPr>
          <w:sz w:val="20"/>
          <w:szCs w:val="20"/>
          <w:color w:val="auto"/>
        </w:rPr>
      </w:pPr>
    </w:p>
    <w:p>
      <w:pPr>
        <w:ind w:left="280" w:hanging="272"/>
        <w:spacing w:after="0"/>
        <w:tabs>
          <w:tab w:leader="none" w:pos="2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right="180" w:firstLine="439"/>
        <w:spacing w:after="0" w:line="294" w:lineRule="auto"/>
        <w:rPr>
          <w:sz w:val="20"/>
          <w:szCs w:val="20"/>
          <w:color w:val="auto"/>
        </w:rPr>
      </w:pPr>
      <w:r>
        <w:rPr>
          <w:rFonts w:ascii="Arial" w:cs="Arial" w:eastAsia="Arial" w:hAnsi="Arial"/>
          <w:sz w:val="16"/>
          <w:szCs w:val="16"/>
          <w:color w:val="auto"/>
        </w:rPr>
        <w:t>In the event of any reorganization, merger, consolidation, recapitalization, liquidation, reclassification, stock dividend, stock split, combination of shares, rights offering, divestiture or extraordinary dividend (including a spin-off), or any other similar change in the corporate structure or shares of the Company, the Committee (or, if the Company is not the surviving corporation in any such transaction, the board of directors of the surviving corporation), in order to prevent dilution or enlargement of the rights of the Grantee, will make appropriate adjustment (which determination will be conclusive) as to the number and kind of securities or other property (including cash) subject to, and the exercise price of, this Award.</w:t>
      </w:r>
    </w:p>
    <w:p>
      <w:pPr>
        <w:spacing w:after="0" w:line="170" w:lineRule="exact"/>
        <w:rPr>
          <w:sz w:val="20"/>
          <w:szCs w:val="20"/>
          <w:color w:val="auto"/>
        </w:rPr>
      </w:pPr>
    </w:p>
    <w:p>
      <w:pPr>
        <w:ind w:left="280" w:hanging="272"/>
        <w:spacing w:after="0"/>
        <w:tabs>
          <w:tab w:leader="none" w:pos="2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Stock Subject to Plan</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This Award and the Award Shares granted and issued pursuant to this Agreement have been granted and issued under, and are subject to the terms of, the Plan. The terms of the Plan are incorporated by reference in this Agreement in their entirety, and the Grantee, by execution of this Agreement, acknowledges having received a copy of the Plan. The provisions of this Agreement will be interpreted as to be consistent with the Plan, and any ambiguities in this Agreement will be interpreted by reference to the Plan. In the event that any provision of this Agreement is inconsistent with the terms of the Plan, the terms of the Plan will prevail.</w:t>
      </w:r>
    </w:p>
    <w:p>
      <w:pPr>
        <w:spacing w:after="0" w:line="197"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right="40" w:firstLine="439"/>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Code Section 409A Compliance</w:t>
      </w:r>
      <w:r>
        <w:rPr>
          <w:rFonts w:ascii="Arial" w:cs="Arial" w:eastAsia="Arial" w:hAnsi="Arial"/>
          <w:sz w:val="18"/>
          <w:szCs w:val="18"/>
          <w:color w:val="auto"/>
        </w:rPr>
        <w:t>. If any provision of this Agreement would result in the imposition of an excise tax under Section 409A of the Code and related regulations and Treasury pronouncements (“Section 409A”), that provision will be reformed to avoid imposition of the excise tax and no action taken to comply with Section 409A will be deemed to impair a benefit under this Agreement.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90" w:right="279" w:bottom="1440" w:gutter="0" w:footer="0" w:header="0"/>
        </w:sectPr>
      </w:pPr>
    </w:p>
    <w:bookmarkStart w:id="100" w:name="page101"/>
    <w:bookmarkEnd w:id="100"/>
    <w:p>
      <w:pPr>
        <w:ind w:left="440"/>
        <w:spacing w:after="0"/>
        <w:tabs>
          <w:tab w:leader="none" w:pos="8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will be binding upon the heirs, executors, administrators and successors of the parties to this Agreement.</w:t>
      </w:r>
    </w:p>
    <w:p>
      <w:pPr>
        <w:spacing w:after="0" w:line="225"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rights and obligations under this Agreement will be construed in accordance with the Plan and governed by the laws of the State of Minnesota, without regard to conflicts of laws provisions. Any legal proceeding related to this Agreement will be brought in an appropriate Minnesota court, and the parties to this Agreement consent to the exclusive jurisdiction of the court for this purpose.</w:t>
      </w:r>
    </w:p>
    <w:p>
      <w:pPr>
        <w:spacing w:after="0" w:line="161"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set forth the entire agreement and understanding of the parties to this Agreement with respect to the grant and exercise of this Option and the administration of the Plan and supersede all prior agreements, arrangements, plans and understandings relating to the grant and exercise of this Option and the administration of the Plan.</w:t>
      </w:r>
    </w:p>
    <w:p>
      <w:pPr>
        <w:spacing w:after="0" w:line="194"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Other than as provided in the Plan, this Agreement may be amended, waived, modified or canceled only by a written instrument executed by the parties to this Agreement or, in the case of a waiver, by the party waiving compliance.</w:t>
      </w:r>
    </w:p>
    <w:p>
      <w:pPr>
        <w:spacing w:after="0" w:line="186"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Construction</w:t>
      </w:r>
      <w:r>
        <w:rPr>
          <w:rFonts w:ascii="Arial" w:cs="Arial" w:eastAsia="Arial" w:hAnsi="Arial"/>
          <w:sz w:val="18"/>
          <w:szCs w:val="18"/>
          <w:color w:val="auto"/>
        </w:rPr>
        <w:t>. Wherever possible, each provision of this Agreement will be interpreted so that it is valid under the applicable law. If any provision of this Agreement is to any extent invalid under the applicable law that provision will still be effective to the extent it remains valid. The remainder of this Agreement also will continue to be valid, and the entire Agreement will continue to be valid in other jurisdictions.</w:t>
      </w:r>
    </w:p>
    <w:p>
      <w:pPr>
        <w:spacing w:after="0" w:line="194"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For convenience of the parties hereto, this Agreement may be executed in any number of counterparts, each such counterpart to be deemed an original instrument, and all such counterparts together to constitute the same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0" w:right="259" w:bottom="1440" w:gutter="0" w:footer="0" w:header="0"/>
        </w:sectPr>
      </w:pPr>
    </w:p>
    <w:bookmarkStart w:id="101" w:name="page102"/>
    <w:bookmarkEnd w:id="101"/>
    <w:p>
      <w:pPr>
        <w:ind w:left="440"/>
        <w:spacing w:after="0"/>
        <w:rPr>
          <w:sz w:val="20"/>
          <w:szCs w:val="20"/>
          <w:color w:val="auto"/>
        </w:rPr>
      </w:pPr>
      <w:r>
        <w:rPr>
          <w:rFonts w:ascii="Arial" w:cs="Arial" w:eastAsia="Arial" w:hAnsi="Arial"/>
          <w:sz w:val="18"/>
          <w:szCs w:val="18"/>
          <w:color w:val="auto"/>
        </w:rPr>
        <w:t>The parties to this Agreement have executed this Agreement effective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NORTHERN TECHNOLOGIES</w:t>
            </w:r>
          </w:p>
        </w:tc>
        <w:tc>
          <w:tcPr>
            <w:tcW w:w="0" w:type="dxa"/>
            <w:vAlign w:val="bottom"/>
          </w:tcPr>
          <w:p>
            <w:pPr>
              <w:spacing w:after="0"/>
              <w:rPr>
                <w:sz w:val="1"/>
                <w:szCs w:val="1"/>
                <w:color w:val="auto"/>
              </w:rPr>
            </w:pPr>
          </w:p>
        </w:tc>
      </w:tr>
      <w:tr>
        <w:trPr>
          <w:trHeight w:val="222"/>
        </w:trPr>
        <w:tc>
          <w:tcPr>
            <w:tcW w:w="686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INTERNATIONAL CORPORATION</w:t>
            </w:r>
          </w:p>
        </w:tc>
        <w:tc>
          <w:tcPr>
            <w:tcW w:w="0" w:type="dxa"/>
            <w:vAlign w:val="bottom"/>
          </w:tcPr>
          <w:p>
            <w:pPr>
              <w:spacing w:after="0"/>
              <w:rPr>
                <w:sz w:val="1"/>
                <w:szCs w:val="1"/>
                <w:color w:val="auto"/>
              </w:rPr>
            </w:pPr>
          </w:p>
        </w:tc>
      </w:tr>
      <w:tr>
        <w:trPr>
          <w:trHeight w:val="365"/>
        </w:trPr>
        <w:tc>
          <w:tcPr>
            <w:tcW w:w="68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10"/>
        </w:trPr>
        <w:tc>
          <w:tcPr>
            <w:tcW w:w="6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68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110"/>
        </w:trPr>
        <w:tc>
          <w:tcPr>
            <w:tcW w:w="6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6"/>
        </w:trPr>
        <w:tc>
          <w:tcPr>
            <w:tcW w:w="6860" w:type="dxa"/>
            <w:vAlign w:val="bottom"/>
          </w:tcPr>
          <w:p>
            <w:pPr>
              <w:spacing w:after="0"/>
              <w:rPr>
                <w:sz w:val="20"/>
                <w:szCs w:val="20"/>
                <w:color w:val="auto"/>
              </w:rPr>
            </w:pPr>
            <w:r>
              <w:rPr>
                <w:rFonts w:ascii="Arial" w:cs="Arial" w:eastAsia="Arial" w:hAnsi="Arial"/>
                <w:sz w:val="18"/>
                <w:szCs w:val="18"/>
                <w:color w:val="auto"/>
              </w:rPr>
              <w:t>By execution of this Agreement,</w:t>
            </w:r>
          </w:p>
        </w:tc>
        <w:tc>
          <w:tcPr>
            <w:tcW w:w="4580" w:type="dxa"/>
            <w:vAlign w:val="bottom"/>
            <w:gridSpan w:val="2"/>
          </w:tcPr>
          <w:p>
            <w:pPr>
              <w:spacing w:after="0"/>
              <w:rPr>
                <w:sz w:val="20"/>
                <w:szCs w:val="20"/>
                <w:color w:val="auto"/>
              </w:rPr>
            </w:pPr>
            <w:r>
              <w:rPr>
                <w:rFonts w:ascii="Arial" w:cs="Arial" w:eastAsia="Arial" w:hAnsi="Arial"/>
                <w:sz w:val="18"/>
                <w:szCs w:val="18"/>
                <w:color w:val="auto"/>
              </w:rPr>
              <w:t>GRANTEE</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the Grantee acknowledges having</w:t>
            </w: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860" w:type="dxa"/>
            <w:vAlign w:val="bottom"/>
            <w:vMerge w:val="restart"/>
          </w:tcPr>
          <w:p>
            <w:pPr>
              <w:spacing w:after="0"/>
              <w:rPr>
                <w:sz w:val="20"/>
                <w:szCs w:val="20"/>
                <w:color w:val="auto"/>
              </w:rPr>
            </w:pPr>
            <w:r>
              <w:rPr>
                <w:rFonts w:ascii="Arial" w:cs="Arial" w:eastAsia="Arial" w:hAnsi="Arial"/>
                <w:sz w:val="18"/>
                <w:szCs w:val="18"/>
                <w:color w:val="auto"/>
              </w:rPr>
              <w:t>received a copy of the Plan.</w:t>
            </w:r>
          </w:p>
        </w:tc>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6860" w:type="dxa"/>
            <w:vAlign w:val="bottom"/>
            <w:vMerge w:val="continue"/>
          </w:tcPr>
          <w:p>
            <w:pPr>
              <w:spacing w:after="0"/>
              <w:rPr>
                <w:sz w:val="7"/>
                <w:szCs w:val="7"/>
                <w:color w:val="auto"/>
              </w:rPr>
            </w:pPr>
          </w:p>
        </w:tc>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860" w:type="dxa"/>
            <w:vAlign w:val="bottom"/>
          </w:tcPr>
          <w:p>
            <w:pPr>
              <w:spacing w:after="0"/>
              <w:rPr>
                <w:sz w:val="22"/>
                <w:szCs w:val="22"/>
                <w:color w:val="auto"/>
              </w:rPr>
            </w:pPr>
          </w:p>
        </w:tc>
        <w:tc>
          <w:tcPr>
            <w:tcW w:w="458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8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(Name and Address)</w:t>
            </w:r>
          </w:p>
        </w:tc>
        <w:tc>
          <w:tcPr>
            <w:tcW w:w="0" w:type="dxa"/>
            <w:vAlign w:val="bottom"/>
          </w:tcPr>
          <w:p>
            <w:pPr>
              <w:spacing w:after="0"/>
              <w:rPr>
                <w:sz w:val="1"/>
                <w:szCs w:val="1"/>
                <w:color w:val="auto"/>
              </w:rPr>
            </w:pPr>
          </w:p>
        </w:tc>
      </w:tr>
      <w:tr>
        <w:trPr>
          <w:trHeight w:val="259"/>
        </w:trPr>
        <w:tc>
          <w:tcPr>
            <w:tcW w:w="68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68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590" w:right="219" w:bottom="1440" w:gutter="0" w:footer="0" w:header="0"/>
        </w:sectPr>
      </w:pPr>
    </w:p>
    <w:bookmarkStart w:id="102" w:name="page103"/>
    <w:bookmarkEnd w:id="102"/>
    <w:p>
      <w:pPr>
        <w:jc w:val="center"/>
        <w:ind w:right="-2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 POWER</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value received, I hereby sell, assign and transfer unto ___________________ ______________________________ shares of the Common Stock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Northern Technologies International Corporation standing in my name on the books of said company represented by Certificate(s) Number(s) _________</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herewith, and do hereby irrevocably constitute and appoint ________________________ attorney to transfer said stock on the books of said company with full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power of substitute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307340</wp:posOffset>
            </wp:positionV>
            <wp:extent cx="2907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173990</wp:posOffset>
            </wp:positionV>
            <wp:extent cx="2907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173990</wp:posOffset>
            </wp:positionV>
            <wp:extent cx="2907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414020</wp:posOffset>
            </wp:positionV>
            <wp:extent cx="2907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584" w:right="4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13" w:lineRule="exact"/>
        <w:rPr>
          <w:sz w:val="20"/>
          <w:szCs w:val="20"/>
          <w:color w:val="auto"/>
        </w:rPr>
      </w:pPr>
    </w:p>
    <w:p>
      <w:pPr>
        <w:ind w:right="40" w:firstLine="439"/>
        <w:spacing w:after="0" w:line="296"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u w:val="single" w:color="auto"/>
          <w:color w:val="auto"/>
        </w:rPr>
        <w:t>Purpose</w:t>
      </w:r>
      <w:r>
        <w:rPr>
          <w:rFonts w:ascii="Arial" w:cs="Arial" w:eastAsia="Arial" w:hAnsi="Arial"/>
          <w:sz w:val="16"/>
          <w:szCs w:val="16"/>
          <w:b w:val="1"/>
          <w:bCs w:val="1"/>
          <w:color w:val="auto"/>
        </w:rPr>
        <w:t xml:space="preserve">. </w:t>
      </w:r>
      <w:r>
        <w:rPr>
          <w:rFonts w:ascii="Arial" w:cs="Arial" w:eastAsia="Arial" w:hAnsi="Arial"/>
          <w:sz w:val="16"/>
          <w:szCs w:val="16"/>
          <w:color w:val="auto"/>
        </w:rPr>
        <w:t>This Employee Stock Purchase Plan (the “Plan”) is intended to advance the interests of Northern Technologies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Delaware corporation (“the Company”), and its stockholders by providing Employees of the Company and its Designated Subsidiaries with opportunities to acquire shares of the Company’s Common Stock on favorable terms through payroll deductions. The Plan is intended to qualify as an “employee stock purchase plan” under Section 423 of the Internal Revenue Code of 1986, as amended (the “Code”), and will be construed so as to extend and limit participation in a manner consistent with the requirements of Section 423 of the Code.</w:t>
      </w:r>
    </w:p>
    <w:p>
      <w:pPr>
        <w:spacing w:after="0" w:line="162"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u w:val="single" w:color="auto"/>
          <w:color w:val="auto"/>
        </w:rPr>
        <w:t>Definitions</w:t>
      </w:r>
      <w:r>
        <w:rPr>
          <w:rFonts w:ascii="Arial" w:cs="Arial" w:eastAsia="Arial" w:hAnsi="Arial"/>
          <w:sz w:val="15"/>
          <w:szCs w:val="15"/>
          <w:color w:val="auto"/>
        </w:rPr>
        <w:t>.</w:t>
      </w:r>
    </w:p>
    <w:p>
      <w:pPr>
        <w:spacing w:after="0" w:line="164" w:lineRule="exact"/>
        <w:rPr>
          <w:sz w:val="20"/>
          <w:szCs w:val="20"/>
          <w:color w:val="auto"/>
        </w:rPr>
      </w:pPr>
    </w:p>
    <w:p>
      <w:pPr>
        <w:ind w:left="1440" w:hanging="412"/>
        <w:spacing w:after="0"/>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57" w:lineRule="exact"/>
        <w:rPr>
          <w:rFonts w:ascii="Arial" w:cs="Arial" w:eastAsia="Arial" w:hAnsi="Arial"/>
          <w:sz w:val="18"/>
          <w:szCs w:val="18"/>
          <w:color w:val="auto"/>
        </w:rPr>
      </w:pPr>
    </w:p>
    <w:p>
      <w:pPr>
        <w:ind w:left="580" w:right="220" w:firstLine="448"/>
        <w:spacing w:after="0" w:line="268" w:lineRule="auto"/>
        <w:tabs>
          <w:tab w:leader="none" w:pos="144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“Common Stock” means the common stock, par value $0.02 per share, of the Company, or the number and kind of shares of stock or other securities into which such common stock may be changed in accordance with Section 13 of the Plan.</w:t>
      </w:r>
    </w:p>
    <w:p>
      <w:pPr>
        <w:spacing w:after="0" w:line="118" w:lineRule="exact"/>
        <w:rPr>
          <w:rFonts w:ascii="Arial" w:cs="Arial" w:eastAsia="Arial" w:hAnsi="Arial"/>
          <w:sz w:val="18"/>
          <w:szCs w:val="18"/>
          <w:color w:val="auto"/>
        </w:rPr>
      </w:pPr>
    </w:p>
    <w:p>
      <w:pPr>
        <w:ind w:left="1440" w:hanging="412"/>
        <w:spacing w:after="0"/>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“Committee” means the entity administering the Plan, as provided in Section 3 below.</w:t>
      </w:r>
    </w:p>
    <w:p>
      <w:pPr>
        <w:spacing w:after="0" w:line="157" w:lineRule="exact"/>
        <w:rPr>
          <w:rFonts w:ascii="Arial" w:cs="Arial" w:eastAsia="Arial" w:hAnsi="Arial"/>
          <w:sz w:val="18"/>
          <w:szCs w:val="18"/>
          <w:color w:val="auto"/>
        </w:rPr>
      </w:pPr>
    </w:p>
    <w:p>
      <w:pPr>
        <w:ind w:left="580" w:right="120" w:firstLine="448"/>
        <w:spacing w:after="0" w:line="294" w:lineRule="auto"/>
        <w:tabs>
          <w:tab w:leader="none" w:pos="144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“Compensation” means regular straight-time earnings and commissions that are included in regular compensation, including amounts that would have constituted compensation but for a Participant’s election to defer or reduce compensation pursuant to any deferred compensation, cafeteria, capital accumulation or any other similar plan of the Company, and including all other amounts such as amounts attributable to overtime, shift premium, incentive compensation and bonuses (except to the extent that the exclusion of any such item is specifically directed by the Committee), determined in a manner consistent with the requirements of Section 423 of the Code.</w:t>
      </w:r>
    </w:p>
    <w:p>
      <w:pPr>
        <w:spacing w:after="0" w:line="102" w:lineRule="exact"/>
        <w:rPr>
          <w:rFonts w:ascii="Arial" w:cs="Arial" w:eastAsia="Arial" w:hAnsi="Arial"/>
          <w:sz w:val="16"/>
          <w:szCs w:val="16"/>
          <w:color w:val="auto"/>
        </w:rPr>
      </w:pPr>
    </w:p>
    <w:p>
      <w:pPr>
        <w:ind w:left="580" w:right="360" w:firstLine="448"/>
        <w:spacing w:after="0" w:line="268" w:lineRule="auto"/>
        <w:tabs>
          <w:tab w:leader="none" w:pos="14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“Designated Subsidiary” means a Subsidiary that has been designated by the Board from time to time, in its sole discretion, as eligible to participate in the Plan.</w:t>
      </w:r>
    </w:p>
    <w:p>
      <w:pPr>
        <w:spacing w:after="0" w:line="118" w:lineRule="exact"/>
        <w:rPr>
          <w:rFonts w:ascii="Arial" w:cs="Arial" w:eastAsia="Arial" w:hAnsi="Arial"/>
          <w:sz w:val="18"/>
          <w:szCs w:val="18"/>
          <w:color w:val="auto"/>
        </w:rPr>
      </w:pPr>
    </w:p>
    <w:p>
      <w:pPr>
        <w:ind w:left="580" w:right="100" w:firstLine="448"/>
        <w:spacing w:after="0" w:line="268" w:lineRule="auto"/>
        <w:tabs>
          <w:tab w:leader="none" w:pos="141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“Employee” means any person, including an officer, who is employed by the Company or one of its Designated Subsidiaries and has been so employed for at least six (6) months prior to the commencement of an offering period.</w:t>
      </w:r>
    </w:p>
    <w:p>
      <w:pPr>
        <w:spacing w:after="0" w:line="118" w:lineRule="exact"/>
        <w:rPr>
          <w:rFonts w:ascii="Arial" w:cs="Arial" w:eastAsia="Arial" w:hAnsi="Arial"/>
          <w:sz w:val="18"/>
          <w:szCs w:val="18"/>
          <w:color w:val="auto"/>
        </w:rPr>
      </w:pPr>
    </w:p>
    <w:p>
      <w:pPr>
        <w:ind w:left="1400" w:hanging="372"/>
        <w:spacing w:after="0"/>
        <w:tabs>
          <w:tab w:leader="none" w:pos="14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57" w:lineRule="exact"/>
        <w:rPr>
          <w:rFonts w:ascii="Arial" w:cs="Arial" w:eastAsia="Arial" w:hAnsi="Arial"/>
          <w:sz w:val="18"/>
          <w:szCs w:val="18"/>
          <w:color w:val="auto"/>
        </w:rPr>
      </w:pPr>
    </w:p>
    <w:p>
      <w:pPr>
        <w:ind w:left="580" w:right="60" w:firstLine="448"/>
        <w:spacing w:after="0" w:line="290" w:lineRule="auto"/>
        <w:tabs>
          <w:tab w:leader="none" w:pos="139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“Fair Market Value” means, with respect to the Common Stock, as of any date: (i) the closing sale price of the Common Stock as of such date at the end of the regular trading session, as reported on the American Stock Exchange or on any national exchange (or, if no shares were traded on such date, as of the next preceding date on which there was such a trade); or (ii) if the Common Stock is not so listed, admitted to unlisted trading privileges, or reported on the American Stock Exchange or any national exchange, the closing sale price as of such date at the end of the regular trading session, as reported by the Nasdaq Capital Market, Over-the-Counter Bulletin Board or the Pink Sheets, LLC, or other comparable service (or, if no shares were traded or quoted on such date, as of the next preceding date on which there was such a trade or quote); or (iii) if the Common Stock is not so listed or reported, such price as the Committee determines in its sole discretion in a manner acceptable under Section 423 of the Code.</w:t>
      </w:r>
    </w:p>
    <w:p>
      <w:pPr>
        <w:sectPr>
          <w:pgSz w:w="11900" w:h="16838" w:orient="portrait"/>
          <w:cols w:equalWidth="0" w:num="1">
            <w:col w:w="11420"/>
          </w:cols>
          <w:pgMar w:left="240" w:top="125" w:right="239" w:bottom="1440" w:gutter="0" w:footer="0" w:header="0"/>
        </w:sectPr>
      </w:pPr>
    </w:p>
    <w:bookmarkStart w:id="104" w:name="page105"/>
    <w:bookmarkEnd w:id="104"/>
    <w:p>
      <w:pPr>
        <w:ind w:left="1420" w:hanging="392"/>
        <w:spacing w:after="0"/>
        <w:tabs>
          <w:tab w:leader="none" w:pos="14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“Offering” means any of the offerings to Participants of options to purchase Common Stock under the Plan, as described in Section 5 below.</w:t>
      </w:r>
    </w:p>
    <w:p>
      <w:pPr>
        <w:spacing w:after="0" w:line="180" w:lineRule="exact"/>
        <w:rPr>
          <w:rFonts w:ascii="Arial" w:cs="Arial" w:eastAsia="Arial" w:hAnsi="Arial"/>
          <w:sz w:val="16"/>
          <w:szCs w:val="16"/>
          <w:color w:val="auto"/>
        </w:rPr>
      </w:pPr>
    </w:p>
    <w:p>
      <w:pPr>
        <w:ind w:left="1420" w:hanging="392"/>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“Offering Date” means the first day of the period of an Offering under the Plan, as described in Section 5 below.</w:t>
      </w:r>
    </w:p>
    <w:p>
      <w:pPr>
        <w:spacing w:after="0" w:line="157" w:lineRule="exact"/>
        <w:rPr>
          <w:rFonts w:ascii="Arial" w:cs="Arial" w:eastAsia="Arial" w:hAnsi="Arial"/>
          <w:sz w:val="18"/>
          <w:szCs w:val="18"/>
          <w:color w:val="auto"/>
        </w:rPr>
      </w:pPr>
    </w:p>
    <w:p>
      <w:pPr>
        <w:ind w:left="1460" w:hanging="432"/>
        <w:spacing w:after="0"/>
        <w:tabs>
          <w:tab w:leader="none" w:pos="1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“Option Price” is defined in Section 8 below.</w:t>
      </w:r>
    </w:p>
    <w:p>
      <w:pPr>
        <w:spacing w:after="0" w:line="157" w:lineRule="exact"/>
        <w:rPr>
          <w:rFonts w:ascii="Arial" w:cs="Arial" w:eastAsia="Arial" w:hAnsi="Arial"/>
          <w:sz w:val="18"/>
          <w:szCs w:val="18"/>
          <w:color w:val="auto"/>
        </w:rPr>
      </w:pPr>
    </w:p>
    <w:p>
      <w:pPr>
        <w:ind w:left="1420" w:hanging="392"/>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“Participant” means an eligible Employee who elects to participate in the Plan pursuant to Section 6 below.</w:t>
      </w:r>
    </w:p>
    <w:p>
      <w:pPr>
        <w:spacing w:after="0" w:line="157" w:lineRule="exact"/>
        <w:rPr>
          <w:rFonts w:ascii="Arial" w:cs="Arial" w:eastAsia="Arial" w:hAnsi="Arial"/>
          <w:sz w:val="18"/>
          <w:szCs w:val="18"/>
          <w:color w:val="auto"/>
        </w:rPr>
      </w:pPr>
    </w:p>
    <w:p>
      <w:pPr>
        <w:ind w:left="1420" w:hanging="392"/>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57" w:lineRule="exact"/>
        <w:rPr>
          <w:rFonts w:ascii="Arial" w:cs="Arial" w:eastAsia="Arial" w:hAnsi="Arial"/>
          <w:sz w:val="18"/>
          <w:szCs w:val="18"/>
          <w:color w:val="auto"/>
        </w:rPr>
      </w:pPr>
    </w:p>
    <w:p>
      <w:pPr>
        <w:ind w:left="1400" w:hanging="372"/>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“Subsidiary” means any subsidiary corporation of the Company within the meaning of Section 424(f) of the Code.</w:t>
      </w:r>
    </w:p>
    <w:p>
      <w:pPr>
        <w:spacing w:after="0" w:line="157" w:lineRule="exact"/>
        <w:rPr>
          <w:rFonts w:ascii="Arial" w:cs="Arial" w:eastAsia="Arial" w:hAnsi="Arial"/>
          <w:sz w:val="18"/>
          <w:szCs w:val="18"/>
          <w:color w:val="auto"/>
        </w:rPr>
      </w:pPr>
    </w:p>
    <w:p>
      <w:pPr>
        <w:ind w:left="1400" w:hanging="372"/>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“Purchase Date” means the last day of the period of an Offering under the Plan, as described in Section 5 below.</w:t>
      </w:r>
    </w:p>
    <w:p>
      <w:pPr>
        <w:spacing w:after="0" w:line="219" w:lineRule="exact"/>
        <w:rPr>
          <w:sz w:val="20"/>
          <w:szCs w:val="20"/>
          <w:color w:val="auto"/>
        </w:rPr>
      </w:pPr>
    </w:p>
    <w:p>
      <w:pPr>
        <w:ind w:firstLine="439"/>
        <w:spacing w:after="0" w:line="287"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will be administered by the Board or by a committee of the Board. So long as the Company has a class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equity securities registered under Section 12 of the Exchange Act, the Plan will be administered by a committee (the “Committee”) consisting solely of not less than two members of the Board who are “non-employee directors” within the meaning of Rule 16b-3 under the Exchange Act. Such a committee, if established, will act by majority approval of the members (but may also take action with the written consent of all the members of such committee), and a majority of the members of such a committee will constitute a quorum. As used in the Plan, “Committee” will refer to the Board or to such a committee, if established. To the extent consistent with corporate law, the Committee may delegate to any officers of the Company the duties, power and authority of the Committee under the Plan pursuant to such conditions or limitations as the Committee may establish; provided, however, that only the Committee may exercise such duties, power and authority with respect to Participants who are subject to Section 16 of the Exchange Act. The Committee may exercise its duties, power and authority under the Plan in its sole discretion without the consent of any Participant or other party, unless the Plan specifically provides otherwise. Each determination, interpretation or other action made or taken by the Committee pursuant to the provisions of the Plan will be final, conclusive and binding for all purposes and on all persons, including, without limitation, the Company, the stockholders of the Company, the Participants and their respective successors-in-interest. No member of the Committee shall be liable for any action or determination made in good faith with respect to the Plan or any option granted under the Plan.</w:t>
      </w:r>
    </w:p>
    <w:p>
      <w:pPr>
        <w:spacing w:after="0" w:line="169"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w:t>
      </w:r>
    </w:p>
    <w:p>
      <w:pPr>
        <w:spacing w:after="0" w:line="164" w:lineRule="exact"/>
        <w:rPr>
          <w:sz w:val="20"/>
          <w:szCs w:val="20"/>
          <w:color w:val="auto"/>
        </w:rPr>
      </w:pPr>
    </w:p>
    <w:p>
      <w:pPr>
        <w:ind w:left="580" w:right="240" w:firstLine="448"/>
        <w:spacing w:after="0" w:line="268" w:lineRule="auto"/>
        <w:tabs>
          <w:tab w:leader="none" w:pos="14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 respect to an Offering, any Employee employed by the Company or a Designated Subsidiary on the Offering Date shall be eligible to participate in the Plan, subject to the limitations imposed by Section 423(b) of the Code.</w:t>
      </w:r>
    </w:p>
    <w:p>
      <w:pPr>
        <w:spacing w:after="0" w:line="118" w:lineRule="exact"/>
        <w:rPr>
          <w:rFonts w:ascii="Arial" w:cs="Arial" w:eastAsia="Arial" w:hAnsi="Arial"/>
          <w:sz w:val="18"/>
          <w:szCs w:val="18"/>
          <w:color w:val="auto"/>
        </w:rPr>
      </w:pPr>
    </w:p>
    <w:p>
      <w:pPr>
        <w:ind w:left="1440" w:hanging="412"/>
        <w:spacing w:after="0"/>
        <w:tabs>
          <w:tab w:leader="none" w:pos="1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provisions of the Plan to the contrary notwithstanding, no Employee shall be granted an option under the Plan if: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4" w:right="239" w:bottom="1440" w:gutter="0" w:footer="0" w:header="0"/>
        </w:sectPr>
      </w:pPr>
    </w:p>
    <w:bookmarkStart w:id="105" w:name="page106"/>
    <w:bookmarkEnd w:id="105"/>
    <w:p>
      <w:pPr>
        <w:ind w:left="1160" w:right="320" w:firstLine="435"/>
        <w:spacing w:after="0" w:line="335" w:lineRule="auto"/>
        <w:tabs>
          <w:tab w:leader="none" w:pos="1984"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immediately after the grant, such Employee (or any other person whose stock ownership would be attributed to such Employee pursuant to Section 424(d) of the Code) would own shares of Common Stock and/or hold outstanding options to purchase shares of Common Stock possessing 5% or more of the total combined voting power or value of all classes of shares of the Company or of any Subsidiary; or</w:t>
      </w:r>
    </w:p>
    <w:p>
      <w:pPr>
        <w:spacing w:after="0" w:line="74" w:lineRule="exact"/>
        <w:rPr>
          <w:rFonts w:ascii="Arial" w:cs="Arial" w:eastAsia="Arial" w:hAnsi="Arial"/>
          <w:sz w:val="15"/>
          <w:szCs w:val="15"/>
          <w:color w:val="auto"/>
        </w:rPr>
      </w:pPr>
    </w:p>
    <w:p>
      <w:pPr>
        <w:ind w:left="1160" w:right="60" w:firstLine="435"/>
        <w:spacing w:after="0" w:line="255" w:lineRule="auto"/>
        <w:tabs>
          <w:tab w:leader="none" w:pos="203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 of payroll deductions that the Employee has elected to have withheld under such option (pursuant to Section 7 below) would permit the Employee to purchase shares of Common Stock under all “employee stock purchase plans” (within the meaning of Section 423 of the Code) of the Company and its Subsidiaries to accrue (i.e., become exercisable) at a rate that exceeds $25,000 of the Fair Market Value of such shares of Common Stock (determined at the time such option is granted) for each calendar year in which such option is outstanding at any time.</w:t>
      </w:r>
    </w:p>
    <w:p>
      <w:pPr>
        <w:spacing w:after="0" w:line="191"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u w:val="single" w:color="auto"/>
          <w:color w:val="auto"/>
        </w:rPr>
        <w:t>Offerings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Options to purchase shares of Common Stock shall be offered to Participants under the Plan through a continuous series of</w:t>
      </w:r>
    </w:p>
    <w:p>
      <w:pPr>
        <w:spacing w:after="0" w:line="2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Offerings, each continuing for six months and each of which shall commence on September 1 and March 1 of each year, as the case may be, and shall terminate on February 28 or 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(as the case may be) and August 31 of such year, as the case may be; provided, however, that the first Offering under the Plan shall have an Offering Date and Purchase Date as determined by the Committee in its sole discretion. Offerings under the Plan shall continue until either (a) the Committee decides, in its sole discretion, that no further Offerings shall be made because the Common Stock remaining available under the Plan is insufficient to make an Offering to all eligible Employees, or (b) the Plan is terminated under Section 20 below. Notwithstanding the foregoing, and without limiting the authority of the Committee under Section 3, 13(b) and 17 of the Plan, the Committee, in its sole discretion, may (a) accelerate the Purchase Date of the then current Offering and provide for the exercise of options thereunder by Participants in accordance with Section 9 of the Plan, or (b) accelerate the Purchase Date of the then current Offering and provide that all payroll deductions credited to the accounts of Participants will be paid to Participants as soon as practicable after such Purchase Date and that all options for such Offering will automatically be canceled and will no longer be exercisable, if such change is announced at least five (5) days prior to the newly scheduled Purchase Date.</w:t>
      </w:r>
    </w:p>
    <w:p>
      <w:pPr>
        <w:spacing w:after="0" w:line="18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Participation</w:t>
      </w:r>
      <w:r>
        <w:rPr>
          <w:rFonts w:ascii="Arial" w:cs="Arial" w:eastAsia="Arial" w:hAnsi="Arial"/>
          <w:sz w:val="16"/>
          <w:szCs w:val="16"/>
          <w:b w:val="1"/>
          <w:bCs w:val="1"/>
          <w:color w:val="auto"/>
        </w:rPr>
        <w:t>.</w:t>
      </w:r>
    </w:p>
    <w:p>
      <w:pPr>
        <w:spacing w:after="0" w:line="164" w:lineRule="exact"/>
        <w:rPr>
          <w:sz w:val="20"/>
          <w:szCs w:val="20"/>
          <w:color w:val="auto"/>
        </w:rPr>
      </w:pPr>
    </w:p>
    <w:p>
      <w:pPr>
        <w:jc w:val="both"/>
        <w:ind w:left="580" w:right="40" w:firstLine="448"/>
        <w:spacing w:after="0" w:line="256" w:lineRule="auto"/>
        <w:tabs>
          <w:tab w:leader="none" w:pos="1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 subscription agreement authorizing payroll deductions on the form provided by the Company (the “Participation Form”) and filing the Participation Form with the Company’s Human Resources Department or the stock brokerage or other financial services firm designated by the Company (“Designated Broker”) not less than five (5) days before the Offering Date of the first Offering in which the Participant wishes to participate.</w:t>
      </w:r>
    </w:p>
    <w:p>
      <w:pPr>
        <w:spacing w:after="0" w:line="129" w:lineRule="exact"/>
        <w:rPr>
          <w:rFonts w:ascii="Arial" w:cs="Arial" w:eastAsia="Arial" w:hAnsi="Arial"/>
          <w:sz w:val="18"/>
          <w:szCs w:val="18"/>
          <w:color w:val="auto"/>
        </w:rPr>
      </w:pPr>
    </w:p>
    <w:p>
      <w:pPr>
        <w:ind w:left="580" w:right="160" w:firstLine="448"/>
        <w:spacing w:after="0" w:line="306" w:lineRule="auto"/>
        <w:tabs>
          <w:tab w:leader="none" w:pos="144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as provided in Section 7(a) below, payroll deductions for a Participant shall begin with the first payroll following the applicable Offering Date, and shall continue until the termination date of the Plan, subject to earlier termination by the Participant as provided in Section 11 below or increases or decreases by the Participant in the amount of payroll deductions as provided in Section 7(c) below.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74" w:right="259" w:bottom="1440" w:gutter="0" w:footer="0" w:header="0"/>
        </w:sectPr>
      </w:pPr>
    </w:p>
    <w:bookmarkStart w:id="106" w:name="page107"/>
    <w:bookmarkEnd w:id="106"/>
    <w:p>
      <w:pPr>
        <w:ind w:left="580"/>
        <w:spacing w:after="0"/>
        <w:tabs>
          <w:tab w:leader="none" w:pos="14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Payroll Deductions.</w:t>
      </w:r>
    </w:p>
    <w:p>
      <w:pPr>
        <w:spacing w:after="0" w:line="164" w:lineRule="exact"/>
        <w:rPr>
          <w:sz w:val="20"/>
          <w:szCs w:val="20"/>
          <w:color w:val="auto"/>
        </w:rPr>
      </w:pPr>
    </w:p>
    <w:p>
      <w:pPr>
        <w:ind w:left="580" w:firstLine="448"/>
        <w:spacing w:after="0" w:line="256" w:lineRule="auto"/>
        <w:tabs>
          <w:tab w:leader="none" w:pos="14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completing and filing a Participation Form, a Participant shall elect to have payroll deductions made from the Participant’s total Compensation (in whole percentages from 1% to a maximum of 15% of the Participant’s total Compensation) on each payday during the time he or she is a Participant in the Plan in such amount as he or she shall designate on the Participation Form; provided, however, that no Participant’s payroll deductions shall be less than $10.00 per pay period.</w:t>
      </w:r>
    </w:p>
    <w:p>
      <w:pPr>
        <w:spacing w:after="0" w:line="129" w:lineRule="exact"/>
        <w:rPr>
          <w:rFonts w:ascii="Arial" w:cs="Arial" w:eastAsia="Arial" w:hAnsi="Arial"/>
          <w:sz w:val="18"/>
          <w:szCs w:val="18"/>
          <w:color w:val="auto"/>
        </w:rPr>
      </w:pPr>
    </w:p>
    <w:p>
      <w:pPr>
        <w:ind w:left="580" w:right="160" w:firstLine="448"/>
        <w:spacing w:after="0" w:line="306" w:lineRule="auto"/>
        <w:tabs>
          <w:tab w:leader="none" w:pos="143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payroll deductions authorized by a Participant shall be credited to an account established under the Plan for the Participant. The monies represented by such account shall be held as part of the Company’s general assets, usable for any corporate purpose, and the Company shall not be obligated to segregate such monies. A Participant may not make any separate cash payment or contribution to such account.</w:t>
      </w:r>
    </w:p>
    <w:p>
      <w:pPr>
        <w:spacing w:after="0" w:line="93" w:lineRule="exact"/>
        <w:rPr>
          <w:rFonts w:ascii="Arial" w:cs="Arial" w:eastAsia="Arial" w:hAnsi="Arial"/>
          <w:sz w:val="16"/>
          <w:szCs w:val="16"/>
          <w:color w:val="auto"/>
        </w:rPr>
      </w:pPr>
    </w:p>
    <w:p>
      <w:pPr>
        <w:jc w:val="both"/>
        <w:ind w:left="580" w:right="40" w:firstLine="448"/>
        <w:spacing w:after="0" w:line="256" w:lineRule="auto"/>
        <w:tabs>
          <w:tab w:leader="none" w:pos="14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increases or decreases of the amount of payroll deductions for a Participant may be made during an Offering. A Participant may increase or decrease the amount of the Participant’s payroll deductions under the Plan for subsequent Offerings by completing an amended Participation Form and filing it with the Company’s Human Resources Department or Designated Broker not less than five (5) days prior to the Offering Date as of which such increase or decrease is to be effective.</w:t>
      </w:r>
    </w:p>
    <w:p>
      <w:pPr>
        <w:spacing w:after="0" w:line="129" w:lineRule="exact"/>
        <w:rPr>
          <w:rFonts w:ascii="Arial" w:cs="Arial" w:eastAsia="Arial" w:hAnsi="Arial"/>
          <w:sz w:val="18"/>
          <w:szCs w:val="18"/>
          <w:color w:val="auto"/>
        </w:rPr>
      </w:pPr>
    </w:p>
    <w:p>
      <w:pPr>
        <w:ind w:left="1440" w:hanging="412"/>
        <w:spacing w:after="0"/>
        <w:tabs>
          <w:tab w:leader="none" w:pos="1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Participant may discontinue the Participant’s participation in the Plan at any time as provided in Section 11 below.</w:t>
      </w:r>
    </w:p>
    <w:p>
      <w:pPr>
        <w:spacing w:after="0" w:line="219"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Grant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each Offering Date, each eligible Employee who is then a Participant shall be granted (by operation of the Plan)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purchase as many full shares of Common Stock at the Option Price as he or she will be able to purchase with (a) the payroll deductions credited to the Participant’s account during the Participant’s participation in the Offering beginning on such Offering Date and (b) the balance (if any) carried forward from the Employee’s payroll deduction account from the preceding Offering. Notwithstanding the foregoing, in no event may the number of shares purchased by any Employee during an Offering exceed 2,000 shares of Common Stock. The option price per share of such shares (the “Option Price”) shall be equal to the lesser of: (a) 90% of the Fair Market Value of one share of Common Stock on the Offering Date or (b) 90% of the Fair Market Value of one share of Common Stock on the Purchase Date.</w:t>
      </w:r>
    </w:p>
    <w:p>
      <w:pPr>
        <w:spacing w:after="0" w:line="195"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u w:val="single" w:color="auto"/>
          <w:color w:val="auto"/>
        </w:rPr>
        <w:t>Exercise of Option</w:t>
      </w:r>
      <w:r>
        <w:rPr>
          <w:rFonts w:ascii="Arial" w:cs="Arial" w:eastAsia="Arial" w:hAnsi="Arial"/>
          <w:sz w:val="15"/>
          <w:szCs w:val="15"/>
          <w:color w:val="auto"/>
        </w:rPr>
        <w:t>.</w:t>
      </w:r>
    </w:p>
    <w:p>
      <w:pPr>
        <w:spacing w:after="0" w:line="164" w:lineRule="exact"/>
        <w:rPr>
          <w:sz w:val="20"/>
          <w:szCs w:val="20"/>
          <w:color w:val="auto"/>
        </w:rPr>
      </w:pPr>
    </w:p>
    <w:p>
      <w:pPr>
        <w:ind w:left="580" w:right="20" w:firstLine="448"/>
        <w:spacing w:after="0" w:line="256" w:lineRule="auto"/>
        <w:tabs>
          <w:tab w:leader="none" w:pos="143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Unless a Participant gives written notice to the Company as provided in Section 9(d) below or withdraws from the Plan pursuant to Section 11 below, the Participant’s option for the purchase of shares of Common Stock granted for an Offering will be exercised automatically at the Purchase Date of such Offering for the purchase of the number of full shares of Common Stock that the accumulated payroll deductions in the Participant’s account on such Purchase Date will purchase at the applicable Option Price.</w:t>
      </w:r>
    </w:p>
    <w:p>
      <w:pPr>
        <w:spacing w:after="0" w:line="129" w:lineRule="exact"/>
        <w:rPr>
          <w:rFonts w:ascii="Arial" w:cs="Arial" w:eastAsia="Arial" w:hAnsi="Arial"/>
          <w:sz w:val="18"/>
          <w:szCs w:val="18"/>
          <w:color w:val="auto"/>
        </w:rPr>
      </w:pPr>
    </w:p>
    <w:p>
      <w:pPr>
        <w:ind w:left="580" w:right="180" w:firstLine="448"/>
        <w:spacing w:after="0" w:line="290" w:lineRule="auto"/>
        <w:tabs>
          <w:tab w:leader="none" w:pos="143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Participant may only purchase one or more full shares in connection with the automatic exercise of an option granted for any Offering. That portion of any balance remaining in a Participant’s payroll deduction account at the close of business on the Purchase Date of any Offering that is less than the purchase price of one full share will be carried forward into the Participant’s payroll deduction account for the following Offering. In no event will the balance carried forward be equal to or greater than the purchase price of one share on the Purchase Date of an Offering. Notwithstanding the foregoing, the Committee may determine, in its sole discretion, that in lieu of carrying such cash balances forward, such balances will be deemed to have purchased such number of fractional shares of Common Stock as would then be purchasable at the applicable Option Price, with such fractional shares calculated to the fourth (4th) decimal place.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07" w:name="page108"/>
    <w:bookmarkEnd w:id="107"/>
    <w:p>
      <w:pPr>
        <w:jc w:val="both"/>
        <w:ind w:firstLine="448"/>
        <w:spacing w:after="0" w:line="298" w:lineRule="auto"/>
        <w:tabs>
          <w:tab w:leader="none" w:pos="85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Participant (or any person claiming through such Participant) shall have any interest in any Common Stock subject to an option under the Plan until such option has been exercised, at which point such interest shall be limited to the interest of a purchaser of the Common Stock purchased upon such exercise pending the delivery or credit of such Common Stock in accordance with Section 10 below. During the Participant’s lifetime, a Participant’s option to purchase shares of Common Stock under the Plan is exercisable only by the Participant.</w:t>
      </w:r>
    </w:p>
    <w:p>
      <w:pPr>
        <w:spacing w:after="0" w:line="99" w:lineRule="exact"/>
        <w:rPr>
          <w:rFonts w:ascii="Arial" w:cs="Arial" w:eastAsia="Arial" w:hAnsi="Arial"/>
          <w:sz w:val="16"/>
          <w:szCs w:val="16"/>
          <w:color w:val="auto"/>
        </w:rPr>
      </w:pPr>
    </w:p>
    <w:p>
      <w:pPr>
        <w:ind w:right="340" w:firstLine="448"/>
        <w:spacing w:after="0" w:line="259" w:lineRule="auto"/>
        <w:tabs>
          <w:tab w:leader="none" w:pos="8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written notice to the Company prior to the Purchase Date of any Offering, a Participant may elect, effective on such Purchase Date to withdraw all of the accumulated payroll deductions in the Participant’s account as of the Purchase Date (which withdrawal may, but need not, also constitute a notice of termination and withdrawal pursuant to Section 11(a)).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w:t>
      </w:r>
    </w:p>
    <w:p>
      <w:pPr>
        <w:spacing w:after="0" w:line="164" w:lineRule="exact"/>
        <w:rPr>
          <w:sz w:val="20"/>
          <w:szCs w:val="20"/>
          <w:color w:val="auto"/>
        </w:rPr>
      </w:pPr>
    </w:p>
    <w:p>
      <w:pPr>
        <w:ind w:right="120" w:firstLine="448"/>
        <w:spacing w:after="0" w:line="268" w:lineRule="auto"/>
        <w:tabs>
          <w:tab w:leader="none" w:pos="8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provided in paragraph (b) below, as promptly as practicable after the Purchase Date of each Offering, the Company will deliver to each Participant, as appropriate, either:</w:t>
      </w:r>
    </w:p>
    <w:p>
      <w:pPr>
        <w:spacing w:after="0" w:line="212" w:lineRule="exact"/>
        <w:rPr>
          <w:rFonts w:ascii="Arial" w:cs="Arial" w:eastAsia="Arial" w:hAnsi="Arial"/>
          <w:sz w:val="18"/>
          <w:szCs w:val="18"/>
          <w:color w:val="auto"/>
        </w:rPr>
      </w:pPr>
    </w:p>
    <w:p>
      <w:pPr>
        <w:ind w:left="580" w:firstLine="435"/>
        <w:spacing w:after="0" w:line="259" w:lineRule="auto"/>
        <w:tabs>
          <w:tab w:leader="none" w:pos="140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certificate representing the shares of Common Stock purchased upon exercise of the Participant’s option granted for such Offering, registered in the name of the Participant or, if the Participant so directs on the Participant’s Participation Form, in the names of the Participant and the Participant’s spouse; or</w:t>
      </w:r>
    </w:p>
    <w:p>
      <w:pPr>
        <w:spacing w:after="0" w:line="126" w:lineRule="exact"/>
        <w:rPr>
          <w:rFonts w:ascii="Arial" w:cs="Arial" w:eastAsia="Arial" w:hAnsi="Arial"/>
          <w:sz w:val="18"/>
          <w:szCs w:val="18"/>
          <w:color w:val="auto"/>
        </w:rPr>
      </w:pPr>
    </w:p>
    <w:p>
      <w:pPr>
        <w:ind w:left="580" w:right="640" w:firstLine="435"/>
        <w:spacing w:after="0" w:line="268" w:lineRule="auto"/>
        <w:tabs>
          <w:tab w:leader="none" w:pos="145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the Participant makes an election pursuant to Section 9(d) for the Offering, a cash payment equal to the total of the payroll deductions credited to the Participant’s account.</w:t>
      </w:r>
    </w:p>
    <w:p>
      <w:pPr>
        <w:spacing w:after="0" w:line="212" w:lineRule="exact"/>
        <w:rPr>
          <w:rFonts w:ascii="Arial" w:cs="Arial" w:eastAsia="Arial" w:hAnsi="Arial"/>
          <w:sz w:val="18"/>
          <w:szCs w:val="18"/>
          <w:color w:val="auto"/>
        </w:rPr>
      </w:pPr>
    </w:p>
    <w:p>
      <w:pPr>
        <w:ind w:right="20" w:firstLine="448"/>
        <w:spacing w:after="0" w:line="288" w:lineRule="auto"/>
        <w:tabs>
          <w:tab w:leader="none" w:pos="86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Notwithstanding paragraph (a) above, in lieu of delivering certificates to each of the Participants with respect to shares of Common Stock purchased in connection with an Offering, the Company may deliver a certificate to a third party representing an aggregate of all of the shares of Common Stock purchased in connection with the Offering (including an aggregate of all of the fractional shares deemed to have been purchased pursuant to Section 9(b), if applicable) rounded down to the nearest full share, plus cash in an amount equal to the Option Price multiplied by any remaining fractional share deemed to have been purchased pursuant to Section 9(b), if applicable, which shares will be held for the benefit of the Participants in accordance with their respective interests, and will deliver a statement of account to each Participant indicating the number of shares of Common Stock purchased by that Participant in connection with that Offering. In the event shares are held for the benefit of Participants, all full shares purchased and fractional shares deemed to have been purchased by a Participant in an Offering and in any subsequent Offerings will accumulate for the benefit of the Participant until the Participant’s withdrawal or termination pursuant to Section 11.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Withdrawal; Termination of Employment</w:t>
      </w:r>
      <w:r>
        <w:rPr>
          <w:rFonts w:ascii="Arial" w:cs="Arial" w:eastAsia="Arial" w:hAnsi="Arial"/>
          <w:sz w:val="18"/>
          <w:szCs w:val="18"/>
          <w:b w:val="1"/>
          <w:bCs w:val="1"/>
          <w:color w:val="auto"/>
        </w:rPr>
        <w:t>.</w:t>
      </w:r>
    </w:p>
    <w:p>
      <w:pPr>
        <w:spacing w:after="0" w:line="164" w:lineRule="exact"/>
        <w:rPr>
          <w:sz w:val="20"/>
          <w:szCs w:val="20"/>
          <w:color w:val="auto"/>
        </w:rPr>
      </w:pPr>
    </w:p>
    <w:p>
      <w:pPr>
        <w:ind w:right="40" w:firstLine="448"/>
        <w:spacing w:after="0" w:line="255" w:lineRule="auto"/>
        <w:tabs>
          <w:tab w:leader="none" w:pos="8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Participant may terminate the Participant’s participation in the Plan and withdraw all, but not less than all, the payroll deductions credited to the Participant’s account under the Plan at any time prior to the Purchase Date of an Offering, for such Offering, by giving written notice to the Company’s Human Resources Department or Designated Broker no later than five (5) days prior to the end of the offering period. Such notice shall state that the Participant wishes to terminate the Participant’s involvement in the Plan, specify a termination date and request the withdrawal of all of the Participant’s payroll deductions held under the Plan.</w:t>
      </w:r>
    </w:p>
    <w:p>
      <w:pPr>
        <w:spacing w:after="0" w:line="19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820" w:top="374" w:right="259" w:bottom="1440" w:gutter="0" w:footer="0" w:header="0"/>
        </w:sectPr>
      </w:pPr>
    </w:p>
    <w:bookmarkStart w:id="108" w:name="page109"/>
    <w:bookmarkEnd w:id="108"/>
    <w:p>
      <w:pPr>
        <w:ind w:left="140" w:right="20"/>
        <w:spacing w:after="0" w:line="255" w:lineRule="auto"/>
        <w:rPr>
          <w:sz w:val="20"/>
          <w:szCs w:val="20"/>
          <w:color w:val="auto"/>
        </w:rPr>
      </w:pPr>
      <w:r>
        <w:rPr>
          <w:rFonts w:ascii="Arial" w:cs="Arial" w:eastAsia="Arial" w:hAnsi="Arial"/>
          <w:sz w:val="18"/>
          <w:szCs w:val="18"/>
          <w:color w:val="auto"/>
        </w:rPr>
        <w:t>All of the Participant’s payroll deductions credited to the Participant’s account will be paid to the Participant as soon as practicable after the termination date specified in the notice of termination and withdrawal (or, if no such date is specified, as soon as practical after receipt of the Participant’s notice of termination and withdrawal), and the Participant’s option for such Offering will be automatically canceled, and no further payroll deductions for the purchase of shares of Common Stock will be made for such Offering or for any subsequent Offering, except in accordance with a new Participation Form filed pursuant to Section 6 above.</w:t>
      </w:r>
    </w:p>
    <w:p>
      <w:pPr>
        <w:spacing w:after="0" w:line="129" w:lineRule="exact"/>
        <w:rPr>
          <w:sz w:val="20"/>
          <w:szCs w:val="20"/>
          <w:color w:val="auto"/>
        </w:rPr>
      </w:pPr>
    </w:p>
    <w:p>
      <w:pPr>
        <w:ind w:left="140" w:firstLine="448"/>
        <w:spacing w:after="0" w:line="286" w:lineRule="auto"/>
        <w:tabs>
          <w:tab w:leader="none" w:pos="100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Upon termination of a Participant’s employment for any reason, including retirement or death, the payroll deductions accumulated in the Participant’s account will be returned to the Participant as soon as practicable after such termination or, in the case of the Participant’s death, to the person or persons entitled thereto under Section 14 below, and the Participant’s option will be automatically canceled. In the event that shares are held for the benefit of Participants pursuant to Section 10(b), then upon the termination of a Participant’s employment for any reason, including retirement or death, the Participant, or, in the case of death, the Participant’s designated beneficiary (if allowed by the Committee) or the executor or administrator of the Participant’s estate will be entitled to receive, a certificate representing the number of full shares of Common Stock held for the benefit of the Participant plus cash in an amount equal to the Fair Market Value of any remaining fractional share deemed to have been purchased. In any event, Fair Market Value will be determined as of such termination and such certificate will be delivered and such amounts paid as soon thereafter as practicable. For purposes of the Plan, the termination date of employment shall be the Participant’s last date of actual employment and shall not include any period during which such Participant receives any severance payments. A transfer of employment between the Company and a Designated Subsidiary or between one Designated Subsidiary and another Designated Subsidiary, or absence or leave approved by the Company, shall not be deemed a termination of employment under this Section 11(b).</w:t>
      </w:r>
    </w:p>
    <w:p>
      <w:pPr>
        <w:spacing w:after="0" w:line="110" w:lineRule="exact"/>
        <w:rPr>
          <w:rFonts w:ascii="Arial" w:cs="Arial" w:eastAsia="Arial" w:hAnsi="Arial"/>
          <w:sz w:val="16"/>
          <w:szCs w:val="16"/>
          <w:color w:val="auto"/>
        </w:rPr>
      </w:pPr>
    </w:p>
    <w:p>
      <w:pPr>
        <w:jc w:val="both"/>
        <w:ind w:left="140" w:right="480" w:firstLine="448"/>
        <w:spacing w:after="0" w:line="259" w:lineRule="auto"/>
        <w:tabs>
          <w:tab w:leader="none" w:pos="9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Participant’s termination and withdrawal pursuant to Section 11(a) above will not have any effect upon the Participant’s eligibility to participate in a subsequent Offering by completing and filing a new Participation Form pursuant to Section 6 above or in any similar plan that may hereafter be adopted by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No interest shall accrue on a Participant’s payroll deductions under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Stock Subject to the Plan</w:t>
      </w:r>
      <w:r>
        <w:rPr>
          <w:rFonts w:ascii="Arial" w:cs="Arial" w:eastAsia="Arial" w:hAnsi="Arial"/>
          <w:sz w:val="18"/>
          <w:szCs w:val="18"/>
          <w:b w:val="1"/>
          <w:bCs w:val="1"/>
          <w:color w:val="auto"/>
        </w:rPr>
        <w:t>.</w:t>
      </w:r>
    </w:p>
    <w:p>
      <w:pPr>
        <w:spacing w:after="0" w:line="164" w:lineRule="exact"/>
        <w:rPr>
          <w:sz w:val="20"/>
          <w:szCs w:val="20"/>
          <w:color w:val="auto"/>
        </w:rPr>
      </w:pPr>
    </w:p>
    <w:p>
      <w:pPr>
        <w:ind w:left="140" w:right="20" w:firstLine="448"/>
        <w:spacing w:after="0" w:line="289" w:lineRule="auto"/>
        <w:tabs>
          <w:tab w:leader="none" w:pos="99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shall be reserved for sale under the Plan shall be 100,000 shares, subject to adjustment upon changes in capitalization of the Company as provided in Section 13(b) below. The shares to be sold to Participants under the Plan may be, at the election of the Company, either treasury shares or shares authorized but unissued. If the total number of shares of Common Stock that would otherwise be subject to options granted pursuant to Section 8 above on any Purchase Date exceeds the number of shares then available under the Plan (after deduction of all shares for which options have been exercised or are then outstanding), the Company shall make a pro rata allocation of the shares of Common Stock remaining available for issuance in as uniform and equitable a manner as is practicable. In such event, the Company shall give written notice of such reduction of the number of shares subject to the option to each Participant affected thereby and shall return any excess funds accumulated in each Participant’s account as soon as practicable after the Purchase Date of such Offering.</w:t>
      </w:r>
    </w:p>
    <w:p>
      <w:pPr>
        <w:spacing w:after="0" w:line="1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680" w:top="374" w:right="259" w:bottom="1440" w:gutter="0" w:footer="0" w:header="0"/>
        </w:sectPr>
      </w:pPr>
    </w:p>
    <w:bookmarkStart w:id="109" w:name="page110"/>
    <w:bookmarkEnd w:id="109"/>
    <w:p>
      <w:pPr>
        <w:ind w:left="1460" w:hanging="432"/>
        <w:spacing w:after="0"/>
        <w:tabs>
          <w:tab w:leader="none" w:pos="1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of any reorganization, merger, consolidation, recapitalization, liquidation, reclassification, stock dividend, stock split,</w:t>
      </w:r>
    </w:p>
    <w:p>
      <w:pPr>
        <w:spacing w:after="0" w:line="38" w:lineRule="exact"/>
        <w:rPr>
          <w:rFonts w:ascii="Arial" w:cs="Arial" w:eastAsia="Arial" w:hAnsi="Arial"/>
          <w:sz w:val="16"/>
          <w:szCs w:val="16"/>
          <w:color w:val="auto"/>
        </w:rPr>
      </w:pPr>
    </w:p>
    <w:p>
      <w:pPr>
        <w:ind w:left="580"/>
        <w:spacing w:after="0" w:line="292" w:lineRule="auto"/>
        <w:rPr>
          <w:rFonts w:ascii="Arial" w:cs="Arial" w:eastAsia="Arial" w:hAnsi="Arial"/>
          <w:sz w:val="16"/>
          <w:szCs w:val="16"/>
          <w:color w:val="auto"/>
        </w:rPr>
      </w:pPr>
      <w:r>
        <w:rPr>
          <w:rFonts w:ascii="Arial" w:cs="Arial" w:eastAsia="Arial" w:hAnsi="Arial"/>
          <w:sz w:val="16"/>
          <w:szCs w:val="16"/>
          <w:color w:val="auto"/>
        </w:rPr>
        <w:t>combination of shares, rights offering, divestiture or extraordinary dividend (including a spin-off) or any other similar change in the corporate structure or shares of the Company, the Committee (or, if the Company is not the surviving corporation in any such transaction, the board of directors of the surviving corporation) will make appropriate adjustment (which determination will be conclusive) as to the number and kind of securities or other property (including cash) available for issuance or payment under the Plan and, in order to prevent dilution or enlargement of the rights of Participants, the number and kind of securities or other property (including cash) subject to, and the exercise price of, outstanding options.</w:t>
      </w:r>
    </w:p>
    <w:p>
      <w:pPr>
        <w:spacing w:after="0" w:line="103" w:lineRule="exact"/>
        <w:rPr>
          <w:rFonts w:ascii="Arial" w:cs="Arial" w:eastAsia="Arial" w:hAnsi="Arial"/>
          <w:sz w:val="16"/>
          <w:szCs w:val="16"/>
          <w:color w:val="auto"/>
        </w:rPr>
      </w:pPr>
    </w:p>
    <w:p>
      <w:pPr>
        <w:ind w:left="580" w:right="160" w:firstLine="448"/>
        <w:spacing w:after="0" w:line="256" w:lineRule="auto"/>
        <w:tabs>
          <w:tab w:leader="none" w:pos="14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event that Participants are deemed to have purchased fractional shares of Common Stock pursuant to Section 9(b), the aggregate of such fractional share interests at any given time will be applied to reduce the maximum number of shares of Common Stock remaining available for issuance under the Plan; provided, however, that any fractional shares that are paid out to a Participant in cash pursuant to Section 11 will automatically again become available for issuance under the Plan.</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Designation of Beneficiary</w:t>
      </w:r>
      <w:r>
        <w:rPr>
          <w:rFonts w:ascii="Arial" w:cs="Arial" w:eastAsia="Arial" w:hAnsi="Arial"/>
          <w:sz w:val="18"/>
          <w:szCs w:val="18"/>
          <w:b w:val="1"/>
          <w:bCs w:val="1"/>
          <w:color w:val="auto"/>
        </w:rPr>
        <w:t>.</w:t>
      </w:r>
    </w:p>
    <w:p>
      <w:pPr>
        <w:spacing w:after="0" w:line="164" w:lineRule="exact"/>
        <w:rPr>
          <w:sz w:val="20"/>
          <w:szCs w:val="20"/>
          <w:color w:val="auto"/>
        </w:rPr>
      </w:pPr>
    </w:p>
    <w:p>
      <w:pPr>
        <w:ind w:left="580" w:right="80" w:firstLine="448"/>
        <w:spacing w:after="0" w:line="259" w:lineRule="auto"/>
        <w:tabs>
          <w:tab w:leader="none" w:pos="143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discretion of the Committee, a Participant may file written designation of a beneficiary who is to receive shares of Common Stock and/or cash, if any, from the Participant’s account under the Plan in the event of such Participant’s death at a time when cash or shares of Common Stock are held for the Participant’s account.</w:t>
      </w:r>
    </w:p>
    <w:p>
      <w:pPr>
        <w:spacing w:after="0" w:line="126" w:lineRule="exact"/>
        <w:rPr>
          <w:rFonts w:ascii="Arial" w:cs="Arial" w:eastAsia="Arial" w:hAnsi="Arial"/>
          <w:sz w:val="18"/>
          <w:szCs w:val="18"/>
          <w:color w:val="auto"/>
        </w:rPr>
      </w:pPr>
    </w:p>
    <w:p>
      <w:pPr>
        <w:ind w:left="580" w:firstLine="448"/>
        <w:spacing w:after="0" w:line="254" w:lineRule="auto"/>
        <w:tabs>
          <w:tab w:leader="none" w:pos="14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written notice. In the event of the death of a Participant in the absence of a valid designation of a beneficiary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discretion, may deliver such shares of Common Stock and/or cash to the spouse or to any one or more dependents or relatives of the Participant; or, if no spouse, dependent or relative is known to the Company, then to such other person as the Company may designate.</w:t>
      </w:r>
    </w:p>
    <w:p>
      <w:pPr>
        <w:spacing w:after="0" w:line="192" w:lineRule="exact"/>
        <w:rPr>
          <w:sz w:val="20"/>
          <w:szCs w:val="20"/>
          <w:color w:val="auto"/>
        </w:rPr>
      </w:pPr>
    </w:p>
    <w:p>
      <w:pPr>
        <w:ind w:right="300" w:firstLine="439"/>
        <w:spacing w:after="0" w:line="301"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payroll deductions credited to a Participant’s account nor any rights with regard to the exercise of an option or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shares of Common Stock under the Plan may be assigned, transferred, pledged or otherwise disposed of in any way (other than by will, the laws of descent and distribution, or as provided in Section 14 above) by the Participant. Any such attempt at assignment, transfer, pledge or other disposition shall be without effect, except that the Company may treat such act as an election to withdraw funds in accordance with Section 11(a) above.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Share Transfer Restrictions</w:t>
      </w:r>
      <w:r>
        <w:rPr>
          <w:rFonts w:ascii="Arial" w:cs="Arial" w:eastAsia="Arial" w:hAnsi="Arial"/>
          <w:sz w:val="18"/>
          <w:szCs w:val="18"/>
          <w:b w:val="1"/>
          <w:bCs w:val="1"/>
          <w:color w:val="auto"/>
        </w:rPr>
        <w:t>.</w:t>
      </w:r>
    </w:p>
    <w:p>
      <w:pPr>
        <w:spacing w:after="0" w:line="164" w:lineRule="exact"/>
        <w:rPr>
          <w:sz w:val="20"/>
          <w:szCs w:val="20"/>
          <w:color w:val="auto"/>
        </w:rPr>
      </w:pPr>
    </w:p>
    <w:p>
      <w:pPr>
        <w:ind w:left="580" w:right="140" w:firstLine="448"/>
        <w:spacing w:after="0" w:line="268" w:lineRule="auto"/>
        <w:tabs>
          <w:tab w:leader="none" w:pos="143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Common Stock shall not be issued under the Plan unless such issuance is either registered under the Securities Act and applicable state securities laws or is exempt from such registration.</w:t>
      </w:r>
    </w:p>
    <w:p>
      <w:pPr>
        <w:spacing w:after="0" w:line="118" w:lineRule="exact"/>
        <w:rPr>
          <w:rFonts w:ascii="Arial" w:cs="Arial" w:eastAsia="Arial" w:hAnsi="Arial"/>
          <w:sz w:val="18"/>
          <w:szCs w:val="18"/>
          <w:color w:val="auto"/>
        </w:rPr>
      </w:pPr>
    </w:p>
    <w:p>
      <w:pPr>
        <w:ind w:left="580" w:right="560" w:firstLine="448"/>
        <w:spacing w:after="0" w:line="259" w:lineRule="auto"/>
        <w:tabs>
          <w:tab w:leader="none" w:pos="14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Common Stock issued under the Plan may not be sold, assigned, transferred, pledged encumbered, or otherwise disposed of (whether voluntarily or involuntarily) except pursuant to registration under the Securities Act and applicable state securities laws, or pursuant to exemptions from such registration.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74" w:right="259" w:bottom="1440" w:gutter="0" w:footer="0" w:header="0"/>
        </w:sectPr>
      </w:pPr>
    </w:p>
    <w:bookmarkStart w:id="110" w:name="page111"/>
    <w:bookmarkEnd w:id="110"/>
    <w:p>
      <w:pPr>
        <w:ind w:left="580" w:right="100" w:firstLine="448"/>
        <w:spacing w:after="0" w:line="306" w:lineRule="auto"/>
        <w:tabs>
          <w:tab w:leader="none" w:pos="143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may condition the issuance, sale or transfer of shares of Common Stock upon the receipt of any representations or agreements from the parties involved, and the placement of any legends on certificates representing shares of Common Stock, as may be deemed necessary or advisable by the Company in order to comply with such securities law or other restrictions.</w:t>
      </w:r>
    </w:p>
    <w:p>
      <w:pPr>
        <w:spacing w:after="0" w:line="155" w:lineRule="exact"/>
        <w:rPr>
          <w:sz w:val="20"/>
          <w:szCs w:val="20"/>
          <w:color w:val="auto"/>
        </w:rPr>
      </w:pPr>
    </w:p>
    <w:p>
      <w:pPr>
        <w:ind w:right="80" w:firstLine="439"/>
        <w:spacing w:after="0" w:line="301"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may be amended by the Board from time to time to the extent that the Board deems necessary or appropriate in light</w:t>
      </w:r>
      <w:r>
        <w:rPr>
          <w:rFonts w:ascii="Arial" w:cs="Arial" w:eastAsia="Arial" w:hAnsi="Arial"/>
          <w:sz w:val="16"/>
          <w:szCs w:val="16"/>
          <w:b w:val="1"/>
          <w:bCs w:val="1"/>
          <w:color w:val="auto"/>
        </w:rPr>
        <w:t xml:space="preserve"> </w:t>
      </w:r>
      <w:r>
        <w:rPr>
          <w:rFonts w:ascii="Arial" w:cs="Arial" w:eastAsia="Arial" w:hAnsi="Arial"/>
          <w:sz w:val="16"/>
          <w:szCs w:val="16"/>
          <w:color w:val="auto"/>
        </w:rPr>
        <w:t>of, and consistent with, Section 423 of the Code; provided, however, that no such amendment shall be effective, without approval of the stockholders of the Company, if stockholder approval of the amendment is then required pursuant to Rule 16b-3 under the Exchange Act or any successor rule, the rules of any stock exchange or Nasdaq if the Common Stock is then listed on such exchange or Nasdaq or similar regulatory body, or Section 423 of the Code.</w:t>
      </w:r>
    </w:p>
    <w:p>
      <w:pPr>
        <w:spacing w:after="0" w:line="157" w:lineRule="exact"/>
        <w:rPr>
          <w:sz w:val="20"/>
          <w:szCs w:val="20"/>
          <w:color w:val="auto"/>
        </w:rPr>
      </w:pPr>
    </w:p>
    <w:p>
      <w:pPr>
        <w:ind w:right="100" w:firstLine="439"/>
        <w:spacing w:after="0" w:line="262"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or other communications by a Participant to the Company in connection with the Plan shall be deemed to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when received by the Chief Financial Officer of the Company or by any other person designated by the Company for the receipt of such notices or other communications, in the form and at the location specified by the Company.</w:t>
      </w:r>
    </w:p>
    <w:p>
      <w:pPr>
        <w:spacing w:after="0" w:line="186" w:lineRule="exact"/>
        <w:rPr>
          <w:sz w:val="20"/>
          <w:szCs w:val="20"/>
          <w:color w:val="auto"/>
        </w:rPr>
      </w:pPr>
    </w:p>
    <w:p>
      <w:pPr>
        <w:jc w:val="both"/>
        <w:ind w:right="80" w:firstLine="439"/>
        <w:spacing w:after="0" w:line="26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No Right to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will interfere with or limit in any way the right of the Company or any Designated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to terminate the employment of any Employee or Participant at any time, nor confer upon any Employee or Participant any right to continue in the employ of the Company or any Designated Subsidiary.</w:t>
      </w:r>
    </w:p>
    <w:p>
      <w:pPr>
        <w:spacing w:after="0" w:line="186" w:lineRule="exact"/>
        <w:rPr>
          <w:sz w:val="20"/>
          <w:szCs w:val="20"/>
          <w:color w:val="auto"/>
        </w:rPr>
      </w:pPr>
    </w:p>
    <w:p>
      <w:pPr>
        <w:ind w:right="120" w:firstLine="439"/>
        <w:spacing w:after="0" w:line="258"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Effective Date of Plan;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effective as of November 17, 2006, the date it was adopted by the Board.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adopted by the Board subject to stockholder approval, and prior to stockholder approval shares of Common Stock may be issued under the Plan subject to such approval. The Board may terminate or suspend the Plan or the granting of options pursuant to the Plan at any time. No option will be granted after termination of the Plan.</w:t>
      </w:r>
    </w:p>
    <w:p>
      <w:pPr>
        <w:spacing w:after="0" w:line="190"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expressly provided herein or in connection with other matters of corporate governance and authority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be governed by the laws of the Company’s jurisdiction of incorporation), the validity, construction, interpretation, administration and effect of the Plan and any rules, regulations and actions relating to the Plan will be governed by and construed exclusively in accordance with the laws of the State of Minnesota, notwithstanding the conflicts of laws principles of any jurisdictions.</w:t>
      </w:r>
    </w:p>
    <w:p>
      <w:pPr>
        <w:spacing w:after="0" w:line="190" w:lineRule="exact"/>
        <w:rPr>
          <w:sz w:val="20"/>
          <w:szCs w:val="20"/>
          <w:color w:val="auto"/>
        </w:rPr>
      </w:pPr>
    </w:p>
    <w:p>
      <w:pPr>
        <w:ind w:right="300" w:firstLine="439"/>
        <w:spacing w:after="0" w:line="275"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to Sections in the Plan have been included for convenience of reference only. Except as otherwise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all references to Sections in the Plan shall be to Sections of the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4"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6"/>
          <w:szCs w:val="16"/>
          <w:b w:val="1"/>
          <w:bCs w:val="1"/>
          <w:color w:val="auto"/>
        </w:rPr>
        <w:t>NORTHERN TECHNOLOGIES INTERNATIONAL CORPORATION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STOCK PURCHASE PLAN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Payroll Deduction Authorization Form And Subscription Agreement</w:t>
      </w:r>
    </w:p>
    <w:p>
      <w:pPr>
        <w:sectPr>
          <w:pgSz w:w="11900" w:h="16838" w:orient="portrait"/>
          <w:cols w:equalWidth="0" w:num="1">
            <w:col w:w="11400"/>
          </w:cols>
          <w:pgMar w:left="240" w:top="584" w:right="259" w:bottom="1440" w:gutter="0" w:footer="0" w:header="0"/>
        </w:sectPr>
      </w:pPr>
    </w:p>
    <w:p>
      <w:pPr>
        <w:spacing w:after="0" w:line="25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______ ______</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Original Application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Change in Payroll Deduction Amount</w:t>
      </w:r>
    </w:p>
    <w:p>
      <w:pPr>
        <w:spacing w:after="0" w:line="174" w:lineRule="exact"/>
        <w:rPr>
          <w:sz w:val="20"/>
          <w:szCs w:val="20"/>
          <w:color w:val="auto"/>
        </w:rPr>
      </w:pPr>
    </w:p>
    <w:p>
      <w:pPr>
        <w:sectPr>
          <w:pgSz w:w="11900" w:h="16838" w:orient="portrait"/>
          <w:cols w:equalWidth="0" w:num="2">
            <w:col w:w="540" w:space="340"/>
            <w:col w:w="10520"/>
          </w:cols>
          <w:pgMar w:left="240" w:top="584" w:right="259" w:bottom="1440" w:gutter="0" w:footer="0" w:header="0"/>
          <w:type w:val="continuous"/>
        </w:sectPr>
      </w:pPr>
    </w:p>
    <w:p>
      <w:pPr>
        <w:ind w:left="580" w:hanging="572"/>
        <w:spacing w:after="0" w:line="370" w:lineRule="auto"/>
        <w:tabs>
          <w:tab w:leader="none" w:pos="5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___________________________________ hereby elects to participate in the Northern Technologies International Corporation Employee Stock Purchase Plan (the “Plan”) and subscribes to purchase shares of the Company’s Common Stock (the “Shares”) according to this Agreement and the Plan.</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I hereby authorize payroll deductions, beginning ____________, 20__, from each paycheck in the amount of $_______________ (may not exceed 15%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 total compensation on each payday) in accordance with the Plan.</w:t>
      </w:r>
    </w:p>
    <w:p>
      <w:pPr>
        <w:spacing w:after="0" w:line="151" w:lineRule="exact"/>
        <w:rPr>
          <w:sz w:val="20"/>
          <w:szCs w:val="20"/>
          <w:color w:val="auto"/>
        </w:rPr>
      </w:pPr>
    </w:p>
    <w:p>
      <w:pPr>
        <w:ind w:left="580" w:right="200" w:hanging="572"/>
        <w:spacing w:after="0" w:line="306" w:lineRule="auto"/>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understand that such payroll deductions will be accumulated to purchase shares according to the Plan, and that shares will be purchased for me automatically at the end of each offering period under the Plan unless I withdraw my accumulated payroll deductions, withdraw from the Plan, or both, by giving written notice to the Company prior to the end of the offering period, as provided in the Plan.</w:t>
      </w:r>
    </w:p>
    <w:p>
      <w:pPr>
        <w:spacing w:after="0" w:line="93" w:lineRule="exact"/>
        <w:rPr>
          <w:rFonts w:ascii="Arial" w:cs="Arial" w:eastAsia="Arial" w:hAnsi="Arial"/>
          <w:sz w:val="16"/>
          <w:szCs w:val="16"/>
          <w:color w:val="auto"/>
        </w:rPr>
      </w:pPr>
    </w:p>
    <w:p>
      <w:pPr>
        <w:ind w:left="580" w:hanging="572"/>
        <w:spacing w:after="0"/>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Shares purchased for me under the Plan should be issued or held in an account in the name(s) of:</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(name(s))</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(social security number)</w:t>
      </w:r>
    </w:p>
    <w:p>
      <w:pPr>
        <w:spacing w:after="0" w:line="151" w:lineRule="exact"/>
        <w:rPr>
          <w:rFonts w:ascii="Arial" w:cs="Arial" w:eastAsia="Arial" w:hAnsi="Arial"/>
          <w:sz w:val="18"/>
          <w:szCs w:val="18"/>
          <w:color w:val="auto"/>
        </w:rPr>
      </w:pPr>
    </w:p>
    <w:p>
      <w:pPr>
        <w:ind w:left="580" w:hanging="572"/>
        <w:spacing w:after="0" w:line="288" w:lineRule="auto"/>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 understand that if I dispose of any shares I receive under the Plan within two years after the first day of the offering period during which I purchased the shares, I may be treated for U.S. federal income tax purposes as having received ordinary income at the time of such disposition in an amount equal to the excess of the fair market value of the shares on the date purchased over the option price paid for the shares. </w:t>
      </w:r>
      <w:r>
        <w:rPr>
          <w:rFonts w:ascii="Arial" w:cs="Arial" w:eastAsia="Arial" w:hAnsi="Arial"/>
          <w:sz w:val="16"/>
          <w:szCs w:val="16"/>
          <w:u w:val="single" w:color="auto"/>
          <w:color w:val="auto"/>
        </w:rPr>
        <w:t>I hereby agree to notify the Company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writing within 30 days after the date of any such disposition</w:t>
      </w:r>
      <w:r>
        <w:rPr>
          <w:rFonts w:ascii="Arial" w:cs="Arial" w:eastAsia="Arial" w:hAnsi="Arial"/>
          <w:sz w:val="16"/>
          <w:szCs w:val="16"/>
          <w:color w:val="auto"/>
        </w:rPr>
        <w:t>. However, if I dispose of any such shares at any time after the expiration of the two-year holding period, I understand that I will be treated for U.S.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amount paid for the shares under the option, or (b) the excess of the fair market value of the shares on the first day of the offering period during which I purchased such shares over the option price. The remainder of the gain, if any, recognized on such disposition will be taxed at capital gains rates.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type w:val="continuous"/>
        </w:sectPr>
      </w:pPr>
    </w:p>
    <w:bookmarkStart w:id="112" w:name="page113"/>
    <w:bookmarkEnd w:id="112"/>
    <w:p>
      <w:pPr>
        <w:ind w:left="580" w:hanging="572"/>
        <w:spacing w:after="0"/>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 have read the current prospectus for the Northern Technologies International Corporation Employee Stock Purchase Plan.</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In the event of my death, I hereby designate the following as my beneficiary(ies) to receive all payments and Shares due me under the Plan:</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80010</wp:posOffset>
            </wp:positionV>
            <wp:extent cx="33020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2880"/>
        <w:spacing w:after="0"/>
        <w:tabs>
          <w:tab w:leader="none" w:pos="4580" w:val="left"/>
          <w:tab w:leader="none" w:pos="630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Middle</w:t>
      </w:r>
      <w:r>
        <w:rPr>
          <w:sz w:val="20"/>
          <w:szCs w:val="20"/>
          <w:color w:val="auto"/>
        </w:rPr>
        <w:tab/>
      </w:r>
      <w:r>
        <w:rPr>
          <w:rFonts w:ascii="Arial" w:cs="Arial" w:eastAsia="Arial" w:hAnsi="Arial"/>
          <w:sz w:val="16"/>
          <w:szCs w:val="16"/>
          <w:color w:val="auto"/>
        </w:rPr>
        <w:t>Last</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-57150</wp:posOffset>
            </wp:positionV>
            <wp:extent cx="33020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-57150</wp:posOffset>
            </wp:positionV>
            <wp:extent cx="33020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182880</wp:posOffset>
            </wp:positionV>
            <wp:extent cx="33020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422910</wp:posOffset>
            </wp:positionV>
            <wp:extent cx="33020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80010</wp:posOffset>
            </wp:positionV>
            <wp:extent cx="33020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2880"/>
        <w:spacing w:after="0"/>
        <w:tabs>
          <w:tab w:leader="none" w:pos="4580" w:val="left"/>
          <w:tab w:leader="none" w:pos="630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Middle</w:t>
      </w:r>
      <w:r>
        <w:rPr>
          <w:sz w:val="20"/>
          <w:szCs w:val="20"/>
          <w:color w:val="auto"/>
        </w:rPr>
        <w:tab/>
      </w:r>
      <w:r>
        <w:rPr>
          <w:rFonts w:ascii="Arial" w:cs="Arial" w:eastAsia="Arial" w:hAnsi="Arial"/>
          <w:sz w:val="16"/>
          <w:szCs w:val="16"/>
          <w:color w:val="auto"/>
        </w:rPr>
        <w:t>Last</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-57150</wp:posOffset>
            </wp:positionV>
            <wp:extent cx="33020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-57150</wp:posOffset>
            </wp:positionV>
            <wp:extent cx="33020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182880</wp:posOffset>
            </wp:positionV>
            <wp:extent cx="33020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422910</wp:posOffset>
            </wp:positionV>
            <wp:extent cx="33020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-57150</wp:posOffset>
            </wp:positionV>
            <wp:extent cx="47682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00"/>
          </w:cols>
          <w:pgMar w:left="240" w:top="374" w:right="12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non-employee director for an entire fiscal year receives an annual retainer of $10,000 for services rendered as a director of Northern Technologies International Corporation. Each non-employee director for a portion of the fiscal year receives a prorated portion of such annual retainer. Each non-employee director of NTIC also receives $1,000 for each Board meeting attended and $500 for each Audit Committee, Compensation Committee and Nominating Committee meeting attended. The following non-employee directors are Pierre Chenu, Mark J. Stone, Dr. Sunggyu Lee, Dr. Ramani Narayan, Mark M. Mayers, Dr. Vera Kallmeyer and Jean-Guy Coulombe.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Pursuant to the Northern Technologies International Corporation 2000 Stock Incentive Plan, each non-employee director of NTIC is automatically granted a five-year non-qualified option to purchase 2,000 shares of NTIC common stock on the first day of each fiscal year in respect to their past year’s services as a non-employee director of NTIC. Non-employee directors who are elected or appointed to the Board following the first day of the fiscal year receive an automatic grant of an option to purchase a pro rata portion of 2,000 shares of NTIC common stock calculated by dividing the number of months remaining in the fiscal year at the time of election or appointment divided by 12, which options are automatically granted at the time of their election or appointment. Each automatically granted option becomes exercisable, on a cumulative basis, with respect to 33 1/3% of the shares covered by such option on each anniversary of the date of its grant. The exercise price of such option is equal to the fair market value of a share of NTIC common stock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Travel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All of NTIC’s directors are reimbursed for travel expenses for attending meetings.</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 description of oral compensation arrangements between Northern Technologies International Corporation and the following executive officers of NTIC as of August 31, 2006:</w:t>
      </w:r>
    </w:p>
    <w:p>
      <w:pPr>
        <w:sectPr>
          <w:pgSz w:w="11900" w:h="16838" w:orient="portrait"/>
          <w:cols w:equalWidth="0" w:num="1">
            <w:col w:w="11420"/>
          </w:cols>
          <w:pgMar w:left="240" w:top="125" w:right="23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6"/>
              </w:rPr>
              <w:t>Name of</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r>
      <w:tr>
        <w:trPr>
          <w:trHeight w:val="174"/>
        </w:trPr>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Executive Officer</w:t>
            </w:r>
          </w:p>
        </w:tc>
        <w:tc>
          <w:tcPr>
            <w:tcW w:w="200" w:type="dxa"/>
            <w:vAlign w:val="bottom"/>
          </w:tcPr>
          <w:p>
            <w:pPr>
              <w:spacing w:after="0"/>
              <w:rPr>
                <w:sz w:val="15"/>
                <w:szCs w:val="15"/>
                <w:color w:val="auto"/>
              </w:rPr>
            </w:pPr>
          </w:p>
        </w:tc>
        <w:tc>
          <w:tcPr>
            <w:tcW w:w="1400" w:type="dxa"/>
            <w:vAlign w:val="bottom"/>
          </w:tcPr>
          <w:p>
            <w:pPr>
              <w:ind w:left="5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Salary</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Arrangements</w:t>
            </w:r>
          </w:p>
        </w:tc>
        <w:tc>
          <w:tcPr>
            <w:tcW w:w="2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r>
      <w:tr>
        <w:trPr>
          <w:trHeight w:val="95"/>
        </w:trPr>
        <w:tc>
          <w:tcPr>
            <w:tcW w:w="1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r>
      <w:tr>
        <w:trPr>
          <w:trHeight w:val="309"/>
        </w:trPr>
        <w:tc>
          <w:tcPr>
            <w:tcW w:w="1640" w:type="dxa"/>
            <w:vAlign w:val="bottom"/>
          </w:tcPr>
          <w:p>
            <w:pPr>
              <w:spacing w:after="0"/>
              <w:rPr>
                <w:sz w:val="20"/>
                <w:szCs w:val="20"/>
                <w:color w:val="auto"/>
              </w:rPr>
            </w:pPr>
            <w:r>
              <w:rPr>
                <w:rFonts w:ascii="Arial" w:cs="Arial" w:eastAsia="Arial" w:hAnsi="Arial"/>
                <w:sz w:val="18"/>
                <w:szCs w:val="18"/>
                <w:color w:val="auto"/>
              </w:rPr>
              <w:t>G. Patrick Lynch</w:t>
            </w:r>
          </w:p>
        </w:tc>
        <w:tc>
          <w:tcPr>
            <w:tcW w:w="2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President and</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$190,000 per year.</w:t>
            </w:r>
          </w:p>
        </w:tc>
        <w:tc>
          <w:tcPr>
            <w:tcW w:w="2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See footnote (2)</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Stock options to</w:t>
            </w: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Chief Executive</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See footnote (1)</w:t>
            </w:r>
          </w:p>
        </w:tc>
        <w:tc>
          <w:tcPr>
            <w:tcW w:w="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below</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purchase shares of</w:t>
            </w: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Officer</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below</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NTIC common stock</w:t>
            </w: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w w:val="98"/>
              </w:rPr>
              <w:t>are granted from time</w:t>
            </w: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to time in the sole</w:t>
            </w: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w w:val="97"/>
              </w:rPr>
              <w:t>discretion of the NTIC</w:t>
            </w:r>
          </w:p>
        </w:tc>
      </w:tr>
      <w:tr>
        <w:trPr>
          <w:trHeight w:val="222"/>
        </w:trPr>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Dr. Donald Kubik</w:t>
            </w:r>
          </w:p>
        </w:tc>
        <w:tc>
          <w:tcPr>
            <w:tcW w:w="1660" w:type="dxa"/>
            <w:vAlign w:val="bottom"/>
          </w:tcPr>
          <w:p>
            <w:pPr>
              <w:ind w:left="160"/>
              <w:spacing w:after="0"/>
              <w:rPr>
                <w:sz w:val="20"/>
                <w:szCs w:val="20"/>
                <w:color w:val="auto"/>
              </w:rPr>
            </w:pPr>
            <w:r>
              <w:rPr>
                <w:rFonts w:ascii="Arial" w:cs="Arial" w:eastAsia="Arial" w:hAnsi="Arial"/>
                <w:sz w:val="18"/>
                <w:szCs w:val="18"/>
                <w:color w:val="auto"/>
                <w:w w:val="96"/>
              </w:rPr>
              <w:t>Vice Chairman and</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$170,000 per year.</w:t>
            </w:r>
          </w:p>
        </w:tc>
        <w:tc>
          <w:tcPr>
            <w:tcW w:w="1500" w:type="dxa"/>
            <w:vAlign w:val="bottom"/>
          </w:tcPr>
          <w:p>
            <w:pPr>
              <w:ind w:left="140"/>
              <w:spacing w:after="0"/>
              <w:rPr>
                <w:sz w:val="20"/>
                <w:szCs w:val="20"/>
                <w:color w:val="auto"/>
              </w:rPr>
            </w:pPr>
            <w:r>
              <w:rPr>
                <w:rFonts w:ascii="Arial" w:cs="Arial" w:eastAsia="Arial" w:hAnsi="Arial"/>
                <w:sz w:val="18"/>
                <w:szCs w:val="18"/>
                <w:color w:val="auto"/>
              </w:rPr>
              <w:t>See footnote (2)</w:t>
            </w:r>
          </w:p>
        </w:tc>
        <w:tc>
          <w:tcPr>
            <w:tcW w:w="940" w:type="dxa"/>
            <w:vAlign w:val="bottom"/>
          </w:tcPr>
          <w:p>
            <w:pPr>
              <w:ind w:left="240"/>
              <w:spacing w:after="0"/>
              <w:rPr>
                <w:sz w:val="20"/>
                <w:szCs w:val="20"/>
                <w:color w:val="auto"/>
              </w:rPr>
            </w:pPr>
            <w:r>
              <w:rPr>
                <w:rFonts w:ascii="Arial" w:cs="Arial" w:eastAsia="Arial" w:hAnsi="Arial"/>
                <w:sz w:val="18"/>
                <w:szCs w:val="18"/>
                <w:color w:val="auto"/>
                <w:w w:val="78"/>
              </w:rPr>
              <w:t>See above</w:t>
            </w:r>
          </w:p>
        </w:tc>
      </w:tr>
      <w:tr>
        <w:trPr>
          <w:trHeight w:val="216"/>
        </w:trPr>
        <w:tc>
          <w:tcPr>
            <w:tcW w:w="168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Chief Technology</w:t>
            </w: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See footnote (1)</w:t>
            </w:r>
          </w:p>
        </w:tc>
        <w:tc>
          <w:tcPr>
            <w:tcW w:w="1500" w:type="dxa"/>
            <w:vAlign w:val="bottom"/>
          </w:tcPr>
          <w:p>
            <w:pPr>
              <w:ind w:left="140"/>
              <w:spacing w:after="0"/>
              <w:rPr>
                <w:sz w:val="20"/>
                <w:szCs w:val="20"/>
                <w:color w:val="auto"/>
              </w:rPr>
            </w:pPr>
            <w:r>
              <w:rPr>
                <w:rFonts w:ascii="Arial" w:cs="Arial" w:eastAsia="Arial" w:hAnsi="Arial"/>
                <w:sz w:val="18"/>
                <w:szCs w:val="18"/>
                <w:color w:val="auto"/>
              </w:rPr>
              <w:t>below</w:t>
            </w:r>
          </w:p>
        </w:tc>
        <w:tc>
          <w:tcPr>
            <w:tcW w:w="9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Officer</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below</w:t>
            </w: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58"/>
        </w:trPr>
        <w:tc>
          <w:tcPr>
            <w:tcW w:w="1680" w:type="dxa"/>
            <w:vAlign w:val="bottom"/>
          </w:tcPr>
          <w:p>
            <w:pPr>
              <w:spacing w:after="0"/>
              <w:rPr>
                <w:sz w:val="20"/>
                <w:szCs w:val="20"/>
                <w:color w:val="auto"/>
              </w:rPr>
            </w:pPr>
            <w:r>
              <w:rPr>
                <w:rFonts w:ascii="Arial" w:cs="Arial" w:eastAsia="Arial" w:hAnsi="Arial"/>
                <w:sz w:val="18"/>
                <w:szCs w:val="18"/>
                <w:color w:val="auto"/>
              </w:rPr>
              <w:t>Matthew C. Wolsfeld</w:t>
            </w:r>
          </w:p>
        </w:tc>
        <w:tc>
          <w:tcPr>
            <w:tcW w:w="1660" w:type="dxa"/>
            <w:vAlign w:val="bottom"/>
          </w:tcPr>
          <w:p>
            <w:pPr>
              <w:ind w:left="160"/>
              <w:spacing w:after="0"/>
              <w:rPr>
                <w:sz w:val="20"/>
                <w:szCs w:val="20"/>
                <w:color w:val="auto"/>
              </w:rPr>
            </w:pPr>
            <w:r>
              <w:rPr>
                <w:rFonts w:ascii="Arial" w:cs="Arial" w:eastAsia="Arial" w:hAnsi="Arial"/>
                <w:sz w:val="18"/>
                <w:szCs w:val="18"/>
                <w:color w:val="auto"/>
              </w:rPr>
              <w:t>Chief Financial</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$145,000 per year.</w:t>
            </w:r>
          </w:p>
        </w:tc>
        <w:tc>
          <w:tcPr>
            <w:tcW w:w="1500" w:type="dxa"/>
            <w:vAlign w:val="bottom"/>
          </w:tcPr>
          <w:p>
            <w:pPr>
              <w:ind w:left="140"/>
              <w:spacing w:after="0"/>
              <w:rPr>
                <w:sz w:val="20"/>
                <w:szCs w:val="20"/>
                <w:color w:val="auto"/>
              </w:rPr>
            </w:pPr>
            <w:r>
              <w:rPr>
                <w:rFonts w:ascii="Arial" w:cs="Arial" w:eastAsia="Arial" w:hAnsi="Arial"/>
                <w:sz w:val="18"/>
                <w:szCs w:val="18"/>
                <w:color w:val="auto"/>
              </w:rPr>
              <w:t>See footnote (2)</w:t>
            </w:r>
          </w:p>
        </w:tc>
        <w:tc>
          <w:tcPr>
            <w:tcW w:w="940" w:type="dxa"/>
            <w:vAlign w:val="bottom"/>
          </w:tcPr>
          <w:p>
            <w:pPr>
              <w:ind w:left="240"/>
              <w:spacing w:after="0"/>
              <w:rPr>
                <w:sz w:val="20"/>
                <w:szCs w:val="20"/>
                <w:color w:val="auto"/>
              </w:rPr>
            </w:pPr>
            <w:r>
              <w:rPr>
                <w:rFonts w:ascii="Arial" w:cs="Arial" w:eastAsia="Arial" w:hAnsi="Arial"/>
                <w:sz w:val="18"/>
                <w:szCs w:val="18"/>
                <w:color w:val="auto"/>
                <w:w w:val="78"/>
              </w:rPr>
              <w:t>See above</w:t>
            </w:r>
          </w:p>
        </w:tc>
      </w:tr>
      <w:tr>
        <w:trPr>
          <w:trHeight w:val="216"/>
        </w:trPr>
        <w:tc>
          <w:tcPr>
            <w:tcW w:w="168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Officer and</w:t>
            </w: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See footnote (1)</w:t>
            </w:r>
          </w:p>
        </w:tc>
        <w:tc>
          <w:tcPr>
            <w:tcW w:w="1500" w:type="dxa"/>
            <w:vAlign w:val="bottom"/>
          </w:tcPr>
          <w:p>
            <w:pPr>
              <w:ind w:left="140"/>
              <w:spacing w:after="0"/>
              <w:rPr>
                <w:sz w:val="20"/>
                <w:szCs w:val="20"/>
                <w:color w:val="auto"/>
              </w:rPr>
            </w:pPr>
            <w:r>
              <w:rPr>
                <w:rFonts w:ascii="Arial" w:cs="Arial" w:eastAsia="Arial" w:hAnsi="Arial"/>
                <w:sz w:val="18"/>
                <w:szCs w:val="18"/>
                <w:color w:val="auto"/>
              </w:rPr>
              <w:t>below</w:t>
            </w:r>
          </w:p>
        </w:tc>
        <w:tc>
          <w:tcPr>
            <w:tcW w:w="940" w:type="dxa"/>
            <w:vAlign w:val="bottom"/>
          </w:tcPr>
          <w:p>
            <w:pPr>
              <w:spacing w:after="0"/>
              <w:rPr>
                <w:sz w:val="18"/>
                <w:szCs w:val="18"/>
                <w:color w:val="auto"/>
              </w:rPr>
            </w:pPr>
          </w:p>
        </w:tc>
      </w:tr>
      <w:tr>
        <w:trPr>
          <w:trHeight w:val="222"/>
        </w:trPr>
        <w:tc>
          <w:tcPr>
            <w:tcW w:w="1680" w:type="dxa"/>
            <w:vAlign w:val="bottom"/>
          </w:tcPr>
          <w:p>
            <w:pPr>
              <w:spacing w:after="0"/>
              <w:rPr>
                <w:sz w:val="19"/>
                <w:szCs w:val="19"/>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Secretary</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below</w:t>
            </w: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826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NTIC’s 401(k) Plan, participants, including executive officers, may voluntarily request that NTIC reduce pre-tax compensation by up to 15% (subject to certain special limitations) and contribute such amounts to a trust. NTIC contributed an amount equal to 3.5% of the amount that each participant contributed under this plan.</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Executive officers receive other benefits received by other NTIC employees, including health, dental and life insurance benefits.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above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See above</w:t>
      </w:r>
    </w:p>
    <w:p>
      <w:pPr>
        <w:spacing w:after="0" w:line="647" w:lineRule="exact"/>
        <w:rPr>
          <w:sz w:val="20"/>
          <w:szCs w:val="20"/>
          <w:color w:val="auto"/>
        </w:rPr>
      </w:pPr>
    </w:p>
    <w:p>
      <w:pPr>
        <w:sectPr>
          <w:pgSz w:w="11900" w:h="16838" w:orient="portrait"/>
          <w:cols w:equalWidth="0" w:num="2">
            <w:col w:w="8380" w:space="200"/>
            <w:col w:w="2840"/>
          </w:cols>
          <w:pgMar w:left="240" w:top="125" w:right="239" w:bottom="1440" w:gutter="0" w:footer="0" w:header="0"/>
          <w:type w:val="continuous"/>
        </w:sectPr>
      </w:pPr>
    </w:p>
    <w:p>
      <w:pPr>
        <w:spacing w:after="0" w:line="178"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27"/>
          <w:szCs w:val="27"/>
          <w:color w:val="auto"/>
          <w:vertAlign w:val="superscript"/>
        </w:rPr>
      </w:pPr>
      <w:r>
        <w:rPr>
          <w:rFonts w:ascii="Arial" w:cs="Arial" w:eastAsia="Arial" w:hAnsi="Arial"/>
          <w:sz w:val="18"/>
          <w:szCs w:val="18"/>
          <w:color w:val="auto"/>
        </w:rPr>
        <w:t>Annual base salaries for NTIC’s executive officers are determined each year by NTIC’s Compensation Committee.</w:t>
      </w:r>
    </w:p>
    <w:p>
      <w:pPr>
        <w:spacing w:after="0" w:line="142" w:lineRule="exact"/>
        <w:rPr>
          <w:rFonts w:ascii="Arial" w:cs="Arial" w:eastAsia="Arial" w:hAnsi="Arial"/>
          <w:sz w:val="27"/>
          <w:szCs w:val="27"/>
          <w:color w:val="auto"/>
          <w:vertAlign w:val="superscript"/>
        </w:rPr>
      </w:pPr>
    </w:p>
    <w:p>
      <w:pPr>
        <w:ind w:left="460" w:right="200" w:hanging="452"/>
        <w:spacing w:after="0" w:line="203" w:lineRule="auto"/>
        <w:tabs>
          <w:tab w:leader="none" w:pos="460" w:val="left"/>
        </w:tabs>
        <w:numPr>
          <w:ilvl w:val="0"/>
          <w:numId w:val="130"/>
        </w:numPr>
        <w:rPr>
          <w:rFonts w:ascii="Arial" w:cs="Arial" w:eastAsia="Arial" w:hAnsi="Arial"/>
          <w:sz w:val="27"/>
          <w:szCs w:val="27"/>
          <w:color w:val="auto"/>
          <w:vertAlign w:val="superscript"/>
        </w:rPr>
      </w:pPr>
      <w:r>
        <w:rPr>
          <w:rFonts w:ascii="Arial" w:cs="Arial" w:eastAsia="Arial" w:hAnsi="Arial"/>
          <w:sz w:val="18"/>
          <w:szCs w:val="18"/>
          <w:color w:val="auto"/>
        </w:rPr>
        <w:t>Annual performance bonuses for NTIC’s executive officers are determined each year by NTIC’s Compensation Committee and can be comprised of cash and/or a stock bonus.</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 MODIFICATION AGREEMENT</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THIS PROMISSORY NOTE MODIFICATION AGREEMENT (“Modification”) is dated as of January 30, 2006 but is effective as of January 30, 2006, by and between </w:t>
      </w:r>
      <w:r>
        <w:rPr>
          <w:rFonts w:ascii="Arial" w:cs="Arial" w:eastAsia="Arial" w:hAnsi="Arial"/>
          <w:sz w:val="18"/>
          <w:szCs w:val="18"/>
          <w:b w:val="1"/>
          <w:bCs w:val="1"/>
          <w:color w:val="auto"/>
        </w:rPr>
        <w:t>NORTHERN TECHNOLOGIES INTERNATIONAL CORPORATION</w:t>
      </w:r>
      <w:r>
        <w:rPr>
          <w:rFonts w:ascii="Arial" w:cs="Arial" w:eastAsia="Arial" w:hAnsi="Arial"/>
          <w:sz w:val="18"/>
          <w:szCs w:val="18"/>
          <w:color w:val="auto"/>
        </w:rPr>
        <w:t xml:space="preserve"> (“Borrower” or, if more than one (1), collectively “Borrower”) and </w:t>
      </w:r>
      <w:r>
        <w:rPr>
          <w:rFonts w:ascii="Arial" w:cs="Arial" w:eastAsia="Arial" w:hAnsi="Arial"/>
          <w:sz w:val="18"/>
          <w:szCs w:val="18"/>
          <w:b w:val="1"/>
          <w:bCs w:val="1"/>
          <w:color w:val="auto"/>
        </w:rPr>
        <w:t xml:space="preserve">NATIONAL CITY BANK, a national banking association </w:t>
      </w:r>
      <w:r>
        <w:rPr>
          <w:rFonts w:ascii="Arial" w:cs="Arial" w:eastAsia="Arial" w:hAnsi="Arial"/>
          <w:sz w:val="18"/>
          <w:szCs w:val="18"/>
          <w:color w:val="auto"/>
        </w:rPr>
        <w:t>(“Bank”).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WHEREAS, Bank agreed to lend to Borrower an amount not to exceed the sum of </w:t>
      </w:r>
      <w:r>
        <w:rPr>
          <w:rFonts w:ascii="Arial" w:cs="Arial" w:eastAsia="Arial" w:hAnsi="Arial"/>
          <w:sz w:val="16"/>
          <w:szCs w:val="16"/>
          <w:b w:val="1"/>
          <w:bCs w:val="1"/>
          <w:color w:val="auto"/>
        </w:rPr>
        <w:t>One Million and 00/100 Dollars ($1,000,000.00)</w:t>
      </w:r>
      <w:r>
        <w:rPr>
          <w:rFonts w:ascii="Arial" w:cs="Arial" w:eastAsia="Arial" w:hAnsi="Arial"/>
          <w:sz w:val="16"/>
          <w:szCs w:val="16"/>
          <w:color w:val="auto"/>
        </w:rPr>
        <w:t>(“</w:t>
      </w:r>
      <w:r>
        <w:rPr>
          <w:rFonts w:ascii="Arial" w:cs="Arial" w:eastAsia="Arial" w:hAnsi="Arial"/>
          <w:sz w:val="16"/>
          <w:szCs w:val="16"/>
          <w:b w:val="1"/>
          <w:bCs w:val="1"/>
          <w:i w:val="1"/>
          <w:iCs w:val="1"/>
          <w:color w:val="auto"/>
        </w:rPr>
        <w:t>Loan</w:t>
      </w:r>
      <w:r>
        <w:rPr>
          <w:rFonts w:ascii="Arial" w:cs="Arial" w:eastAsia="Arial" w:hAnsi="Arial"/>
          <w:sz w:val="16"/>
          <w:szCs w:val="16"/>
          <w:color w:val="auto"/>
        </w:rPr>
        <w:t>”), which Loan was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evidenced by a certain </w:t>
      </w:r>
      <w:r>
        <w:rPr>
          <w:rFonts w:ascii="Arial" w:cs="Arial" w:eastAsia="Arial" w:hAnsi="Arial"/>
          <w:sz w:val="16"/>
          <w:szCs w:val="16"/>
          <w:b w:val="1"/>
          <w:bCs w:val="1"/>
          <w:color w:val="auto"/>
        </w:rPr>
        <w:t>Commercial Note: Revolving Credit</w:t>
      </w:r>
      <w:r>
        <w:rPr>
          <w:rFonts w:ascii="Arial" w:cs="Arial" w:eastAsia="Arial" w:hAnsi="Arial"/>
          <w:sz w:val="16"/>
          <w:szCs w:val="16"/>
          <w:color w:val="auto"/>
        </w:rPr>
        <w:t xml:space="preserve"> dated </w:t>
      </w:r>
      <w:r>
        <w:rPr>
          <w:rFonts w:ascii="Arial" w:cs="Arial" w:eastAsia="Arial" w:hAnsi="Arial"/>
          <w:sz w:val="16"/>
          <w:szCs w:val="16"/>
          <w:b w:val="1"/>
          <w:bCs w:val="1"/>
          <w:color w:val="auto"/>
        </w:rPr>
        <w:t>August 6, 2004</w:t>
      </w:r>
      <w:r>
        <w:rPr>
          <w:rFonts w:ascii="Arial" w:cs="Arial" w:eastAsia="Arial" w:hAnsi="Arial"/>
          <w:sz w:val="16"/>
          <w:szCs w:val="16"/>
          <w:color w:val="auto"/>
        </w:rPr>
        <w:t xml:space="preserve"> in the face amount of </w:t>
      </w:r>
      <w:r>
        <w:rPr>
          <w:rFonts w:ascii="Arial" w:cs="Arial" w:eastAsia="Arial" w:hAnsi="Arial"/>
          <w:sz w:val="16"/>
          <w:szCs w:val="16"/>
          <w:b w:val="1"/>
          <w:bCs w:val="1"/>
          <w:color w:val="auto"/>
        </w:rPr>
        <w:t>Five Hundred Thousand and 00/100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($500,000.00) </w:t>
      </w:r>
      <w:r>
        <w:rPr>
          <w:rFonts w:ascii="Arial" w:cs="Arial" w:eastAsia="Arial" w:hAnsi="Arial"/>
          <w:sz w:val="16"/>
          <w:szCs w:val="16"/>
          <w:color w:val="auto"/>
        </w:rPr>
        <w:t>(as extended, amended or otherwise modified to date, the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and a</w:t>
      </w:r>
      <w:r>
        <w:rPr>
          <w:rFonts w:ascii="Arial" w:cs="Arial" w:eastAsia="Arial" w:hAnsi="Arial"/>
          <w:sz w:val="16"/>
          <w:szCs w:val="16"/>
          <w:b w:val="1"/>
          <w:bCs w:val="1"/>
          <w:color w:val="auto"/>
        </w:rPr>
        <w:t xml:space="preserve"> Commercial Note Addendum </w:t>
      </w:r>
      <w:r>
        <w:rPr>
          <w:rFonts w:ascii="Arial" w:cs="Arial" w:eastAsia="Arial" w:hAnsi="Arial"/>
          <w:sz w:val="16"/>
          <w:szCs w:val="16"/>
          <w:color w:val="auto"/>
        </w:rPr>
        <w:t>dated</w:t>
      </w:r>
      <w:r>
        <w:rPr>
          <w:rFonts w:ascii="Arial" w:cs="Arial" w:eastAsia="Arial" w:hAnsi="Arial"/>
          <w:sz w:val="16"/>
          <w:szCs w:val="16"/>
          <w:b w:val="1"/>
          <w:bCs w:val="1"/>
          <w:color w:val="auto"/>
        </w:rPr>
        <w:t xml:space="preserve"> August 6, 2004 </w:t>
      </w:r>
      <w:r>
        <w:rPr>
          <w:rFonts w:ascii="Arial" w:cs="Arial" w:eastAsia="Arial" w:hAnsi="Arial"/>
          <w:sz w:val="16"/>
          <w:szCs w:val="16"/>
          <w:color w:val="auto"/>
        </w:rPr>
        <w:t>(the said Note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other instrument or document given in connection with or to secure the Loan being collectively referred to as “</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hereto desire to modify the Note as hereinafter provided.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foregoing promises and the covenants contained herein, the parties hereto agree as follows:</w:t>
      </w:r>
    </w:p>
    <w:p>
      <w:pPr>
        <w:spacing w:after="0" w:line="225" w:lineRule="exact"/>
        <w:rPr>
          <w:sz w:val="20"/>
          <w:szCs w:val="20"/>
          <w:color w:val="auto"/>
        </w:rPr>
      </w:pPr>
    </w:p>
    <w:p>
      <w:pPr>
        <w:ind w:left="580" w:right="380" w:hanging="572"/>
        <w:spacing w:after="0" w:line="306"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Liability of Borrower</w:t>
      </w:r>
      <w:r>
        <w:rPr>
          <w:rFonts w:ascii="Arial" w:cs="Arial" w:eastAsia="Arial" w:hAnsi="Arial"/>
          <w:sz w:val="16"/>
          <w:szCs w:val="16"/>
          <w:color w:val="auto"/>
        </w:rPr>
        <w:t>. Borrower hereby ratifies and reconfirms Borrower’s obligations and all liability to Bank under the terms and conditions of the Loan Documents and acknowledges that Borrower has no defenses to or rights of set-off against Borrower’s obligations and all liability to Bank thereunder. Borrower further acknowledges that Bank has performed all of Bank’s obligations under the Loan Documents.</w:t>
      </w:r>
    </w:p>
    <w:p>
      <w:pPr>
        <w:spacing w:after="0" w:line="93" w:lineRule="exact"/>
        <w:rPr>
          <w:rFonts w:ascii="Arial" w:cs="Arial" w:eastAsia="Arial" w:hAnsi="Arial"/>
          <w:sz w:val="16"/>
          <w:szCs w:val="16"/>
          <w:color w:val="auto"/>
        </w:rPr>
      </w:pPr>
    </w:p>
    <w:p>
      <w:pPr>
        <w:ind w:left="580" w:right="1520" w:hanging="572"/>
        <w:spacing w:after="0" w:line="422" w:lineRule="auto"/>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The Note is hereby modified to provide that the maturity date be extended from January 31, 2006 to January 31, 2007. The Commercial Note Addendum is hereby modified to eliminate section Five (5) on page two.</w:t>
      </w:r>
    </w:p>
    <w:p>
      <w:pPr>
        <w:spacing w:after="0" w:line="1" w:lineRule="exact"/>
        <w:rPr>
          <w:rFonts w:ascii="Arial" w:cs="Arial" w:eastAsia="Arial" w:hAnsi="Arial"/>
          <w:sz w:val="18"/>
          <w:szCs w:val="18"/>
          <w:color w:val="auto"/>
        </w:rPr>
      </w:pPr>
    </w:p>
    <w:p>
      <w:pPr>
        <w:ind w:left="580" w:right="80" w:hanging="572"/>
        <w:spacing w:after="0" w:line="298"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Ratification of Loan Documents</w:t>
      </w:r>
      <w:r>
        <w:rPr>
          <w:rFonts w:ascii="Arial" w:cs="Arial" w:eastAsia="Arial" w:hAnsi="Arial"/>
          <w:sz w:val="16"/>
          <w:szCs w:val="16"/>
          <w:color w:val="auto"/>
        </w:rPr>
        <w:t>. The Loan Documents are in all respects ratified and confirmed by the parties hereto and incorporated by reference herein, and each of the Loan Documents and this Modification shall be read, taken and construed as one and the same instrument. Capitalized terms used herein and not otherwise defined shall have the meanings given to them in the Note. In the event of any conflict between the terms and provisions of this Modification and the terms and provisions of the Note, the terms and provisions of this Modification shall control.</w:t>
      </w:r>
    </w:p>
    <w:p>
      <w:pPr>
        <w:spacing w:after="0" w:line="99" w:lineRule="exact"/>
        <w:rPr>
          <w:rFonts w:ascii="Arial" w:cs="Arial" w:eastAsia="Arial" w:hAnsi="Arial"/>
          <w:sz w:val="16"/>
          <w:szCs w:val="16"/>
          <w:color w:val="auto"/>
        </w:rPr>
      </w:pPr>
    </w:p>
    <w:p>
      <w:pPr>
        <w:ind w:left="580" w:right="80" w:hanging="572"/>
        <w:spacing w:after="0" w:line="335" w:lineRule="auto"/>
        <w:tabs>
          <w:tab w:leader="none" w:pos="580"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Confession of Judgment</w:t>
      </w:r>
      <w:r>
        <w:rPr>
          <w:rFonts w:ascii="Arial" w:cs="Arial" w:eastAsia="Arial" w:hAnsi="Arial"/>
          <w:sz w:val="15"/>
          <w:szCs w:val="15"/>
          <w:color w:val="auto"/>
        </w:rPr>
        <w:t>. Borrower hereby authorizes any attorney at law to appear in any state or federal court of record in the United States of America after the maturity hereof (whether occurring by lapse of time or acceleration), to waive the issuance and service of process, to admit the maturity of the Note and the amount then appearing due, to confess judgment against Borrower in favor of the holder hereof for the amount then appearing due,</w:t>
      </w:r>
    </w:p>
    <w:p>
      <w:pPr>
        <w:sectPr>
          <w:pgSz w:w="11900" w:h="16838" w:orient="portrait"/>
          <w:cols w:equalWidth="0" w:num="1">
            <w:col w:w="11420"/>
          </w:cols>
          <w:pgMar w:left="240" w:top="125" w:right="239" w:bottom="1440" w:gutter="0" w:footer="0" w:header="0"/>
        </w:sectPr>
      </w:pPr>
    </w:p>
    <w:bookmarkStart w:id="116" w:name="page117"/>
    <w:bookmarkEnd w:id="116"/>
    <w:p>
      <w:pPr>
        <w:ind w:left="580" w:right="220"/>
        <w:spacing w:after="0" w:line="259" w:lineRule="auto"/>
        <w:rPr>
          <w:sz w:val="20"/>
          <w:szCs w:val="20"/>
          <w:color w:val="auto"/>
        </w:rPr>
      </w:pPr>
      <w:r>
        <w:rPr>
          <w:rFonts w:ascii="Arial" w:cs="Arial" w:eastAsia="Arial" w:hAnsi="Arial"/>
          <w:sz w:val="18"/>
          <w:szCs w:val="18"/>
          <w:color w:val="auto"/>
        </w:rPr>
        <w:t>together with interest and costs of suit, and thereupon to release all errors and to waive all rights of appeal and stay of execution. No judgment shall bar any subsequent judgment. Should any judgment be vacated for any reason, this warrant of attorney nevertheless may thereafter be used for obtaining additional judgments.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caused this Modification to be executed as of the day and year first above written.</w:t>
      </w:r>
    </w:p>
    <w:p>
      <w:pPr>
        <w:spacing w:after="0" w:line="21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 TV GOODS, FAILURE ON HIS PART TO COMPLY WITH THE AGREEMENT, OR ANY OTHER CAUSE.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w:t>
            </w:r>
          </w:p>
        </w:tc>
        <w:tc>
          <w:tcPr>
            <w:tcW w:w="6140" w:type="dxa"/>
            <w:vAlign w:val="bottom"/>
            <w:gridSpan w:val="2"/>
          </w:tcPr>
          <w:p>
            <w:pPr>
              <w:ind w:left="880"/>
              <w:spacing w:after="0"/>
              <w:rPr>
                <w:sz w:val="20"/>
                <w:szCs w:val="20"/>
                <w:color w:val="auto"/>
              </w:rPr>
            </w:pPr>
            <w:r>
              <w:rPr>
                <w:rFonts w:ascii="Arial" w:cs="Arial" w:eastAsia="Arial" w:hAnsi="Arial"/>
                <w:sz w:val="18"/>
                <w:szCs w:val="18"/>
                <w:b w:val="1"/>
                <w:bCs w:val="1"/>
                <w:color w:val="auto"/>
              </w:rPr>
              <w:t>NATIONAL CITY BANK,</w:t>
            </w:r>
          </w:p>
        </w:tc>
      </w:tr>
      <w:tr>
        <w:trPr>
          <w:trHeight w:val="228"/>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INTERNATIONAL CORPORATION</w:t>
            </w:r>
          </w:p>
        </w:tc>
        <w:tc>
          <w:tcPr>
            <w:tcW w:w="6140" w:type="dxa"/>
            <w:vAlign w:val="bottom"/>
            <w:gridSpan w:val="2"/>
          </w:tcPr>
          <w:p>
            <w:pPr>
              <w:ind w:left="880"/>
              <w:spacing w:after="0"/>
              <w:rPr>
                <w:sz w:val="20"/>
                <w:szCs w:val="20"/>
                <w:color w:val="auto"/>
              </w:rPr>
            </w:pPr>
            <w:r>
              <w:rPr>
                <w:rFonts w:ascii="Arial" w:cs="Arial" w:eastAsia="Arial" w:hAnsi="Arial"/>
                <w:sz w:val="18"/>
                <w:szCs w:val="18"/>
                <w:b w:val="1"/>
                <w:bCs w:val="1"/>
                <w:color w:val="auto"/>
              </w:rPr>
              <w:t>a national banking association</w:t>
            </w:r>
          </w:p>
        </w:tc>
      </w:tr>
      <w:tr>
        <w:trPr>
          <w:trHeight w:val="513"/>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spacing w:after="0"/>
              <w:rPr>
                <w:sz w:val="20"/>
                <w:szCs w:val="20"/>
                <w:color w:val="auto"/>
              </w:rPr>
            </w:pPr>
            <w:r>
              <w:rPr>
                <w:rFonts w:ascii="Arial" w:cs="Arial" w:eastAsia="Arial" w:hAnsi="Arial"/>
                <w:sz w:val="18"/>
                <w:szCs w:val="18"/>
                <w:color w:val="auto"/>
              </w:rPr>
              <w:t>/s/ Matthew C. Wolsfeld</w:t>
            </w:r>
          </w:p>
        </w:tc>
        <w:tc>
          <w:tcPr>
            <w:tcW w:w="1560" w:type="dxa"/>
            <w:vAlign w:val="bottom"/>
          </w:tcPr>
          <w:p>
            <w:pPr>
              <w:ind w:left="88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/s/ Joe McMullin</w:t>
            </w:r>
          </w:p>
        </w:tc>
      </w:tr>
      <w:tr>
        <w:trPr>
          <w:trHeight w:val="110"/>
        </w:trPr>
        <w:tc>
          <w:tcPr>
            <w:tcW w:w="700" w:type="dxa"/>
            <w:vAlign w:val="bottom"/>
          </w:tcPr>
          <w:p>
            <w:pPr>
              <w:spacing w:after="0"/>
              <w:rPr>
                <w:sz w:val="9"/>
                <w:szCs w:val="9"/>
                <w:color w:val="auto"/>
              </w:rPr>
            </w:pPr>
          </w:p>
        </w:tc>
        <w:tc>
          <w:tcPr>
            <w:tcW w:w="4600" w:type="dxa"/>
            <w:vAlign w:val="bottom"/>
            <w:tcBorders>
              <w:bottom w:val="single" w:sz="8" w:color="auto"/>
            </w:tcBorders>
            <w:gridSpan w:val="2"/>
          </w:tcPr>
          <w:p>
            <w:pPr>
              <w:spacing w:after="0"/>
              <w:rPr>
                <w:sz w:val="9"/>
                <w:szCs w:val="9"/>
                <w:color w:val="auto"/>
              </w:rPr>
            </w:pPr>
          </w:p>
        </w:tc>
        <w:tc>
          <w:tcPr>
            <w:tcW w:w="156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r>
      <w:tr>
        <w:trPr>
          <w:trHeight w:val="30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gridSpan w:val="2"/>
          </w:tcPr>
          <w:p>
            <w:pPr>
              <w:spacing w:after="0"/>
              <w:rPr>
                <w:sz w:val="20"/>
                <w:szCs w:val="20"/>
                <w:color w:val="auto"/>
              </w:rPr>
            </w:pPr>
            <w:r>
              <w:rPr>
                <w:rFonts w:ascii="Arial" w:cs="Arial" w:eastAsia="Arial" w:hAnsi="Arial"/>
                <w:sz w:val="18"/>
                <w:szCs w:val="18"/>
                <w:color w:val="auto"/>
              </w:rPr>
              <w:t>Matthew C. Wolsfeld</w:t>
            </w:r>
          </w:p>
        </w:tc>
        <w:tc>
          <w:tcPr>
            <w:tcW w:w="1560" w:type="dxa"/>
            <w:vAlign w:val="bottom"/>
          </w:tcPr>
          <w:p>
            <w:pPr>
              <w:ind w:left="880"/>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b w:val="1"/>
                <w:bCs w:val="1"/>
                <w:color w:val="auto"/>
              </w:rPr>
              <w:t>Joe McMullin</w:t>
            </w:r>
          </w:p>
        </w:tc>
      </w:tr>
      <w:tr>
        <w:trPr>
          <w:trHeight w:val="228"/>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4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560" w:type="dxa"/>
            <w:vAlign w:val="bottom"/>
          </w:tcPr>
          <w:p>
            <w:pPr>
              <w:ind w:left="880"/>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b w:val="1"/>
                <w:bCs w:val="1"/>
                <w:color w:val="auto"/>
              </w:rPr>
              <w:t>Assistant Vice President</w:t>
            </w:r>
          </w:p>
        </w:tc>
      </w:tr>
      <w:tr>
        <w:trPr>
          <w:trHeight w:val="44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w w:val="99"/>
              </w:rPr>
              <w:t>STATE OF MINNESOTA</w:t>
            </w:r>
          </w:p>
        </w:tc>
        <w:tc>
          <w:tcPr>
            <w:tcW w:w="3260" w:type="dxa"/>
            <w:vAlign w:val="bottom"/>
          </w:tcPr>
          <w:p>
            <w:pPr>
              <w:jc w:val="right"/>
              <w:ind w:right="3032"/>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60" w:type="dxa"/>
            <w:vAlign w:val="bottom"/>
          </w:tcPr>
          <w:p>
            <w:pPr>
              <w:jc w:val="right"/>
              <w:ind w:right="2752"/>
              <w:spacing w:after="0"/>
              <w:rPr>
                <w:sz w:val="20"/>
                <w:szCs w:val="20"/>
                <w:color w:val="auto"/>
              </w:rPr>
            </w:pPr>
            <w:r>
              <w:rPr>
                <w:rFonts w:ascii="Arial" w:cs="Arial" w:eastAsia="Arial" w:hAnsi="Arial"/>
                <w:sz w:val="18"/>
                <w:szCs w:val="18"/>
                <w:b w:val="1"/>
                <w:bCs w:val="1"/>
                <w:color w:val="auto"/>
              </w:rPr>
              <w:t>) ss:</w:t>
            </w:r>
          </w:p>
        </w:tc>
        <w:tc>
          <w:tcPr>
            <w:tcW w:w="156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28"/>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COUNTY OF ANOKA</w:t>
            </w:r>
          </w:p>
        </w:tc>
        <w:tc>
          <w:tcPr>
            <w:tcW w:w="3260" w:type="dxa"/>
            <w:vAlign w:val="bottom"/>
          </w:tcPr>
          <w:p>
            <w:pPr>
              <w:jc w:val="right"/>
              <w:ind w:right="3012"/>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spacing w:after="0"/>
              <w:rPr>
                <w:sz w:val="19"/>
                <w:szCs w:val="19"/>
                <w:color w:val="auto"/>
              </w:rPr>
            </w:pPr>
          </w:p>
        </w:tc>
        <w:tc>
          <w:tcPr>
            <w:tcW w:w="4580" w:type="dxa"/>
            <w:vAlign w:val="bottom"/>
          </w:tcPr>
          <w:p>
            <w:pPr>
              <w:spacing w:after="0"/>
              <w:rPr>
                <w:sz w:val="19"/>
                <w:szCs w:val="19"/>
                <w:color w:val="auto"/>
              </w:rPr>
            </w:pPr>
          </w:p>
        </w:tc>
      </w:tr>
    </w:tbl>
    <w:p>
      <w:pPr>
        <w:spacing w:after="0" w:line="204" w:lineRule="exact"/>
        <w:rPr>
          <w:sz w:val="20"/>
          <w:szCs w:val="20"/>
          <w:color w:val="auto"/>
        </w:rPr>
      </w:pPr>
    </w:p>
    <w:p>
      <w:pPr>
        <w:ind w:right="60" w:firstLine="439"/>
        <w:spacing w:after="0" w:line="258" w:lineRule="auto"/>
        <w:rPr>
          <w:sz w:val="20"/>
          <w:szCs w:val="20"/>
          <w:color w:val="auto"/>
        </w:rPr>
      </w:pPr>
      <w:r>
        <w:rPr>
          <w:rFonts w:ascii="Arial" w:cs="Arial" w:eastAsia="Arial" w:hAnsi="Arial"/>
          <w:sz w:val="18"/>
          <w:szCs w:val="18"/>
          <w:b w:val="1"/>
          <w:bCs w:val="1"/>
          <w:color w:val="auto"/>
        </w:rPr>
        <w:t>BEFORE ME</w:t>
      </w:r>
      <w:r>
        <w:rPr>
          <w:rFonts w:ascii="Arial" w:cs="Arial" w:eastAsia="Arial" w:hAnsi="Arial"/>
          <w:sz w:val="18"/>
          <w:szCs w:val="18"/>
          <w:color w:val="auto"/>
        </w:rPr>
        <w:t>, a Notary Public in and for said County and State, personally appeared Matthew C. Wolsfeld as Chief Financial Officer of the above-named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w:t>
      </w:r>
      <w:r>
        <w:rPr>
          <w:rFonts w:ascii="Arial" w:cs="Arial" w:eastAsia="Arial" w:hAnsi="Arial"/>
          <w:sz w:val="18"/>
          <w:szCs w:val="18"/>
          <w:b w:val="1"/>
          <w:bCs w:val="1"/>
          <w:color w:val="auto"/>
        </w:rPr>
        <w:t>Northern Technologies International Corporation</w:t>
      </w:r>
      <w:r>
        <w:rPr>
          <w:rFonts w:ascii="Arial" w:cs="Arial" w:eastAsia="Arial" w:hAnsi="Arial"/>
          <w:sz w:val="18"/>
          <w:szCs w:val="18"/>
          <w:color w:val="auto"/>
        </w:rPr>
        <w:t xml:space="preserve"> who acknowledged that he signed the foregoing instrument for an on behalf of the Corporation, and by authority of its Board of Directors, and that the same is the free act and deed of the Corporation and the free act and deed of each of them personally and as such officers.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TESTIMONY</w:t>
      </w:r>
      <w:r>
        <w:rPr>
          <w:rFonts w:ascii="Arial" w:cs="Arial" w:eastAsia="Arial" w:hAnsi="Arial"/>
          <w:sz w:val="18"/>
          <w:szCs w:val="18"/>
          <w:color w:val="auto"/>
        </w:rPr>
        <w:t>, I set my hand and official seal, this 30</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161925</wp:posOffset>
            </wp:positionV>
            <wp:extent cx="26244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4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40"/>
          </w:cols>
          <w:pgMar w:left="240" w:top="374"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 MODIFICATION AGREEMENT</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THIS PROMISSORY NOTE MODIFICATION AGREEMENT (“</w:t>
      </w:r>
      <w:r>
        <w:rPr>
          <w:rFonts w:ascii="Arial" w:cs="Arial" w:eastAsia="Arial" w:hAnsi="Arial"/>
          <w:sz w:val="18"/>
          <w:szCs w:val="18"/>
          <w:b w:val="1"/>
          <w:bCs w:val="1"/>
          <w:i w:val="1"/>
          <w:iCs w:val="1"/>
          <w:color w:val="auto"/>
        </w:rPr>
        <w:t>Modification</w:t>
      </w:r>
      <w:r>
        <w:rPr>
          <w:rFonts w:ascii="Arial" w:cs="Arial" w:eastAsia="Arial" w:hAnsi="Arial"/>
          <w:sz w:val="18"/>
          <w:szCs w:val="18"/>
          <w:color w:val="auto"/>
        </w:rPr>
        <w:t xml:space="preserve">”) is made and entered into on </w:t>
      </w:r>
      <w:r>
        <w:rPr>
          <w:rFonts w:ascii="Arial" w:cs="Arial" w:eastAsia="Arial" w:hAnsi="Arial"/>
          <w:sz w:val="18"/>
          <w:szCs w:val="18"/>
          <w:b w:val="1"/>
          <w:bCs w:val="1"/>
          <w:color w:val="auto"/>
        </w:rPr>
        <w:t>August 24, 2006</w:t>
      </w:r>
      <w:r>
        <w:rPr>
          <w:rFonts w:ascii="Arial" w:cs="Arial" w:eastAsia="Arial" w:hAnsi="Arial"/>
          <w:sz w:val="18"/>
          <w:szCs w:val="18"/>
          <w:color w:val="auto"/>
        </w:rPr>
        <w:t xml:space="preserve"> but is effective as of </w:t>
      </w:r>
      <w:r>
        <w:rPr>
          <w:rFonts w:ascii="Arial" w:cs="Arial" w:eastAsia="Arial" w:hAnsi="Arial"/>
          <w:sz w:val="18"/>
          <w:szCs w:val="18"/>
          <w:b w:val="1"/>
          <w:bCs w:val="1"/>
          <w:color w:val="auto"/>
        </w:rPr>
        <w:t>August 24,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2006 </w:t>
      </w:r>
      <w:r>
        <w:rPr>
          <w:rFonts w:ascii="Arial" w:cs="Arial" w:eastAsia="Arial" w:hAnsi="Arial"/>
          <w:sz w:val="18"/>
          <w:szCs w:val="18"/>
          <w:color w:val="auto"/>
        </w:rPr>
        <w:t>by and among</w:t>
      </w:r>
      <w:r>
        <w:rPr>
          <w:rFonts w:ascii="Arial" w:cs="Arial" w:eastAsia="Arial" w:hAnsi="Arial"/>
          <w:sz w:val="18"/>
          <w:szCs w:val="18"/>
          <w:b w:val="1"/>
          <w:bCs w:val="1"/>
          <w:color w:val="auto"/>
        </w:rPr>
        <w:t xml:space="preserve"> Northern Technologies International Corporation </w:t>
      </w:r>
      <w:r>
        <w:rPr>
          <w:rFonts w:ascii="Arial" w:cs="Arial" w:eastAsia="Arial" w:hAnsi="Arial"/>
          <w:sz w:val="18"/>
          <w:szCs w:val="18"/>
          <w:color w:val="auto"/>
        </w:rPr>
        <w:t>(collectively “</w:t>
      </w:r>
      <w:r>
        <w:rPr>
          <w:rFonts w:ascii="Arial" w:cs="Arial" w:eastAsia="Arial" w:hAnsi="Arial"/>
          <w:sz w:val="18"/>
          <w:szCs w:val="18"/>
          <w:b w:val="1"/>
          <w:bCs w:val="1"/>
          <w:i w:val="1"/>
          <w:iCs w:val="1"/>
          <w:color w:val="auto"/>
        </w:rPr>
        <w:t>Borrower</w:t>
      </w:r>
      <w:r>
        <w:rPr>
          <w:rFonts w:ascii="Arial" w:cs="Arial" w:eastAsia="Arial" w:hAnsi="Arial"/>
          <w:sz w:val="18"/>
          <w:szCs w:val="18"/>
          <w:b w:val="1"/>
          <w:bCs w:val="1"/>
          <w:color w:val="auto"/>
        </w:rPr>
        <w:t>”</w:t>
      </w:r>
      <w:r>
        <w:rPr>
          <w:rFonts w:ascii="Arial" w:cs="Arial" w:eastAsia="Arial" w:hAnsi="Arial"/>
          <w:sz w:val="18"/>
          <w:szCs w:val="18"/>
          <w:color w:val="auto"/>
        </w:rPr>
        <w:t>) and</w:t>
      </w:r>
      <w:r>
        <w:rPr>
          <w:rFonts w:ascii="Arial" w:cs="Arial" w:eastAsia="Arial" w:hAnsi="Arial"/>
          <w:sz w:val="18"/>
          <w:szCs w:val="18"/>
          <w:b w:val="1"/>
          <w:bCs w:val="1"/>
          <w:color w:val="auto"/>
        </w:rPr>
        <w:t xml:space="preserve"> NATIONAL CITY BANK, A NATIONAL BANKING ASSOCIATION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Bank</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WHEREAS, Bank agreed to lend to Borrower an amount not to exceed the sum of </w:t>
      </w:r>
      <w:r>
        <w:rPr>
          <w:rFonts w:ascii="Arial" w:cs="Arial" w:eastAsia="Arial" w:hAnsi="Arial"/>
          <w:sz w:val="16"/>
          <w:szCs w:val="16"/>
          <w:b w:val="1"/>
          <w:bCs w:val="1"/>
          <w:color w:val="auto"/>
        </w:rPr>
        <w:t>One Million and 00/100 Dollars ($1,000,000.00)</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Loan</w:t>
      </w:r>
      <w:r>
        <w:rPr>
          <w:rFonts w:ascii="Arial" w:cs="Arial" w:eastAsia="Arial" w:hAnsi="Arial"/>
          <w:sz w:val="16"/>
          <w:szCs w:val="16"/>
          <w:color w:val="auto"/>
        </w:rPr>
        <w:t>”), which Loan was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evidenced by a certain </w:t>
      </w:r>
      <w:r>
        <w:rPr>
          <w:rFonts w:ascii="Arial" w:cs="Arial" w:eastAsia="Arial" w:hAnsi="Arial"/>
          <w:sz w:val="16"/>
          <w:szCs w:val="16"/>
          <w:b w:val="1"/>
          <w:bCs w:val="1"/>
          <w:color w:val="auto"/>
        </w:rPr>
        <w:t>Commercial Note: Revolving Credit</w:t>
      </w:r>
      <w:r>
        <w:rPr>
          <w:rFonts w:ascii="Arial" w:cs="Arial" w:eastAsia="Arial" w:hAnsi="Arial"/>
          <w:sz w:val="16"/>
          <w:szCs w:val="16"/>
          <w:color w:val="auto"/>
        </w:rPr>
        <w:t xml:space="preserve"> dated </w:t>
      </w:r>
      <w:r>
        <w:rPr>
          <w:rFonts w:ascii="Arial" w:cs="Arial" w:eastAsia="Arial" w:hAnsi="Arial"/>
          <w:sz w:val="16"/>
          <w:szCs w:val="16"/>
          <w:b w:val="1"/>
          <w:bCs w:val="1"/>
          <w:color w:val="auto"/>
        </w:rPr>
        <w:t>August 6, 2004</w:t>
      </w:r>
      <w:r>
        <w:rPr>
          <w:rFonts w:ascii="Arial" w:cs="Arial" w:eastAsia="Arial" w:hAnsi="Arial"/>
          <w:sz w:val="16"/>
          <w:szCs w:val="16"/>
          <w:color w:val="auto"/>
        </w:rPr>
        <w:t xml:space="preserve"> in the face amount of </w:t>
      </w:r>
      <w:r>
        <w:rPr>
          <w:rFonts w:ascii="Arial" w:cs="Arial" w:eastAsia="Arial" w:hAnsi="Arial"/>
          <w:sz w:val="16"/>
          <w:szCs w:val="16"/>
          <w:b w:val="1"/>
          <w:bCs w:val="1"/>
          <w:color w:val="auto"/>
        </w:rPr>
        <w:t>Five Hundred Thousand and 00/100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($500,000.00) </w:t>
      </w:r>
      <w:r>
        <w:rPr>
          <w:rFonts w:ascii="Arial" w:cs="Arial" w:eastAsia="Arial" w:hAnsi="Arial"/>
          <w:sz w:val="16"/>
          <w:szCs w:val="16"/>
          <w:color w:val="auto"/>
        </w:rPr>
        <w:t>(as extended, amended or otherwise modified to date, the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(the said Note and any other instrument or document given in connection with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secure the Loan being collectively referred to as “</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hereto desire to modify the Note as hereinafter provided.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foregoing promises and the covenants contained herein, the parties hereto agree as follows:</w:t>
      </w:r>
    </w:p>
    <w:p>
      <w:pPr>
        <w:spacing w:after="0" w:line="225" w:lineRule="exact"/>
        <w:rPr>
          <w:sz w:val="20"/>
          <w:szCs w:val="20"/>
          <w:color w:val="auto"/>
        </w:rPr>
      </w:pPr>
    </w:p>
    <w:p>
      <w:pPr>
        <w:ind w:left="580" w:right="380" w:hanging="572"/>
        <w:spacing w:after="0" w:line="306" w:lineRule="auto"/>
        <w:tabs>
          <w:tab w:leader="none" w:pos="58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Liability of Borrower</w:t>
      </w:r>
      <w:r>
        <w:rPr>
          <w:rFonts w:ascii="Arial" w:cs="Arial" w:eastAsia="Arial" w:hAnsi="Arial"/>
          <w:sz w:val="16"/>
          <w:szCs w:val="16"/>
          <w:color w:val="auto"/>
        </w:rPr>
        <w:t>. Borrower hereby ratifies and reconfirms Borrower’s obligations and all liability to Bank under the terms and conditions of the Loan Documents and acknowledges that Borrower has no defenses to or rights of set-off against Borrower’s obligations and all liability to Bank thereunder. Borrower further acknowledges that Bank has performed all of Bank’s obligations under the Loan Documents.</w:t>
      </w:r>
    </w:p>
    <w:p>
      <w:pPr>
        <w:spacing w:after="0" w:line="93" w:lineRule="exact"/>
        <w:rPr>
          <w:rFonts w:ascii="Arial" w:cs="Arial" w:eastAsia="Arial" w:hAnsi="Arial"/>
          <w:sz w:val="16"/>
          <w:szCs w:val="16"/>
          <w:color w:val="auto"/>
        </w:rPr>
      </w:pPr>
    </w:p>
    <w:p>
      <w:pPr>
        <w:ind w:left="580" w:hanging="572"/>
        <w:spacing w:after="0"/>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left="1160" w:right="200" w:hanging="571"/>
        <w:spacing w:after="0" w:line="275" w:lineRule="auto"/>
        <w:tabs>
          <w:tab w:leader="none" w:pos="1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Note is hereby modified to provide that, effective as of </w:t>
      </w:r>
      <w:r>
        <w:rPr>
          <w:rFonts w:ascii="Arial" w:cs="Arial" w:eastAsia="Arial" w:hAnsi="Arial"/>
          <w:sz w:val="18"/>
          <w:szCs w:val="18"/>
          <w:b w:val="1"/>
          <w:bCs w:val="1"/>
          <w:color w:val="auto"/>
        </w:rPr>
        <w:t>August 24</w:t>
      </w:r>
      <w:r>
        <w:rPr>
          <w:rFonts w:ascii="Arial" w:cs="Arial" w:eastAsia="Arial" w:hAnsi="Arial"/>
          <w:sz w:val="18"/>
          <w:szCs w:val="18"/>
          <w:color w:val="auto"/>
        </w:rPr>
        <w:t xml:space="preserve">, </w:t>
      </w:r>
      <w:r>
        <w:rPr>
          <w:rFonts w:ascii="Arial" w:cs="Arial" w:eastAsia="Arial" w:hAnsi="Arial"/>
          <w:sz w:val="18"/>
          <w:szCs w:val="18"/>
          <w:b w:val="1"/>
          <w:bCs w:val="1"/>
          <w:color w:val="auto"/>
        </w:rPr>
        <w:t>2006</w:t>
      </w:r>
      <w:r>
        <w:rPr>
          <w:rFonts w:ascii="Arial" w:cs="Arial" w:eastAsia="Arial" w:hAnsi="Arial"/>
          <w:sz w:val="18"/>
          <w:szCs w:val="18"/>
          <w:color w:val="auto"/>
        </w:rPr>
        <w:t xml:space="preserve"> the face amount of the Note shall be permanently increased to the sum of </w:t>
      </w:r>
      <w:r>
        <w:rPr>
          <w:rFonts w:ascii="Arial" w:cs="Arial" w:eastAsia="Arial" w:hAnsi="Arial"/>
          <w:sz w:val="18"/>
          <w:szCs w:val="18"/>
          <w:b w:val="1"/>
          <w:bCs w:val="1"/>
          <w:color w:val="auto"/>
        </w:rPr>
        <w:t>One Million Five Hundred Thousand and 00/100 Dollars ($1,500,000.00)</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ind w:left="1160" w:right="660" w:hanging="571"/>
        <w:spacing w:after="0" w:line="275" w:lineRule="auto"/>
        <w:tabs>
          <w:tab w:leader="none" w:pos="1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next payment is due </w:t>
      </w:r>
      <w:r>
        <w:rPr>
          <w:rFonts w:ascii="Arial" w:cs="Arial" w:eastAsia="Arial" w:hAnsi="Arial"/>
          <w:sz w:val="18"/>
          <w:szCs w:val="18"/>
          <w:b w:val="1"/>
          <w:bCs w:val="1"/>
          <w:color w:val="auto"/>
        </w:rPr>
        <w:t>September 1, 2006</w:t>
      </w:r>
      <w:r>
        <w:rPr>
          <w:rFonts w:ascii="Arial" w:cs="Arial" w:eastAsia="Arial" w:hAnsi="Arial"/>
          <w:sz w:val="18"/>
          <w:szCs w:val="18"/>
          <w:color w:val="auto"/>
        </w:rPr>
        <w:t xml:space="preserve"> and </w:t>
      </w:r>
      <w:r>
        <w:rPr>
          <w:rFonts w:ascii="Arial" w:cs="Arial" w:eastAsia="Arial" w:hAnsi="Arial"/>
          <w:sz w:val="18"/>
          <w:szCs w:val="18"/>
          <w:b w:val="1"/>
          <w:bCs w:val="1"/>
          <w:color w:val="auto"/>
        </w:rPr>
        <w:t>monthly</w:t>
      </w:r>
      <w:r>
        <w:rPr>
          <w:rFonts w:ascii="Arial" w:cs="Arial" w:eastAsia="Arial" w:hAnsi="Arial"/>
          <w:sz w:val="18"/>
          <w:szCs w:val="18"/>
          <w:color w:val="auto"/>
        </w:rPr>
        <w:t xml:space="preserve"> thereafter as set forth in the above mentioned note. Payments prior to the first scheduled payment above have been made as evidenced by the books and records of Bank.</w:t>
      </w:r>
    </w:p>
    <w:p>
      <w:pPr>
        <w:spacing w:after="0" w:line="206" w:lineRule="exact"/>
        <w:rPr>
          <w:rFonts w:ascii="Arial" w:cs="Arial" w:eastAsia="Arial" w:hAnsi="Arial"/>
          <w:sz w:val="18"/>
          <w:szCs w:val="18"/>
          <w:color w:val="auto"/>
        </w:rPr>
      </w:pPr>
    </w:p>
    <w:p>
      <w:pPr>
        <w:ind w:left="580" w:right="80" w:hanging="572"/>
        <w:spacing w:after="0" w:line="298" w:lineRule="auto"/>
        <w:tabs>
          <w:tab w:leader="none" w:pos="58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Ratification of Loan Documents</w:t>
      </w:r>
      <w:r>
        <w:rPr>
          <w:rFonts w:ascii="Arial" w:cs="Arial" w:eastAsia="Arial" w:hAnsi="Arial"/>
          <w:sz w:val="16"/>
          <w:szCs w:val="16"/>
          <w:color w:val="auto"/>
        </w:rPr>
        <w:t>. The Loan Documents are in all respects ratified and confirmed by the parties hereto and incorporated by reference herein, and each of the Loan Documents and this Modification shall be read, taken and construed as one and the same instrument. Capitalized terms used herein and not otherwise defined shall have the meanings given to them in the Note. In the event of any conflict between the terms and provisions of this Modification and the terms and provisions of the Note, the terms and provisions of this Modification shall control.</w:t>
      </w:r>
    </w:p>
    <w:p>
      <w:pPr>
        <w:spacing w:after="0" w:line="99" w:lineRule="exact"/>
        <w:rPr>
          <w:rFonts w:ascii="Arial" w:cs="Arial" w:eastAsia="Arial" w:hAnsi="Arial"/>
          <w:sz w:val="16"/>
          <w:szCs w:val="16"/>
          <w:color w:val="auto"/>
        </w:rPr>
      </w:pPr>
    </w:p>
    <w:p>
      <w:pPr>
        <w:ind w:left="580" w:right="80" w:hanging="572"/>
        <w:spacing w:after="0" w:line="332" w:lineRule="auto"/>
        <w:tabs>
          <w:tab w:leader="none" w:pos="58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Confession of Judgment</w:t>
      </w:r>
      <w:r>
        <w:rPr>
          <w:rFonts w:ascii="Arial" w:cs="Arial" w:eastAsia="Arial" w:hAnsi="Arial"/>
          <w:sz w:val="16"/>
          <w:szCs w:val="16"/>
          <w:color w:val="auto"/>
        </w:rPr>
        <w:t>. Borrower hereby authorizes any attorney at law to appear in any state or federal court of record in the United States of America after the maturity hereof (whether occurring by lapse of time or acceleration), to waive the issuance and service of process,</w:t>
      </w:r>
    </w:p>
    <w:p>
      <w:pPr>
        <w:sectPr>
          <w:pgSz w:w="11900" w:h="16838" w:orient="portrait"/>
          <w:cols w:equalWidth="0" w:num="1">
            <w:col w:w="11420"/>
          </w:cols>
          <w:pgMar w:left="240" w:top="125" w:right="239" w:bottom="1440" w:gutter="0" w:footer="0" w:header="0"/>
        </w:sectPr>
      </w:pPr>
    </w:p>
    <w:bookmarkStart w:id="118" w:name="page119"/>
    <w:bookmarkEnd w:id="118"/>
    <w:p>
      <w:pPr>
        <w:ind w:left="580"/>
        <w:spacing w:after="0" w:line="256" w:lineRule="auto"/>
        <w:rPr>
          <w:sz w:val="20"/>
          <w:szCs w:val="20"/>
          <w:color w:val="auto"/>
        </w:rPr>
      </w:pPr>
      <w:r>
        <w:rPr>
          <w:rFonts w:ascii="Arial" w:cs="Arial" w:eastAsia="Arial" w:hAnsi="Arial"/>
          <w:sz w:val="18"/>
          <w:szCs w:val="18"/>
          <w:color w:val="auto"/>
        </w:rPr>
        <w:t>to admit the maturity of the Note and the amount then appearing due, to confess judgment against Borrower in favor of the holder hereof for the amount then appearing due, together with interest and costs of suit, and thereupon to release all errors and to waive all rights of appeal and stay of execution. No judgment shall bar any subsequent judgment. Should any judgment be vacated for any reason, this warrant of attorney nevertheless may thereafter be used for obtaining additional judgments.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caused this Modification to be executed as of the day and year first above written.</w:t>
      </w:r>
    </w:p>
    <w:p>
      <w:pPr>
        <w:spacing w:after="0" w:line="21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FAULTY GOODS, FAILURE ON HIS PART TO COMPLY WITH THE AGREEMENT, OR ANY OTHER CAUSE.</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164"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244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Matthew C. Wolsfeld</w:t>
      </w:r>
    </w:p>
    <w:p>
      <w:pPr>
        <w:spacing w:after="0" w:line="2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b w:val="1"/>
          <w:bCs w:val="1"/>
          <w:color w:val="auto"/>
        </w:rPr>
        <w:t>Chief Financial Officer</w:t>
      </w: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NATIONAL CITY BANK, A NATIONAL</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BANKING ASSOCIATION</w:t>
      </w:r>
    </w:p>
    <w:p>
      <w:pPr>
        <w:spacing w:after="0" w:line="15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J.R. McMullin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244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J. R McMullin</w:t>
      </w:r>
    </w:p>
    <w:p>
      <w:pPr>
        <w:spacing w:after="0" w:line="2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Its:</w:t>
        <w:tab/>
        <w:t>Assistant Vice President</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00"/>
          </w:cols>
          <w:pgMar w:left="240" w:top="374" w:right="3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tcPr>
          <w:p>
            <w:pPr>
              <w:ind w:left="1600"/>
              <w:spacing w:after="0"/>
              <w:rPr>
                <w:sz w:val="20"/>
                <w:szCs w:val="20"/>
                <w:color w:val="auto"/>
              </w:rPr>
            </w:pPr>
            <w:r>
              <w:rPr>
                <w:rFonts w:ascii="Arial" w:cs="Arial" w:eastAsia="Arial" w:hAnsi="Arial"/>
                <w:sz w:val="18"/>
                <w:szCs w:val="18"/>
                <w:b w:val="1"/>
                <w:bCs w:val="1"/>
                <w:color w:val="auto"/>
                <w:w w:val="89"/>
              </w:rPr>
              <w:t>Exhibit 21.1</w:t>
            </w:r>
          </w:p>
        </w:tc>
      </w:tr>
      <w:tr>
        <w:trPr>
          <w:trHeight w:val="432"/>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gridSpan w:val="3"/>
          </w:tcPr>
          <w:p>
            <w:pPr>
              <w:ind w:left="700"/>
              <w:spacing w:after="0"/>
              <w:rPr>
                <w:sz w:val="20"/>
                <w:szCs w:val="20"/>
                <w:color w:val="auto"/>
              </w:rPr>
            </w:pPr>
            <w:r>
              <w:rPr>
                <w:rFonts w:ascii="Arial" w:cs="Arial" w:eastAsia="Arial" w:hAnsi="Arial"/>
                <w:sz w:val="18"/>
                <w:szCs w:val="18"/>
                <w:b w:val="1"/>
                <w:bCs w:val="1"/>
                <w:color w:val="auto"/>
              </w:rPr>
              <w:t>SUBSIDIARIES OF THE REGISTRANT</w:t>
            </w: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54"/>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 Jurisdiction of</w:t>
            </w: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7"/>
              </w:rPr>
              <w:t>Names Under Which Subsidiary Does</w:t>
            </w:r>
          </w:p>
        </w:tc>
      </w:tr>
      <w:tr>
        <w:trPr>
          <w:trHeight w:val="174"/>
        </w:trPr>
        <w:tc>
          <w:tcPr>
            <w:tcW w:w="3240" w:type="dxa"/>
            <w:vAlign w:val="bottom"/>
          </w:tcPr>
          <w:p>
            <w:pPr>
              <w:ind w:left="1040"/>
              <w:spacing w:after="0"/>
              <w:rPr>
                <w:sz w:val="20"/>
                <w:szCs w:val="20"/>
                <w:color w:val="auto"/>
              </w:rPr>
            </w:pPr>
            <w:r>
              <w:rPr>
                <w:rFonts w:ascii="Arial" w:cs="Arial" w:eastAsia="Arial" w:hAnsi="Arial"/>
                <w:sz w:val="14"/>
                <w:szCs w:val="14"/>
                <w:b w:val="1"/>
                <w:bCs w:val="1"/>
                <w:color w:val="auto"/>
              </w:rPr>
              <w:t>Name of Subsidiary</w:t>
            </w:r>
          </w:p>
        </w:tc>
        <w:tc>
          <w:tcPr>
            <w:tcW w:w="20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Incorporation or Organization</w:t>
            </w:r>
          </w:p>
        </w:tc>
        <w:tc>
          <w:tcPr>
            <w:tcW w:w="200" w:type="dxa"/>
            <w:vAlign w:val="bottom"/>
          </w:tcPr>
          <w:p>
            <w:pPr>
              <w:spacing w:after="0"/>
              <w:rPr>
                <w:sz w:val="15"/>
                <w:szCs w:val="15"/>
                <w:color w:val="auto"/>
              </w:rPr>
            </w:pPr>
          </w:p>
        </w:tc>
        <w:tc>
          <w:tcPr>
            <w:tcW w:w="2540" w:type="dxa"/>
            <w:vAlign w:val="bottom"/>
          </w:tcPr>
          <w:p>
            <w:pPr>
              <w:ind w:left="700"/>
              <w:spacing w:after="0"/>
              <w:rPr>
                <w:sz w:val="20"/>
                <w:szCs w:val="20"/>
                <w:color w:val="auto"/>
              </w:rPr>
            </w:pPr>
            <w:r>
              <w:rPr>
                <w:rFonts w:ascii="Arial" w:cs="Arial" w:eastAsia="Arial" w:hAnsi="Arial"/>
                <w:sz w:val="14"/>
                <w:szCs w:val="14"/>
                <w:b w:val="1"/>
                <w:bCs w:val="1"/>
                <w:color w:val="auto"/>
              </w:rPr>
              <w:t>Ownership Interest</w:t>
            </w:r>
          </w:p>
        </w:tc>
        <w:tc>
          <w:tcPr>
            <w:tcW w:w="20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r>
      <w:tr>
        <w:trPr>
          <w:trHeight w:val="95"/>
        </w:trPr>
        <w:tc>
          <w:tcPr>
            <w:tcW w:w="32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r>
      <w:tr>
        <w:trPr>
          <w:trHeight w:val="316"/>
        </w:trPr>
        <w:tc>
          <w:tcPr>
            <w:tcW w:w="3240" w:type="dxa"/>
            <w:vAlign w:val="bottom"/>
          </w:tcPr>
          <w:p>
            <w:pPr>
              <w:spacing w:after="0"/>
              <w:rPr>
                <w:sz w:val="20"/>
                <w:szCs w:val="20"/>
                <w:color w:val="auto"/>
              </w:rPr>
            </w:pPr>
            <w:r>
              <w:rPr>
                <w:rFonts w:ascii="Arial" w:cs="Arial" w:eastAsia="Arial" w:hAnsi="Arial"/>
                <w:sz w:val="18"/>
                <w:szCs w:val="18"/>
                <w:color w:val="auto"/>
              </w:rPr>
              <w:t>NTI Facilities, Inc.</w:t>
            </w: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Ohio</w:t>
            </w:r>
          </w:p>
        </w:tc>
        <w:tc>
          <w:tcPr>
            <w:tcW w:w="274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0"/>
              </w:rPr>
              <w:t>Same</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React-NTI LLC</w:t>
            </w: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74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75%</w:t>
            </w: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0"/>
              </w:rPr>
              <w:t>Same</w:t>
            </w: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w w:val="96"/>
              </w:rPr>
              <w:t>Northern Technologies Holding Company,</w:t>
            </w: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74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0"/>
              </w:rPr>
              <w:t>Same</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LLC</w:t>
            </w:r>
          </w:p>
        </w:tc>
        <w:tc>
          <w:tcPr>
            <w:tcW w:w="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ectPr>
          <w:pgSz w:w="11900" w:h="16838" w:orient="portrait"/>
          <w:cols w:equalWidth="0" w:num="1">
            <w:col w:w="11440"/>
          </w:cols>
          <w:pgMar w:left="240" w:top="125"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(File No. 333-33931 and 333-32596) of Northern Technologies International Corporation and Subsidiaries of our report dated November 6, 2006, which appears on page 32 of this annual report on Form 10-KSB for the year ended August 31,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Virchow, Krause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17, 2006</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00" w:hanging="492"/>
        <w:spacing w:after="0"/>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10-KSB of Northern Technologies International Corporation;</w:t>
      </w:r>
    </w:p>
    <w:p>
      <w:pPr>
        <w:spacing w:after="0" w:line="157" w:lineRule="exact"/>
        <w:rPr>
          <w:rFonts w:ascii="Arial" w:cs="Arial" w:eastAsia="Arial" w:hAnsi="Arial"/>
          <w:sz w:val="18"/>
          <w:szCs w:val="18"/>
          <w:color w:val="auto"/>
        </w:rPr>
      </w:pPr>
    </w:p>
    <w:p>
      <w:pPr>
        <w:jc w:val="both"/>
        <w:ind w:right="700" w:firstLine="8"/>
        <w:spacing w:after="0" w:line="370" w:lineRule="auto"/>
        <w:tabs>
          <w:tab w:leader="none" w:pos="483" w:val="left"/>
        </w:tabs>
        <w:numPr>
          <w:ilvl w:val="0"/>
          <w:numId w:val="1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20" w:firstLine="8"/>
        <w:spacing w:after="0" w:line="332" w:lineRule="auto"/>
        <w:tabs>
          <w:tab w:leader="none" w:pos="4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right="20" w:firstLine="8"/>
        <w:spacing w:after="0" w:line="268" w:lineRule="auto"/>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580" w:right="140" w:firstLine="9"/>
        <w:spacing w:after="0" w:line="259" w:lineRule="auto"/>
        <w:tabs>
          <w:tab w:leader="none" w:pos="121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580" w:right="160" w:firstLine="9"/>
        <w:spacing w:after="0" w:line="332" w:lineRule="auto"/>
        <w:tabs>
          <w:tab w:leader="none" w:pos="122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580" w:right="40" w:firstLine="9"/>
        <w:spacing w:after="0" w:line="259" w:lineRule="auto"/>
        <w:tabs>
          <w:tab w:leader="none" w:pos="121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right="100" w:firstLine="8"/>
        <w:spacing w:after="0" w:line="370" w:lineRule="auto"/>
        <w:tabs>
          <w:tab w:leader="none" w:pos="4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48" w:lineRule="exact"/>
        <w:rPr>
          <w:rFonts w:ascii="Arial" w:cs="Arial" w:eastAsia="Arial" w:hAnsi="Arial"/>
          <w:sz w:val="15"/>
          <w:szCs w:val="15"/>
          <w:color w:val="auto"/>
        </w:rPr>
      </w:pPr>
    </w:p>
    <w:p>
      <w:pPr>
        <w:ind w:left="580" w:right="80" w:firstLine="9"/>
        <w:spacing w:after="0" w:line="332" w:lineRule="auto"/>
        <w:tabs>
          <w:tab w:leader="none" w:pos="12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580" w:right="400" w:firstLine="9"/>
        <w:spacing w:after="0" w:line="268" w:lineRule="auto"/>
        <w:tabs>
          <w:tab w:leader="none" w:pos="121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140335</wp:posOffset>
            </wp:positionV>
            <wp:extent cx="1732280" cy="445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9159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440" w:hanging="432"/>
        <w:spacing w:after="0"/>
        <w:tabs>
          <w:tab w:leader="none" w:pos="4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10-KSB of Northern Technologies International Corporation;</w:t>
      </w:r>
    </w:p>
    <w:p>
      <w:pPr>
        <w:spacing w:after="0" w:line="157" w:lineRule="exact"/>
        <w:rPr>
          <w:rFonts w:ascii="Arial" w:cs="Arial" w:eastAsia="Arial" w:hAnsi="Arial"/>
          <w:sz w:val="18"/>
          <w:szCs w:val="18"/>
          <w:color w:val="auto"/>
        </w:rPr>
      </w:pPr>
    </w:p>
    <w:p>
      <w:pPr>
        <w:jc w:val="both"/>
        <w:ind w:right="700" w:firstLine="8"/>
        <w:spacing w:after="0" w:line="370" w:lineRule="auto"/>
        <w:tabs>
          <w:tab w:leader="none" w:pos="43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60" w:firstLine="8"/>
        <w:spacing w:after="0" w:line="332" w:lineRule="auto"/>
        <w:tabs>
          <w:tab w:leader="none" w:pos="43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right="60" w:firstLine="8"/>
        <w:spacing w:after="0" w:line="268" w:lineRule="auto"/>
        <w:tabs>
          <w:tab w:leader="none" w:pos="4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580" w:right="140" w:firstLine="9"/>
        <w:spacing w:after="0" w:line="259" w:lineRule="auto"/>
        <w:tabs>
          <w:tab w:leader="none" w:pos="121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580" w:right="160" w:firstLine="9"/>
        <w:spacing w:after="0" w:line="332" w:lineRule="auto"/>
        <w:tabs>
          <w:tab w:leader="none" w:pos="122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580" w:right="40" w:firstLine="9"/>
        <w:spacing w:after="0" w:line="259" w:lineRule="auto"/>
        <w:tabs>
          <w:tab w:leader="none" w:pos="121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right="140" w:firstLine="8"/>
        <w:spacing w:after="0" w:line="370" w:lineRule="auto"/>
        <w:tabs>
          <w:tab w:leader="none" w:pos="436"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48" w:lineRule="exact"/>
        <w:rPr>
          <w:rFonts w:ascii="Arial" w:cs="Arial" w:eastAsia="Arial" w:hAnsi="Arial"/>
          <w:sz w:val="15"/>
          <w:szCs w:val="15"/>
          <w:color w:val="auto"/>
        </w:rPr>
      </w:pPr>
    </w:p>
    <w:p>
      <w:pPr>
        <w:ind w:left="580" w:right="80" w:firstLine="9"/>
        <w:spacing w:after="0" w:line="332" w:lineRule="auto"/>
        <w:tabs>
          <w:tab w:leader="none" w:pos="120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580" w:right="400" w:firstLine="9"/>
        <w:spacing w:after="0" w:line="268" w:lineRule="auto"/>
        <w:tabs>
          <w:tab w:leader="none" w:pos="121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646430</wp:posOffset>
            </wp:positionV>
            <wp:extent cx="29159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140335</wp:posOffset>
            </wp:positionV>
            <wp:extent cx="1457960" cy="43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17,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&amp; Corporate Secretary</w:t>
      </w:r>
    </w:p>
    <w:p>
      <w:pPr>
        <w:sectPr>
          <w:pgSz w:w="11900" w:h="16838" w:orient="portrait"/>
          <w:cols w:equalWidth="0" w:num="2">
            <w:col w:w="6140" w:space="720"/>
            <w:col w:w="4560"/>
          </w:cols>
          <w:pgMar w:left="240" w:top="125" w:right="2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10-KSB for the period ending August 31, 2006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ind w:left="1160" w:hanging="571"/>
        <w:spacing w:after="0"/>
        <w:tabs>
          <w:tab w:leader="none" w:pos="1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9159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-716915</wp:posOffset>
            </wp:positionV>
            <wp:extent cx="1732280" cy="4457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 (principal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17, 2006</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In connection with the Annual Report of Northern Technologies International Corporation (the “Company”) on Form 10-KSB for the period ending August 31, 2006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42" w:lineRule="exact"/>
        <w:rPr>
          <w:sz w:val="20"/>
          <w:szCs w:val="20"/>
          <w:color w:val="auto"/>
        </w:rPr>
      </w:pPr>
    </w:p>
    <w:p>
      <w:pPr>
        <w:ind w:left="1160" w:hanging="571"/>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29159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1457960" cy="43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and principal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17,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x"/>
      <w:numFmt w:val="bullet"/>
      <w:start w:val="1"/>
    </w:lvl>
  </w:abstractNum>
  <w:abstractNum w:abstractNumId="1">
    <w:nsid w:val="6590700B"/>
    <w:multiLevelType w:val="hybridMultilevel"/>
    <w:lvl w:ilvl="0">
      <w:lvlJc w:val="left"/>
      <w:lvlText w:val="o"/>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1."/>
      <w:numFmt w:val="decimal"/>
      <w:start w:val="1"/>
    </w:lvl>
  </w:abstractNum>
  <w:abstractNum w:abstractNumId="9">
    <w:nsid w:val="1EBA5D23"/>
    <w:multiLevelType w:val="hybridMultilevel"/>
    <w:lvl w:ilvl="0">
      <w:lvlJc w:val="left"/>
      <w:lvlText w:val="%1."/>
      <w:numFmt w:val="decimal"/>
      <w:start w:val="2"/>
    </w:lvl>
  </w:abstractNum>
  <w:abstractNum w:abstractNumId="10">
    <w:nsid w:val="661E3F1E"/>
    <w:multiLevelType w:val="hybridMultilevel"/>
    <w:lvl w:ilvl="0">
      <w:lvlJc w:val="left"/>
      <w:lvlText w:val="%1."/>
      <w:numFmt w:val="decimal"/>
      <w:start w:val="3"/>
    </w:lvl>
  </w:abstractNum>
  <w:abstractNum w:abstractNumId="11">
    <w:nsid w:val="5DC79EA8"/>
    <w:multiLevelType w:val="hybridMultilevel"/>
    <w:lvl w:ilvl="0">
      <w:lvlJc w:val="left"/>
      <w:lvlText w:val="%1."/>
      <w:numFmt w:val="decimal"/>
      <w:start w:val="5"/>
    </w:lvl>
  </w:abstractNum>
  <w:abstractNum w:abstractNumId="12">
    <w:nsid w:val="540A471C"/>
    <w:multiLevelType w:val="hybridMultilevel"/>
    <w:lvl w:ilvl="0">
      <w:lvlJc w:val="left"/>
      <w:lvlText w:val="%1."/>
      <w:numFmt w:val="decimal"/>
      <w:start w:val="8"/>
    </w:lvl>
  </w:abstractNum>
  <w:abstractNum w:abstractNumId="13">
    <w:nsid w:val="7BD3EE7B"/>
    <w:multiLevelType w:val="hybridMultilevel"/>
    <w:lvl w:ilvl="0">
      <w:lvlJc w:val="left"/>
      <w:lvlText w:val="%1."/>
      <w:numFmt w:val="decimal"/>
      <w:start w:val="9"/>
    </w:lvl>
  </w:abstractNum>
  <w:abstractNum w:abstractNumId="14">
    <w:nsid w:val="51D9C564"/>
    <w:multiLevelType w:val="hybridMultilevel"/>
    <w:lvl w:ilvl="0">
      <w:lvlJc w:val="left"/>
      <w:lvlText w:val="%1."/>
      <w:numFmt w:val="decimal"/>
      <w:start w:val="10"/>
    </w:lvl>
  </w:abstractNum>
  <w:abstractNum w:abstractNumId="15">
    <w:nsid w:val="613EFDC5"/>
    <w:multiLevelType w:val="hybridMultilevel"/>
    <w:lvl w:ilvl="0">
      <w:lvlJc w:val="left"/>
      <w:lvlText w:val="%1."/>
      <w:numFmt w:val="decimal"/>
      <w:start w:val="11"/>
    </w:lvl>
  </w:abstractNum>
  <w:abstractNum w:abstractNumId="16">
    <w:nsid w:val="BF72B14"/>
    <w:multiLevelType w:val="hybridMultilevel"/>
    <w:lvl w:ilvl="0">
      <w:lvlJc w:val="left"/>
      <w:lvlText w:val="%1."/>
      <w:numFmt w:val="decimal"/>
      <w:start w:val="12"/>
    </w:lvl>
  </w:abstractNum>
  <w:abstractNum w:abstractNumId="17">
    <w:nsid w:val="11447B73"/>
    <w:multiLevelType w:val="hybridMultilevel"/>
    <w:lvl w:ilvl="0">
      <w:lvlJc w:val="left"/>
      <w:lvlText w:val="%1."/>
      <w:numFmt w:val="decimal"/>
      <w:start w:val="14"/>
    </w:lvl>
  </w:abstractNum>
  <w:abstractNum w:abstractNumId="18">
    <w:nsid w:val="42963E5A"/>
    <w:multiLevelType w:val="hybridMultilevel"/>
    <w:lvl w:ilvl="0">
      <w:lvlJc w:val="left"/>
      <w:lvlText w:val="%1."/>
      <w:numFmt w:val="decimal"/>
      <w:start w:val="15"/>
    </w:lvl>
  </w:abstractNum>
  <w:abstractNum w:abstractNumId="19">
    <w:nsid w:val="A0382C5"/>
    <w:multiLevelType w:val="hybridMultilevel"/>
    <w:lvl w:ilvl="0">
      <w:lvlJc w:val="left"/>
      <w:lvlText w:val="%1."/>
      <w:numFmt w:val="decimal"/>
      <w:start w:val="17"/>
    </w:lvl>
  </w:abstractNum>
  <w:abstractNum w:abstractNumId="20">
    <w:nsid w:val="8F2B15E"/>
    <w:multiLevelType w:val="hybridMultilevel"/>
    <w:lvl w:ilvl="0">
      <w:lvlJc w:val="left"/>
      <w:lvlText w:val="%1."/>
      <w:numFmt w:val="decimal"/>
      <w:start w:val="18"/>
    </w:lvl>
  </w:abstractNum>
  <w:abstractNum w:abstractNumId="21">
    <w:nsid w:val="1A32234B"/>
    <w:multiLevelType w:val="hybridMultilevel"/>
    <w:lvl w:ilvl="0">
      <w:lvlJc w:val="left"/>
      <w:lvlText w:val="%1."/>
      <w:numFmt w:val="decimal"/>
      <w:start w:val="20"/>
    </w:lvl>
  </w:abstractNum>
  <w:abstractNum w:abstractNumId="22">
    <w:nsid w:val="3B0FD379"/>
    <w:multiLevelType w:val="hybridMultilevel"/>
    <w:lvl w:ilvl="0">
      <w:lvlJc w:val="left"/>
      <w:lvlText w:val="%1."/>
      <w:numFmt w:val="decimal"/>
      <w:start w:val="22"/>
    </w:lvl>
  </w:abstractNum>
  <w:abstractNum w:abstractNumId="23">
    <w:nsid w:val="68EB2F63"/>
    <w:multiLevelType w:val="hybridMultilevel"/>
    <w:lvl w:ilvl="0">
      <w:lvlJc w:val="left"/>
      <w:lvlText w:val="%1."/>
      <w:numFmt w:val="decimal"/>
      <w:start w:val="21"/>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lowerLetter"/>
      <w:start w:val="1"/>
    </w:lvl>
  </w:abstractNum>
  <w:abstractNum w:abstractNumId="26">
    <w:nsid w:val="6A5EE64"/>
    <w:multiLevelType w:val="hybridMultilevel"/>
    <w:lvl w:ilvl="0">
      <w:lvlJc w:val="left"/>
      <w:lvlText w:val="%1."/>
      <w:numFmt w:val="upperLetter"/>
      <w:start w:val="1"/>
    </w:lvl>
  </w:abstractNum>
  <w:abstractNum w:abstractNumId="27">
    <w:nsid w:val="14330624"/>
    <w:multiLevelType w:val="hybridMultilevel"/>
    <w:lvl w:ilvl="0">
      <w:lvlJc w:val="left"/>
      <w:lvlText w:val="%1."/>
      <w:numFmt w:val="upperLetter"/>
      <w:start w:val="6"/>
    </w:lvl>
  </w:abstractNum>
  <w:abstractNum w:abstractNumId="28">
    <w:nsid w:val="7FFFCA11"/>
    <w:multiLevelType w:val="hybridMultilevel"/>
    <w:lvl w:ilvl="0">
      <w:lvlJc w:val="left"/>
      <w:lvlText w:val="%1."/>
      <w:numFmt w:val="upperLetter"/>
      <w:start w:val="7"/>
    </w:lvl>
  </w:abstractNum>
  <w:abstractNum w:abstractNumId="29">
    <w:nsid w:val="1A27709E"/>
    <w:multiLevelType w:val="hybridMultilevel"/>
    <w:lvl w:ilvl="0">
      <w:lvlJc w:val="left"/>
      <w:lvlText w:val="%1."/>
      <w:numFmt w:val="upperLetter"/>
      <w:start w:val="9"/>
    </w:lvl>
  </w:abstractNum>
  <w:abstractNum w:abstractNumId="30">
    <w:nsid w:val="71EA1109"/>
    <w:multiLevelType w:val="hybridMultilevel"/>
    <w:lvl w:ilvl="0">
      <w:lvlJc w:val="left"/>
      <w:lvlText w:val="%1."/>
      <w:numFmt w:val="upperLetter"/>
      <w:start w:val="11"/>
    </w:lvl>
  </w:abstractNum>
  <w:abstractNum w:abstractNumId="31">
    <w:nsid w:val="100F59DC"/>
    <w:multiLevelType w:val="hybridMultilevel"/>
    <w:lvl w:ilvl="0">
      <w:lvlJc w:val="left"/>
      <w:lvlText w:val="%1."/>
      <w:numFmt w:val="upperLetter"/>
      <w:start w:val="13"/>
    </w:lvl>
  </w:abstractNum>
  <w:abstractNum w:abstractNumId="32">
    <w:nsid w:val="7FB7E0AA"/>
    <w:multiLevelType w:val="hybridMultilevel"/>
    <w:lvl w:ilvl="0">
      <w:lvlJc w:val="left"/>
      <w:lvlText w:val="(%1)"/>
      <w:numFmt w:val="lowerLetter"/>
      <w:start w:val="1"/>
    </w:lvl>
  </w:abstractNum>
  <w:abstractNum w:abstractNumId="33">
    <w:nsid w:val="6EB5BD4"/>
    <w:multiLevelType w:val="hybridMultilevel"/>
    <w:lvl w:ilvl="0">
      <w:lvlJc w:val="left"/>
      <w:lvlText w:val="%1."/>
      <w:numFmt w:val="decimal"/>
      <w:start w:val="1"/>
    </w:lvl>
  </w:abstractNum>
  <w:abstractNum w:abstractNumId="34">
    <w:nsid w:val="6F6DD9AC"/>
    <w:multiLevelType w:val="hybridMultilevel"/>
    <w:lvl w:ilvl="0">
      <w:lvlJc w:val="left"/>
      <w:lvlText w:val="%1."/>
      <w:numFmt w:val="decimal"/>
      <w:start w:val="2"/>
    </w:lvl>
  </w:abstractNum>
  <w:abstractNum w:abstractNumId="35">
    <w:nsid w:val="94211F2"/>
    <w:multiLevelType w:val="hybridMultilevel"/>
    <w:lvl w:ilvl="0">
      <w:lvlJc w:val="left"/>
      <w:lvlText w:val="(%1)"/>
      <w:numFmt w:val="lowerRoman"/>
      <w:start w:val="2"/>
    </w:lvl>
  </w:abstractNum>
  <w:abstractNum w:abstractNumId="36">
    <w:nsid w:val="885E1B"/>
    <w:multiLevelType w:val="hybridMultilevel"/>
    <w:lvl w:ilvl="0">
      <w:lvlJc w:val="left"/>
      <w:lvlText w:val="%1."/>
      <w:numFmt w:val="decimal"/>
      <w:start w:val="3"/>
    </w:lvl>
  </w:abstractNum>
  <w:abstractNum w:abstractNumId="37">
    <w:nsid w:val="76272110"/>
    <w:multiLevelType w:val="hybridMultilevel"/>
    <w:lvl w:ilvl="0">
      <w:lvlJc w:val="left"/>
      <w:lvlText w:val="(%1)"/>
      <w:numFmt w:val="lowerLetter"/>
      <w:start w:val="1"/>
    </w:lvl>
  </w:abstractNum>
  <w:abstractNum w:abstractNumId="38">
    <w:nsid w:val="4C04A8AF"/>
    <w:multiLevelType w:val="hybridMultilevel"/>
    <w:lvl w:ilvl="0">
      <w:lvlJc w:val="left"/>
      <w:lvlText w:val="%1"/>
      <w:numFmt w:val="lowerLetter"/>
      <w:start w:val="1"/>
    </w:lvl>
    <w:lvl w:ilvl="1">
      <w:lvlJc w:val="left"/>
      <w:lvlText w:val="(%2)"/>
      <w:numFmt w:val="lowerLetter"/>
      <w:start w:val="3"/>
    </w:lvl>
  </w:abstractNum>
  <w:abstractNum w:abstractNumId="39">
    <w:nsid w:val="1716703B"/>
    <w:multiLevelType w:val="hybridMultilevel"/>
    <w:lvl w:ilvl="0">
      <w:lvlJc w:val="left"/>
      <w:lvlText w:val="(%1)"/>
      <w:numFmt w:val="lowerLetter"/>
      <w:start w:val="35"/>
    </w:lvl>
    <w:lvl w:ilvl="1">
      <w:lvlJc w:val="left"/>
      <w:lvlText w:val="%2"/>
      <w:numFmt w:val="lowerLetter"/>
      <w:start w:val="1"/>
    </w:lvl>
  </w:abstractNum>
  <w:abstractNum w:abstractNumId="40">
    <w:nsid w:val="14E17E33"/>
    <w:multiLevelType w:val="hybridMultilevel"/>
    <w:lvl w:ilvl="0">
      <w:lvlJc w:val="left"/>
      <w:lvlText w:val="%1."/>
      <w:numFmt w:val="decimal"/>
      <w:start w:val="4"/>
    </w:lvl>
  </w:abstractNum>
  <w:abstractNum w:abstractNumId="41">
    <w:nsid w:val="3222E7CD"/>
    <w:multiLevelType w:val="hybridMultilevel"/>
    <w:lvl w:ilvl="0">
      <w:lvlJc w:val="left"/>
      <w:lvlText w:val="(%1)"/>
      <w:numFmt w:val="lowerLetter"/>
      <w:start w:val="1"/>
    </w:lvl>
  </w:abstractNum>
  <w:abstractNum w:abstractNumId="42">
    <w:nsid w:val="74DE0EE3"/>
    <w:multiLevelType w:val="hybridMultilevel"/>
    <w:lvl w:ilvl="0">
      <w:lvlJc w:val="left"/>
      <w:lvlText w:val="(%1)"/>
      <w:numFmt w:val="lowerRoman"/>
      <w:start w:val="3"/>
    </w:lvl>
  </w:abstractNum>
  <w:abstractNum w:abstractNumId="43">
    <w:nsid w:val="68EBC550"/>
    <w:multiLevelType w:val="hybridMultilevel"/>
    <w:lvl w:ilvl="0">
      <w:lvlJc w:val="left"/>
      <w:lvlText w:val="%1."/>
      <w:numFmt w:val="decimal"/>
      <w:start w:val="5"/>
    </w:lvl>
  </w:abstractNum>
  <w:abstractNum w:abstractNumId="44">
    <w:nsid w:val="2DF6D648"/>
    <w:multiLevelType w:val="hybridMultilevel"/>
    <w:lvl w:ilvl="0">
      <w:lvlJc w:val="left"/>
      <w:lvlText w:val="%1."/>
      <w:numFmt w:val="decimal"/>
      <w:start w:val="6"/>
    </w:lvl>
  </w:abstractNum>
  <w:abstractNum w:abstractNumId="45">
    <w:nsid w:val="46B7D447"/>
    <w:multiLevelType w:val="hybridMultilevel"/>
    <w:lvl w:ilvl="0">
      <w:lvlJc w:val="left"/>
      <w:lvlText w:val="%1"/>
      <w:numFmt w:val="lowerLetter"/>
      <w:start w:val="1"/>
    </w:lvl>
    <w:lvl w:ilvl="1">
      <w:lvlJc w:val="left"/>
      <w:lvlText w:val="(%2)"/>
      <w:numFmt w:val="lowerLetter"/>
      <w:start w:val="1"/>
    </w:lvl>
  </w:abstractNum>
  <w:abstractNum w:abstractNumId="46">
    <w:nsid w:val="4A2AC315"/>
    <w:multiLevelType w:val="hybridMultilevel"/>
    <w:lvl w:ilvl="0">
      <w:lvlJc w:val="left"/>
      <w:lvlText w:val="(%1)"/>
      <w:numFmt w:val="lowerLetter"/>
      <w:start w:val="61"/>
    </w:lvl>
    <w:lvl w:ilvl="1">
      <w:lvlJc w:val="left"/>
      <w:lvlText w:val="(%2)"/>
      <w:numFmt w:val="lowerLetter"/>
      <w:start w:val="3"/>
    </w:lvl>
  </w:abstractNum>
  <w:abstractNum w:abstractNumId="47">
    <w:nsid w:val="39EE015C"/>
    <w:multiLevelType w:val="hybridMultilevel"/>
    <w:lvl w:ilvl="0">
      <w:lvlJc w:val="left"/>
      <w:lvlText w:val="%1."/>
      <w:numFmt w:val="decimal"/>
      <w:start w:val="7"/>
    </w:lvl>
  </w:abstractNum>
  <w:abstractNum w:abstractNumId="48">
    <w:nsid w:val="57FC4FBB"/>
    <w:multiLevelType w:val="hybridMultilevel"/>
    <w:lvl w:ilvl="0">
      <w:lvlJc w:val="left"/>
      <w:lvlText w:val="%1."/>
      <w:numFmt w:val="decimal"/>
      <w:start w:val="8"/>
    </w:lvl>
  </w:abstractNum>
  <w:abstractNum w:abstractNumId="49">
    <w:nsid w:val="CC1016F"/>
    <w:multiLevelType w:val="hybridMultilevel"/>
    <w:lvl w:ilvl="0">
      <w:lvlJc w:val="left"/>
      <w:lvlText w:val="%1."/>
      <w:numFmt w:val="decimal"/>
      <w:start w:val="9"/>
    </w:lvl>
  </w:abstractNum>
  <w:abstractNum w:abstractNumId="50">
    <w:nsid w:val="43F18422"/>
    <w:multiLevelType w:val="hybridMultilevel"/>
    <w:lvl w:ilvl="0">
      <w:lvlJc w:val="left"/>
      <w:lvlText w:val="%1."/>
      <w:numFmt w:val="decimal"/>
      <w:start w:val="10"/>
    </w:lvl>
  </w:abstractNum>
  <w:abstractNum w:abstractNumId="51">
    <w:nsid w:val="60EF0119"/>
    <w:multiLevelType w:val="hybridMultilevel"/>
    <w:lvl w:ilvl="0">
      <w:lvlJc w:val="left"/>
      <w:lvlText w:val="%1."/>
      <w:numFmt w:val="decimal"/>
      <w:start w:val="11"/>
    </w:lvl>
  </w:abstractNum>
  <w:abstractNum w:abstractNumId="52">
    <w:nsid w:val="26F324BA"/>
    <w:multiLevelType w:val="hybridMultilevel"/>
    <w:lvl w:ilvl="0">
      <w:lvlJc w:val="left"/>
      <w:lvlText w:val="%1."/>
      <w:numFmt w:val="decimal"/>
      <w:start w:val="12"/>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1)"/>
      <w:numFmt w:val="lowerLetter"/>
      <w:start w:val="1"/>
    </w:lvl>
  </w:abstractNum>
  <w:abstractNum w:abstractNumId="56">
    <w:nsid w:val="5FB8370B"/>
    <w:multiLevelType w:val="hybridMultilevel"/>
    <w:lvl w:ilvl="0">
      <w:lvlJc w:val="left"/>
      <w:lvlText w:val="%1."/>
      <w:numFmt w:val="decimal"/>
      <w:start w:val="13"/>
    </w:lvl>
  </w:abstractNum>
  <w:abstractNum w:abstractNumId="57">
    <w:nsid w:val="50801EE1"/>
    <w:multiLevelType w:val="hybridMultilevel"/>
    <w:lvl w:ilvl="0">
      <w:lvlJc w:val="left"/>
      <w:lvlText w:val="%1."/>
      <w:numFmt w:val="decimal"/>
      <w:start w:val="14"/>
    </w:lvl>
  </w:abstractNum>
  <w:abstractNum w:abstractNumId="58">
    <w:nsid w:val="488AC1A"/>
    <w:multiLevelType w:val="hybridMultilevel"/>
    <w:lvl w:ilvl="0">
      <w:lvlJc w:val="left"/>
      <w:lvlText w:val="%1."/>
      <w:numFmt w:val="decimal"/>
      <w:start w:val="15"/>
    </w:lvl>
  </w:abstractNum>
  <w:abstractNum w:abstractNumId="59">
    <w:nsid w:val="5FB8011C"/>
    <w:multiLevelType w:val="hybridMultilevel"/>
    <w:lvl w:ilvl="0">
      <w:lvlJc w:val="left"/>
      <w:lvlText w:val="%1"/>
      <w:numFmt w:val="lowerLetter"/>
      <w:start w:val="1"/>
    </w:lvl>
    <w:lvl w:ilvl="1">
      <w:lvlJc w:val="left"/>
      <w:lvlText w:val="(%2)"/>
      <w:numFmt w:val="lowerLetter"/>
      <w:start w:val="1"/>
    </w:lvl>
  </w:abstractNum>
  <w:abstractNum w:abstractNumId="60">
    <w:nsid w:val="6AA78F7F"/>
    <w:multiLevelType w:val="hybridMultilevel"/>
    <w:lvl w:ilvl="0">
      <w:lvlJc w:val="left"/>
      <w:lvlText w:val="(%1)"/>
      <w:numFmt w:val="lowerLetter"/>
      <w:start w:val="3"/>
    </w:lvl>
    <w:lvl w:ilvl="1">
      <w:lvlJc w:val="left"/>
      <w:lvlText w:val="(%2)"/>
      <w:numFmt w:val="lowerLetter"/>
      <w:start w:val="2"/>
    </w:lvl>
  </w:abstractNum>
  <w:abstractNum w:abstractNumId="61">
    <w:nsid w:val="7672BD23"/>
    <w:multiLevelType w:val="hybridMultilevel"/>
    <w:lvl w:ilvl="0">
      <w:lvlJc w:val="left"/>
      <w:lvlText w:val="(%1)"/>
      <w:numFmt w:val="lowerLetter"/>
      <w:start w:val="3"/>
    </w:lvl>
  </w:abstractNum>
  <w:abstractNum w:abstractNumId="62">
    <w:nsid w:val="6FC75AF8"/>
    <w:multiLevelType w:val="hybridMultilevel"/>
    <w:lvl w:ilvl="0">
      <w:lvlJc w:val="left"/>
      <w:lvlText w:val="%1."/>
      <w:numFmt w:val="decimal"/>
      <w:start w:val="16"/>
    </w:lvl>
  </w:abstractNum>
  <w:abstractNum w:abstractNumId="63">
    <w:nsid w:val="6A5F7029"/>
    <w:multiLevelType w:val="hybridMultilevel"/>
    <w:lvl w:ilvl="0">
      <w:lvlJc w:val="left"/>
      <w:lvlText w:val="(%1)"/>
      <w:numFmt w:val="lowerLetter"/>
      <w:start w:val="2"/>
    </w:lvl>
  </w:abstractNum>
  <w:abstractNum w:abstractNumId="64">
    <w:nsid w:val="7D5E18F8"/>
    <w:multiLevelType w:val="hybridMultilevel"/>
    <w:lvl w:ilvl="0">
      <w:lvlJc w:val="left"/>
      <w:lvlText w:val="%1."/>
      <w:numFmt w:val="decimal"/>
      <w:start w:val="17"/>
    </w:lvl>
  </w:abstractNum>
  <w:abstractNum w:abstractNumId="65">
    <w:nsid w:val="5F3534A4"/>
    <w:multiLevelType w:val="hybridMultilevel"/>
    <w:lvl w:ilvl="0">
      <w:lvlJc w:val="left"/>
      <w:lvlText w:val="%1."/>
      <w:numFmt w:val="decimal"/>
      <w:start w:val="18"/>
    </w:lvl>
  </w:abstractNum>
  <w:abstractNum w:abstractNumId="66">
    <w:nsid w:val="73A1821B"/>
    <w:multiLevelType w:val="hybridMultilevel"/>
    <w:lvl w:ilvl="0">
      <w:lvlJc w:val="left"/>
      <w:lvlText w:val="%1."/>
      <w:numFmt w:val="decimal"/>
      <w:start w:val="19"/>
    </w:lvl>
  </w:abstractNum>
  <w:abstractNum w:abstractNumId="67">
    <w:nsid w:val="7DE67713"/>
    <w:multiLevelType w:val="hybridMultilevel"/>
    <w:lvl w:ilvl="0">
      <w:lvlJc w:val="left"/>
      <w:lvlText w:val="%1."/>
      <w:numFmt w:val="decimal"/>
      <w:start w:val="20"/>
    </w:lvl>
  </w:abstractNum>
  <w:abstractNum w:abstractNumId="68">
    <w:nsid w:val="555C55B5"/>
    <w:multiLevelType w:val="hybridMultilevel"/>
    <w:lvl w:ilvl="0">
      <w:lvlJc w:val="left"/>
      <w:lvlText w:val="%1."/>
      <w:numFmt w:val="decimal"/>
      <w:start w:val="21"/>
    </w:lvl>
  </w:abstractNum>
  <w:abstractNum w:abstractNumId="69">
    <w:nsid w:val="3FA62ACA"/>
    <w:multiLevelType w:val="hybridMultilevel"/>
    <w:lvl w:ilvl="0">
      <w:lvlJc w:val="left"/>
      <w:lvlText w:val="%1."/>
      <w:numFmt w:val="upperLetter"/>
      <w:start w:val="1"/>
    </w:lvl>
  </w:abstractNum>
  <w:abstractNum w:abstractNumId="70">
    <w:nsid w:val="14FCE74E"/>
    <w:multiLevelType w:val="hybridMultilevel"/>
    <w:lvl w:ilvl="0">
      <w:lvlJc w:val="left"/>
      <w:lvlText w:val="%1."/>
      <w:numFmt w:val="decimal"/>
      <w:start w:val="1"/>
    </w:lvl>
  </w:abstractNum>
  <w:abstractNum w:abstractNumId="71">
    <w:nsid w:val="6A3DD3E8"/>
    <w:multiLevelType w:val="hybridMultilevel"/>
    <w:lvl w:ilvl="0">
      <w:lvlJc w:val="left"/>
      <w:lvlText w:val="%1."/>
      <w:numFmt w:val="decimal"/>
      <w:start w:val="2"/>
    </w:lvl>
  </w:abstractNum>
  <w:abstractNum w:abstractNumId="72">
    <w:nsid w:val="71C91298"/>
    <w:multiLevelType w:val="hybridMultilevel"/>
    <w:lvl w:ilvl="0">
      <w:lvlJc w:val="left"/>
      <w:lvlText w:val="%1."/>
      <w:numFmt w:val="decimal"/>
      <w:start w:val="3"/>
    </w:lvl>
  </w:abstractNum>
  <w:abstractNum w:abstractNumId="73">
    <w:nsid w:val="9DAF632"/>
    <w:multiLevelType w:val="hybridMultilevel"/>
    <w:lvl w:ilvl="0">
      <w:lvlJc w:val="left"/>
      <w:lvlText w:val="(%1)"/>
      <w:numFmt w:val="lowerLetter"/>
      <w:start w:val="1"/>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decimal"/>
      <w:start w:val="4"/>
    </w:lvl>
  </w:abstractNum>
  <w:abstractNum w:abstractNumId="76">
    <w:nsid w:val="5092CA79"/>
    <w:multiLevelType w:val="hybridMultilevel"/>
    <w:lvl w:ilvl="0">
      <w:lvlJc w:val="left"/>
      <w:lvlText w:val="(%1)"/>
      <w:numFmt w:val="lowerLetter"/>
      <w:start w:val="1"/>
    </w:lvl>
  </w:abstractNum>
  <w:abstractNum w:abstractNumId="77">
    <w:nsid w:val="1D545C4D"/>
    <w:multiLevelType w:val="hybridMultilevel"/>
    <w:lvl w:ilvl="0">
      <w:lvlJc w:val="left"/>
      <w:lvlText w:val="%1"/>
      <w:numFmt w:val="decimal"/>
      <w:start w:val="1"/>
    </w:lvl>
    <w:lvl w:ilvl="1">
      <w:lvlJc w:val="left"/>
      <w:lvlText w:val="(%2)"/>
      <w:numFmt w:val="lowerLetter"/>
      <w:start w:val="4"/>
    </w:lvl>
  </w:abstractNum>
  <w:abstractNum w:abstractNumId="78">
    <w:nsid w:val="59ADEA3D"/>
    <w:multiLevelType w:val="hybridMultilevel"/>
    <w:lvl w:ilvl="0">
      <w:lvlJc w:val="left"/>
      <w:lvlText w:val="%1."/>
      <w:numFmt w:val="decimal"/>
      <w:start w:val="5"/>
    </w:lvl>
    <w:lvl w:ilvl="1">
      <w:lvlJc w:val="left"/>
      <w:lvlText w:val="%2"/>
      <w:numFmt w:val="lowerLetter"/>
      <w:start w:val="1"/>
    </w:lvl>
  </w:abstractNum>
  <w:abstractNum w:abstractNumId="79">
    <w:nsid w:val="288F1A34"/>
    <w:multiLevelType w:val="hybridMultilevel"/>
    <w:lvl w:ilvl="0">
      <w:lvlJc w:val="left"/>
      <w:lvlText w:val="%1."/>
      <w:numFmt w:val="decimal"/>
      <w:start w:val="6"/>
    </w:lvl>
  </w:abstractNum>
  <w:abstractNum w:abstractNumId="80">
    <w:nsid w:val="2A155DBC"/>
    <w:multiLevelType w:val="hybridMultilevel"/>
    <w:lvl w:ilvl="0">
      <w:lvlJc w:val="left"/>
      <w:lvlText w:val="%1."/>
      <w:numFmt w:val="decimal"/>
      <w:start w:val="7"/>
    </w:lvl>
  </w:abstractNum>
  <w:abstractNum w:abstractNumId="81">
    <w:nsid w:val="1D9F6E5F"/>
    <w:multiLevelType w:val="hybridMultilevel"/>
    <w:lvl w:ilvl="0">
      <w:lvlJc w:val="left"/>
      <w:lvlText w:val="%1."/>
      <w:numFmt w:val="decimal"/>
      <w:start w:val="8"/>
    </w:lvl>
  </w:abstractNum>
  <w:abstractNum w:abstractNumId="82">
    <w:nsid w:val="97E1B4E"/>
    <w:multiLevelType w:val="hybridMultilevel"/>
    <w:lvl w:ilvl="0">
      <w:lvlJc w:val="left"/>
      <w:lvlText w:val="%1."/>
      <w:numFmt w:val="decimal"/>
      <w:start w:val="9"/>
    </w:lvl>
  </w:abstractNum>
  <w:abstractNum w:abstractNumId="83">
    <w:nsid w:val="51088277"/>
    <w:multiLevelType w:val="hybridMultilevel"/>
    <w:lvl w:ilvl="0">
      <w:lvlJc w:val="left"/>
      <w:lvlText w:val="%1."/>
      <w:numFmt w:val="decimal"/>
      <w:start w:val="10"/>
    </w:lvl>
  </w:abstractNum>
  <w:abstractNum w:abstractNumId="84">
    <w:nsid w:val="1CA0C5FA"/>
    <w:multiLevelType w:val="hybridMultilevel"/>
    <w:lvl w:ilvl="0">
      <w:lvlJc w:val="left"/>
      <w:lvlText w:val="%1."/>
      <w:numFmt w:val="upperLetter"/>
      <w:start w:val="1"/>
    </w:lvl>
  </w:abstractNum>
  <w:abstractNum w:abstractNumId="85">
    <w:nsid w:val="53584BCB"/>
    <w:multiLevelType w:val="hybridMultilevel"/>
    <w:lvl w:ilvl="0">
      <w:lvlJc w:val="left"/>
      <w:lvlText w:val="%1."/>
      <w:numFmt w:val="decimal"/>
      <w:start w:val="1"/>
    </w:lvl>
  </w:abstractNum>
  <w:abstractNum w:abstractNumId="86">
    <w:nsid w:val="415E286C"/>
    <w:multiLevelType w:val="hybridMultilevel"/>
    <w:lvl w:ilvl="0">
      <w:lvlJc w:val="left"/>
      <w:lvlText w:val="%1."/>
      <w:numFmt w:val="decimal"/>
      <w:start w:val="2"/>
    </w:lvl>
  </w:abstractNum>
  <w:abstractNum w:abstractNumId="87">
    <w:nsid w:val="7C58FD05"/>
    <w:multiLevelType w:val="hybridMultilevel"/>
    <w:lvl w:ilvl="0">
      <w:lvlJc w:val="left"/>
      <w:lvlText w:val="%1."/>
      <w:numFmt w:val="decimal"/>
      <w:start w:val="3"/>
    </w:lvl>
  </w:abstractNum>
  <w:abstractNum w:abstractNumId="88">
    <w:nsid w:val="23D86AAC"/>
    <w:multiLevelType w:val="hybridMultilevel"/>
    <w:lvl w:ilvl="0">
      <w:lvlJc w:val="left"/>
      <w:lvlText w:val="(%1)"/>
      <w:numFmt w:val="lowerLetter"/>
      <w:start w:val="1"/>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decimal"/>
      <w:start w:val="4"/>
    </w:lvl>
  </w:abstractNum>
  <w:abstractNum w:abstractNumId="91">
    <w:nsid w:val="E7FFA2B"/>
    <w:multiLevelType w:val="hybridMultilevel"/>
    <w:lvl w:ilvl="0">
      <w:lvlJc w:val="left"/>
      <w:lvlText w:val="(%1)"/>
      <w:numFmt w:val="lowerLetter"/>
      <w:start w:val="1"/>
    </w:lvl>
  </w:abstractNum>
  <w:abstractNum w:abstractNumId="92">
    <w:nsid w:val="3C5991AA"/>
    <w:multiLevelType w:val="hybridMultilevel"/>
    <w:lvl w:ilvl="0">
      <w:lvlJc w:val="left"/>
      <w:lvlText w:val="%1"/>
      <w:numFmt w:val="decimal"/>
      <w:start w:val="1"/>
    </w:lvl>
    <w:lvl w:ilvl="1">
      <w:lvlJc w:val="left"/>
      <w:lvlText w:val="(%2)"/>
      <w:numFmt w:val="lowerLetter"/>
      <w:start w:val="4"/>
    </w:lvl>
  </w:abstractNum>
  <w:abstractNum w:abstractNumId="93">
    <w:nsid w:val="4BD8591A"/>
    <w:multiLevelType w:val="hybridMultilevel"/>
    <w:lvl w:ilvl="0">
      <w:lvlJc w:val="left"/>
      <w:lvlText w:val="%1."/>
      <w:numFmt w:val="decimal"/>
      <w:start w:val="5"/>
    </w:lvl>
    <w:lvl w:ilvl="1">
      <w:lvlJc w:val="left"/>
      <w:lvlText w:val="%2"/>
      <w:numFmt w:val="lowerLetter"/>
      <w:start w:val="1"/>
    </w:lvl>
  </w:abstractNum>
  <w:abstractNum w:abstractNumId="94">
    <w:nsid w:val="78DF6A55"/>
    <w:multiLevelType w:val="hybridMultilevel"/>
    <w:lvl w:ilvl="0">
      <w:lvlJc w:val="left"/>
      <w:lvlText w:val="%1."/>
      <w:numFmt w:val="decimal"/>
      <w:start w:val="6"/>
    </w:lvl>
  </w:abstractNum>
  <w:abstractNum w:abstractNumId="95">
    <w:nsid w:val="39B7AAA2"/>
    <w:multiLevelType w:val="hybridMultilevel"/>
    <w:lvl w:ilvl="0">
      <w:lvlJc w:val="left"/>
      <w:lvlText w:val="%1."/>
      <w:numFmt w:val="decimal"/>
      <w:start w:val="7"/>
    </w:lvl>
  </w:abstractNum>
  <w:abstractNum w:abstractNumId="96">
    <w:nsid w:val="2B0D8DBE"/>
    <w:multiLevelType w:val="hybridMultilevel"/>
    <w:lvl w:ilvl="0">
      <w:lvlJc w:val="left"/>
      <w:lvlText w:val="%1."/>
      <w:numFmt w:val="decimal"/>
      <w:start w:val="8"/>
    </w:lvl>
  </w:abstractNum>
  <w:abstractNum w:abstractNumId="97">
    <w:nsid w:val="6C80EC70"/>
    <w:multiLevelType w:val="hybridMultilevel"/>
    <w:lvl w:ilvl="0">
      <w:lvlJc w:val="left"/>
      <w:lvlText w:val="%1."/>
      <w:numFmt w:val="decimal"/>
      <w:start w:val="9"/>
    </w:lvl>
  </w:abstractNum>
  <w:abstractNum w:abstractNumId="98">
    <w:nsid w:val="379E21B5"/>
    <w:multiLevelType w:val="hybridMultilevel"/>
    <w:lvl w:ilvl="0">
      <w:lvlJc w:val="left"/>
      <w:lvlText w:val="%1."/>
      <w:numFmt w:val="upperLetter"/>
      <w:start w:val="1"/>
    </w:lvl>
  </w:abstractNum>
  <w:abstractNum w:abstractNumId="99">
    <w:nsid w:val="69E373"/>
    <w:multiLevelType w:val="hybridMultilevel"/>
    <w:lvl w:ilvl="0">
      <w:lvlJc w:val="left"/>
      <w:lvlText w:val="%1."/>
      <w:numFmt w:val="decimal"/>
      <w:start w:val="1"/>
    </w:lvl>
  </w:abstractNum>
  <w:abstractNum w:abstractNumId="100">
    <w:nsid w:val="2C27173B"/>
    <w:multiLevelType w:val="hybridMultilevel"/>
    <w:lvl w:ilvl="0">
      <w:lvlJc w:val="left"/>
      <w:lvlText w:val="%1."/>
      <w:numFmt w:val="decimal"/>
      <w:start w:val="2"/>
    </w:lvl>
  </w:abstractNum>
  <w:abstractNum w:abstractNumId="101">
    <w:nsid w:val="4C9B0904"/>
    <w:multiLevelType w:val="hybridMultilevel"/>
    <w:lvl w:ilvl="0">
      <w:lvlJc w:val="left"/>
      <w:lvlText w:val="(%1)"/>
      <w:numFmt w:val="lowerLetter"/>
      <w:start w:val="1"/>
    </w:lvl>
  </w:abstractNum>
  <w:abstractNum w:abstractNumId="102">
    <w:nsid w:val="6AA7B75C"/>
    <w:multiLevelType w:val="hybridMultilevel"/>
    <w:lvl w:ilvl="0">
      <w:lvlJc w:val="left"/>
      <w:lvlText w:val="(%1)"/>
      <w:numFmt w:val="lowerLetter"/>
      <w:start w:val="2"/>
    </w:lvl>
  </w:abstractNum>
  <w:abstractNum w:abstractNumId="103">
    <w:nsid w:val="1DF029D3"/>
    <w:multiLevelType w:val="hybridMultilevel"/>
    <w:lvl w:ilvl="0">
      <w:lvlJc w:val="left"/>
      <w:lvlText w:val="%1"/>
      <w:numFmt w:val="decimal"/>
      <w:start w:val="1"/>
    </w:lvl>
    <w:lvl w:ilvl="1">
      <w:lvlJc w:val="left"/>
      <w:lvlText w:val="(%2)"/>
      <w:numFmt w:val="lowerLetter"/>
      <w:start w:val="1"/>
    </w:lvl>
  </w:abstractNum>
  <w:abstractNum w:abstractNumId="104">
    <w:nsid w:val="5675FF36"/>
    <w:multiLevelType w:val="hybridMultilevel"/>
    <w:lvl w:ilvl="0">
      <w:lvlJc w:val="left"/>
      <w:lvlText w:val="%1."/>
      <w:numFmt w:val="decimal"/>
      <w:start w:val="3"/>
    </w:lvl>
    <w:lvl w:ilvl="1">
      <w:lvlJc w:val="left"/>
      <w:lvlText w:val="%2"/>
      <w:numFmt w:val="lowerLetter"/>
      <w:start w:val="1"/>
    </w:lvl>
  </w:abstractNum>
  <w:abstractNum w:abstractNumId="105">
    <w:nsid w:val="3DD15094"/>
    <w:multiLevelType w:val="hybridMultilevel"/>
    <w:lvl w:ilvl="0">
      <w:lvlJc w:val="left"/>
      <w:lvlText w:val="%1."/>
      <w:numFmt w:val="decimal"/>
      <w:start w:val="4"/>
    </w:lvl>
  </w:abstractNum>
  <w:abstractNum w:abstractNumId="106">
    <w:nsid w:val="3DB012B3"/>
    <w:multiLevelType w:val="hybridMultilevel"/>
    <w:lvl w:ilvl="0">
      <w:lvlJc w:val="left"/>
      <w:lvlText w:val="%1."/>
      <w:numFmt w:val="decimal"/>
      <w:start w:val="5"/>
    </w:lvl>
  </w:abstractNum>
  <w:abstractNum w:abstractNumId="107">
    <w:nsid w:val="2708C9AF"/>
    <w:multiLevelType w:val="hybridMultilevel"/>
    <w:lvl w:ilvl="0">
      <w:lvlJc w:val="left"/>
      <w:lvlText w:val="%1."/>
      <w:numFmt w:val="decimal"/>
      <w:start w:val="6"/>
    </w:lvl>
  </w:abstractNum>
  <w:abstractNum w:abstractNumId="108">
    <w:nsid w:val="5B25ACE2"/>
    <w:multiLevelType w:val="hybridMultilevel"/>
    <w:lvl w:ilvl="0">
      <w:lvlJc w:val="left"/>
      <w:lvlText w:val="%1."/>
      <w:numFmt w:val="decimal"/>
      <w:start w:val="7"/>
    </w:lvl>
  </w:abstractNum>
  <w:abstractNum w:abstractNumId="109">
    <w:nsid w:val="175DFCF0"/>
    <w:multiLevelType w:val="hybridMultilevel"/>
    <w:lvl w:ilvl="0">
      <w:lvlJc w:val="left"/>
      <w:lvlText w:val="%1."/>
      <w:numFmt w:val="decimal"/>
      <w:start w:val="8"/>
    </w:lvl>
  </w:abstractNum>
  <w:abstractNum w:abstractNumId="110">
    <w:nsid w:val="4F97E3E4"/>
    <w:multiLevelType w:val="hybridMultilevel"/>
    <w:lvl w:ilvl="0">
      <w:lvlJc w:val="left"/>
      <w:lvlText w:val="(%1)"/>
      <w:numFmt w:val="lowerLetter"/>
      <w:start w:val="1"/>
    </w:lvl>
  </w:abstractNum>
  <w:abstractNum w:abstractNumId="111">
    <w:nsid w:val="53B0A9E"/>
    <w:multiLevelType w:val="hybridMultilevel"/>
    <w:lvl w:ilvl="0">
      <w:lvlJc w:val="left"/>
      <w:lvlText w:val="(%1)"/>
      <w:numFmt w:val="lowerLetter"/>
      <w:start w:val="9"/>
    </w:lvl>
  </w:abstractNum>
  <w:abstractNum w:abstractNumId="112">
    <w:nsid w:val="34FD6B4F"/>
    <w:multiLevelType w:val="hybridMultilevel"/>
    <w:lvl w:ilvl="0">
      <w:lvlJc w:val="left"/>
      <w:lvlText w:val="(%1)"/>
      <w:numFmt w:val="lowerLetter"/>
      <w:start w:val="1"/>
    </w:lvl>
  </w:abstractNum>
  <w:abstractNum w:abstractNumId="113">
    <w:nsid w:val="5915FF32"/>
    <w:multiLevelType w:val="hybridMultilevel"/>
    <w:lvl w:ilvl="0">
      <w:lvlJc w:val="left"/>
      <w:lvlText w:val="(%1)"/>
      <w:numFmt w:val="lowerRoman"/>
      <w:start w:val="1"/>
    </w:lvl>
  </w:abstractNum>
  <w:abstractNum w:abstractNumId="114">
    <w:nsid w:val="56438D15"/>
    <w:multiLevelType w:val="hybridMultilevel"/>
    <w:lvl w:ilvl="0">
      <w:lvlJc w:val="left"/>
      <w:lvlText w:val="(%1)"/>
      <w:numFmt w:val="lowerLetter"/>
      <w:start w:val="1"/>
    </w:lvl>
  </w:abstractNum>
  <w:abstractNum w:abstractNumId="115">
    <w:nsid w:val="519E3149"/>
    <w:multiLevelType w:val="hybridMultilevel"/>
    <w:lvl w:ilvl="0">
      <w:lvlJc w:val="left"/>
      <w:lvlText w:val="(%1)"/>
      <w:numFmt w:val="lowerLetter"/>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3"/>
    </w:lvl>
  </w:abstractNum>
  <w:abstractNum w:abstractNumId="118">
    <w:nsid w:val="4DF72E4E"/>
    <w:multiLevelType w:val="hybridMultilevel"/>
    <w:lvl w:ilvl="0">
      <w:lvlJc w:val="left"/>
      <w:lvlText w:val="(%1)"/>
      <w:numFmt w:val="lowerLetter"/>
      <w:start w:val="1"/>
    </w:lvl>
    <w:lvl w:ilvl="1">
      <w:lvlJc w:val="left"/>
      <w:lvlText w:val="(%2)"/>
      <w:numFmt w:val="lowerRoman"/>
      <w:start w:val="1"/>
    </w:lvl>
  </w:abstractNum>
  <w:abstractNum w:abstractNumId="119">
    <w:nsid w:val="5046B5A9"/>
    <w:multiLevelType w:val="hybridMultilevel"/>
    <w:lvl w:ilvl="0">
      <w:lvlJc w:val="left"/>
      <w:lvlText w:val="(%1)"/>
      <w:numFmt w:val="lowerLetter"/>
      <w:start w:val="1"/>
    </w:lvl>
  </w:abstractNum>
  <w:abstractNum w:abstractNumId="120">
    <w:nsid w:val="5D888A08"/>
    <w:multiLevelType w:val="hybridMultilevel"/>
    <w:lvl w:ilvl="0">
      <w:lvlJc w:val="left"/>
      <w:lvlText w:val="(%1)"/>
      <w:numFmt w:val="lowerLetter"/>
      <w:start w:val="2"/>
    </w:lvl>
  </w:abstractNum>
  <w:abstractNum w:abstractNumId="121">
    <w:nsid w:val="2A082C70"/>
    <w:multiLevelType w:val="hybridMultilevel"/>
    <w:lvl w:ilvl="0">
      <w:lvlJc w:val="left"/>
      <w:lvlText w:val="(%1)"/>
      <w:numFmt w:val="lowerLetter"/>
      <w:start w:val="1"/>
    </w:lvl>
  </w:abstractNum>
  <w:abstractNum w:abstractNumId="122">
    <w:nsid w:val="5EC6AFD4"/>
    <w:multiLevelType w:val="hybridMultilevel"/>
    <w:lvl w:ilvl="0">
      <w:lvlJc w:val="left"/>
      <w:lvlText w:val="(%1)"/>
      <w:numFmt w:val="lowerLetter"/>
      <w:start w:val="2"/>
    </w:lvl>
  </w:abstractNum>
  <w:abstractNum w:abstractNumId="123">
    <w:nsid w:val="19E21BB2"/>
    <w:multiLevelType w:val="hybridMultilevel"/>
    <w:lvl w:ilvl="0">
      <w:lvlJc w:val="left"/>
      <w:lvlText w:val="(%1)"/>
      <w:numFmt w:val="lowerLetter"/>
      <w:start w:val="1"/>
    </w:lvl>
  </w:abstractNum>
  <w:abstractNum w:abstractNumId="124">
    <w:nsid w:val="75E0858A"/>
    <w:multiLevelType w:val="hybridMultilevel"/>
    <w:lvl w:ilvl="0">
      <w:lvlJc w:val="left"/>
      <w:lvlText w:val="(%1)"/>
      <w:numFmt w:val="lowerLetter"/>
      <w:start w:val="1"/>
    </w:lvl>
  </w:abstractNum>
  <w:abstractNum w:abstractNumId="125">
    <w:nsid w:val="57A61A29"/>
    <w:multiLevelType w:val="hybridMultilevel"/>
    <w:lvl w:ilvl="0">
      <w:lvlJc w:val="left"/>
      <w:lvlText w:val="(%1)"/>
      <w:numFmt w:val="lowerLetter"/>
      <w:start w:val="3"/>
    </w:lvl>
  </w:abstractNum>
  <w:abstractNum w:abstractNumId="126">
    <w:nsid w:val="5399C654"/>
    <w:multiLevelType w:val="hybridMultilevel"/>
    <w:lvl w:ilvl="0">
      <w:lvlJc w:val="left"/>
      <w:lvlText w:val="%1."/>
      <w:numFmt w:val="decimal"/>
      <w:start w:val="1"/>
    </w:lvl>
  </w:abstractNum>
  <w:abstractNum w:abstractNumId="127">
    <w:nsid w:val="20EE1348"/>
    <w:multiLevelType w:val="hybridMultilevel"/>
    <w:lvl w:ilvl="0">
      <w:lvlJc w:val="left"/>
      <w:lvlText w:val="%1."/>
      <w:numFmt w:val="decimal"/>
      <w:start w:val="3"/>
    </w:lvl>
  </w:abstractNum>
  <w:abstractNum w:abstractNumId="128">
    <w:nsid w:val="4427069A"/>
    <w:multiLevelType w:val="hybridMultilevel"/>
    <w:lvl w:ilvl="0">
      <w:lvlJc w:val="left"/>
      <w:lvlText w:val="%1."/>
      <w:numFmt w:val="decimal"/>
      <w:start w:val="6"/>
    </w:lvl>
  </w:abstractNum>
  <w:abstractNum w:abstractNumId="129">
    <w:nsid w:val="B37E80A"/>
    <w:multiLevelType w:val="hybridMultilevel"/>
    <w:lvl w:ilvl="0">
      <w:lvlJc w:val="left"/>
      <w:lvlText w:val="(%1)"/>
      <w:numFmt w:val="decimal"/>
      <w:start w:val="1"/>
    </w:lvl>
  </w:abstractNum>
  <w:abstractNum w:abstractNumId="130">
    <w:nsid w:val="2157F6BC"/>
    <w:multiLevelType w:val="hybridMultilevel"/>
    <w:lvl w:ilvl="0">
      <w:lvlJc w:val="left"/>
      <w:lvlText w:val="%1."/>
      <w:numFmt w:val="decimal"/>
      <w:start w:val="1"/>
    </w:lvl>
  </w:abstractNum>
  <w:abstractNum w:abstractNumId="131">
    <w:nsid w:val="704E1DD5"/>
    <w:multiLevelType w:val="hybridMultilevel"/>
    <w:lvl w:ilvl="0">
      <w:lvlJc w:val="left"/>
      <w:lvlText w:val="%1."/>
      <w:numFmt w:val="decimal"/>
      <w:start w:val="1"/>
    </w:lvl>
    <w:lvl w:ilvl="1">
      <w:lvlJc w:val="left"/>
      <w:lvlText w:val="(%2)"/>
      <w:numFmt w:val="lowerLetter"/>
      <w:start w:val="1"/>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upperLetter"/>
      <w:start w:val="1"/>
    </w:lvl>
    <w:lvl w:ilvl="1">
      <w:lvlJc w:val="left"/>
      <w:lvlText w:val="(%2)"/>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2019-12-11T22:40:59Z</dcterms:created>
  <dcterms:modified xsi:type="dcterms:W3CDTF">2019-12-11T22:40:59Z</dcterms:modified>
</cp:coreProperties>
</file>