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10-QSB</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UNDER SECTION 13 OR 15(d) OF THE SECURITIES EXCHANGE ACT OF 1934</w:t>
      </w:r>
    </w:p>
    <w:p>
      <w:pPr>
        <w:spacing w:after="0" w:line="1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w:t>
      </w:r>
    </w:p>
    <w:p>
      <w:pPr>
        <w:spacing w:after="0" w:line="15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May 31, 2007</w:t>
      </w:r>
    </w:p>
    <w:p>
      <w:pPr>
        <w:spacing w:after="0" w:line="14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UNDER SECTION 13 OR 15(d) OF THE SECURITIES EXCHANGE ACT OF 1934</w:t>
      </w:r>
    </w:p>
    <w:p>
      <w:pPr>
        <w:spacing w:after="0" w:line="219" w:lineRule="exact"/>
        <w:rPr>
          <w:sz w:val="24"/>
          <w:szCs w:val="24"/>
          <w:color w:val="auto"/>
        </w:rPr>
      </w:pPr>
    </w:p>
    <w:p>
      <w:pPr>
        <w:ind w:left="2920"/>
        <w:spacing w:after="0"/>
        <w:rPr>
          <w:sz w:val="20"/>
          <w:szCs w:val="20"/>
          <w:color w:val="auto"/>
        </w:rPr>
      </w:pPr>
      <w:r>
        <w:rPr>
          <w:rFonts w:ascii="Arial" w:cs="Arial" w:eastAsia="Arial" w:hAnsi="Arial"/>
          <w:sz w:val="18"/>
          <w:szCs w:val="18"/>
          <w:b w:val="1"/>
          <w:bCs w:val="1"/>
          <w:color w:val="auto"/>
        </w:rPr>
        <w:t>For the transition period from ________________ to __________________.</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39" w:lineRule="exact"/>
        <w:rPr>
          <w:sz w:val="24"/>
          <w:szCs w:val="24"/>
          <w:color w:val="auto"/>
        </w:rPr>
      </w:pPr>
    </w:p>
    <w:tbl>
      <w:tblPr>
        <w:tblLayout w:type="fixed"/>
        <w:tblInd w:w="84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(Name of small business issuer in its charter)</w:t>
            </w:r>
          </w:p>
        </w:tc>
      </w:tr>
      <w:tr>
        <w:trPr>
          <w:trHeight w:val="419"/>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524"/>
              <w:spacing w:after="0"/>
              <w:rPr>
                <w:sz w:val="20"/>
                <w:szCs w:val="20"/>
                <w:color w:val="auto"/>
              </w:rPr>
            </w:pPr>
            <w:r>
              <w:rPr>
                <w:rFonts w:ascii="Arial" w:cs="Arial" w:eastAsia="Arial" w:hAnsi="Arial"/>
                <w:sz w:val="18"/>
                <w:szCs w:val="18"/>
                <w:b w:val="1"/>
                <w:bCs w:val="1"/>
                <w:color w:val="auto"/>
              </w:rPr>
              <w:t>41-0857886</w:t>
            </w:r>
          </w:p>
        </w:tc>
      </w:tr>
      <w:tr>
        <w:trPr>
          <w:trHeight w:val="174"/>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5500" w:type="dxa"/>
            <w:vAlign w:val="bottom"/>
          </w:tcPr>
          <w:p>
            <w:pPr>
              <w:jc w:val="center"/>
              <w:ind w:left="3364"/>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7"/>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4201 Woodland Rd</w:t>
            </w:r>
          </w:p>
        </w:tc>
        <w:tc>
          <w:tcPr>
            <w:tcW w:w="5500" w:type="dxa"/>
            <w:vAlign w:val="bottom"/>
          </w:tcPr>
          <w:p>
            <w:pPr>
              <w:spacing w:after="0"/>
              <w:rPr>
                <w:sz w:val="24"/>
                <w:szCs w:val="24"/>
                <w:color w:val="auto"/>
              </w:rPr>
            </w:pPr>
          </w:p>
        </w:tc>
      </w:tr>
      <w:tr>
        <w:trPr>
          <w:trHeight w:val="218"/>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7"/>
              </w:rPr>
              <w:t>Circle Pines, Minnesota</w:t>
            </w:r>
          </w:p>
        </w:tc>
        <w:tc>
          <w:tcPr>
            <w:tcW w:w="5500" w:type="dxa"/>
            <w:vAlign w:val="bottom"/>
          </w:tcPr>
          <w:p>
            <w:pPr>
              <w:jc w:val="right"/>
              <w:ind w:right="724"/>
              <w:spacing w:after="0"/>
              <w:rPr>
                <w:sz w:val="20"/>
                <w:szCs w:val="20"/>
                <w:color w:val="auto"/>
              </w:rPr>
            </w:pPr>
            <w:r>
              <w:rPr>
                <w:rFonts w:ascii="Arial" w:cs="Arial" w:eastAsia="Arial" w:hAnsi="Arial"/>
                <w:sz w:val="18"/>
                <w:szCs w:val="18"/>
                <w:b w:val="1"/>
                <w:bCs w:val="1"/>
                <w:color w:val="auto"/>
              </w:rPr>
              <w:t>55014</w:t>
            </w:r>
          </w:p>
        </w:tc>
      </w:tr>
      <w:tr>
        <w:trPr>
          <w:trHeight w:val="174"/>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500" w:type="dxa"/>
            <w:vAlign w:val="bottom"/>
          </w:tcPr>
          <w:p>
            <w:pPr>
              <w:jc w:val="center"/>
              <w:ind w:left="3364"/>
              <w:spacing w:after="0"/>
              <w:rPr>
                <w:sz w:val="20"/>
                <w:szCs w:val="20"/>
                <w:color w:val="auto"/>
              </w:rPr>
            </w:pPr>
            <w:r>
              <w:rPr>
                <w:rFonts w:ascii="Arial" w:cs="Arial" w:eastAsia="Arial" w:hAnsi="Arial"/>
                <w:sz w:val="14"/>
                <w:szCs w:val="14"/>
                <w:b w:val="1"/>
                <w:bCs w:val="1"/>
                <w:color w:val="auto"/>
                <w:w w:val="89"/>
              </w:rPr>
              <w:t>(Zip Code)</w:t>
            </w:r>
          </w:p>
        </w:tc>
      </w:tr>
    </w:tbl>
    <w:p>
      <w:pPr>
        <w:spacing w:after="0" w:line="18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(763) 225-6600</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(Issuer’s telephone number, including area code)</w:t>
      </w:r>
    </w:p>
    <w:p>
      <w:pPr>
        <w:spacing w:after="0" w:line="197" w:lineRule="exact"/>
        <w:rPr>
          <w:sz w:val="24"/>
          <w:szCs w:val="24"/>
          <w:color w:val="auto"/>
        </w:rPr>
      </w:pPr>
    </w:p>
    <w:p>
      <w:pPr>
        <w:ind w:right="140"/>
        <w:spacing w:after="0" w:line="332" w:lineRule="auto"/>
        <w:rPr>
          <w:sz w:val="20"/>
          <w:szCs w:val="20"/>
          <w:color w:val="auto"/>
        </w:rPr>
      </w:pPr>
      <w:r>
        <w:rPr>
          <w:rFonts w:ascii="Arial" w:cs="Arial" w:eastAsia="Arial" w:hAnsi="Arial"/>
          <w:sz w:val="16"/>
          <w:szCs w:val="16"/>
          <w:color w:val="auto"/>
        </w:rPr>
        <w:t>Check whether the issuer (1) filed all reports required to be filed by Section 13 or 15(d) of the Securities Exchange Act of 1934 during the past 12 months (or for such shorter period that the issuer was required to file such reports) and (2) has been subject to such filing requirements for the past 90 days.</w:t>
      </w:r>
    </w:p>
    <w:p>
      <w:pPr>
        <w:spacing w:after="0" w:line="166" w:lineRule="exact"/>
        <w:rPr>
          <w:sz w:val="24"/>
          <w:szCs w:val="24"/>
          <w:color w:val="auto"/>
        </w:rPr>
      </w:pPr>
    </w:p>
    <w:p>
      <w:pPr>
        <w:jc w:val="center"/>
        <w:ind w:right="280"/>
        <w:spacing w:after="0"/>
        <w:tabs>
          <w:tab w:leader="none" w:pos="120" w:val="left"/>
          <w:tab w:leader="none" w:pos="280" w:val="left"/>
          <w:tab w:leader="none" w:pos="12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52" w:lineRule="exact"/>
        <w:rPr>
          <w:sz w:val="24"/>
          <w:szCs w:val="24"/>
          <w:color w:val="auto"/>
        </w:rPr>
      </w:pPr>
    </w:p>
    <w:p>
      <w:pPr>
        <w:jc w:val="center"/>
        <w:ind w:right="280"/>
        <w:spacing w:after="0"/>
        <w:tabs>
          <w:tab w:leader="none" w:pos="120" w:val="left"/>
          <w:tab w:leader="none" w:pos="280" w:val="left"/>
          <w:tab w:leader="none" w:pos="120" w:val="left"/>
        </w:tabs>
        <w:rPr>
          <w:sz w:val="20"/>
          <w:szCs w:val="20"/>
          <w:color w:val="auto"/>
        </w:rPr>
      </w:pPr>
      <w:r>
        <w:rPr>
          <w:rFonts w:ascii="Arial" w:cs="Arial" w:eastAsia="Arial" w:hAnsi="Arial"/>
          <w:sz w:val="18"/>
          <w:szCs w:val="18"/>
          <w:color w:val="auto"/>
        </w:rPr>
        <w:t>Yes</w:t>
        <w:tab/>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State the number of shares outstanding of each of the issuer’s classes of common equity,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5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Class</w:t>
            </w:r>
          </w:p>
        </w:tc>
        <w:tc>
          <w:tcPr>
            <w:tcW w:w="660" w:type="dxa"/>
            <w:vAlign w:val="bottom"/>
          </w:tcPr>
          <w:p>
            <w:pPr>
              <w:spacing w:after="0"/>
              <w:rPr>
                <w:sz w:val="15"/>
                <w:szCs w:val="15"/>
                <w:color w:val="auto"/>
              </w:rPr>
            </w:pPr>
          </w:p>
        </w:tc>
        <w:tc>
          <w:tcPr>
            <w:tcW w:w="5160" w:type="dxa"/>
            <w:vAlign w:val="bottom"/>
          </w:tcPr>
          <w:p>
            <w:pPr>
              <w:jc w:val="center"/>
              <w:spacing w:after="0"/>
              <w:rPr>
                <w:sz w:val="20"/>
                <w:szCs w:val="20"/>
                <w:color w:val="auto"/>
              </w:rPr>
            </w:pPr>
            <w:r>
              <w:rPr>
                <w:rFonts w:ascii="Arial" w:cs="Arial" w:eastAsia="Arial" w:hAnsi="Arial"/>
                <w:sz w:val="14"/>
                <w:szCs w:val="14"/>
                <w:b w:val="1"/>
                <w:bCs w:val="1"/>
                <w:color w:val="auto"/>
                <w:w w:val="86"/>
              </w:rPr>
              <w:t>Outstanding as of July12, 2007</w:t>
            </w:r>
          </w:p>
        </w:tc>
        <w:tc>
          <w:tcPr>
            <w:tcW w:w="20" w:type="dxa"/>
            <w:vAlign w:val="bottom"/>
          </w:tcPr>
          <w:p>
            <w:pPr>
              <w:spacing w:after="0"/>
              <w:rPr>
                <w:sz w:val="15"/>
                <w:szCs w:val="15"/>
                <w:color w:val="auto"/>
              </w:rPr>
            </w:pPr>
          </w:p>
        </w:tc>
      </w:tr>
      <w:tr>
        <w:trPr>
          <w:trHeight w:val="95"/>
        </w:trPr>
        <w:tc>
          <w:tcPr>
            <w:tcW w:w="51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16"/>
        </w:trPr>
        <w:tc>
          <w:tcPr>
            <w:tcW w:w="562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Common Stock, $0.02 par value</w:t>
            </w:r>
          </w:p>
        </w:tc>
        <w:tc>
          <w:tcPr>
            <w:tcW w:w="5820" w:type="dxa"/>
            <w:vAlign w:val="bottom"/>
            <w:gridSpan w:val="2"/>
          </w:tcPr>
          <w:p>
            <w:pPr>
              <w:jc w:val="right"/>
              <w:ind w:right="2172"/>
              <w:spacing w:after="0"/>
              <w:rPr>
                <w:sz w:val="20"/>
                <w:szCs w:val="20"/>
                <w:color w:val="auto"/>
              </w:rPr>
            </w:pPr>
            <w:r>
              <w:rPr>
                <w:rFonts w:ascii="Arial" w:cs="Arial" w:eastAsia="Arial" w:hAnsi="Arial"/>
                <w:sz w:val="18"/>
                <w:szCs w:val="18"/>
                <w:color w:val="auto"/>
              </w:rPr>
              <w:t>3,679,016</w:t>
            </w:r>
          </w:p>
        </w:tc>
        <w:tc>
          <w:tcPr>
            <w:tcW w:w="20" w:type="dxa"/>
            <w:vAlign w:val="bottom"/>
          </w:tcPr>
          <w:p>
            <w:pPr>
              <w:spacing w:after="0"/>
              <w:rPr>
                <w:sz w:val="24"/>
                <w:szCs w:val="24"/>
                <w:color w:val="auto"/>
              </w:rPr>
            </w:pPr>
          </w:p>
        </w:tc>
      </w:tr>
      <w:tr>
        <w:trPr>
          <w:trHeight w:val="432"/>
        </w:trPr>
        <w:tc>
          <w:tcPr>
            <w:tcW w:w="11440" w:type="dxa"/>
            <w:vAlign w:val="bottom"/>
            <w:gridSpan w:val="4"/>
          </w:tcPr>
          <w:p>
            <w:pPr>
              <w:ind w:left="3600"/>
              <w:spacing w:after="0"/>
              <w:rPr>
                <w:sz w:val="20"/>
                <w:szCs w:val="20"/>
                <w:color w:val="auto"/>
              </w:rPr>
            </w:pPr>
            <w:r>
              <w:rPr>
                <w:rFonts w:ascii="Arial" w:cs="Arial" w:eastAsia="Arial" w:hAnsi="Arial"/>
                <w:sz w:val="18"/>
                <w:szCs w:val="18"/>
                <w:color w:val="auto"/>
              </w:rPr>
              <w:t>Transitional Small Business Disclosure Format (check one):</w:t>
            </w:r>
          </w:p>
        </w:tc>
        <w:tc>
          <w:tcPr>
            <w:tcW w:w="20" w:type="dxa"/>
            <w:vAlign w:val="bottom"/>
          </w:tcPr>
          <w:p>
            <w:pPr>
              <w:spacing w:after="0"/>
              <w:rPr>
                <w:sz w:val="24"/>
                <w:szCs w:val="24"/>
                <w:color w:val="auto"/>
              </w:rPr>
            </w:pPr>
          </w:p>
        </w:tc>
      </w:tr>
      <w:tr>
        <w:trPr>
          <w:trHeight w:val="459"/>
        </w:trPr>
        <w:tc>
          <w:tcPr>
            <w:tcW w:w="5620" w:type="dxa"/>
            <w:vAlign w:val="bottom"/>
            <w:gridSpan w:val="2"/>
          </w:tcPr>
          <w:p>
            <w:pPr>
              <w:ind w:left="4980"/>
              <w:spacing w:after="0"/>
              <w:rPr>
                <w:sz w:val="20"/>
                <w:szCs w:val="20"/>
                <w:color w:val="auto"/>
              </w:rPr>
            </w:pPr>
            <w:r>
              <w:rPr>
                <w:rFonts w:ascii="Arial" w:cs="Arial" w:eastAsia="Arial" w:hAnsi="Arial"/>
                <w:sz w:val="18"/>
                <w:szCs w:val="18"/>
                <w:color w:val="auto"/>
              </w:rPr>
              <w:t>Yes  o</w:t>
            </w: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rPr>
              <w:t>No  x</w:t>
            </w:r>
          </w:p>
        </w:tc>
        <w:tc>
          <w:tcPr>
            <w:tcW w:w="20" w:type="dxa"/>
            <w:vAlign w:val="bottom"/>
          </w:tcPr>
          <w:p>
            <w:pPr>
              <w:spacing w:after="0"/>
              <w:rPr>
                <w:sz w:val="24"/>
                <w:szCs w:val="24"/>
                <w:color w:val="auto"/>
              </w:rPr>
            </w:pPr>
          </w:p>
        </w:tc>
      </w:tr>
      <w:tr>
        <w:trPr>
          <w:trHeight w:val="350"/>
        </w:trPr>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
        </w:trPr>
        <w:tc>
          <w:tcPr>
            <w:tcW w:w="518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5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60"/>
          </w:cols>
          <w:pgMar w:left="240" w:top="476" w:right="1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10-QSB</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May 31, 2007</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Page</w:t>
            </w:r>
          </w:p>
        </w:tc>
      </w:tr>
      <w:tr>
        <w:trPr>
          <w:trHeight w:val="110"/>
        </w:trPr>
        <w:tc>
          <w:tcPr>
            <w:tcW w:w="136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r>
      <w:tr>
        <w:trPr>
          <w:trHeight w:val="277"/>
        </w:trPr>
        <w:tc>
          <w:tcPr>
            <w:tcW w:w="1044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5"/>
        </w:trPr>
        <w:tc>
          <w:tcPr>
            <w:tcW w:w="10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520" w:type="dxa"/>
            <w:vAlign w:val="bottom"/>
            <w:tcBorders>
              <w:top w:val="single" w:sz="8" w:color="0000EE"/>
            </w:tcBorders>
            <w:gridSpan w:val="3"/>
          </w:tcPr>
          <w:p>
            <w:pPr>
              <w:spacing w:after="0"/>
              <w:rPr>
                <w:sz w:val="24"/>
                <w:szCs w:val="24"/>
                <w:color w:val="auto"/>
              </w:rPr>
            </w:pPr>
          </w:p>
        </w:tc>
        <w:tc>
          <w:tcPr>
            <w:tcW w:w="740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5"/>
        </w:trPr>
        <w:tc>
          <w:tcPr>
            <w:tcW w:w="1040" w:type="dxa"/>
            <w:vAlign w:val="bottom"/>
          </w:tcPr>
          <w:p>
            <w:pPr>
              <w:spacing w:after="0"/>
              <w:rPr>
                <w:sz w:val="24"/>
                <w:szCs w:val="24"/>
                <w:color w:val="auto"/>
              </w:rPr>
            </w:pPr>
          </w:p>
        </w:tc>
        <w:tc>
          <w:tcPr>
            <w:tcW w:w="94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May 31, 2007 (unaudited) and August 31, 2006 (audited)</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345"/>
        </w:trPr>
        <w:tc>
          <w:tcPr>
            <w:tcW w:w="1040" w:type="dxa"/>
            <w:vAlign w:val="bottom"/>
          </w:tcPr>
          <w:p>
            <w:pPr>
              <w:spacing w:after="0"/>
              <w:rPr>
                <w:sz w:val="24"/>
                <w:szCs w:val="24"/>
                <w:color w:val="auto"/>
              </w:rPr>
            </w:pPr>
          </w:p>
        </w:tc>
        <w:tc>
          <w:tcPr>
            <w:tcW w:w="80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Operations (unaudited) for the Three and Nine Months Ended May 31, 2007 and 2006</w:t>
              </w:r>
            </w:hyperlink>
          </w:p>
        </w:tc>
        <w:tc>
          <w:tcPr>
            <w:tcW w:w="1360" w:type="dxa"/>
            <w:vAlign w:val="bottom"/>
            <w:gridSpan w:val="2"/>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45"/>
        </w:trPr>
        <w:tc>
          <w:tcPr>
            <w:tcW w:w="1040" w:type="dxa"/>
            <w:vAlign w:val="bottom"/>
          </w:tcPr>
          <w:p>
            <w:pPr>
              <w:spacing w:after="0"/>
              <w:rPr>
                <w:sz w:val="24"/>
                <w:szCs w:val="24"/>
                <w:color w:val="auto"/>
              </w:rPr>
            </w:pPr>
          </w:p>
        </w:tc>
        <w:tc>
          <w:tcPr>
            <w:tcW w:w="940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(unaudited) for the Nine Months Ended May 31, 2007 and 2006</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45"/>
        </w:trPr>
        <w:tc>
          <w:tcPr>
            <w:tcW w:w="1040" w:type="dxa"/>
            <w:vAlign w:val="bottom"/>
          </w:tcPr>
          <w:p>
            <w:pPr>
              <w:spacing w:after="0"/>
              <w:rPr>
                <w:sz w:val="24"/>
                <w:szCs w:val="24"/>
                <w:color w:val="auto"/>
              </w:rPr>
            </w:pPr>
          </w:p>
        </w:tc>
        <w:tc>
          <w:tcPr>
            <w:tcW w:w="7340" w:type="dxa"/>
            <w:vAlign w:val="bottom"/>
            <w:tcBorders>
              <w:top w:val="single" w:sz="8" w:color="0000EE"/>
            </w:tcBorders>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2060" w:type="dxa"/>
            <w:vAlign w:val="bottom"/>
            <w:gridSpan w:val="3"/>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6-15</w:t>
            </w:r>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Management’s Discussion and Analysis or Plan of Operation</w:t>
              </w:r>
            </w:hyperlink>
          </w:p>
        </w:tc>
        <w:tc>
          <w:tcPr>
            <w:tcW w:w="5100" w:type="dxa"/>
            <w:vAlign w:val="bottom"/>
            <w:gridSpan w:val="5"/>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16-29</w:t>
            </w:r>
          </w:p>
        </w:tc>
      </w:tr>
      <w:tr>
        <w:trPr>
          <w:trHeight w:val="345"/>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Controls and Procedures</w:t>
              </w:r>
            </w:hyperlink>
          </w:p>
        </w:tc>
        <w:tc>
          <w:tcPr>
            <w:tcW w:w="7660" w:type="dxa"/>
            <w:vAlign w:val="bottom"/>
            <w:gridSpan w:val="8"/>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29-30</w:t>
            </w:r>
          </w:p>
        </w:tc>
      </w:tr>
      <w:tr>
        <w:trPr>
          <w:trHeight w:val="345"/>
        </w:trPr>
        <w:tc>
          <w:tcPr>
            <w:tcW w:w="276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7680" w:type="dxa"/>
            <w:vAlign w:val="bottom"/>
            <w:gridSpan w:val="9"/>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Use of Proceeds and Small Business Issuer Purchases of Equity Securities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345"/>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060" w:type="dxa"/>
            <w:vAlign w:val="bottom"/>
            <w:tcBorders>
              <w:top w:val="single" w:sz="8" w:color="0000EE"/>
            </w:tcBorders>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13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31-32</w:t>
            </w:r>
          </w:p>
        </w:tc>
      </w:tr>
      <w:tr>
        <w:trPr>
          <w:trHeight w:val="345"/>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Exhibits</w:t>
              </w:r>
            </w:hyperlink>
          </w:p>
        </w:tc>
        <w:tc>
          <w:tcPr>
            <w:tcW w:w="700" w:type="dxa"/>
            <w:vAlign w:val="bottom"/>
            <w:tcBorders>
              <w:top w:val="single" w:sz="8" w:color="0000EE"/>
            </w:tcBorders>
          </w:tcPr>
          <w:p>
            <w:pPr>
              <w:spacing w:after="0"/>
              <w:rPr>
                <w:sz w:val="24"/>
                <w:szCs w:val="24"/>
                <w:color w:val="auto"/>
              </w:rPr>
            </w:pPr>
          </w:p>
        </w:tc>
        <w:tc>
          <w:tcPr>
            <w:tcW w:w="8100" w:type="dxa"/>
            <w:vAlign w:val="bottom"/>
            <w:gridSpan w:val="11"/>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345"/>
        </w:trPr>
        <w:tc>
          <w:tcPr>
            <w:tcW w:w="1560" w:type="dxa"/>
            <w:vAlign w:val="bottom"/>
            <w:tcBorders>
              <w:bottom w:val="single" w:sz="8" w:color="0000EE"/>
            </w:tcBorders>
            <w:gridSpan w:val="3"/>
          </w:tcPr>
          <w:p>
            <w:pPr>
              <w:spacing w:after="0"/>
              <w:rPr>
                <w:rFonts w:ascii="Arial" w:cs="Arial" w:eastAsia="Arial" w:hAnsi="Arial"/>
                <w:sz w:val="18"/>
                <w:szCs w:val="18"/>
                <w:b w:val="1"/>
                <w:bCs w:val="1"/>
                <w:color w:val="0000EE"/>
                <w:w w:val="95"/>
              </w:rPr>
            </w:pPr>
            <w:hyperlink w:anchor="page33">
              <w:r>
                <w:rPr>
                  <w:rFonts w:ascii="Arial" w:cs="Arial" w:eastAsia="Arial" w:hAnsi="Arial"/>
                  <w:sz w:val="18"/>
                  <w:szCs w:val="18"/>
                  <w:b w:val="1"/>
                  <w:bCs w:val="1"/>
                  <w:color w:val="0000EE"/>
                  <w:w w:val="95"/>
                </w:rPr>
                <w:t>SIGNATURE PAGE</w:t>
              </w:r>
            </w:hyperlink>
          </w:p>
        </w:tc>
        <w:tc>
          <w:tcPr>
            <w:tcW w:w="8880" w:type="dxa"/>
            <w:vAlign w:val="bottom"/>
            <w:gridSpan w:val="13"/>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345"/>
        </w:trPr>
        <w:tc>
          <w:tcPr>
            <w:tcW w:w="10440" w:type="dxa"/>
            <w:vAlign w:val="bottom"/>
            <w:gridSpan w:val="16"/>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EXHIBIT INDEX</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238125</wp:posOffset>
            </wp:positionV>
            <wp:extent cx="1539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i w:val="1"/>
          <w:iCs w:val="1"/>
          <w:color w:val="auto"/>
        </w:rPr>
        <w:t>This Quarterly Report on Form 10-QSB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or Plan of Operation – Forward-Looking Statements.”</w:t>
      </w:r>
    </w:p>
    <w:p>
      <w:pPr>
        <w:spacing w:after="0" w:line="161"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its wholly owned subsidiaries – NTI Facilities, Inc. and Northern Technologies Holding Company, LLC, and its majority-owned subsidiary – React-NTI, LLC, all of which are consolidated on NTIC’s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58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 – CONSOLIDATED BALANCE SHEETS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31, 2007 (Unaudited) and August 31, 2006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1155" w:type="dxa"/>
            <w:vAlign w:val="bottom"/>
          </w:tcPr>
          <w:p>
            <w:pPr>
              <w:jc w:val="right"/>
              <w:ind w:right="353"/>
              <w:spacing w:after="0"/>
              <w:rPr>
                <w:sz w:val="20"/>
                <w:szCs w:val="20"/>
                <w:color w:val="auto"/>
              </w:rPr>
            </w:pPr>
            <w:r>
              <w:rPr>
                <w:rFonts w:ascii="Arial" w:cs="Arial" w:eastAsia="Arial" w:hAnsi="Arial"/>
                <w:sz w:val="14"/>
                <w:szCs w:val="14"/>
                <w:b w:val="1"/>
                <w:bCs w:val="1"/>
                <w:color w:val="auto"/>
              </w:rPr>
              <w:t>May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55" w:type="dxa"/>
            <w:vAlign w:val="bottom"/>
          </w:tcPr>
          <w:p>
            <w:pPr>
              <w:jc w:val="right"/>
              <w:ind w:right="433"/>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3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CURRENT ASSETS: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536,246</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7"/>
              </w:rPr>
              <w:t>Trade excluding corporate joint ventures, less allowance for doubtful accounts of $13,845 and</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$10,000 at May 31, 2007 and August 31, 2006</w:t>
            </w:r>
          </w:p>
        </w:tc>
        <w:tc>
          <w:tcPr>
            <w:tcW w:w="125" w:type="dxa"/>
            <w:vAlign w:val="bottom"/>
            <w:shd w:val="clear" w:color="auto" w:fill="CCEEFF"/>
          </w:tcPr>
          <w:p>
            <w:pPr>
              <w:spacing w:after="0"/>
              <w:rPr>
                <w:sz w:val="19"/>
                <w:szCs w:val="19"/>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1,418,727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1,772,568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Trade corporate joint ventures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650,777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598,162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Technical and other services, corporate joint ventures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1,425,215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340,415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1,653,268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Prepaid expenses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200,558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237,088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current assets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6,462,294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PROPERTY AND EQUIPMENT, net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3,822,142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3,430,573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Investments in corporate joint ventures: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Industrial chemical</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12,342,653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Industrial non-chemical</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461,713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374,639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Notes receivable and foreign deposit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51,710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 from employee</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Industrial patents and trademarks, net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977,368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Goodwill</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Other</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416,370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15,220,275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13,629,948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25,504,711</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23,270,630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55"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CURRENT LIABILITIES: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Bank overdrafts</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173,100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Borrowings made on line of credit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884,000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Current portion of notes payable</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968,865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1,775,926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Payroll and related benefits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Deferred joint venture royalties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168,000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187,337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current liabilities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3,209,049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NOTES PAYABLE, NET OF CURRENT PORTION</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1,218,952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1,240,848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STOCKHOLDERS’ EQUITY:</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w w:val="98"/>
              </w:rPr>
              <w:t>Common stock, $0.02 par value per share; authorized 10,000,000 shares; issued and outstanding</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1060"/>
              <w:spacing w:after="0"/>
              <w:rPr>
                <w:sz w:val="20"/>
                <w:szCs w:val="20"/>
                <w:color w:val="auto"/>
              </w:rPr>
            </w:pPr>
            <w:r>
              <w:rPr>
                <w:rFonts w:ascii="Arial" w:cs="Arial" w:eastAsia="Arial" w:hAnsi="Arial"/>
                <w:sz w:val="18"/>
                <w:szCs w:val="18"/>
                <w:color w:val="auto"/>
              </w:rPr>
              <w:t>3,679,016 and 3,618,993, respectively</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73,580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4,735,323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Retained earnings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14,961,801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12,895,574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other comprehensive income</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1,251,044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stockholders’ equity</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21,021,748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25,504,711</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23,270,630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-3510915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-3510915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-3510915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-3510915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-3510915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-3510915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584" w:right="239" w:bottom="315"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584" w:right="239" w:bottom="315" w:gutter="0" w:footer="0" w:header="0"/>
          <w:type w:val="continuous"/>
        </w:sectPr>
      </w:pPr>
    </w:p>
    <w:bookmarkStart w:id="3" w:name="page4"/>
    <w:bookmarkEnd w:id="3"/>
    <w:p>
      <w:pPr>
        <w:ind w:right="4220"/>
        <w:spacing w:after="0" w:line="262" w:lineRule="auto"/>
        <w:rPr>
          <w:sz w:val="20"/>
          <w:szCs w:val="20"/>
          <w:color w:val="auto"/>
        </w:rPr>
      </w:pPr>
      <w:r>
        <w:rPr>
          <w:rFonts w:ascii="Arial" w:cs="Arial" w:eastAsia="Arial" w:hAnsi="Arial"/>
          <w:sz w:val="18"/>
          <w:szCs w:val="18"/>
          <w:b w:val="1"/>
          <w:bCs w:val="1"/>
          <w:color w:val="auto"/>
        </w:rPr>
        <w:t>NORTHERN TECHNOLOGIES INTERNATIONAL CORPORATION AND SUBSIDIARIES - CONSOLIDATED STATEMENTS OF OPERATIONS (Unaudited) THREE AND NINE MONTHS ENDED May 31, 2007 AND May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25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May 31, 2007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May 31, 2006</w:t>
            </w:r>
          </w:p>
        </w:tc>
        <w:tc>
          <w:tcPr>
            <w:tcW w:w="140" w:type="dxa"/>
            <w:vAlign w:val="bottom"/>
          </w:tcPr>
          <w:p>
            <w:pPr>
              <w:spacing w:after="0"/>
              <w:rPr>
                <w:sz w:val="22"/>
                <w:szCs w:val="22"/>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May 31, 2007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May 31,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NORTH AMERICAN OPERATIONS: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Sales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4,407,798</w:t>
            </w: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4,320,371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12,910,067</w:t>
            </w:r>
          </w:p>
        </w:tc>
        <w:tc>
          <w:tcPr>
            <w:tcW w:w="10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12,499,693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2,876,012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8,280,131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1,531,786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1,561,011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4,629,936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Selling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887,014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871,828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2,466,218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2,444,017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2,235,276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Lab and technical support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46,941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177,316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1,542,059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1,575,723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4,878,810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NORTH AMERICAN OPERATING (LOSS)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(14,712)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(248,874)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CORPORATE JOINT VENTURES AND HOLDING COMPANIES: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Equity in income of industrial chemical corporate joint ventures and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holding companies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722,075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793,378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2,318,009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2,084,042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w w:val="92"/>
              </w:rPr>
              <w:t>Equity in income of industrial non-chemical corporate joint ventures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1060"/>
              <w:spacing w:after="0"/>
              <w:rPr>
                <w:sz w:val="20"/>
                <w:szCs w:val="20"/>
                <w:color w:val="auto"/>
              </w:rPr>
            </w:pPr>
            <w:r>
              <w:rPr>
                <w:rFonts w:ascii="Arial" w:cs="Arial" w:eastAsia="Arial" w:hAnsi="Arial"/>
                <w:sz w:val="18"/>
                <w:szCs w:val="18"/>
                <w:color w:val="auto"/>
              </w:rPr>
              <w:t>and holding companies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66,011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Fees for technical support and other services provided to corporate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joint ventures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1,162,974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1,123,978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3,508,977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3,258,027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Expenses incurred in support of corporate joint ventures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(1,161,702)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(1,204,929)</w:t>
            </w: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(3,819,003)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(3,661,459)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ALL CORPORATE JOINT VENTURES AND HOLDING</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COMPANIES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755,558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721,335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2,073,994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1,714,180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(19,886)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(131,503)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MINORITY INTEREST INCOME (EXPENSE)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(903)</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2,437,227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371,000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627,800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2,066,227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0.20</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ASSUMED OUTSTANDING: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3,679,016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3,610,993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3,674,635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3,708,626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3,638,795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3,707,772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3,625,061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4" w:name="page5"/>
    <w:bookmarkEnd w:id="4"/>
    <w:p>
      <w:pPr>
        <w:ind w:right="4940"/>
        <w:spacing w:after="0" w:line="262" w:lineRule="auto"/>
        <w:rPr>
          <w:sz w:val="20"/>
          <w:szCs w:val="20"/>
          <w:color w:val="auto"/>
        </w:rPr>
      </w:pPr>
      <w:r>
        <w:rPr>
          <w:rFonts w:ascii="Arial" w:cs="Arial" w:eastAsia="Arial" w:hAnsi="Arial"/>
          <w:sz w:val="18"/>
          <w:szCs w:val="18"/>
          <w:b w:val="1"/>
          <w:bCs w:val="1"/>
          <w:color w:val="auto"/>
        </w:rPr>
        <w:t>NORTHERN TECHNOLOGIES INTERNATIONAL CORPORATION AND SUBSIDIARIES - CONSOLIDATED STATEMENTS OF CASH FLOWS (Unaudited) NINE MONTHS ENDED MAY 31, 2007 and MAY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May 31, 2007</w:t>
            </w:r>
          </w:p>
        </w:tc>
        <w:tc>
          <w:tcPr>
            <w:tcW w:w="180" w:type="dxa"/>
            <w:vAlign w:val="bottom"/>
          </w:tcPr>
          <w:p>
            <w:pPr>
              <w:spacing w:after="0"/>
              <w:rPr>
                <w:sz w:val="15"/>
                <w:szCs w:val="15"/>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May 31,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2,066,227</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1,556,676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Expensing of fair value of stock options vested</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113,773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assets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(726,295)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Minority interest (income) expense</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income from corporate joint ventures: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Industrial chemical</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(2,318,009)</w:t>
            </w: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(2,083,986)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Industrial non-chemical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(66,011)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Deferred joint venture royalties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current assets and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Trade excluding corporate joint ventures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353,841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720"/>
              <w:spacing w:after="0"/>
              <w:rPr>
                <w:sz w:val="20"/>
                <w:szCs w:val="20"/>
                <w:color w:val="auto"/>
              </w:rPr>
            </w:pPr>
            <w:r>
              <w:rPr>
                <w:rFonts w:ascii="Arial" w:cs="Arial" w:eastAsia="Arial" w:hAnsi="Arial"/>
                <w:sz w:val="18"/>
                <w:szCs w:val="18"/>
                <w:color w:val="auto"/>
              </w:rPr>
              <w:t>Trade corporate joint ventures</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(52,615)</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Technical and other services receivables, corporate joint ventures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(67,461)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72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(6,596)</w:t>
            </w: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(25,191)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(275,315)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(134,737)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note receivable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(807,061)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(1,235,051)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Investment in corporate joint ventures</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(538,104)</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received from corporate joint ventures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Loans made</w:t>
            </w: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from notes receivable and foreign deposit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Additions to property and equipment</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(748,161)</w:t>
            </w: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(1,592,476)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other assets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(41,171)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Disposal of industrial patents</w:t>
            </w: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industrial patents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(94,549)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(136,409)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1,269,591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borrowings made on line of credit (repayments)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(Repayment) borrowing of term loan</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(20,479)</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Repayment of note payable</w:t>
            </w: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(554,870)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overdrafts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(155,704)</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202,589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299,117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368"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68" w:right="239" w:bottom="1440" w:gutter="0" w:footer="0" w:header="0"/>
          <w:type w:val="continuous"/>
        </w:sectPr>
      </w:pPr>
    </w:p>
    <w:bookmarkStart w:id="5" w:name="page6"/>
    <w:bookmarkEnd w:id="5"/>
    <w:p>
      <w:pPr>
        <w:ind w:right="4400"/>
        <w:spacing w:after="0" w:line="339" w:lineRule="auto"/>
        <w:rPr>
          <w:sz w:val="20"/>
          <w:szCs w:val="20"/>
          <w:color w:val="auto"/>
        </w:rPr>
      </w:pPr>
      <w:r>
        <w:rPr>
          <w:rFonts w:ascii="Arial" w:cs="Arial" w:eastAsia="Arial" w:hAnsi="Arial"/>
          <w:sz w:val="16"/>
          <w:szCs w:val="16"/>
          <w:b w:val="1"/>
          <w:bCs w:val="1"/>
          <w:color w:val="auto"/>
        </w:rPr>
        <w:t>NORTHERN TECHNOLOGIES INTERNATIONAL CORPORATION AND SUBSIDIARIES -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38"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31"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2007 and the results of their operations for the three and nine months ended May 31, 2007 and May 31, 2006 and their cash flows for the nine months ended May 31, 2007 and May 31, 2006, in conformity with accounting principles generally accepted in the United States of America.</w:t>
      </w:r>
    </w:p>
    <w:p>
      <w:pPr>
        <w:spacing w:after="0" w:line="16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related notes contained in the Company’s annual report on Form 10-KSB for the fiscal year ended August 31, 2006 and with the Management’s Discussion and Analysis or Plan of Operation section appearing in this quarterly report. Operating results for the three and nine months ended May 31, 2007 are not necessarily indicative of the results that may be expected for the full fiscal year ending August 31, 2007.</w:t>
      </w:r>
    </w:p>
    <w:p>
      <w:pPr>
        <w:spacing w:after="0" w:line="191"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June 2006, the FASB issued FASB Interpretation 48, “Accounting for Uncertainty in Income Taxes — an interpretation of FASB Statement 109,” (“FIN 48”). FIN 48 clarifies the accounting for uncertainty in income taxes recognized in a company’s financial statements in accordance with SFAS 109, “Accounting for Income Taxes.” This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disclosure and transition. FIN 48 is required to be adopted by the Company on September 1, 2007. The Company is currently evaluating the impact of its adoption of FIN 48 and has not yet determined the effect on its earnings or financial position.</w:t>
      </w:r>
    </w:p>
    <w:p>
      <w:pPr>
        <w:spacing w:after="0" w:line="16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December 2004, FASB published FASB Statement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FAS 123(R) requires that the compensation cost relating to share-based payment transactions, including grants of employee stock options, be recognized in financial statements. That cost will be measured based on the fair value of the equity or liability instruments issued. FAS 123(R) covers a wide range of share-based compensation arrangements including stock options, restricted share plans, performance-based awards, share appreciation rights, and employee share purchase plans. FAS 123(R) is a replacement of FASB Statement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and supersedes APB Opinion No. 25,</w:t>
      </w:r>
      <w:r>
        <w:rPr>
          <w:rFonts w:ascii="Arial" w:cs="Arial" w:eastAsia="Arial" w:hAnsi="Arial"/>
          <w:sz w:val="16"/>
          <w:szCs w:val="16"/>
          <w:i w:val="1"/>
          <w:iCs w:val="1"/>
          <w:color w:val="auto"/>
        </w:rPr>
        <w:t xml:space="preserve"> Accounting for Stock Issued to Employees</w:t>
      </w:r>
      <w:r>
        <w:rPr>
          <w:rFonts w:ascii="Arial" w:cs="Arial" w:eastAsia="Arial" w:hAnsi="Arial"/>
          <w:sz w:val="16"/>
          <w:szCs w:val="16"/>
          <w:color w:val="auto"/>
        </w:rPr>
        <w:t>, and its related interpretive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The effect of the Statement is to require entities to measure the cost of employee services received in exchange for stock options based on the grant-date fair value of the award, and to recognize the cost over the period the employee is required to provide services for the award. Compensation cost under SFAS 123(R) is recognized ratably using the straight-line attribution method over the expected vesting period, which is considered to be the requisite service period. In addition, pursuant to SFAS 123(R), we are required to estimate the amount of expected forfeitures when calculating the compensation costs, instead of accounting for forfeitures as incurred, which was our previous method. All of our options previously awarded were classified as equity instruments and continue to maintain their equity classification under SFAS 123(R). FAS 123(R) permits entities to use any option-pricing model that meets the fair value objective in the Statement. The Company implemented FAS 123(R) on September 1, 2006, using the modified prospective transition method.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8" w:right="259" w:bottom="1440" w:gutter="0" w:footer="0" w:header="0"/>
        </w:sectPr>
      </w:pPr>
    </w:p>
    <w:bookmarkStart w:id="6" w:name="page7"/>
    <w:bookmarkEnd w:id="6"/>
    <w:p>
      <w:pPr>
        <w:spacing w:after="0" w:line="287" w:lineRule="auto"/>
        <w:rPr>
          <w:sz w:val="20"/>
          <w:szCs w:val="20"/>
          <w:color w:val="auto"/>
        </w:rPr>
      </w:pPr>
      <w:r>
        <w:rPr>
          <w:rFonts w:ascii="Arial" w:cs="Arial" w:eastAsia="Arial" w:hAnsi="Arial"/>
          <w:sz w:val="16"/>
          <w:szCs w:val="16"/>
          <w:color w:val="auto"/>
        </w:rPr>
        <w:t>The Company granted options to purchase 15,167 shares of its common stock during nine months ended May 31, 2007. No options were issued during the three months ended May 31, 2007. The fair value of option grants is determined at date of grant, using the Black-Scholes option pricing model with the assumptions listed below. The volatility factor used in the Black-Scholes option pricing model is based on historical stock price fluctuations and risk free interest rate are based on U.S. treasury rates appropriate for expected term. Based on these valuations, the Company recognized compensation expense of $60,786 during the nine months ended May 31, 2007, related to the options that vested during such time period, which reduced net income per share by $0.02 for the nine month period. No compensation expense for stock options issued was recognized during the three months ended May 31, 2007. The Company estimates that there will be no additional compensation expense relating to option grants for the remainder of fiscal year 2007. As of May 31, 2007, the total compensation cost for nonvested options not yet recognized in the Company’s statements of operations was $65,856, net of estimated forfeitures. Stock based compensation expense of $54,867 and $10,989 are expected to be recognized during the nine months ending May 31, 2008 and 2009, respectively. Future option grants will impact the compensation expense recognized.</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fair value of the options granted during the nine months ended May 31, 2007 and 2006 was estimated using the Black-Scholes option pricing model with the following weighted average assumptions: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320" w:type="dxa"/>
            <w:vAlign w:val="bottom"/>
          </w:tcPr>
          <w:p>
            <w:pPr>
              <w:ind w:left="260"/>
              <w:spacing w:after="0"/>
              <w:rPr>
                <w:sz w:val="20"/>
                <w:szCs w:val="20"/>
                <w:color w:val="auto"/>
              </w:rPr>
            </w:pPr>
            <w:r>
              <w:rPr>
                <w:rFonts w:ascii="Arial" w:cs="Arial" w:eastAsia="Arial" w:hAnsi="Arial"/>
                <w:sz w:val="14"/>
                <w:szCs w:val="14"/>
                <w:b w:val="1"/>
                <w:bCs w:val="1"/>
                <w:color w:val="auto"/>
              </w:rPr>
              <w:t>May 31, 2007</w:t>
            </w:r>
          </w:p>
        </w:tc>
        <w:tc>
          <w:tcPr>
            <w:tcW w:w="240" w:type="dxa"/>
            <w:vAlign w:val="bottom"/>
          </w:tcPr>
          <w:p>
            <w:pPr>
              <w:spacing w:after="0"/>
              <w:rPr>
                <w:sz w:val="15"/>
                <w:szCs w:val="15"/>
                <w:color w:val="auto"/>
              </w:rPr>
            </w:pPr>
          </w:p>
        </w:tc>
        <w:tc>
          <w:tcPr>
            <w:tcW w:w="1380" w:type="dxa"/>
            <w:vAlign w:val="bottom"/>
            <w:gridSpan w:val="2"/>
          </w:tcPr>
          <w:p>
            <w:pPr>
              <w:ind w:left="260"/>
              <w:spacing w:after="0"/>
              <w:rPr>
                <w:sz w:val="20"/>
                <w:szCs w:val="20"/>
                <w:color w:val="auto"/>
              </w:rPr>
            </w:pPr>
            <w:r>
              <w:rPr>
                <w:rFonts w:ascii="Arial" w:cs="Arial" w:eastAsia="Arial" w:hAnsi="Arial"/>
                <w:sz w:val="14"/>
                <w:szCs w:val="14"/>
                <w:b w:val="1"/>
                <w:bCs w:val="1"/>
                <w:color w:val="auto"/>
              </w:rPr>
              <w:t>May 31,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2.00%</w:t>
            </w:r>
          </w:p>
        </w:tc>
        <w:tc>
          <w:tcPr>
            <w:tcW w:w="15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tcPr>
          <w:p>
            <w:pPr>
              <w:ind w:left="500"/>
              <w:spacing w:after="0"/>
              <w:rPr>
                <w:sz w:val="20"/>
                <w:szCs w:val="20"/>
                <w:color w:val="auto"/>
              </w:rPr>
            </w:pPr>
            <w:r>
              <w:rPr>
                <w:rFonts w:ascii="Arial" w:cs="Arial" w:eastAsia="Arial" w:hAnsi="Arial"/>
                <w:sz w:val="18"/>
                <w:szCs w:val="18"/>
                <w:color w:val="auto"/>
              </w:rPr>
              <w:t>42.9%</w:t>
            </w:r>
          </w:p>
        </w:tc>
        <w:tc>
          <w:tcPr>
            <w:tcW w:w="1560" w:type="dxa"/>
            <w:vAlign w:val="bottom"/>
            <w:gridSpan w:val="2"/>
          </w:tcPr>
          <w:p>
            <w:pPr>
              <w:ind w:left="740"/>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 years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320" w:type="dxa"/>
            <w:vAlign w:val="bottom"/>
          </w:tcPr>
          <w:p>
            <w:pPr>
              <w:ind w:left="500"/>
              <w:spacing w:after="0"/>
              <w:rPr>
                <w:sz w:val="20"/>
                <w:szCs w:val="20"/>
                <w:color w:val="auto"/>
              </w:rPr>
            </w:pPr>
            <w:r>
              <w:rPr>
                <w:rFonts w:ascii="Arial" w:cs="Arial" w:eastAsia="Arial" w:hAnsi="Arial"/>
                <w:sz w:val="18"/>
                <w:szCs w:val="18"/>
                <w:color w:val="auto"/>
              </w:rPr>
              <w:t>4.67%</w:t>
            </w:r>
          </w:p>
        </w:tc>
        <w:tc>
          <w:tcPr>
            <w:tcW w:w="1560" w:type="dxa"/>
            <w:vAlign w:val="bottom"/>
            <w:gridSpan w:val="2"/>
          </w:tcPr>
          <w:p>
            <w:pPr>
              <w:ind w:left="740"/>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Dividend yield and expected volatility are estimated using historical amounts that are anticipated to be consistent with current values. Expected life of option is based on the life of the option agreements.</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Had compensation cost for stock options been determined based on the fair value methodology prescribed by SFAS 123(R), the Company’s net income and net income per common share for the three and nine month periods ended May 31, 2006 would have been reduced to the pro forma amounts indicated below:</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116"/>
              <w:spacing w:after="0"/>
              <w:rPr>
                <w:sz w:val="20"/>
                <w:szCs w:val="20"/>
                <w:color w:val="auto"/>
              </w:rPr>
            </w:pPr>
            <w:r>
              <w:rPr>
                <w:rFonts w:ascii="Arial" w:cs="Arial" w:eastAsia="Arial" w:hAnsi="Arial"/>
                <w:sz w:val="14"/>
                <w:szCs w:val="14"/>
                <w:b w:val="1"/>
                <w:bCs w:val="1"/>
                <w:color w:val="auto"/>
                <w:w w:val="90"/>
              </w:rPr>
              <w:t>3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9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216"/>
              <w:spacing w:after="0"/>
              <w:rPr>
                <w:sz w:val="20"/>
                <w:szCs w:val="20"/>
                <w:color w:val="auto"/>
              </w:rPr>
            </w:pPr>
            <w:r>
              <w:rPr>
                <w:rFonts w:ascii="Arial" w:cs="Arial" w:eastAsia="Arial" w:hAnsi="Arial"/>
                <w:sz w:val="14"/>
                <w:szCs w:val="14"/>
                <w:b w:val="1"/>
                <w:bCs w:val="1"/>
                <w:color w:val="auto"/>
              </w:rPr>
              <w:t>May 31, 2006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May 31,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As reported</w:t>
            </w:r>
          </w:p>
        </w:tc>
        <w:tc>
          <w:tcPr>
            <w:tcW w:w="2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717,963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1,556,676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717,963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As reported</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Pro forma</w:t>
            </w:r>
          </w:p>
        </w:tc>
        <w:tc>
          <w:tcPr>
            <w:tcW w:w="2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As reported</w:t>
            </w:r>
          </w:p>
        </w:tc>
        <w:tc>
          <w:tcPr>
            <w:tcW w:w="2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Stock-based compensation, net:</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As reported</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Pro forma</w:t>
            </w:r>
          </w:p>
        </w:tc>
        <w:tc>
          <w:tcPr>
            <w:tcW w:w="2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35,633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60" w:type="dxa"/>
            <w:vAlign w:val="bottom"/>
          </w:tcPr>
          <w:p>
            <w:pPr>
              <w:jc w:val="right"/>
              <w:ind w:right="149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590" w:right="27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4.   INVENTORIES</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00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360"/>
              <w:spacing w:after="0"/>
              <w:rPr>
                <w:sz w:val="20"/>
                <w:szCs w:val="20"/>
                <w:color w:val="auto"/>
              </w:rPr>
            </w:pPr>
            <w:r>
              <w:rPr>
                <w:rFonts w:ascii="Arial" w:cs="Arial" w:eastAsia="Arial" w:hAnsi="Arial"/>
                <w:sz w:val="14"/>
                <w:szCs w:val="14"/>
                <w:b w:val="1"/>
                <w:bCs w:val="1"/>
                <w:color w:val="auto"/>
              </w:rPr>
              <w:t>May 31,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60"/>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301,299</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Finished goods</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1,351,968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1,024,437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1,653,268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PROPERTY AND EQUIPMENT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0" w:type="dxa"/>
            <w:vAlign w:val="bottom"/>
          </w:tcPr>
          <w:p>
            <w:pPr>
              <w:spacing w:after="0"/>
              <w:rPr>
                <w:sz w:val="14"/>
                <w:szCs w:val="14"/>
                <w:color w:val="auto"/>
              </w:rPr>
            </w:pPr>
          </w:p>
        </w:tc>
        <w:tc>
          <w:tcPr>
            <w:tcW w:w="125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May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90" w:type="dxa"/>
            <w:vAlign w:val="bottom"/>
          </w:tcPr>
          <w:p>
            <w:pPr>
              <w:spacing w:after="0"/>
              <w:rPr>
                <w:sz w:val="15"/>
                <w:szCs w:val="15"/>
                <w:color w:val="auto"/>
              </w:rPr>
            </w:pPr>
          </w:p>
        </w:tc>
        <w:tc>
          <w:tcPr>
            <w:tcW w:w="1130" w:type="dxa"/>
            <w:vAlign w:val="bottom"/>
          </w:tcPr>
          <w:p>
            <w:pPr>
              <w:jc w:val="right"/>
              <w:ind w:right="457"/>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113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90" w:type="dxa"/>
            <w:vAlign w:val="bottom"/>
          </w:tcPr>
          <w:p>
            <w:pPr>
              <w:spacing w:after="0"/>
              <w:rPr>
                <w:sz w:val="8"/>
                <w:szCs w:val="8"/>
                <w:color w:val="auto"/>
              </w:rPr>
            </w:pPr>
          </w:p>
        </w:tc>
        <w:tc>
          <w:tcPr>
            <w:tcW w:w="113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1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2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1130" w:type="dxa"/>
            <w:vAlign w:val="bottom"/>
          </w:tcPr>
          <w:p>
            <w:pPr>
              <w:jc w:val="right"/>
              <w:spacing w:after="0"/>
              <w:rPr>
                <w:sz w:val="20"/>
                <w:szCs w:val="20"/>
                <w:color w:val="auto"/>
              </w:rPr>
            </w:pPr>
            <w:r>
              <w:rPr>
                <w:rFonts w:ascii="Arial" w:cs="Arial" w:eastAsia="Arial" w:hAnsi="Arial"/>
                <w:sz w:val="18"/>
                <w:szCs w:val="18"/>
                <w:color w:val="auto"/>
              </w:rPr>
              <w:t>3,031,564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3,420,596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11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113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90" w:type="dxa"/>
            <w:vAlign w:val="bottom"/>
          </w:tcPr>
          <w:p>
            <w:pPr>
              <w:spacing w:after="0"/>
              <w:rPr>
                <w:sz w:val="8"/>
                <w:szCs w:val="8"/>
                <w:color w:val="auto"/>
              </w:rPr>
            </w:pPr>
          </w:p>
        </w:tc>
        <w:tc>
          <w:tcPr>
            <w:tcW w:w="113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11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4,584,361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2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1250" w:type="dxa"/>
            <w:vAlign w:val="bottom"/>
            <w:gridSpan w:val="2"/>
          </w:tcPr>
          <w:p>
            <w:pPr>
              <w:jc w:val="right"/>
              <w:ind w:right="100"/>
              <w:spacing w:after="0"/>
              <w:rPr>
                <w:sz w:val="20"/>
                <w:szCs w:val="20"/>
                <w:color w:val="auto"/>
              </w:rPr>
            </w:pPr>
            <w:r>
              <w:rPr>
                <w:rFonts w:ascii="Arial" w:cs="Arial" w:eastAsia="Arial" w:hAnsi="Arial"/>
                <w:sz w:val="18"/>
                <w:szCs w:val="18"/>
                <w:color w:val="auto"/>
              </w:rPr>
              <w:t>(762,219)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(1,043,144)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113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90" w:type="dxa"/>
            <w:vAlign w:val="bottom"/>
          </w:tcPr>
          <w:p>
            <w:pPr>
              <w:spacing w:after="0"/>
              <w:rPr>
                <w:sz w:val="8"/>
                <w:szCs w:val="8"/>
                <w:color w:val="auto"/>
              </w:rPr>
            </w:pPr>
          </w:p>
        </w:tc>
        <w:tc>
          <w:tcPr>
            <w:tcW w:w="113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21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3,822,142</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113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 recognized a gain on the sale of land, building and equipment that previously served as its corporate headquarters of $726,295 during the nine months ended May 31, 2007. This was a one-time sale and no additional gain is anticipated to be recognized relating to the building in the future as the entire sale was received in cash and NTIC does not have any continued interest in the property sold.</w:t>
      </w:r>
    </w:p>
    <w:p>
      <w:pPr>
        <w:spacing w:after="0" w:line="18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tab/>
        <w:t>INDUSTRIAL PATENTS AND TRADEMARKS, NET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Industrial patents and trademarks, net consisted of the following: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May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460"/>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460"/>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1,373,394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(396,026)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(282,253)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977,368</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-29210</wp:posOffset>
            </wp:positionV>
            <wp:extent cx="183070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30705" cy="29845"/>
                    </a:xfrm>
                    <a:prstGeom prst="rect">
                      <a:avLst/>
                    </a:prstGeom>
                    <a:noFill/>
                  </pic:spPr>
                </pic:pic>
              </a:graphicData>
            </a:graphic>
          </wp:anchor>
        </w:drawing>
      </w:r>
    </w:p>
    <w:p>
      <w:pPr>
        <w:spacing w:after="0" w:line="2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Patent and trademark costs are amortized over seven years once a patent or trademark application is filed and approved. Amortization expense was $113,773 and $121,694, for the nine months ended May 31, 2007 and 2006, respectively. Amortization expense is estimated to approximate $175,000 in each of the next five fiscal years.</w:t>
      </w:r>
    </w:p>
    <w:p>
      <w:pPr>
        <w:spacing w:after="0" w:line="18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tab/>
        <w:t>NOTES RECEIVABLE AND FOREIGN DEPOSITS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Notes receivable and foreign deposits consisted of the following: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380"/>
              <w:spacing w:after="0"/>
              <w:rPr>
                <w:sz w:val="20"/>
                <w:szCs w:val="20"/>
                <w:color w:val="auto"/>
              </w:rPr>
            </w:pPr>
            <w:r>
              <w:rPr>
                <w:rFonts w:ascii="Arial" w:cs="Arial" w:eastAsia="Arial" w:hAnsi="Arial"/>
                <w:sz w:val="14"/>
                <w:szCs w:val="14"/>
                <w:b w:val="1"/>
                <w:bCs w:val="1"/>
                <w:color w:val="auto"/>
              </w:rPr>
              <w:t>May 31,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60"/>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460"/>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corporate joint venture partners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Foreign deposits</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445,469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60"/>
          </w:cols>
          <w:pgMar w:left="240" w:top="584" w:right="299" w:bottom="1440" w:gutter="0" w:footer="0" w:header="0"/>
          <w:type w:val="continuous"/>
        </w:sectPr>
      </w:pPr>
    </w:p>
    <w:bookmarkStart w:id="8" w:name="page9"/>
    <w:bookmarkEnd w:id="8"/>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CORPORATE JOINT VENTURES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Composite financial information from the audited and unaudited financial statements of the Company’s joint ventures carried on the equity basis is summarized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right="219"/>
              <w:spacing w:after="0"/>
              <w:rPr>
                <w:sz w:val="20"/>
                <w:szCs w:val="20"/>
                <w:color w:val="auto"/>
              </w:rPr>
            </w:pPr>
            <w:r>
              <w:rPr>
                <w:rFonts w:ascii="Arial" w:cs="Arial" w:eastAsia="Arial" w:hAnsi="Arial"/>
                <w:sz w:val="14"/>
                <w:szCs w:val="14"/>
                <w:b w:val="1"/>
                <w:bCs w:val="1"/>
                <w:color w:val="auto"/>
                <w:w w:val="90"/>
              </w:rPr>
              <w:t>May 31,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2007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36,481,058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33,954,156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42,967,257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39,030,247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13,733,953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14,323,903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3,522,544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1,496,557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25,710,645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23,209,788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8"/>
              </w:rPr>
              <w:t>Northern Technologies International Corporation’s share of Corporate Joint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Ventures’ equity</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12,804,366</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10,772,102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5"/>
          </w:tcPr>
          <w:p>
            <w:pPr>
              <w:ind w:lef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center"/>
              <w:ind w:right="219"/>
              <w:spacing w:after="0"/>
              <w:rPr>
                <w:sz w:val="20"/>
                <w:szCs w:val="20"/>
                <w:color w:val="auto"/>
              </w:rPr>
            </w:pPr>
            <w:r>
              <w:rPr>
                <w:rFonts w:ascii="Arial" w:cs="Arial" w:eastAsia="Arial" w:hAnsi="Arial"/>
                <w:sz w:val="14"/>
                <w:szCs w:val="14"/>
                <w:b w:val="1"/>
                <w:bCs w:val="1"/>
                <w:color w:val="auto"/>
                <w:w w:val="90"/>
              </w:rPr>
              <w:t>May 31,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2007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59,265,028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51,278,645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28,705,348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23,901,140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4,903,342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4"/>
              </w:rPr>
              <w:t>Northern Technologies International Corporation’s share of equity in income of</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Corporate Joint Ventures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2,384,020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2,117,612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May 31, 2007, the Company invested in corporate joint ventures as follows: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November 2006, the Company invested $81,522, in a new industrial chemical corporate joint venture to develop operations in the United Arab Emirates in the oil and gas industry. The Company has a 50% ownership interest in the new entity. The new entity had no operations prior to the Company’s investment. It is anticipated that this is the first of two installments towards the Company’s 50% capitalization of an estimated $200,000 over the next 12 months. It is anticipated that the total capitalization by all owners of the joint venture will be $400,000.</w:t>
      </w:r>
    </w:p>
    <w:p>
      <w:pPr>
        <w:spacing w:after="0" w:line="19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December 2006, the Company invested $143,000 to establish a new non-industrial chemical joint venture in Thailand. The Company has a 50% ownership interest in the new entity. The new entity had no operations prior to the Company’s investment. The total increase in capitalization by both owners of the joint venture was $286,000.</w:t>
      </w:r>
    </w:p>
    <w:p>
      <w:pPr>
        <w:spacing w:after="0" w:line="194"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In February 2007, the Company invested $313,582 in its industrial chemical corporate joint venture in India for a capital intensive expansion. As result of the investment by both the Company and the other owner, the total increase in capitalization of the joint venture was $647,686.</w:t>
      </w:r>
    </w:p>
    <w:p>
      <w:pPr>
        <w:spacing w:after="0" w:line="133"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Company tests goodwill annually for impairment and in interim periods if certain events occur indicating that the carrying value of goodwill may be impaired. Goodwill at each of May 31, 2007 and August 31, 2006 was $304,000.</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CORPORATE DEBT</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has a revolving credit facility of $1,500,000 that expires on January 31, 2008. Outstanding amounts under the revolving credit facility bear interest at an annual rate based on LIBOR plus 2.25%. As of May 31, 2007, the interest rate was 7.57%, the weighted average interest rate for the nine months ended May 31, 2007 was 7.58%. Amounts borrowed under the facility are collateralized by a lien on substantially all of the Company’s assets, excluding its corporate joint venture interests and intellectual property rights. The credit documents contain other terms and provisions (including representations, covenants and conditions) customary for transactions of this type. Significant financial covenants include the maintenance of a minimum fixed charge coverage ratio of 1.0 to 1.0. The Company was in compliance with all covenants under the revolving credit facility. Outstanding balances were $884,000 and $610,000 as of May 31, 2007 and August 31, 2006, respectively. The Company expects the line of credit to be extended under substantially similar terms in the near future.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right="40"/>
        <w:spacing w:after="0" w:line="298" w:lineRule="auto"/>
        <w:rPr>
          <w:sz w:val="20"/>
          <w:szCs w:val="20"/>
          <w:color w:val="auto"/>
        </w:rPr>
      </w:pPr>
      <w:r>
        <w:rPr>
          <w:rFonts w:ascii="Arial" w:cs="Arial" w:eastAsia="Arial" w:hAnsi="Arial"/>
          <w:sz w:val="16"/>
          <w:szCs w:val="16"/>
          <w:color w:val="auto"/>
        </w:rPr>
        <w:t>The Company has a term loan in the principal amount of $1,275,000 that matures on May 1, 2011, bears interest at a fixed rate of 8.01% and is payable in 59 monthly payments equal to approximately $10,776 (inclusive of principal and interest) which commenced June 1, 2006. All of the remaining unpaid principal and accrued interest is due and payable on the maturity date. The term loan note is secured by a first lien on the Company’s Circle Pines facility pursuant to a Mortgage dated as of May 3, 2006 between Northern Technologies Holding Company LLC and National City Bank and is guaranteed by the Company.</w:t>
      </w:r>
    </w:p>
    <w:p>
      <w:pPr>
        <w:spacing w:after="0" w:line="161"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nine months ended May 31, 2007, the Company did not purchase or retire any shares of its common stock. During the nine months ended May 31, 2007, the Company issued 22,778 shares of its common stock upon the exercise of stock options, as detailed below. The Company granted 37,245 shares of its common stock to various employees with a value of $298,330 under its 2000 Stock Incentive Plan during the nine months ended May 31, 2007.</w:t>
      </w:r>
    </w:p>
    <w:p>
      <w:pPr>
        <w:spacing w:after="0" w:line="156" w:lineRule="exact"/>
        <w:rPr>
          <w:sz w:val="20"/>
          <w:szCs w:val="20"/>
          <w:color w:val="auto"/>
        </w:rPr>
      </w:pPr>
    </w:p>
    <w:tbl>
      <w:tblPr>
        <w:tblLayout w:type="fixed"/>
        <w:tblInd w:w="3440" w:type="dxa"/>
        <w:tblCellMar>
          <w:top w:w="0" w:type="dxa"/>
          <w:left w:w="0" w:type="dxa"/>
          <w:bottom w:w="0" w:type="dxa"/>
          <w:right w:w="0" w:type="dxa"/>
        </w:tblCellMar>
      </w:tblPr>
      <w:tr>
        <w:trPr>
          <w:trHeight w:val="174"/>
        </w:trPr>
        <w:tc>
          <w:tcPr>
            <w:tcW w:w="2100" w:type="dxa"/>
            <w:vAlign w:val="bottom"/>
          </w:tcPr>
          <w:p>
            <w:pPr>
              <w:ind w:left="500"/>
              <w:spacing w:after="0"/>
              <w:rPr>
                <w:sz w:val="20"/>
                <w:szCs w:val="20"/>
                <w:color w:val="auto"/>
              </w:rPr>
            </w:pPr>
            <w:r>
              <w:rPr>
                <w:rFonts w:ascii="Arial" w:cs="Arial" w:eastAsia="Arial" w:hAnsi="Arial"/>
                <w:sz w:val="14"/>
                <w:szCs w:val="14"/>
                <w:b w:val="1"/>
                <w:bCs w:val="1"/>
                <w:color w:val="auto"/>
              </w:rPr>
              <w:t>Options Exercised</w:t>
            </w:r>
          </w:p>
        </w:tc>
        <w:tc>
          <w:tcPr>
            <w:tcW w:w="420" w:type="dxa"/>
            <w:vAlign w:val="bottom"/>
          </w:tcPr>
          <w:p>
            <w:pPr>
              <w:spacing w:after="0"/>
              <w:rPr>
                <w:sz w:val="15"/>
                <w:szCs w:val="15"/>
                <w:color w:val="auto"/>
              </w:rPr>
            </w:pPr>
          </w:p>
        </w:tc>
        <w:tc>
          <w:tcPr>
            <w:tcW w:w="204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Exercise Price</w:t>
            </w:r>
          </w:p>
        </w:tc>
        <w:tc>
          <w:tcPr>
            <w:tcW w:w="40" w:type="dxa"/>
            <w:vAlign w:val="bottom"/>
          </w:tcPr>
          <w:p>
            <w:pPr>
              <w:spacing w:after="0"/>
              <w:rPr>
                <w:sz w:val="15"/>
                <w:szCs w:val="15"/>
                <w:color w:val="auto"/>
              </w:rPr>
            </w:pPr>
          </w:p>
        </w:tc>
      </w:tr>
      <w:tr>
        <w:trPr>
          <w:trHeight w:val="95"/>
        </w:trPr>
        <w:tc>
          <w:tcPr>
            <w:tcW w:w="21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r>
      <w:tr>
        <w:trPr>
          <w:trHeight w:val="102"/>
        </w:trPr>
        <w:tc>
          <w:tcPr>
            <w:tcW w:w="2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96"/>
              </w:rPr>
              <w:t>4.56</w:t>
            </w:r>
          </w:p>
        </w:tc>
        <w:tc>
          <w:tcPr>
            <w:tcW w:w="40" w:type="dxa"/>
            <w:vAlign w:val="bottom"/>
          </w:tcPr>
          <w:p>
            <w:pPr>
              <w:spacing w:after="0"/>
              <w:rPr>
                <w:sz w:val="18"/>
                <w:szCs w:val="18"/>
                <w:color w:val="auto"/>
              </w:rPr>
            </w:pPr>
          </w:p>
        </w:tc>
      </w:tr>
      <w:tr>
        <w:trPr>
          <w:trHeight w:val="216"/>
        </w:trPr>
        <w:tc>
          <w:tcPr>
            <w:tcW w:w="2100" w:type="dxa"/>
            <w:vAlign w:val="bottom"/>
          </w:tcPr>
          <w:p>
            <w:pPr>
              <w:jc w:val="center"/>
              <w:spacing w:after="0"/>
              <w:rPr>
                <w:sz w:val="20"/>
                <w:szCs w:val="20"/>
                <w:color w:val="auto"/>
              </w:rPr>
            </w:pPr>
            <w:r>
              <w:rPr>
                <w:rFonts w:ascii="Arial" w:cs="Arial" w:eastAsia="Arial" w:hAnsi="Arial"/>
                <w:sz w:val="18"/>
                <w:szCs w:val="18"/>
                <w:color w:val="auto"/>
                <w:w w:val="86"/>
              </w:rPr>
              <w:t>111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692"/>
              <w:spacing w:after="0"/>
              <w:rPr>
                <w:sz w:val="20"/>
                <w:szCs w:val="20"/>
                <w:color w:val="auto"/>
              </w:rPr>
            </w:pPr>
            <w:r>
              <w:rPr>
                <w:rFonts w:ascii="Arial" w:cs="Arial" w:eastAsia="Arial" w:hAnsi="Arial"/>
                <w:sz w:val="18"/>
                <w:szCs w:val="18"/>
                <w:color w:val="auto"/>
                <w:w w:val="96"/>
              </w:rPr>
              <w:t>5.56</w:t>
            </w:r>
          </w:p>
        </w:tc>
        <w:tc>
          <w:tcPr>
            <w:tcW w:w="40" w:type="dxa"/>
            <w:vAlign w:val="bottom"/>
          </w:tcPr>
          <w:p>
            <w:pPr>
              <w:spacing w:after="0"/>
              <w:rPr>
                <w:sz w:val="18"/>
                <w:szCs w:val="18"/>
                <w:color w:val="auto"/>
              </w:rPr>
            </w:pPr>
          </w:p>
        </w:tc>
      </w:tr>
      <w:tr>
        <w:trPr>
          <w:trHeight w:val="216"/>
        </w:trPr>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667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96"/>
              </w:rPr>
              <w:t>5.75</w:t>
            </w:r>
          </w:p>
        </w:tc>
        <w:tc>
          <w:tcPr>
            <w:tcW w:w="40" w:type="dxa"/>
            <w:vAlign w:val="bottom"/>
          </w:tcPr>
          <w:p>
            <w:pPr>
              <w:spacing w:after="0"/>
              <w:rPr>
                <w:sz w:val="18"/>
                <w:szCs w:val="18"/>
                <w:color w:val="auto"/>
              </w:rPr>
            </w:pPr>
          </w:p>
        </w:tc>
      </w:tr>
    </w:tbl>
    <w:p>
      <w:pPr>
        <w:spacing w:after="0" w:line="20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nine months ended May 31, 2006, the Company did not purchase or retire any shares of common stock. The following stock options to purchase shares of common stock were exercised:</w:t>
      </w:r>
    </w:p>
    <w:p>
      <w:pPr>
        <w:spacing w:after="0" w:line="182" w:lineRule="exact"/>
        <w:rPr>
          <w:sz w:val="20"/>
          <w:szCs w:val="20"/>
          <w:color w:val="auto"/>
        </w:rPr>
      </w:pPr>
    </w:p>
    <w:tbl>
      <w:tblPr>
        <w:tblLayout w:type="fixed"/>
        <w:tblInd w:w="3440" w:type="dxa"/>
        <w:tblCellMar>
          <w:top w:w="0" w:type="dxa"/>
          <w:left w:w="0" w:type="dxa"/>
          <w:bottom w:w="0" w:type="dxa"/>
          <w:right w:w="0" w:type="dxa"/>
        </w:tblCellMar>
      </w:tblPr>
      <w:tr>
        <w:trPr>
          <w:trHeight w:val="174"/>
        </w:trPr>
        <w:tc>
          <w:tcPr>
            <w:tcW w:w="2060" w:type="dxa"/>
            <w:vAlign w:val="bottom"/>
          </w:tcPr>
          <w:p>
            <w:pPr>
              <w:ind w:left="480"/>
              <w:spacing w:after="0"/>
              <w:rPr>
                <w:sz w:val="20"/>
                <w:szCs w:val="20"/>
                <w:color w:val="auto"/>
              </w:rPr>
            </w:pPr>
            <w:r>
              <w:rPr>
                <w:rFonts w:ascii="Arial" w:cs="Arial" w:eastAsia="Arial" w:hAnsi="Arial"/>
                <w:sz w:val="14"/>
                <w:szCs w:val="14"/>
                <w:b w:val="1"/>
                <w:bCs w:val="1"/>
                <w:color w:val="auto"/>
              </w:rPr>
              <w:t>Options Exercised</w:t>
            </w:r>
          </w:p>
        </w:tc>
        <w:tc>
          <w:tcPr>
            <w:tcW w:w="400" w:type="dxa"/>
            <w:vAlign w:val="bottom"/>
          </w:tcPr>
          <w:p>
            <w:pPr>
              <w:spacing w:after="0"/>
              <w:rPr>
                <w:sz w:val="15"/>
                <w:szCs w:val="15"/>
                <w:color w:val="auto"/>
              </w:rPr>
            </w:pPr>
          </w:p>
        </w:tc>
        <w:tc>
          <w:tcPr>
            <w:tcW w:w="210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rPr>
              <w:t>Exercise Price</w:t>
            </w:r>
          </w:p>
        </w:tc>
        <w:tc>
          <w:tcPr>
            <w:tcW w:w="40" w:type="dxa"/>
            <w:vAlign w:val="bottom"/>
          </w:tcPr>
          <w:p>
            <w:pPr>
              <w:spacing w:after="0"/>
              <w:rPr>
                <w:sz w:val="15"/>
                <w:szCs w:val="15"/>
                <w:color w:val="auto"/>
              </w:rPr>
            </w:pPr>
          </w:p>
        </w:tc>
      </w:tr>
      <w:tr>
        <w:trPr>
          <w:trHeight w:val="95"/>
        </w:trPr>
        <w:tc>
          <w:tcPr>
            <w:tcW w:w="20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r>
      <w:tr>
        <w:trPr>
          <w:trHeight w:val="102"/>
        </w:trPr>
        <w:tc>
          <w:tcPr>
            <w:tcW w:w="2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96"/>
              </w:rPr>
              <w:t>4.56</w:t>
            </w:r>
          </w:p>
        </w:tc>
        <w:tc>
          <w:tcPr>
            <w:tcW w:w="40" w:type="dxa"/>
            <w:vAlign w:val="bottom"/>
          </w:tcPr>
          <w:p>
            <w:pPr>
              <w:spacing w:after="0"/>
              <w:rPr>
                <w:sz w:val="18"/>
                <w:szCs w:val="18"/>
                <w:color w:val="auto"/>
              </w:rPr>
            </w:pP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12"/>
              <w:spacing w:after="0"/>
              <w:rPr>
                <w:sz w:val="20"/>
                <w:szCs w:val="20"/>
                <w:color w:val="auto"/>
              </w:rPr>
            </w:pPr>
            <w:r>
              <w:rPr>
                <w:rFonts w:ascii="Arial" w:cs="Arial" w:eastAsia="Arial" w:hAnsi="Arial"/>
                <w:sz w:val="18"/>
                <w:szCs w:val="18"/>
                <w:color w:val="auto"/>
                <w:w w:val="96"/>
              </w:rPr>
              <w:t>5.70</w:t>
            </w:r>
          </w:p>
        </w:tc>
        <w:tc>
          <w:tcPr>
            <w:tcW w:w="40" w:type="dxa"/>
            <w:vAlign w:val="bottom"/>
          </w:tcPr>
          <w:p>
            <w:pPr>
              <w:spacing w:after="0"/>
              <w:rPr>
                <w:sz w:val="18"/>
                <w:szCs w:val="18"/>
                <w:color w:val="auto"/>
              </w:rPr>
            </w:pPr>
          </w:p>
        </w:tc>
      </w:tr>
      <w:tr>
        <w:trPr>
          <w:trHeight w:val="216"/>
        </w:trPr>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96"/>
              </w:rPr>
              <w:t>5.00</w:t>
            </w:r>
          </w:p>
        </w:tc>
        <w:tc>
          <w:tcPr>
            <w:tcW w:w="40" w:type="dxa"/>
            <w:vAlign w:val="bottom"/>
          </w:tcPr>
          <w:p>
            <w:pPr>
              <w:spacing w:after="0"/>
              <w:rPr>
                <w:sz w:val="18"/>
                <w:szCs w:val="18"/>
                <w:color w:val="auto"/>
              </w:rPr>
            </w:pPr>
          </w:p>
        </w:tc>
      </w:tr>
      <w:tr>
        <w:trPr>
          <w:trHeight w:val="222"/>
        </w:trPr>
        <w:tc>
          <w:tcPr>
            <w:tcW w:w="206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12"/>
              <w:spacing w:after="0"/>
              <w:rPr>
                <w:sz w:val="20"/>
                <w:szCs w:val="20"/>
                <w:color w:val="auto"/>
              </w:rPr>
            </w:pPr>
            <w:r>
              <w:rPr>
                <w:rFonts w:ascii="Arial" w:cs="Arial" w:eastAsia="Arial" w:hAnsi="Arial"/>
                <w:sz w:val="18"/>
                <w:szCs w:val="18"/>
                <w:color w:val="auto"/>
                <w:w w:val="96"/>
              </w:rPr>
              <w:t>3.34</w:t>
            </w:r>
          </w:p>
        </w:tc>
        <w:tc>
          <w:tcPr>
            <w:tcW w:w="40" w:type="dxa"/>
            <w:vAlign w:val="bottom"/>
          </w:tcPr>
          <w:p>
            <w:pPr>
              <w:spacing w:after="0"/>
              <w:rPr>
                <w:sz w:val="19"/>
                <w:szCs w:val="19"/>
                <w:color w:val="auto"/>
              </w:rPr>
            </w:pPr>
          </w:p>
        </w:tc>
      </w:tr>
    </w:tbl>
    <w:p>
      <w:pPr>
        <w:spacing w:after="0" w:line="195"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did not declare or pay any cash dividends during fiscal 2006 and as of July 12, 2007 had not declared or paid any cash dividends during fiscal 2007.</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The Company issued 37,245 shares of unrestricted common stock to satisfy $298,330 of accrued payroll liability during the nine months ended May 31, 2007.</w:t>
      </w:r>
    </w:p>
    <w:p>
      <w:pPr>
        <w:spacing w:after="0" w:line="2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590" w:right="459" w:bottom="1440" w:gutter="0" w:footer="0" w:header="0"/>
        </w:sectPr>
      </w:pPr>
    </w:p>
    <w:bookmarkStart w:id="10" w:name="page11"/>
    <w:bookmarkEnd w:id="10"/>
    <w:p>
      <w:pPr>
        <w:spacing w:after="0"/>
        <w:tabs>
          <w:tab w:leader="none" w:pos="420" w:val="left"/>
        </w:tabs>
        <w:rPr>
          <w:sz w:val="20"/>
          <w:szCs w:val="20"/>
          <w:color w:val="auto"/>
        </w:rPr>
      </w:pPr>
      <w:r>
        <w:rPr>
          <w:rFonts w:ascii="Arial" w:cs="Arial" w:eastAsia="Arial" w:hAnsi="Arial"/>
          <w:sz w:val="18"/>
          <w:szCs w:val="18"/>
          <w:b w:val="1"/>
          <w:bCs w:val="1"/>
          <w:color w:val="auto"/>
        </w:rPr>
        <w:t>13.</w:t>
        <w:tab/>
        <w:t>TOTAL COMPREHENSIVE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comprehensive income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5"/>
          </w:tcPr>
          <w:p>
            <w:pPr>
              <w:ind w:lef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62"/>
              <w:spacing w:after="0"/>
              <w:rPr>
                <w:sz w:val="20"/>
                <w:szCs w:val="20"/>
                <w:color w:val="auto"/>
              </w:rPr>
            </w:pPr>
            <w:r>
              <w:rPr>
                <w:rFonts w:ascii="Arial" w:cs="Arial" w:eastAsia="Arial" w:hAnsi="Arial"/>
                <w:sz w:val="14"/>
                <w:szCs w:val="14"/>
                <w:b w:val="1"/>
                <w:bCs w:val="1"/>
                <w:color w:val="auto"/>
              </w:rPr>
              <w:t>May 31,</w:t>
            </w:r>
          </w:p>
        </w:tc>
        <w:tc>
          <w:tcPr>
            <w:tcW w:w="180" w:type="dxa"/>
            <w:vAlign w:val="bottom"/>
          </w:tcPr>
          <w:p>
            <w:pPr>
              <w:spacing w:after="0"/>
              <w:rPr>
                <w:sz w:val="20"/>
                <w:szCs w:val="20"/>
                <w:color w:val="auto"/>
              </w:rPr>
            </w:pPr>
          </w:p>
        </w:tc>
        <w:tc>
          <w:tcPr>
            <w:tcW w:w="125" w:type="dxa"/>
            <w:vAlign w:val="bottom"/>
          </w:tcPr>
          <w:p>
            <w:pPr>
              <w:spacing w:after="0"/>
              <w:rPr>
                <w:sz w:val="20"/>
                <w:szCs w:val="20"/>
                <w:color w:val="auto"/>
              </w:rPr>
            </w:pPr>
          </w:p>
        </w:tc>
        <w:tc>
          <w:tcPr>
            <w:tcW w:w="1175" w:type="dxa"/>
            <w:vAlign w:val="bottom"/>
          </w:tcPr>
          <w:p>
            <w:pPr>
              <w:jc w:val="right"/>
              <w:ind w:right="340"/>
              <w:spacing w:after="0"/>
              <w:rPr>
                <w:sz w:val="20"/>
                <w:szCs w:val="20"/>
                <w:color w:val="auto"/>
              </w:rPr>
            </w:pPr>
            <w:r>
              <w:rPr>
                <w:rFonts w:ascii="Arial" w:cs="Arial" w:eastAsia="Arial" w:hAnsi="Arial"/>
                <w:sz w:val="14"/>
                <w:szCs w:val="14"/>
                <w:b w:val="1"/>
                <w:bCs w:val="1"/>
                <w:color w:val="auto"/>
              </w:rPr>
              <w:t>May 31,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42"/>
              <w:spacing w:after="0"/>
              <w:rPr>
                <w:sz w:val="20"/>
                <w:szCs w:val="20"/>
                <w:color w:val="auto"/>
              </w:rPr>
            </w:pPr>
            <w:r>
              <w:rPr>
                <w:rFonts w:ascii="Arial" w:cs="Arial" w:eastAsia="Arial" w:hAnsi="Arial"/>
                <w:sz w:val="14"/>
                <w:szCs w:val="14"/>
                <w:b w:val="1"/>
                <w:bCs w:val="1"/>
                <w:color w:val="auto"/>
              </w:rPr>
              <w:t>May 31,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46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75" w:type="dxa"/>
            <w:vAlign w:val="bottom"/>
          </w:tcPr>
          <w:p>
            <w:pPr>
              <w:jc w:val="right"/>
              <w:ind w:right="440"/>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44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44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627,800</w:t>
            </w:r>
          </w:p>
        </w:tc>
        <w:tc>
          <w:tcPr>
            <w:tcW w:w="305"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717,963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2,066,227</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7"/>
              </w:rPr>
              <w:t>Other comprehensive income – foreign currency translation adjustment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202,075</w:t>
            </w:r>
          </w:p>
        </w:tc>
        <w:tc>
          <w:tcPr>
            <w:tcW w:w="18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501,810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505,880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829,875</w:t>
            </w:r>
          </w:p>
        </w:tc>
        <w:tc>
          <w:tcPr>
            <w:tcW w:w="305"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1,219,773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2,572,107</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 options to purchase shares of common stock were excluded from the computation of common share equivalents as of May 31, 2007 and May 31, 2006, as all stock option exercise prices were less than the average market price of a share of common stock.</w:t>
      </w:r>
    </w:p>
    <w:p>
      <w:pPr>
        <w:spacing w:after="0" w:line="180"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2007, the Company’s stockholders approved a new 2007 Stock Incentive Plan and a new Employee Stock Purchase Plan. The Compensation Committee of the Board of Directors administers both of the plans. The newly approved 2007 Stock Incentive Plan replaced the Company’s 2000 Stock Incentive Plan, which is now terminated with respect to future grants.</w:t>
      </w:r>
    </w:p>
    <w:p>
      <w:pPr>
        <w:spacing w:after="0" w:line="19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2007 Stock Incentive Plan provides for the grant of up to a total of 400,000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Options granted under the Plan generally have a term of five years and become exercisable over a three- or four-year period beginning on the one-year anniversary date of the grant. Options are granted at per share exercise prices equal to the market value of the Company’s common stock on the date of grant.</w:t>
      </w:r>
    </w:p>
    <w:p>
      <w:pPr>
        <w:spacing w:after="0" w:line="19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Employee Stock Purchase Plan provides for purchase of up to 100,000 common shares for employees of the Company to purchase on a periodic basis through payroll deductions at a 10% discount to the fair market value of the Company’s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May 31, 2007:</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left="412"/>
              <w:spacing w:after="0"/>
              <w:rPr>
                <w:sz w:val="20"/>
                <w:szCs w:val="20"/>
                <w:color w:val="auto"/>
              </w:rPr>
            </w:pPr>
            <w:r>
              <w:rPr>
                <w:rFonts w:ascii="Arial" w:cs="Arial" w:eastAsia="Arial" w:hAnsi="Arial"/>
                <w:sz w:val="14"/>
                <w:szCs w:val="14"/>
                <w:b w:val="1"/>
                <w:bCs w:val="1"/>
                <w:color w:val="auto"/>
                <w:w w:val="85"/>
              </w:rPr>
              <w:t>Per Share</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1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Option Grant</w:t>
            </w:r>
          </w:p>
        </w:tc>
        <w:tc>
          <w:tcPr>
            <w:tcW w:w="220" w:type="dxa"/>
            <w:vAlign w:val="bottom"/>
          </w:tcPr>
          <w:p>
            <w:pPr>
              <w:spacing w:after="0"/>
              <w:rPr>
                <w:sz w:val="12"/>
                <w:szCs w:val="12"/>
                <w:color w:val="auto"/>
              </w:rPr>
            </w:pPr>
          </w:p>
        </w:tc>
        <w:tc>
          <w:tcPr>
            <w:tcW w:w="144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3"/>
              </w:rPr>
              <w:t>Exercise</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Contractual Life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tcPr>
          <w:p>
            <w:pPr>
              <w:ind w:left="20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5"/>
                <w:szCs w:val="15"/>
                <w:color w:val="auto"/>
              </w:rPr>
            </w:pPr>
          </w:p>
        </w:tc>
        <w:tc>
          <w:tcPr>
            <w:tcW w:w="1440" w:type="dxa"/>
            <w:vAlign w:val="bottom"/>
          </w:tcPr>
          <w:p>
            <w:pPr>
              <w:jc w:val="center"/>
              <w:ind w:left="452"/>
              <w:spacing w:after="0"/>
              <w:rPr>
                <w:sz w:val="20"/>
                <w:szCs w:val="20"/>
                <w:color w:val="auto"/>
              </w:rPr>
            </w:pPr>
            <w:r>
              <w:rPr>
                <w:rFonts w:ascii="Arial" w:cs="Arial" w:eastAsia="Arial" w:hAnsi="Arial"/>
                <w:sz w:val="14"/>
                <w:szCs w:val="14"/>
                <w:b w:val="1"/>
                <w:bCs w:val="1"/>
                <w:color w:val="auto"/>
                <w:w w:val="85"/>
              </w:rPr>
              <w:t>Prices</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6"/>
              </w:rPr>
              <w:t>Outstanding (#)</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Exercisable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9/1/2003</w:t>
            </w:r>
          </w:p>
        </w:tc>
        <w:tc>
          <w:tcPr>
            <w:tcW w:w="1660" w:type="dxa"/>
            <w:vAlign w:val="bottom"/>
            <w:gridSpan w:val="2"/>
            <w:shd w:val="clear" w:color="auto" w:fill="CCEEFF"/>
          </w:tcPr>
          <w:p>
            <w:pPr>
              <w:jc w:val="right"/>
              <w:ind w:right="129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16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1.3</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9/1/2004</w:t>
            </w:r>
          </w:p>
        </w:tc>
        <w:tc>
          <w:tcPr>
            <w:tcW w:w="1660" w:type="dxa"/>
            <w:vAlign w:val="bottom"/>
            <w:gridSpan w:val="2"/>
          </w:tcPr>
          <w:p>
            <w:pPr>
              <w:jc w:val="right"/>
              <w:ind w:right="129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5.25</w:t>
            </w:r>
          </w:p>
        </w:tc>
        <w:tc>
          <w:tcPr>
            <w:tcW w:w="2160" w:type="dxa"/>
            <w:vAlign w:val="bottom"/>
            <w:gridSpan w:val="2"/>
          </w:tcPr>
          <w:p>
            <w:pPr>
              <w:jc w:val="right"/>
              <w:ind w:right="772"/>
              <w:spacing w:after="0"/>
              <w:rPr>
                <w:sz w:val="20"/>
                <w:szCs w:val="20"/>
                <w:color w:val="auto"/>
              </w:rPr>
            </w:pPr>
            <w:r>
              <w:rPr>
                <w:rFonts w:ascii="Arial" w:cs="Arial" w:eastAsia="Arial" w:hAnsi="Arial"/>
                <w:sz w:val="18"/>
                <w:szCs w:val="18"/>
                <w:color w:val="auto"/>
              </w:rPr>
              <w:t>2.3</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6,000</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4,002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11/12/2004</w:t>
            </w:r>
          </w:p>
        </w:tc>
        <w:tc>
          <w:tcPr>
            <w:tcW w:w="1660" w:type="dxa"/>
            <w:vAlign w:val="bottom"/>
            <w:gridSpan w:val="2"/>
            <w:shd w:val="clear" w:color="auto" w:fill="CCEEFF"/>
          </w:tcPr>
          <w:p>
            <w:pPr>
              <w:jc w:val="right"/>
              <w:ind w:right="129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16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2.5</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9/1/2005</w:t>
            </w:r>
          </w:p>
        </w:tc>
        <w:tc>
          <w:tcPr>
            <w:tcW w:w="1660" w:type="dxa"/>
            <w:vAlign w:val="bottom"/>
            <w:gridSpan w:val="2"/>
          </w:tcPr>
          <w:p>
            <w:pPr>
              <w:jc w:val="right"/>
              <w:ind w:right="129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5.75</w:t>
            </w:r>
          </w:p>
        </w:tc>
        <w:tc>
          <w:tcPr>
            <w:tcW w:w="2160" w:type="dxa"/>
            <w:vAlign w:val="bottom"/>
            <w:gridSpan w:val="2"/>
          </w:tcPr>
          <w:p>
            <w:pPr>
              <w:jc w:val="right"/>
              <w:ind w:right="772"/>
              <w:spacing w:after="0"/>
              <w:rPr>
                <w:sz w:val="20"/>
                <w:szCs w:val="20"/>
                <w:color w:val="auto"/>
              </w:rPr>
            </w:pPr>
            <w:r>
              <w:rPr>
                <w:rFonts w:ascii="Arial" w:cs="Arial" w:eastAsia="Arial" w:hAnsi="Arial"/>
                <w:sz w:val="18"/>
                <w:szCs w:val="18"/>
                <w:color w:val="auto"/>
              </w:rPr>
              <w:t>3.3</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3,335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11/4/2005</w:t>
            </w:r>
          </w:p>
        </w:tc>
        <w:tc>
          <w:tcPr>
            <w:tcW w:w="1660" w:type="dxa"/>
            <w:vAlign w:val="bottom"/>
            <w:gridSpan w:val="2"/>
            <w:shd w:val="clear" w:color="auto" w:fill="CCEEFF"/>
          </w:tcPr>
          <w:p>
            <w:pPr>
              <w:jc w:val="right"/>
              <w:ind w:right="129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16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3.4</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9/1/2006</w:t>
            </w:r>
          </w:p>
        </w:tc>
        <w:tc>
          <w:tcPr>
            <w:tcW w:w="1660" w:type="dxa"/>
            <w:vAlign w:val="bottom"/>
            <w:gridSpan w:val="2"/>
          </w:tcPr>
          <w:p>
            <w:pPr>
              <w:jc w:val="right"/>
              <w:ind w:right="129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8.01</w:t>
            </w:r>
          </w:p>
        </w:tc>
        <w:tc>
          <w:tcPr>
            <w:tcW w:w="2160" w:type="dxa"/>
            <w:vAlign w:val="bottom"/>
            <w:gridSpan w:val="2"/>
          </w:tcPr>
          <w:p>
            <w:pPr>
              <w:jc w:val="right"/>
              <w:ind w:right="772"/>
              <w:spacing w:after="0"/>
              <w:rPr>
                <w:sz w:val="20"/>
                <w:szCs w:val="20"/>
                <w:color w:val="auto"/>
              </w:rPr>
            </w:pPr>
            <w:r>
              <w:rPr>
                <w:rFonts w:ascii="Arial" w:cs="Arial" w:eastAsia="Arial" w:hAnsi="Arial"/>
                <w:sz w:val="18"/>
                <w:szCs w:val="18"/>
                <w:color w:val="auto"/>
              </w:rPr>
              <w:t>4.3</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1/23/07</w:t>
            </w:r>
          </w:p>
        </w:tc>
        <w:tc>
          <w:tcPr>
            <w:tcW w:w="1660" w:type="dxa"/>
            <w:vAlign w:val="bottom"/>
            <w:gridSpan w:val="2"/>
            <w:shd w:val="clear" w:color="auto" w:fill="CCEEFF"/>
          </w:tcPr>
          <w:p>
            <w:pPr>
              <w:jc w:val="right"/>
              <w:ind w:right="129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16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4.7</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90,167</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60" w:type="dxa"/>
            <w:vAlign w:val="bottom"/>
            <w:gridSpan w:val="2"/>
          </w:tcPr>
          <w:p>
            <w:pPr>
              <w:jc w:val="right"/>
              <w:ind w:right="652"/>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-506095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-506095</wp:posOffset>
            </wp:positionV>
            <wp:extent cx="254254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4254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weighted average fair value of options granted during the nine months ended May 31, 2007 and 2006 was $2.95 and $2.00, respectively.</w:t>
      </w:r>
    </w:p>
    <w:p>
      <w:pPr>
        <w:spacing w:after="0" w:line="21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16.</w:t>
        <w:tab/>
        <w:t>SEGMENT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as a percentage of total net sales were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May 31, 2007</w:t>
            </w: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May 31,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80.7%</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Outside the U.S.A. to:</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Corporate Joint Ventures in which the Company is a shareholder directly</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indirectly</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Unaffiliated customers</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One of the Company’s North American customers accounted for in the aggregate approximately 30.8% and 29.2% of the Company’s net sales for the nine months ended May 31, 2007 and 2006 respectively, and $36,629 and $207,630 of the Company’s receivables at May 31, 2007 and August 31, 2006, respectively.</w:t>
      </w:r>
    </w:p>
    <w:p>
      <w:pPr>
        <w:spacing w:after="0" w:line="110"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23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Company has a 401(k) employee savings plan. Employees who meet certain age and service requirements may elect to contribute up to 15% of their salaries. The Company contributes the lesser of 50% of the participant’s contributions or 3.5% of the employee’s salary. The Company recognized expense for the savings plan of $74,517 and $72,121, for the nine months ended May 31, 2007 and 2006, respectively.</w:t>
      </w:r>
    </w:p>
    <w:p>
      <w:pPr>
        <w:spacing w:after="0" w:line="155"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May 18, 2006, the Company and Emeritushnic Facilities Company, Inc. (“EFC”), an entity owned by the Company’s former Chairman of the Board and Chief Executive Officer and current Chairman Emeritus, Philip M. Lynch, and certain of his family members, excluding G. Patrick Lynch, the Company’s current President and Chief Executive Officer, entered into a Consulting Agreement, effective as of May 1, 2006. Pursuant to the Consulting Agreement, the Company has engaged EFC to perform certain consulting services to the Company, including maintaining communications and relations between the Company and its joint venture partners. In consideration for such services, the Company paid EFC consulting fees totaling $225,000 in the nine months ended May 31, 2007, and reimbursed EFC for out-of-pocket expenses reasonably incurred in the course of providing such services in an aggregate amount of $159,610 for the nine months ended May 31, 2007. The Consulting Agreement provides for fees of $25,000 per month and up to $180,000 in expense reimbursement in a given fiscal year. Additionally, it may be terminated by either party for any reason upon at least 90 days prior written notice to the other party and may be terminated upon the occurrence of other certain events, as set forth in the Consulting Agreement. The Consulting Agreement also contains other standard and customary terms, including provisions regarding confidentiality, non-competition and non-solicitation.</w:t>
      </w:r>
    </w:p>
    <w:p>
      <w:pPr>
        <w:spacing w:after="0" w:line="17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May 1, 2006, the Company and Inter Alia Holding Co. (“Inter Alia”) entered into a termination agreement pursuant to which they mutually agreed to terminate that certain Manufacturer’s Representative Agreement dated as of October 1, 1976 and as subsequently amended thereafter. Inter Alia beneficially owns approximately 25.4% of the Company’s outstanding common stock, and Philip M. Lynch, the Company’s former Chairman of the Board and Chief Executive Officer and current Chairman Emeritus, and G. Patrick Lynch, the Company’s current President and Chief Executive Officer, are shareholders of Inter Alia. Prior to terminating the agreement, the Company reimbursed Inter Alia for travel and related expenses in the aggregate amount of $80,000 and $320,000 for the three and nine months ended May 31, 2006. The Company paid Inter Alia commissions on royalties paid by corporate joint ventures and net proceeds of sales of the Company’s products of approximately $0 and $65,001, for the three and nine months ended May 31, 2006. In addition, the Company paid health insurance premiums of $0 and $6,623 for the three and nine months ended May 31, 2006, related to policies that insure Philip M. Lynch, the Company’s former Chairman of the Board and Chief Executive Officer and current Chairman Emeritus.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90" w:right="259" w:bottom="1440" w:gutter="0" w:footer="0" w:header="0"/>
        </w:sectPr>
      </w:pPr>
    </w:p>
    <w:bookmarkStart w:id="12" w:name="page13"/>
    <w:bookmarkEnd w:id="12"/>
    <w:p>
      <w:pPr>
        <w:spacing w:after="0" w:line="306" w:lineRule="auto"/>
        <w:rPr>
          <w:sz w:val="20"/>
          <w:szCs w:val="20"/>
          <w:color w:val="auto"/>
        </w:rPr>
      </w:pPr>
      <w:r>
        <w:rPr>
          <w:rFonts w:ascii="Arial" w:cs="Arial" w:eastAsia="Arial" w:hAnsi="Arial"/>
          <w:sz w:val="16"/>
          <w:szCs w:val="16"/>
          <w:color w:val="auto"/>
        </w:rPr>
        <w:t>The Company made consulting payments to Dr. Ramani Narayan, a director of the Company, of $25,000 on each of November 8, 2005, February 1, 2006, May 1, 2006, August 1, 2006, November 2, 2006, February 1, 2007 and May 1, 2007. The consulting services rendered by Dr. Narayan related to research and development associated with various new technologies and are contracted on a quarter to quarter basis cancellable by NTIC at anytime.</w:t>
      </w:r>
    </w:p>
    <w:p>
      <w:pPr>
        <w:spacing w:after="0" w:line="161"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The Company made consulting payments to Dr. Sunggyu Lee, a director of the Company, of $25,000 on each of November 8, 2005, February 1, 2006, May 1, 2006, August 1, 2006, November 28, 2006 and February 1, 2007. The consulting services rendered by Dr. Lee related to research and development associated with various new technologies and are contracted on a quarter to quarter basis cancellable by NTIC at anytime.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 pays rent for its Beachwood office and lab location to a related party. See Note 19.</w:t>
      </w:r>
    </w:p>
    <w:p>
      <w:pPr>
        <w:spacing w:after="0" w:line="219"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Reconciliations of the expected federal income tax at the statutory rate with the provisions for income taxes for the nine months ended May 31 are as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May 31, 2007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May 31,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819,000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Tax effect on equity in income of international joint ventures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(801,000)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Tax effect on dividends received from corporate joint ventures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371,000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April 2007 REACT-NTI, LLC (“REACT”), a company that is 75% owned by NTIC was served with a summons and complaint that was filed by Shamrock Technologies, Inc. (“Shamrock”) in state court in New York. This case has been removed to the Federal District Court for the Southern District of New York. The lawsuit seeks payment from REACT of commissions in the approximate amount of $314,500 owed by REACT under a license agreement between REACT and Shamrock. The complaint alleges breach of the license agreement by REACT and seeks damages in an unspecified amount for such breach as well as damages of approximately $300,000 for the alleged failure of REACT to purchase from Shamrock certain inventory manufactured for sale to a customer. REACT, acknowledges that the commissions are owed, but denies all of the claims of breach of the license agreement by it. REACT intends to appropriately defend itself against the allegations of breach and also intends to file counter-claim for a breach of the license agreement by Shamrock and to pursue injunctive relieve against Shamrock to protect its licensed Technology and Confidential Information disclosed to Shamrock under the license agreement.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90" w:right="279" w:bottom="1440" w:gutter="0" w:footer="0" w:header="0"/>
        </w:sectPr>
      </w:pPr>
    </w:p>
    <w:bookmarkStart w:id="13" w:name="page14"/>
    <w:bookmarkEnd w:id="13"/>
    <w:p>
      <w:pPr>
        <w:ind w:right="40"/>
        <w:spacing w:after="0" w:line="290" w:lineRule="auto"/>
        <w:rPr>
          <w:sz w:val="20"/>
          <w:szCs w:val="20"/>
          <w:color w:val="auto"/>
        </w:rPr>
      </w:pPr>
      <w:r>
        <w:rPr>
          <w:rFonts w:ascii="Arial" w:cs="Arial" w:eastAsia="Arial" w:hAnsi="Arial"/>
          <w:sz w:val="16"/>
          <w:szCs w:val="16"/>
          <w:color w:val="auto"/>
        </w:rPr>
        <w:t>In February 2007, NTIC was served with a summons and complaint that was originally filed by Evelyna Cantwell and Jack Cantwell, individually and also doing business as Byrd-Walsh International, LLC in the Federal District Court for the Southern District of Florida. The lawsuit alleges breach of contract, breach of implied contract, promissory estoppels, equitable estoppels, negligence, wrongful conversion, fraud, constructive fraud, misappropriation, and violation of the Uniform Trade Secrets Act. The suit seeks total damages in excess of $45 million. Based on the allegations in the complaint and our understanding of relevant facts and circumstances, we believe that the claims made by the Cantwell’s and Byrd-Walsh in this lawsuit are without merit and we intend to vigorously defend against them. The amounts claimed in this lawsuit are substantial, however, and there can be no assurances as to the outcome of this pending action. Likewise, there can be no assurances regarding the impact that this matter may have on our financial results or financial condition.</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is involved in a legal action in Finland whereby the Company sued a Finnish company for trademark infringement. The Company won the initial case, but has subsequently lost on appeal. The Company is currently appealing the latest court decision. The outcome of the appeal is unknown and any potential loss cannot be estimated at this time; however, the potential judgment or settlement resulting from the case could have a material impact on the financial position or results of operations of the Company. The Company has put up a $600,000 Stand-by Letter of Credit to potentially fund NTIC’s obligations related to the courts in Finland against the defendant’s products that were seized as contraband pending the outcome of the lawsuit. Advances made under the demand letter of credit will be made at the sole discretion of National City Bank and will be due and payable on demand. Any outstanding unpaid principal balance under the demand letter of credit bears interest at an annual rate based on LIBOR plus 2.25%. Interest is payable in arrears beginning on January 15, 2007 and on the 15th day of each month thereafter and on demand.</w:t>
      </w:r>
    </w:p>
    <w:p>
      <w:pPr>
        <w:spacing w:after="0" w:line="17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There are no other legal actions arising in the ordinary course of business that management is of the opinion that any judgment or settlement therefrom would have a material adverse effect on the financial position or results of operations of the Company.</w:t>
      </w:r>
    </w:p>
    <w:p>
      <w:pPr>
        <w:spacing w:after="0" w:line="18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June 2007, the Internal Revenue Service concluded its audit of the Company for fiscal 2004 and 2005. They have assessed taxes and penalties based on their findings, however the company feels that they have adequate defenses to counter the assessed taxes and have started the appeals process. They intend to vigorously defend their position. It has been determined that any resulting loss is not likely and not reasonably estimateable at this time, therefore, no provision has been made in the financial statements.</w:t>
      </w:r>
    </w:p>
    <w:p>
      <w:pPr>
        <w:spacing w:after="0" w:line="19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In fiscal 1999, a subsidiary of the Company, NTI Facilities, Inc., acquired a one-third ownership of Omni-Northern Ltd., an Ohio limited liability company and entered into a lease agreement with Omni-Northern Ltd. for approximately 50% of the net rental space in a building owned by Omni-Northern Ltd. Omni-Northern Ltd. owns and operates a rental property located at 23205 Mercantile Road, Beachwood, Ohio, comprising approximately two acres of land and a building of approximately 34,000 square feet. NTI Facilities consolidates its ownership in Omni-Northern LTD utilizing the equity method of consolidation. The property has an approximate value of $2,205,000, based upon the cash-to-mortgage acquisition price of the property paid in fiscal 2000. The Company has guaranteed up to $329,082 of the Omni-Northern Ltd.’s $1,903,571 mortgage obligation with National City Bank, Cleveland, Ohio. NTI Facilities, Inc. entered into a 15-year lease agreement with Omni-Northern Ltd. for approximately 17,000 square feet of office, manufacturing, laboratory and warehouse space, requiring monthly rental payments of $17,500, which are adjusted annually according to the annual consumer price index, through November 2014. By its ownership interest in Omni-Northern Ltd., NTI Facilities Inc. is entitled to one-third of the operating profits (losses) of Omni-Northern Ltd. Omni-Northern has leased the remaining 50% of the net rental space to other third parties.</w:t>
      </w:r>
    </w:p>
    <w:p>
      <w:pPr>
        <w:spacing w:after="0" w:line="17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November 16, 2006, the “independent directors” of the Company approved the material terms of an annual bonus plan for executive officers and certain employees of the Company for fiscal year ending August 31, 2007, the purpose of which is to align the interests of the Company and its subsidiaries,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90" w:right="259" w:bottom="1440" w:gutter="0" w:footer="0" w:header="0"/>
        </w:sectPr>
      </w:pPr>
    </w:p>
    <w:bookmarkStart w:id="14" w:name="page15"/>
    <w:bookmarkEnd w:id="14"/>
    <w:p>
      <w:pPr>
        <w:ind w:left="580" w:hanging="571"/>
        <w:spacing w:after="0"/>
        <w:tabs>
          <w:tab w:leader="none" w:pos="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total amount available under the bonus plan will be up to 25% of the Company’s earnings before interest, taxes and other income (EBITOI);</w:t>
      </w:r>
    </w:p>
    <w:p>
      <w:pPr>
        <w:spacing w:after="0" w:line="192" w:lineRule="exact"/>
        <w:rPr>
          <w:rFonts w:ascii="Arial" w:cs="Arial" w:eastAsia="Arial" w:hAnsi="Arial"/>
          <w:sz w:val="15"/>
          <w:szCs w:val="15"/>
          <w:color w:val="auto"/>
        </w:rPr>
      </w:pPr>
    </w:p>
    <w:p>
      <w:pPr>
        <w:ind w:left="580" w:right="80" w:hanging="571"/>
        <w:spacing w:after="0" w:line="268"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amount available under the cash bonus plan will be $0 if EBITOI, as adjusted to take into account amounts to be paid under the bonus plan, fall below 70% of target EBITOI; and</w:t>
      </w:r>
    </w:p>
    <w:p>
      <w:pPr>
        <w:spacing w:after="0" w:line="118" w:lineRule="exact"/>
        <w:rPr>
          <w:rFonts w:ascii="Arial" w:cs="Arial" w:eastAsia="Arial" w:hAnsi="Arial"/>
          <w:sz w:val="18"/>
          <w:szCs w:val="18"/>
          <w:color w:val="auto"/>
        </w:rPr>
      </w:pPr>
    </w:p>
    <w:p>
      <w:pPr>
        <w:ind w:left="580" w:right="140" w:hanging="571"/>
        <w:spacing w:after="0" w:line="268"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payment of bonuses under the plan will be made in both cash and stock, the exact amount and percentages of which will be determined by the Compensation Committee.</w:t>
      </w:r>
    </w:p>
    <w:p>
      <w:pPr>
        <w:spacing w:after="0" w:line="18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40"/>
          </w:cols>
          <w:pgMar w:left="820" w:top="37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 MANAGEMENT’S DISCUSSION AND ANALYSIS OR PLAN OF OPERATION</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captions “Forward-Looking Statements” and “Risk Factors” appearing elsewhere in this report. The following discussion of the results of the operations and financial condition of NTIC should be read in conjunction with NTIC’s consolidated financial statements and the related notes thereto included under Part I, Item 1 entitled “Financial Statements” of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 focuses on developing, marketing and selling proprietary environmentally responsible materials science based products and technical services directly and via a network of independent distributors, manufacturer sales representatives and joint ventures in over 50 countries. NTIC manufactures, markets and sells primarily rust and corrosion inhibiting products and services for automotive, electronics, electrical, mechanical and military applications, sold under the brand names Zerust® and EXCOR®. NTIC also offers direct, worldwide on-site technical support on rust and corrosion issues. In North America, NTIC markets its technical service and Zerust® products principally to industrial users by a direct sales force and through a network of independent distributors and sales representatives. NTIC’s technical service representatives work directly with the end users of NTIC’s products to analyze their specific needs and develop systems to meet their technical requirements.</w:t>
      </w:r>
    </w:p>
    <w:p>
      <w:pPr>
        <w:spacing w:after="0" w:line="20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NTIC participates, either directly or indirectly through holding companies, in approximately 30 corporate joint venture arrangements in North America, South America, Europe, Asia and the Middle East. Each of these joint ventures manufactures, markets and sells finished products generally in the countries to which it is assigned. NTIC’s joint venture partners are knowledgeable in the applicable environmental, labor, tax and other requisite regulations and laws of the respective foreign countries in which they operate, as well as the local customs and business practices. While most of NTIC’s joint ventures currently sell rust and corrosion inhibiting products and custom packaging systems, NTIC also has joint ventures that manufacture, market and sell bio-based additives with both industrial and personal care applications, plastic recycling technology and electronic sensing instruments.</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React-NTI LLC is an industrial chemical corporate joint venture of NTIC that focuses on the development, manufacture and marketing of proprietary lines of bio-based additives with both industrial and personal care applications. Based on cotton, soy, corn and other renewable resources, React-NTI products outperform many synthetically derived competing alternatives. React-NTI’s target market includes NTIC’s existing industrial customer base, as well as the personal care and cosmetics industry. As of February 28, 2005, NTIC began fully consolidating this 75% owned subsidiary, which was previously accounted for using the equity method.</w:t>
      </w:r>
    </w:p>
    <w:p>
      <w:pPr>
        <w:spacing w:after="0" w:line="19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NTIC conducts all foreign transactions based on the U.S. dollar, except for its investments in various foreign corporate joint ventures. The exchange rate differential relating to investments in foreign corporate joint ventures is accounted for under the requirements of SFAS No. 52, Foreign Currency Translation.</w:t>
      </w:r>
    </w:p>
    <w:p>
      <w:pPr>
        <w:spacing w:after="0" w:line="139"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The Company’s net sales increased 2.0% and 3.3% during the three and nine months ended May 31, 2007 as compared to the same periods in fiscal 2006 primarily as a result of the increase of React-NTI products to new and existing customers in North America offset by a slight decrease in net sales of Zerust® products. Net sales of Zerust® products decreased $35,933 to $8,833,283 for the nine months ended May 31, 2007 as compared to the same period in fiscal 2006. Net sales of React-NTI products increased $446,307 to $4,076,784 for the nine months ended May 31, 2007 as compared to the same period in fiscal 2006.</w:t>
      </w:r>
    </w:p>
    <w:p>
      <w:pPr>
        <w:spacing w:after="0" w:line="197"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Cost of goods sold as a percentage of net sales increased slightly to 65.3% and 64.1% during the three and nine months ended May 31, 2007 as compared to 63.9% and 62.4% during the same periods in fiscal 2006, primarily as a result of the increase in raw material prices and a change in the product mix.</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6" w:name="page17"/>
    <w:bookmarkEnd w:id="16"/>
    <w:p>
      <w:pPr>
        <w:spacing w:after="0" w:line="289" w:lineRule="auto"/>
        <w:rPr>
          <w:sz w:val="20"/>
          <w:szCs w:val="20"/>
          <w:color w:val="auto"/>
        </w:rPr>
      </w:pPr>
      <w:r>
        <w:rPr>
          <w:rFonts w:ascii="Arial" w:cs="Arial" w:eastAsia="Arial" w:hAnsi="Arial"/>
          <w:sz w:val="16"/>
          <w:szCs w:val="16"/>
          <w:color w:val="auto"/>
        </w:rPr>
        <w:t>Total net sales of all of the Company’s joint ventures increased 15.6% to $59,265,028 during the nine months ended May 31, 2007 as compared to $51,278,645 during the same period in fiscal 2006. The Company receives fees for technical and other support services it provides to its joint ventures based on the revenues of the individual joint ventures. The Company recognized increased fee income of $250,950 for such technical and support services during the nine months ended May 31, 2007 as compared to the same period in fiscal 2006 due to the increase in total net sales of the joint ventures. The Company incurs direct expenses related to its corporate joint ventures and holding companies. Such expenses include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The Company incurred increased direct joint venture expenses of $157,544 during the nine months ended May 31, 2007 compared to the same period in fiscal 2006.</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NTIC’s net income for the three months ended May 31, 2007 decreased $90,164 to $627,800 compared to $717,963 for the three months ended May 31, 2006.</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Net income for the nine months ended May 31, 2007 increased $509,551 to $2,066,227 compared to $1,556,676 for the nine months ended May 31, 2006.</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NTIC’s working capital was $3,253,245 at May 31, 2007, including $536,246 in cash and cash equivalents. In August 2006, NTIC increased its existing</w:t>
      </w:r>
    </w:p>
    <w:p>
      <w:pPr>
        <w:spacing w:after="0" w:line="38" w:lineRule="exact"/>
        <w:rPr>
          <w:sz w:val="20"/>
          <w:szCs w:val="20"/>
          <w:color w:val="auto"/>
        </w:rPr>
      </w:pPr>
    </w:p>
    <w:p>
      <w:pPr>
        <w:ind w:right="380"/>
        <w:spacing w:after="0" w:line="323" w:lineRule="auto"/>
        <w:rPr>
          <w:sz w:val="20"/>
          <w:szCs w:val="20"/>
          <w:color w:val="auto"/>
        </w:rPr>
      </w:pPr>
      <w:r>
        <w:rPr>
          <w:rFonts w:ascii="Arial" w:cs="Arial" w:eastAsia="Arial" w:hAnsi="Arial"/>
          <w:sz w:val="16"/>
          <w:szCs w:val="16"/>
          <w:color w:val="auto"/>
        </w:rPr>
        <w:t>$1,000,000 revolving credit facility with National City Bank to $1,500,000. As of May 31, 2007, NTIC had $884,000 outstanding under the revolving credit facility. The revolving credit facility expires on January 31, 2008 although NTIC expects to renew it on substantially the same terms before it expires.</w:t>
      </w:r>
    </w:p>
    <w:p>
      <w:pPr>
        <w:spacing w:after="0" w:line="14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NTIC elected not to pay a cash dividend in fiscal 2006, based on fiscal 2005 results, or thus far in fiscal 2007, based on fiscal 2006 results, in order to preserve cash and make investments in future operations. NTIC expects to meet its future liquidity requirements during at least the next twelve months by using its existing cash and cash equivalents, forecasted cash flows from future operations, distributions of earnings and technical assistance fees to NTIC from its joint venture investments and funds available through existing financing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year to date results of operations for the nine months ended May 31, 2007 and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 of Net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 of Net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7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May 31, 2007</w:t>
            </w:r>
          </w:p>
        </w:tc>
        <w:tc>
          <w:tcPr>
            <w:tcW w:w="2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Sales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May 31, 2006</w:t>
            </w:r>
          </w:p>
        </w:tc>
        <w:tc>
          <w:tcPr>
            <w:tcW w:w="20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Sales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Change</w:t>
            </w: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12,910,067</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12,499,693</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410,374</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8,280,131</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64.1%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7,803,716</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62.4%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476,415</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2,466,218</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2,444,017</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22,201</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2,235,276</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1,888,954</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346,322</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177,316</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213,837</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(36,521)</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430"/>
        </w:trPr>
        <w:tc>
          <w:tcPr>
            <w:tcW w:w="8580" w:type="dxa"/>
            <w:vAlign w:val="bottom"/>
            <w:gridSpan w:val="13"/>
          </w:tcPr>
          <w:p>
            <w:pPr>
              <w:spacing w:after="0"/>
              <w:rPr>
                <w:sz w:val="20"/>
                <w:szCs w:val="20"/>
                <w:color w:val="auto"/>
              </w:rPr>
            </w:pPr>
            <w:r>
              <w:rPr>
                <w:rFonts w:ascii="Arial" w:cs="Arial" w:eastAsia="Arial" w:hAnsi="Arial"/>
                <w:sz w:val="18"/>
                <w:szCs w:val="18"/>
                <w:color w:val="auto"/>
                <w:w w:val="89"/>
              </w:rPr>
              <w:t>The following table sets forth our results of operations for the third quarter (three months) ended May 31, 2007 and 2006.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 of Net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 of Net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center"/>
              <w:ind w:right="17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May 31, 2007</w:t>
            </w:r>
          </w:p>
        </w:tc>
        <w:tc>
          <w:tcPr>
            <w:tcW w:w="2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Sales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May 31, 2006</w:t>
            </w:r>
          </w:p>
        </w:tc>
        <w:tc>
          <w:tcPr>
            <w:tcW w:w="20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Sales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Change</w:t>
            </w: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520" w:type="dxa"/>
            <w:vAlign w:val="bottom"/>
            <w:gridSpan w:val="3"/>
          </w:tcPr>
          <w:p>
            <w:pPr>
              <w:spacing w:after="0"/>
              <w:rPr>
                <w:sz w:val="8"/>
                <w:szCs w:val="8"/>
                <w:color w:val="auto"/>
              </w:rPr>
            </w:pPr>
          </w:p>
        </w:tc>
        <w:tc>
          <w:tcPr>
            <w:tcW w:w="180" w:type="dxa"/>
            <w:vAlign w:val="bottom"/>
            <w:gridSpan w:val="2"/>
          </w:tcPr>
          <w:p>
            <w:pPr>
              <w:spacing w:after="0"/>
              <w:rPr>
                <w:sz w:val="8"/>
                <w:szCs w:val="8"/>
                <w:color w:val="auto"/>
              </w:rPr>
            </w:pPr>
          </w:p>
        </w:tc>
        <w:tc>
          <w:tcPr>
            <w:tcW w:w="1040" w:type="dxa"/>
            <w:vAlign w:val="bottom"/>
          </w:tcPr>
          <w:p>
            <w:pPr>
              <w:spacing w:after="0"/>
              <w:rPr>
                <w:sz w:val="8"/>
                <w:szCs w:val="8"/>
                <w:color w:val="auto"/>
              </w:rPr>
            </w:pPr>
          </w:p>
        </w:tc>
        <w:tc>
          <w:tcPr>
            <w:tcW w:w="1540" w:type="dxa"/>
            <w:vAlign w:val="bottom"/>
            <w:gridSpan w:val="3"/>
          </w:tcPr>
          <w:p>
            <w:pPr>
              <w:spacing w:after="0"/>
              <w:rPr>
                <w:sz w:val="8"/>
                <w:szCs w:val="8"/>
                <w:color w:val="auto"/>
              </w:rPr>
            </w:pPr>
          </w:p>
        </w:tc>
        <w:tc>
          <w:tcPr>
            <w:tcW w:w="260" w:type="dxa"/>
            <w:vAlign w:val="bottom"/>
            <w:gridSpan w:val="2"/>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4,407,798</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4,320,371</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87,427</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2,876,012</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65.3%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2,759,360</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63.9%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116,652</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887,014</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871,828</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608,104</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638,484</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(30,380)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46,941</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65,411</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(18,470)</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Net Sales and Cost of Goods Sold</w:t>
      </w:r>
      <w:r>
        <w:rPr>
          <w:rFonts w:ascii="Arial" w:cs="Arial" w:eastAsia="Arial" w:hAnsi="Arial"/>
          <w:sz w:val="16"/>
          <w:szCs w:val="16"/>
          <w:color w:val="auto"/>
        </w:rPr>
        <w:t>. NTIC’s net sales originating in the United States increased during the three and nine months ended May 31, 2007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periods in fiscal 2006 primarily as a result of an increase in the demand for React-NTI products sold to an existing customer in North America offset by a small decrease in demand for Zerust® products sold to existing customers. Cost of goods sold increased as a percentage of net sales for the three and nine months ended May 31, 2007 compared to the same period in fiscal 2006 primarily as a result of an increase in petroleum based raw material prices.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0" w:right="239" w:bottom="1440" w:gutter="0" w:footer="0" w:header="0"/>
        </w:sectPr>
      </w:pPr>
    </w:p>
    <w:bookmarkStart w:id="17" w:name="page18"/>
    <w:bookmarkEnd w:id="17"/>
    <w:p>
      <w:pPr>
        <w:ind w:right="120"/>
        <w:spacing w:after="0" w:line="259"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a negligible amount for the three and nine months ended May 31, 2007 compared the same period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2006. Selling expenses as a percentage of net sales increased by a negligible amount for the nine months ended May 31, 2007 and decreased by a negligible amount for the three months ended May 31, 2007 compared to same period in fiscal 2006.</w:t>
      </w:r>
    </w:p>
    <w:p>
      <w:pPr>
        <w:spacing w:after="0" w:line="1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increased for the nine months ended May 31, 2007 compared to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in fiscal 2006 primarily as a result of increases in (i) information technology expenses of $34,000, (ii) insurance expense of $18,000, (iii) legal expenses of $72,000, (iv) audit and tax expense of $61,000, (v) salary and benefits expenses of $70,000, and (vi) depreciation expense of $66,000. General and Administrative Expenses decreased for the three months ended May 31, 2007 compared to same period in fiscal 2006 primarily as a result decreases in travel and related expenses of $32,000. As a percentage of net sales, general and administrative expenses changed slightly for the three and nine months ended May 31, 2007 compared to same period in fiscal 2006 primarily as a result of the changes in spending as described above.</w:t>
      </w:r>
    </w:p>
    <w:p>
      <w:pPr>
        <w:spacing w:after="0" w:line="17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Company includes expenses in General and Administrative that provide benefit to the various joint ventures and in additional to providing benefit to North American operations. Specifically, expenses associated with Information technology, general insurance, building expenses, audit and tax and directors fees.</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Lab and Technical Support Expenses</w:t>
      </w:r>
      <w:r>
        <w:rPr>
          <w:rFonts w:ascii="Arial" w:cs="Arial" w:eastAsia="Arial" w:hAnsi="Arial"/>
          <w:sz w:val="18"/>
          <w:szCs w:val="18"/>
          <w:color w:val="auto"/>
        </w:rPr>
        <w:t>. NTIC’s lab and technical support expenses decreased slightly for the three and nine months ended May 31, 2007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periods in fiscal 2006. As a percentage of net sales, lab and technical support expenses decreased by a negligible amount for the three and nine months ended May 31, 2007 compared to same period in fiscal 2006.</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International Corporate Joint Ventures and Holding Companies</w:t>
      </w:r>
      <w:r>
        <w:rPr>
          <w:rFonts w:ascii="Arial" w:cs="Arial" w:eastAsia="Arial" w:hAnsi="Arial"/>
          <w:sz w:val="16"/>
          <w:szCs w:val="16"/>
          <w:color w:val="auto"/>
        </w:rPr>
        <w:t>. NTIC continues its business program of establishing corporate joint venture arrangements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markets directly or indirectly through holding companies. NTIC and/or an existing corporate joint venture manufactures and supplies proprietary ingredients, which make the finished products functional and enable manufacturing of the finished products to take place in the foreign countries. NTIC’s corporate joint ventures then market the finished products in their territories, and NTIC’s corporate joint ventures’ profits are shared by the corporate joint venture shareholders in accordance with their ownership percentages of the joint venture entity.</w:t>
      </w:r>
    </w:p>
    <w:p>
      <w:pPr>
        <w:spacing w:after="0" w:line="17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had equity in income of industrial chemical corporate joint ventures and holding companies of $2,384,020 and $2,117,612 for the nine months ended May 31, 2007 and 2006, respectively and $754,286 and $802,286 for the three months ended May 31, 2007 and 2006, respectively. The increase in equity in income for the nine months ended May 31, 2007 was due to the increase in revenue and profitability due to the growth of corporate joint ventures as a whole. The decrease during the three months ended May 31, 2007 was attributable to equity losses in one of the joint ventures that is currently in startup mode.</w:t>
      </w:r>
    </w:p>
    <w:p>
      <w:pPr>
        <w:spacing w:after="0" w:line="16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 receives fees for technical and other support to the Company’s corporate joint ventures based on the revenues of the individual corporate joint ventures. The Company recognized fee income for such support in the amounts of $3,508,977 and $3,258,027 for the nine months ended May 31, 2007 and 2006, respectively and $1,162,974 and $1,123,978 for the three months ended May 31, 2007 and 2006, respectively. The increase in fees for technical and other support to its corporate joint ventures was due to the increase in revenues and profitability from the corporate joint ventures as a whole.</w:t>
      </w:r>
    </w:p>
    <w:p>
      <w:pPr>
        <w:spacing w:after="0" w:line="16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Company sponsors a worldwide corporate joint venture conference approximately every three to four years in which all of its corporate joint ventures are invited to participate. The Company defers a portion of its technical and other support fees received from its corporate joint ventures in each accounting period leading up to the next conference, reflecting that the Company has not fully earned the payments received during that period. The next corporate joint venture conference is scheduled to be held in 2008. There was $168,000 of deferred income recorded within other accrued liabilities at May 31, 2007, related to this future conference. The costs associated with these joint venture conferences are offset against the deferral as incurred, generally in the period in which the conference is held and immediately before.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90" w:right="259" w:bottom="1440" w:gutter="0" w:footer="0" w:header="0"/>
        </w:sectPr>
      </w:pPr>
    </w:p>
    <w:bookmarkStart w:id="18" w:name="page19"/>
    <w:bookmarkEnd w:id="18"/>
    <w:p>
      <w:pPr>
        <w:ind w:right="120"/>
        <w:spacing w:after="0" w:line="287" w:lineRule="auto"/>
        <w:rPr>
          <w:sz w:val="20"/>
          <w:szCs w:val="20"/>
          <w:color w:val="auto"/>
        </w:rPr>
      </w:pPr>
      <w:r>
        <w:rPr>
          <w:rFonts w:ascii="Arial" w:cs="Arial" w:eastAsia="Arial" w:hAnsi="Arial"/>
          <w:sz w:val="16"/>
          <w:szCs w:val="16"/>
          <w:color w:val="auto"/>
        </w:rPr>
        <w:t>The Company incurred direct expenses related to its corporate joint ventures and the holding companies of $1,161,702 and $3,819,003 for the three and nine months ended May 31, 2007 compared to $1,204,929 and $3,661,459 for the same periods in 2006. These expenses include: product and business development, consulting, travel, technical and marketing services to existing joint ventures, legal fees regarding the establishment of new joint ventures, registration and promotion and legal defense of worldwide trademarks and legal fees incurred in the filing of patent applications for new technologies to which the Company acquired certain rights. The increases in direct expenses incurred relating to the Company’s corporate joint ventures and holding companies for the nine months ended May 31, 2007 compared to the same period in fiscal 2006 was attributable to increases of (i) salary, wages and associated benefits of $226,000, (ii) legal expenses of $90,000 and (iii) travel related expenses of $85,000 offset by decreases in expenses related to consulting fees of $57,000 and technical service expenses of $140,000. The decrease for the three months ended May 31, 2007 as compared to May 31, 2006 was minimal. As a percentage of net sales, direct expenses incurred relating to NTIC’s corporate joint ventures and holding companies increased for the three and nine months ended May 31, 2007 compared to the same respective period in fiscal 2006, primarily as a result of the changes in spending as described above.</w:t>
      </w:r>
    </w:p>
    <w:p>
      <w:pPr>
        <w:spacing w:after="0" w:line="1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$2,368 for the nine months ended May 31, 2007 compared to $30,108 for the same period in fiscal 2006</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 lower average invested cash balances during the most recent period.</w:t>
      </w:r>
    </w:p>
    <w:p>
      <w:pPr>
        <w:spacing w:after="0" w:line="18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$131,503 for the nine months ended May 31, 2007 compared to $55,392 for the same period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2006 due to a higher average outstanding debt and an increase in interest rates during the most recent period.</w:t>
      </w:r>
    </w:p>
    <w:p>
      <w:pPr>
        <w:spacing w:after="0" w:line="186"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i w:val="1"/>
          <w:iCs w:val="1"/>
          <w:color w:val="auto"/>
        </w:rPr>
        <w:t>Gain on sale of assets</w:t>
      </w:r>
      <w:r>
        <w:rPr>
          <w:rFonts w:ascii="Arial" w:cs="Arial" w:eastAsia="Arial" w:hAnsi="Arial"/>
          <w:sz w:val="15"/>
          <w:szCs w:val="15"/>
          <w:color w:val="auto"/>
        </w:rPr>
        <w:t>. NTIC recognized a gain on the sale of land, building and equipment that previously served as NTIC’s corporate headquarters of $726,295</w:t>
      </w:r>
      <w:r>
        <w:rPr>
          <w:rFonts w:ascii="Arial" w:cs="Arial" w:eastAsia="Arial" w:hAnsi="Arial"/>
          <w:sz w:val="15"/>
          <w:szCs w:val="15"/>
          <w:i w:val="1"/>
          <w:iCs w:val="1"/>
          <w:color w:val="auto"/>
        </w:rPr>
        <w:t xml:space="preserve"> </w:t>
      </w:r>
      <w:r>
        <w:rPr>
          <w:rFonts w:ascii="Arial" w:cs="Arial" w:eastAsia="Arial" w:hAnsi="Arial"/>
          <w:sz w:val="15"/>
          <w:szCs w:val="15"/>
          <w:color w:val="auto"/>
        </w:rPr>
        <w:t>during the nine months ended May 31, 2007. This was a one-time sale and no additional gain is anticipated to be recognized relating to the building in the future.</w:t>
      </w:r>
    </w:p>
    <w:p>
      <w:pPr>
        <w:spacing w:after="0" w:line="1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Income before income taxes increased $607,551 to $2,437,227 for the nine months ended May 31, 2007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$1,829,676 for the same period in fiscal 2006.</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nine months ended May 31, 2007 and 2006 was calculated based on management’s estimate of NTIC’s annual</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income tax rate. NTIC’s annual effective income tax rate for the nine months ended May 31, 2007 and 2006 was lower than the statutory rate primarily due to NTIC’s equity in income of corporate joint ventures being recognized based on after-tax earnings of these entities. To the extent joint ventures’ undistributed earnings are distributed to NTIC, it is not expected to result in any material additional income tax liability after the application of foreign tax credits.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May 31, 2007, NTIC’s working capital was $3,253,245 with $536,246 in cash and cash equivalents,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capital of $2,221,334, including $299,117 in cash and cash equivalents, as of August 31, 2006.</w:t>
      </w:r>
    </w:p>
    <w:p>
      <w:pPr>
        <w:spacing w:after="0" w:line="18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NTIC has a revolving credit facility that expires on January 31, 2008. Outstanding amounts under the revolving credit facility bear interest at an annual rate based on LIBOR plus 2.25%. As of May 31, 2007, the interest rate was 7.60%. Amounts borrowed under the facility are collateralized by a lien on substantially all of NTIC’s assets, excluding its corporate joint venture interests and intellectual property rights. The credit documents contain other terms and provisions (including representations, covenants and conditions) customary for transactions of this type. Significant financial covenants include minimum fixed charge coverage ratio of 1.0 to 1.0. Other covenants include a prohibition on any merger or consolidation without prior consent of the lender and restrictions on future credit extensions and non-equity investments and the incurrence of additional indebtedness without the lender’s prior consent. NTIC is in compliance with all covenants under the revolving credit facility. The facility contains customary events of default, including nonpayment of principal or other amounts when due; breach of covenants; inaccuracy of representations and warranties; cross-default and/or cross-acceleration to other indebtedness; non-compliance with laws; certain voluntary and involuntary bankruptcy events; judgments entered against NTIC; and a sale of material assets. If an event of default occurs and is continuing, the lender may, among other things, terminate its obligations thereunder and require NTIC to repay all amounts thereunder. Outstanding balances under the revolving credit facility were $884,000 and $610,000 as of May 31, 2007 and August 31, 2006, respectively. The increase in the utilization of the line of credit is a result of the cash needed to finance the renovations to the new corporate headquarters. The line of credit is subject to a borrowing base calculation and at May 31, 2007, NTIC had $616,000 in available credit under the line.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0" w:right="239" w:bottom="1440" w:gutter="0" w:footer="0" w:header="0"/>
        </w:sectPr>
      </w:pPr>
    </w:p>
    <w:bookmarkStart w:id="19" w:name="page20"/>
    <w:bookmarkEnd w:id="19"/>
    <w:p>
      <w:pPr>
        <w:ind w:right="20"/>
        <w:spacing w:after="0" w:line="255" w:lineRule="auto"/>
        <w:rPr>
          <w:sz w:val="20"/>
          <w:szCs w:val="20"/>
          <w:color w:val="auto"/>
        </w:rPr>
      </w:pPr>
      <w:r>
        <w:rPr>
          <w:rFonts w:ascii="Arial" w:cs="Arial" w:eastAsia="Arial" w:hAnsi="Arial"/>
          <w:sz w:val="18"/>
          <w:szCs w:val="18"/>
          <w:color w:val="auto"/>
        </w:rPr>
        <w:t>The Company has put up a $600,000 Stand-by Letter of Credit to potentially fund NTIC’s obligations related to the courts in Finland against the defendant’s products that were seized as contraband pending the outcome of the lawsuit. Advances made under the demand letter of credit will be made at the sole discretion of National City Bank and will be due and payable on demand. Any outstanding unpaid principal balance under the demand letter of credit bears interest at an annual rate based on LIBOR plus 2.25%. Interest is payable in arrears beginning on January 15, 2007 and on the 15th day of each month thereafter and on demand.</w:t>
      </w:r>
    </w:p>
    <w:p>
      <w:pPr>
        <w:spacing w:after="0" w:line="19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NTIC believes that a combination of its existing cash and cash equivalents, funds available through existing financing arrangements and forecasted cash flows, will continue to be adequate to fund its operations, capital expenditures, debt repayments and stock repurchases for at least the next twelve months.</w:t>
      </w:r>
    </w:p>
    <w:p>
      <w:pPr>
        <w:spacing w:after="0" w:line="13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Uses of Cash and Cash Flows</w:t>
      </w:r>
      <w:r>
        <w:rPr>
          <w:rFonts w:ascii="Arial" w:cs="Arial" w:eastAsia="Arial" w:hAnsi="Arial"/>
          <w:sz w:val="16"/>
          <w:szCs w:val="16"/>
          <w:color w:val="auto"/>
        </w:rPr>
        <w:t>. Cash flows used in operations for the nine months ended May 31, 2007 was $1,235,051, which resulted principally from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corporate joint ventures, decreases in accounts payable, increases in inventories, gain on sale of assets being offset by net income, depreciation and amortization expense, and decreases in trade receivables. Cash flows used in operations for the nine months ended May 31, 2006 was $33,630, which resulted principally from net income, depreciation and amortization expense, inventories and accrued liabilities being offset by equity income of corporate joint ventures, trade excluding corporate joint ventures and prepaid expenses.</w:t>
      </w:r>
    </w:p>
    <w:p>
      <w:pPr>
        <w:spacing w:after="0" w:line="17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Net cash provided by investing activities for the nine months ended May 31, 2007 was $1,269,591 which resulted from proceeds from the sale of assets, cash received from loans and deposits and dividends received from corporate joint ventures, offset by additions to property and equipment and investments in joint ventures. The Company received back its required deposit of $445,469 from the courts in Finland and replaced it with a stand-by Letter of Credit. Net cash used in investing activities for the nine months ended May 31, 2006 was $525,840, which resulted from additions to property and equipment and industrial patents, offset by dividends received from corporate joint ventures and cash received on loans.</w:t>
      </w:r>
    </w:p>
    <w:p>
      <w:pPr>
        <w:spacing w:after="0" w:line="17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Net cash provided by financing activities for the nine months ended May 31, 2007 was $202,589, which resulted primarily from the borrowings on the line of credit and cash generated from the exercising of stock options, offset by bank overdrafts. Net cash provided by financing activities for the nine months ended May 31, 2006 was $809,695, which resulted primarily from the borrowings on a term loan and bank overdrafts, offset by the payoff of the note payable and repayments on the line of credit.</w:t>
      </w:r>
    </w:p>
    <w:p>
      <w:pPr>
        <w:spacing w:after="0" w:line="19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NTIC has no material lease commitments as of May 31, 2007, except a lease agreement entered into by NTI Facilities,</w:t>
      </w:r>
      <w:r>
        <w:rPr>
          <w:rFonts w:ascii="Arial" w:cs="Arial" w:eastAsia="Arial" w:hAnsi="Arial"/>
          <w:sz w:val="16"/>
          <w:szCs w:val="16"/>
          <w:i w:val="1"/>
          <w:iCs w:val="1"/>
          <w:color w:val="auto"/>
        </w:rPr>
        <w:t xml:space="preserve"> </w:t>
      </w:r>
      <w:r>
        <w:rPr>
          <w:rFonts w:ascii="Arial" w:cs="Arial" w:eastAsia="Arial" w:hAnsi="Arial"/>
          <w:sz w:val="16"/>
          <w:szCs w:val="16"/>
          <w:color w:val="auto"/>
        </w:rPr>
        <w:t>Inc., a subsidiary of NTIC, for approximately 16,994 square feet of office, manufacturing, laboratory and warehouse space in Beachwood, Ohio, requiring monthly payments of $17,500, which are adjusted annually according to the annual consumer price index, through November 2014. NTIC has no postretirement benefit plan and does not anticipate establishing any postretirement benefit program.</w:t>
      </w:r>
    </w:p>
    <w:p>
      <w:pPr>
        <w:spacing w:after="0" w:line="1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NTIC recently moved its corporate headquarters. NTIC purchased the real estate and 40,000 square feet building in which its new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matures on May 1, 2011, bears interest at a fixed rate of 8.01% and is payable in 59 monthly installments equal to approximately $10,776 (inclusive of principal and interest) commencing June 1, 2006. All of the remaining unpaid principal and accrued interest is due and payable on the maturity date. The loan is secured by a first lien on the real estate and building.</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590" w:right="299" w:bottom="144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t>NTIC sold the real property and building in which NTIC’s former Lino Lakes corporate headquarters was located for a purchase price of $870,000 on September 8, 2006. The net book value of the building held for sale was $89,636 and the closing costs and fees associated with the sale of the property was $46,571. The gain on sale of the property was $726,295 and is reflected in NTIC’s fiscal 2007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fiscal 1999, a subsidiary of NTIC,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NTIC has guaranteed up to $329,082 of Omni-Northern Ltd.’s $1,903,571 mortgage obligation with National City Bank, Cleveland, Ohio. The building is fully leased at present.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has historically had little effect on NTIC. NTIC’s business has not historically been seasonal.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NTIC is exposed to foreign currency exchange rate risk arising from its investments in its foreign corporate joint ventures and holding companies since NTIC’s fees for technical support and other services and dividend distributions from these foreign entities are paid in foreign currencies. NTIC’s principal exchange rate exposure is with the Euro, the Japanese yen, Korean won and the English pound against the U.S. dollar. NTIC does not hedge against its foreign currency exchange rate risk.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the consolidated statement of income.</w:t>
      </w:r>
    </w:p>
    <w:p>
      <w:pPr>
        <w:spacing w:after="0" w:line="1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8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NTIC’s revolving credit facility bears interest at a rate based on LIBOR and thus may subject NTIC to some market risk on interest rates. $884,000 was outstanding under this facility as of May 31,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note 17 to NTIC’s consolidated financial statements for disclosure regarding related party transactions.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59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Corporate Joint Ventures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NTIC’s investments in corporate joint ventures are accounted for using the equity method, except for React-NTI LLC which has been fully consolidated, due to the adoption of FIN 46R. Periodically, NTIC evaluates the investments for any impairment and assesses the future cash flow projections to determine if there are any going concern issues. If an investment were determined to be impaired, then a reserve would be created to reflect the impairment on the financial results of NTIC. NTIC’s evaluation of its investments in corporate joint ventures requires NTIC to make assumptions about future cash flows of its corporate joint ventures. These assumptions require significant judgment and actual results may differ from assumed or estimated amounts. NTIC’s investments in corporate joint ventures were $12,804,366 and $10,772,102 as of May 31, 2007 and August 31, 2006,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economic conditions. Based on this evaluation, NTIC establishes a reserve for specific accounts and notes receivable that it believes are uncollectible, as well as an estimate of uncollectible receivables not specifically known. A deterioration in the financial condition of any key customer or a significant slow 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Accounts receivable have been reduced by an allowance for uncollectible accounts of $13,845 and $10,000 at May 31, 2007 and August 31, 2006,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recognizing revenue, NTIC applies the provisions of the Securities and Exchange Commission Staff Accounting Bulletin No. 104, Revenue Recognition. 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or distributor</w:t>
      </w:r>
      <w:r>
        <w:rPr>
          <w:rFonts w:ascii="Arial" w:cs="Arial" w:eastAsia="Arial" w:hAnsi="Arial"/>
          <w:sz w:val="18"/>
          <w:szCs w:val="18"/>
          <w:b w:val="1"/>
          <w:b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functional currency of each international corporate joint venture is the 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December 2004, FASB published FASB Statement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FAS 123(R) requires that the compensation cost relating to share-based payment transactions, including grants of employee stock options, be recognized in financial statements. That cost will be measured based on the fair value of the equity or liability instruments issued. FAS 123(R) covers a wide range of share-based compensation arrangements including stock options, restricted share plans, performance-based awards, share appreciation rights, and employee share purchase plans. FAS 123(R) is a replacement of FASB Statement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and supersedes APB Opinion No. 25,</w:t>
      </w:r>
      <w:r>
        <w:rPr>
          <w:rFonts w:ascii="Arial" w:cs="Arial" w:eastAsia="Arial" w:hAnsi="Arial"/>
          <w:sz w:val="16"/>
          <w:szCs w:val="16"/>
          <w:i w:val="1"/>
          <w:iCs w:val="1"/>
          <w:color w:val="auto"/>
        </w:rPr>
        <w:t xml:space="preserve"> Accounting for Stock Issued to Employees</w:t>
      </w:r>
      <w:r>
        <w:rPr>
          <w:rFonts w:ascii="Arial" w:cs="Arial" w:eastAsia="Arial" w:hAnsi="Arial"/>
          <w:sz w:val="16"/>
          <w:szCs w:val="16"/>
          <w:color w:val="auto"/>
        </w:rPr>
        <w:t>, and its related interpretive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The effect of the Statement is to require entities to measure the cost of employee services received in exchange for stock options based on the grant-date fair value of the award, and to recognize the cost over the period the employee is required to provide services for the award. FAS 123(R) permits entities to use any option-pricing model that meets the fair value objective in the Statement. NTIC implemented FAS 123(R) on September 1, 2006, using the modified prospective transition method.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10-QSB contains not only historical information, but also forward-looking statements within the meaning of Section 27A of the Securities Act of 1933 and Section 21E of the Securities Exchange Act of 1934. In addition, NTIC or others on NTIC’s behalf may make forward-looking statements from time to time in oral presentations, including telephone conferences, in press releases or reports, on NTIC’s Internet web site or otherwise. Statements that are not historical are forward-looking and reflect expectations and assumptions. NTIC tries to identify forward-looking statements in this report and elsewhere by using words such as “may,” “will,” “should,” “expects,” “anticipates,” “contemplates,” “estimates,” “believes,” “plans,” “projected,” “predicts,” “potential” or “continue” or the negative of these or similar terms.</w:t>
      </w:r>
    </w:p>
    <w:p>
      <w:pPr>
        <w:spacing w:after="0" w:line="19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Forward-looking statements involve risks and uncertainties. These uncertainties include factors that affect all businesses as well as matters specific to NTIC. NTIC cautions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below under the heading “Risk Factors,” as well as others that NTIC may consider immaterial or does not anticipate at this time. The risks and uncertainties described below under the heading “Risk Factors” are not exclusive and further information concerning NTIC and its business, including factors that potentially could materially affect its financial results or condition, may emerge from time to time. NTIC assumes no obligation to update forward-looking statements to reflect actual results or changes in factors or assumptions affecting such forward-looking statements. NTIC advises you, however, to consult any further disclosures it may make on related subjects in its future quarterly reports on Form 10-QSB and current reports on Form 8-K it files with or furnishes to the Securities and Exchange Commission.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the most significant factors known to NTIC that could materially adversely affect its business, financial condition or operating results.</w:t>
      </w:r>
    </w:p>
    <w:p>
      <w:pPr>
        <w:spacing w:after="0" w:line="248"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b w:val="1"/>
          <w:bCs w:val="1"/>
          <w:i w:val="1"/>
          <w:iCs w:val="1"/>
          <w:color w:val="auto"/>
        </w:rPr>
        <w:t>Over 19% of NTIC’s consolidated net sales, not including sales made at the various corporate joint venture, are generated outside of the U.S. and NTIC intends to continue to expand its international operations. NTIC’s international operations require management attention and financial resources and expose NTIC to difficulties presented by international economic, political, legal, accounting and business factors.</w:t>
      </w:r>
    </w:p>
    <w:p>
      <w:pPr>
        <w:spacing w:after="0" w:line="16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NTIC offers direct on-site technical support on rust and corrosion issues in over 50 countries, and operates a marketing, distribution, and technical network through joint ventures in North America, South America, Europe, Asia and the Middle East. NTIC’s consolidated net sales, not including the corporate joint venture sales, outside the United States were 19.3% of its total consolidated net sales for the nine months ended May 31, 2007 and 20.3% of its total consolidated net sales for fiscal 2006. One of NTIC’s strategic objectives is to expand its international operations. NTIC has recently entered into joint ventures in Australia, the Ukraine, Thailand and the United Arab Emirates. The expansion of NTIC’s existing international operations and entry into additional international markets requires management attention and financial resources. Many of the countries in which NTIC sells its products directly or indirectly through its corporate joint ventures, are, to some degree, subject to political, economic and/or social instability. NTIC’s international operations expose NTIC and its joint venture partners, representatives, agents and distributors to risks inherent in operating in foreign jurisdictions. These risks include: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90" w:right="259" w:bottom="1440" w:gutter="0" w:footer="0" w:header="0"/>
        </w:sectPr>
      </w:pPr>
    </w:p>
    <w:bookmarkStart w:id="23" w:name="page24"/>
    <w:bookmarkEnd w:id="23"/>
    <w:p>
      <w:pPr>
        <w:ind w:left="1160" w:right="240" w:hanging="571"/>
        <w:spacing w:after="0" w:line="268"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information technology;</w:t>
      </w:r>
    </w:p>
    <w:p>
      <w:pPr>
        <w:spacing w:after="0" w:line="118" w:lineRule="exact"/>
        <w:rPr>
          <w:rFonts w:ascii="Arial" w:cs="Arial" w:eastAsia="Arial" w:hAnsi="Arial"/>
          <w:sz w:val="18"/>
          <w:szCs w:val="18"/>
          <w:color w:val="auto"/>
        </w:rPr>
      </w:pPr>
    </w:p>
    <w:p>
      <w:pPr>
        <w:jc w:val="both"/>
        <w:ind w:left="1160" w:right="360" w:hanging="571"/>
        <w:spacing w:after="0" w:line="259"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26" w:lineRule="exact"/>
        <w:rPr>
          <w:rFonts w:ascii="Arial" w:cs="Arial" w:eastAsia="Arial" w:hAnsi="Arial"/>
          <w:sz w:val="18"/>
          <w:szCs w:val="18"/>
          <w:color w:val="auto"/>
        </w:rPr>
      </w:pPr>
    </w:p>
    <w:p>
      <w:pPr>
        <w:ind w:left="1160" w:right="340" w:hanging="571"/>
        <w:spacing w:after="0" w:line="268"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pressure that NTIC or its corporate joint ventures may experience internationally;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NTIC cannot assure you that one or more of the factors listed above will not harm its business. Any material decrease in NTIC’s international sales could adversely influence NTIC’s operating results.</w:t>
      </w:r>
    </w:p>
    <w:p>
      <w:pPr>
        <w:spacing w:after="0" w:line="18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NTIC’s liquidity and financial position rely on dividend distributions from its corporate joint ventures, which if such dividends cease or are reduced could adversely affect NTIC’s liquidity and financial position.</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NTIC’s liquidity and financial position rely on dividend distributions from its corporate joint ventures. Because NTIC typically owns only 50% or less of its joint venture entities, NTIC does not control the decisions of these entities regarding whether to pay dividends and how much in dividends should be paid in any given year. Thus, NTIC cannot guarantee that any of its joint ventures will pay dividends in any given year. The failure of NTIC’s joint ventures to declare dividends in amounts typically expected by NTIC could adversely affect NTIC’s liquidity and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our reported consolidated net sales and net earnings.</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Because the functional currency of NTIC’s foreign operations and investments in its foreign corporate joint ventures and holding companies is the applicable local currency, NTIC is exposed to foreign currency exchange rate risk arising from transactions in the normal course of business since NTIC’s fees for technical support and other services and dividend distributions from these foreign entities are paid in foreign currencies. NTIC’s reported consolidated net sales and net income are subject to fluctuations in foreign exchange rates. NTIC’s principal exchange rate exposure is with the Euro, the Japanese yen, Korean won and the English pound against the U.S. dollar. NTIC does not hedge against its foreign currency exchange rate risk.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statements of income.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74" w:right="259" w:bottom="1440" w:gutter="0" w:footer="0" w:header="0"/>
        </w:sectPr>
      </w:pPr>
    </w:p>
    <w:bookmarkStart w:id="24" w:name="page25"/>
    <w:bookmarkEnd w:id="24"/>
    <w:p>
      <w:pPr>
        <w:jc w:val="both"/>
        <w:ind w:right="280"/>
        <w:spacing w:after="0" w:line="259" w:lineRule="auto"/>
        <w:rPr>
          <w:sz w:val="20"/>
          <w:szCs w:val="20"/>
          <w:color w:val="auto"/>
        </w:rPr>
      </w:pPr>
      <w:r>
        <w:rPr>
          <w:rFonts w:ascii="Arial" w:cs="Arial" w:eastAsia="Arial" w:hAnsi="Arial"/>
          <w:sz w:val="18"/>
          <w:szCs w:val="18"/>
          <w:b w:val="1"/>
          <w:bCs w:val="1"/>
          <w:i w:val="1"/>
          <w:iCs w:val="1"/>
          <w:color w:val="auto"/>
        </w:rPr>
        <w:t>Approximately 30.8% of NTIC’s consolidated net sales for the nine months ended May 31, 2007 and 26.6% of NTIC’s consolidated net sales for the fiscal year ended August 31, 2006 were dependent upon a single customer, the loss of which would adversely affect NTIC’s financial condition and consolidated operating results.</w:t>
      </w:r>
    </w:p>
    <w:p>
      <w:pPr>
        <w:spacing w:after="0" w:line="19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One of NTIC’s North American customers accounted for, in the aggregate, approximately 30.8% of NTIC’s consolidated net sales for the nine months ended May 31, 2007 and 26.6% of NTIC’s consolidated net sales for the fiscal year ended August 31, 2006. If NTIC were to lose this customer or if this customer were to substantially decrease its purchases of NTIC’s products, NTIC’s financial condition and consolidated operating results would be adversely affected.</w:t>
      </w:r>
    </w:p>
    <w:p>
      <w:pPr>
        <w:spacing w:after="0" w:line="16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NTIC’s compliance with U.S. generally accepted accounting principles and any changes in such principles might adversely affect NTIC’s operating results and financial condition. Any requirement to consolidate NTIC’s corporate joint ventures or subject them to compliance with Sarbanes-Oxley Act of 2002 could adversely affect NTIC’s operating results and financial condition.</w:t>
      </w:r>
    </w:p>
    <w:p>
      <w:pPr>
        <w:spacing w:after="0" w:line="1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NTIC adopted accounting policy FASB Interpretation No. 46R (FIN 46R),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w:t>
      </w:r>
      <w:r>
        <w:rPr>
          <w:rFonts w:ascii="Arial" w:cs="Arial" w:eastAsia="Arial" w:hAnsi="Arial"/>
          <w:sz w:val="16"/>
          <w:szCs w:val="16"/>
          <w:i w:val="1"/>
          <w:iCs w:val="1"/>
          <w:color w:val="auto"/>
        </w:rPr>
        <w:t>a revision of FIN 46”</w:t>
      </w:r>
      <w:r>
        <w:rPr>
          <w:rFonts w:ascii="Arial" w:cs="Arial" w:eastAsia="Arial" w:hAnsi="Arial"/>
          <w:sz w:val="16"/>
          <w:szCs w:val="16"/>
          <w:color w:val="auto"/>
        </w:rPr>
        <w:t xml:space="preserve"> effective as of February 28, 2005. As a result of FIN 46R, NTIC consolidated React-NTI LLC, one of its corporate joint ventures that is 75% owned by NTIC. If the interpretation of FIN 46R were to change and NTIC were required to fully consolidate all of its corporate joint ventures or if NTIC’s corporate joint ventures otherwise would be required to be Sarbanes-Oxley compliant, NTIC would incur significant additional costs. NTIC estimates that the costs for each of its corporate joint ventures to become Sarbanes-Oxley compliant would range between $150,000 to $500,000 and that annual maintenance expenses would range from $50,000 to $100,000 per year per corporate joint venture thereafter. In addition, other accounting pronouncements issued in the future could have a material cost associated with NTIC’s implementation of such new accounting pronouncements.</w:t>
      </w:r>
    </w:p>
    <w:p>
      <w:pPr>
        <w:spacing w:after="0" w:line="1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One of NTIC’s principal stockholders beneficially owns 25.2% of NTIC’s outstanding common stock and is affiliated with NTIC’s President and Chief Executive Officer and thus may be able influence matters requiring stockholder approval and could discourage or otherwise impede a transaction in which a third party wishes to purchase NTIC’s outstanding shares at a premium.</w:t>
      </w:r>
    </w:p>
    <w:p>
      <w:pPr>
        <w:spacing w:after="0" w:line="19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Inter Alia Holding Company beneficially owned approximately 25.2% of NTIC’s outstanding common stock. Inter Alia is an entity owned by, among others, G. Patrick Lynch, NTIC’s President and Chief Executive Officer and a director, and Philip M. Lynch, NTIC’s former Chairman of the Board and Chief Executive Officer and current Chairman Emeritus. Messrs. G.P. Lynch and P.M. Lynch share voting and dispositive power of shares of NTIC’s common stock held by Inter Alia Holding Company. As a result of his share ownership through Inter Alia and his position as President and Chief Executive Officer and a director of NTIC, Mr. G.P. Lynch may be able to influence the affairs and actions of NTIC, including matters requiring stockholder approval, such as the election of directors and approval of significant corporate transactions. The interests of Messrs. G.P.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90" w:right="259" w:bottom="1440" w:gutter="0" w:footer="0" w:header="0"/>
        </w:sectPr>
      </w:pPr>
    </w:p>
    <w:bookmarkStart w:id="25" w:name="page26"/>
    <w:bookmarkEnd w:id="25"/>
    <w:p>
      <w:pPr>
        <w:ind w:right="120"/>
        <w:spacing w:after="0" w:line="268" w:lineRule="auto"/>
        <w:rPr>
          <w:sz w:val="20"/>
          <w:szCs w:val="20"/>
          <w:color w:val="auto"/>
        </w:rPr>
      </w:pPr>
      <w:r>
        <w:rPr>
          <w:rFonts w:ascii="Arial" w:cs="Arial" w:eastAsia="Arial" w:hAnsi="Arial"/>
          <w:sz w:val="18"/>
          <w:szCs w:val="18"/>
          <w:b w:val="1"/>
          <w:bCs w:val="1"/>
          <w:i w:val="1"/>
          <w:iCs w:val="1"/>
          <w:color w:val="auto"/>
        </w:rPr>
        <w:t>NTIC is currently involved in litigation over its trademark on the use of the color Yellow in corrosion inhibiting packaging, the loss of which could adversely affect NTIC’s business.</w:t>
      </w:r>
    </w:p>
    <w:p>
      <w:pPr>
        <w:spacing w:after="0" w:line="18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One of NTIC’s important trademarks for its business is the trademark for the color Yellow. NTIC is currently involved in litigation against a competitor over this trademark. NTIC has also in the past successfully prosecuted infringement claims against other competitors and third parties for their use of the color Yellow. If NTIC were to lose any future litigation over this trademark, NTIC could be in a more difficult position to enforce its rights to this trademark in other countries and against other third parties. NTIC believes that the loss of its trademark for the color Yellow could have an adverse affect on NTIC’s business.</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and taxes with which compliance may require NTIC to incur expenses or modify its products or operations and may expose NTIC to penalties for non-compliance. Governmental regulation may also adversely affect the demand for some of NTIC’s products and its operating results.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its financial condition and operating results. NTIC is also subject to other international, federal and state laws, rules and regulations, the future non-compliance of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intends to grow its business through additional joint ventures, alliances and acquisitions, which could be risky and could harm its business.</w:t>
      </w:r>
    </w:p>
    <w:p>
      <w:pPr>
        <w:spacing w:after="0" w:line="2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One of NTIC’s growth strategies is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197" w:lineRule="exact"/>
        <w:rPr>
          <w:sz w:val="20"/>
          <w:szCs w:val="20"/>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157" w:lineRule="exact"/>
        <w:rPr>
          <w:rFonts w:ascii="Arial" w:cs="Arial" w:eastAsia="Arial" w:hAnsi="Arial"/>
          <w:sz w:val="18"/>
          <w:szCs w:val="18"/>
          <w:color w:val="auto"/>
        </w:rPr>
      </w:pPr>
    </w:p>
    <w:p>
      <w:pPr>
        <w:ind w:left="1160" w:right="360" w:hanging="571"/>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an acquired business or in realizing projected efficiencies, cost savings and revenue synergies;</w:t>
      </w:r>
    </w:p>
    <w:p>
      <w:pPr>
        <w:spacing w:after="0" w:line="118" w:lineRule="exact"/>
        <w:rPr>
          <w:rFonts w:ascii="Arial" w:cs="Arial" w:eastAsia="Arial" w:hAnsi="Arial"/>
          <w:sz w:val="18"/>
          <w:szCs w:val="18"/>
          <w:color w:val="auto"/>
        </w:rPr>
      </w:pPr>
    </w:p>
    <w:p>
      <w:pPr>
        <w:ind w:left="1160" w:right="220" w:hanging="571"/>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businesses or adverse effects on existing business relationships with suppliers and customers;</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adverse impact on overall profitability if acquired businesses do not achieve the financial results projected in NTIC’s valuation models;</w:t>
      </w:r>
    </w:p>
    <w:p>
      <w:pPr>
        <w:spacing w:after="0" w:line="180" w:lineRule="exact"/>
        <w:rPr>
          <w:rFonts w:ascii="Arial" w:cs="Arial" w:eastAsia="Arial" w:hAnsi="Arial"/>
          <w:sz w:val="16"/>
          <w:szCs w:val="16"/>
          <w:color w:val="auto"/>
        </w:rPr>
      </w:pPr>
    </w:p>
    <w:p>
      <w:pPr>
        <w:jc w:val="both"/>
        <w:ind w:left="1160" w:right="20" w:hanging="571"/>
        <w:spacing w:after="0" w:line="259"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acquisition purchase prices, which could in turn restrict our ability to access additional capital when needed or to pursue other important elements of NTIC’s business strategy;</w:t>
      </w:r>
    </w:p>
    <w:p>
      <w:pPr>
        <w:spacing w:after="0" w:line="126"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inaccurate assessment of undisclosed, contingent or other liabilities or problems and unanticipated costs associated with the acquisition; and</w:t>
      </w:r>
    </w:p>
    <w:p>
      <w:pPr>
        <w:spacing w:after="0" w:line="180" w:lineRule="exact"/>
        <w:rPr>
          <w:rFonts w:ascii="Arial" w:cs="Arial" w:eastAsia="Arial" w:hAnsi="Arial"/>
          <w:sz w:val="16"/>
          <w:szCs w:val="16"/>
          <w:color w:val="auto"/>
        </w:rPr>
      </w:pPr>
    </w:p>
    <w:p>
      <w:pPr>
        <w:ind w:left="1160" w:right="100" w:hanging="571"/>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that could adversely affect NTIC’s operating results.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90" w:right="239" w:bottom="1440" w:gutter="0" w:footer="0" w:header="0"/>
        </w:sectPr>
      </w:pPr>
    </w:p>
    <w:bookmarkStart w:id="26" w:name="page27"/>
    <w:bookmarkEnd w:id="26"/>
    <w:p>
      <w:pPr>
        <w:ind w:right="280"/>
        <w:spacing w:after="0" w:line="268"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relies on its independent distributors, manufacturer’s sales representatives and corporate joint ventures to market and sell its products.</w:t>
      </w:r>
    </w:p>
    <w:p>
      <w:pPr>
        <w:spacing w:after="0" w:line="2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to its direct sales force, NTIC relies on its independent distributors, manufacturer’s sales representatives and corporate joint ventures to market and sell its products in the United States and internationally. NTIC’s independent distributors, manufacturer’s sales representatives and joint venture partners might terminate their relationship with NTIC, or devote insufficient sales efforts to NTIC’s products. NTIC does not control its independent distributors, manufacturer’s sales representatives and joint ventures and they may not be successful in implementing NTIC’s marketing plans. NTIC’s failure to maintain its existing relationships with its independent distributors, manufacturer’s sales representatives and joint ventures, or its failure to recruit and retain additional skilled independent distributors, manufacturer’s sales representatives and joint venture partners could have an adverse effect on NTIC’s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very limited staffing and will continue to be dependent upon key employees.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NTIC’s success is dependent upon the efforts of a small management team and staff. NTIC’s future success will also depend in large part on its ability to identify, attract and retain other highly qualified managerial, technical, sales and marketing and customer service personnel. Competition for these individuals is intense, especially in the markets in which NTIC operates. NTIC may not succeed in identifying, attracting and retaining these personnel. The current management, other than the President and Chief Executive Officer, do not have any material stock ownership in NTIC or any contractual obligation to maintain employment. The loss or interruption of services of any of NTIC’s key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172"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94"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pacing w:after="0" w:line="15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8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is patents or if it initiates any proceedings to protect its proprietary rights and if the outcome of any such litigation is unfavorable to NTIC, its business and operating results could be materially adversely affected.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0" w:right="239" w:bottom="1440" w:gutter="0" w:footer="0" w:header="0"/>
        </w:sectPr>
      </w:pPr>
    </w:p>
    <w:bookmarkStart w:id="27" w:name="page28"/>
    <w:bookmarkEnd w:id="27"/>
    <w:p>
      <w:pPr>
        <w:spacing w:after="0" w:line="306" w:lineRule="auto"/>
        <w:rPr>
          <w:sz w:val="20"/>
          <w:szCs w:val="20"/>
          <w:color w:val="auto"/>
        </w:rPr>
      </w:pPr>
      <w:r>
        <w:rPr>
          <w:rFonts w:ascii="Arial" w:cs="Arial" w:eastAsia="Arial" w:hAnsi="Arial"/>
          <w:sz w:val="16"/>
          <w:szCs w:val="16"/>
          <w:color w:val="auto"/>
        </w:rPr>
        <w:t>In addition, NTIC relies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61"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b w:val="1"/>
          <w:bCs w:val="1"/>
          <w:i w:val="1"/>
          <w:iCs w:val="1"/>
          <w:color w:val="auto"/>
        </w:rPr>
        <w:t>If NTIC is unable to continue to enhance existing products and develop and market new products that respond to customer needs and achieve market acceptance, NTIC may experience a decrease in demand for its products, and its business could suffer.</w:t>
      </w:r>
    </w:p>
    <w:p>
      <w:pPr>
        <w:spacing w:after="0" w:line="13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One of NTIC’s strategies is to enhance its existing products and develop and market new products that respond to customer needs. NTIC may not be able to compete effectively with its competitors unless NTIC can keep up with existing or new products in the markets in which it competes. Product development requires significant financial and other resources. Although in the past NTIC has implemented lean manufacturing and other productivity improvement initiatives to provide investment funding for new products, NTIC cannot assure you that it will be able to continue to do so in the future. Products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74"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NTIC faces intense competition in all of its product lines, including from competitors that have substantially greater resources than NTIC does. NTIC cannot assure you it will be able to compete effectively, which would harm its business and operating results.</w:t>
      </w:r>
    </w:p>
    <w:p>
      <w:pPr>
        <w:spacing w:after="0" w:line="13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NTIC’s products are sold in highly competitive markets throughout the world. The principal competitive factors in NTIC’s markets are pricing, product innovation, quality and reliability, product support and customer service and reputation. NTIC competes in all of its products with numerous manufacturers, many of who have substantially greater financial, marketing, and other resources than NTIC does. As a result, they may be able to adapt more quickly to new or emerging technologies and changes in customer requirements, or to devote greater resources to the promotion and sale of their products than NTIC can. In addition, competition could increase if new companies enter the market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NTIC cannot assure you that it will be able to compete effectively, which would harm its business and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enacted and future changes in securities laws and regulations have increased and are likely to continue to increase our costs.</w:t>
      </w: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of 2002, Public Company Accounting Oversight Board (PCAOB) rules and regulations, Securities and Exchange Commission rules and regulations and American Stock Exchange rules, create challenges and compliance requirements for publicly held companies, including NTIC. NTIC’s efforts to comply with evolving laws, rules, regulations and standards have resulted in, and are likely to continue to result in, increased general and administrative expenses and a diversion of management time and attention from revenue-generating activities to compliance activities. In particular, NTIC’s efforts to comply with Section 404 of the Sarbanes-Oxley Act of 2002 and the related regulations regarding its assessment of its internal control over financial reporting and its independent registered public accounting firm’s report on that assessment will require the commitment of significant financial and managerial resources.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0"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NTIC is exposed to risks relating to evaluations of internal control over financial reporting required by Section 404 of the Sarbanes-Oxley Act.</w:t>
      </w:r>
    </w:p>
    <w:p>
      <w:pPr>
        <w:spacing w:after="0" w:line="24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and related regulations implemented by the SEC and the American Stock Exchange, are creating uncertainty for public companies, increasing legal and financial compliance costs and making some activities more time consuming. NTIC will be evaluating its internal controls systems to allow management to report on, and its independent registered public accounting firm to attest to, NTIC’s internal control over financial reporting. NTIC will be performing the system and process evaluation and testing (and any necessary remediation) required to comply with the management certification and auditor attestation requirements of Section 404 of the Sarbanes-Oxley Act. NTIC cannot be certain as to the timing of completion of its evaluation, testing and remediation actions or the impact of the same on its operations since there is presently no precedent available by which to measure compliance adequacy. If NTIC is not able to implement the requirements of Section 404 in a timely manner or with adequate compliance, NTIC may be subject to sanctions or investigation by regulatory authorities, including the SEC or the American Stock Exchange. This type of action could adversely affect NTIC’s financial results or investors’ confidence in NTIC, and could cause NTIC’s stock price to decline. In addition, the controls and procedures that NTIC may implement may not comply with all of the relevant rules and regulations of the SEC and the American Stock Exchange. If NTIC fails to develop and maintain effective controls and procedures, it may be unable to provide the required financial information in a timely and reliable manner.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reasonably ensure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and principal financial officers, or persons performing similar functions, as appropriate to allow timely decisions regarding required disclosure. In designing and evaluating NTIC’s disclosure controls and procedures, NTIC recognizes that any controls and procedures, no matter how well designed and operated can provide only reasonable assurance of achieving the desired control objectives and NTIC necessarily is required to apply its judgment in evaluating the cost-benefit relationship of possible controls and procedures.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NTIC’s Exchange Act reports is recorded, processed, summarized, and reported within the time periods specified in the SEC’s rules and forms, and that material information relating to NTIC and its consolidated subsidiaries is made known to management, including NTIC’s Chief Executive Officer and Chief Financial Officer, particularly during the period when NTIC’s periodic reports are being prepared.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90" w:right="239" w:bottom="1440" w:gutter="0" w:footer="0" w:header="0"/>
        </w:sectPr>
      </w:pPr>
    </w:p>
    <w:bookmarkStart w:id="29" w:name="page30"/>
    <w:bookmarkEnd w:id="29"/>
    <w:p>
      <w:pPr>
        <w:spacing w:after="0" w:line="256" w:lineRule="auto"/>
        <w:rPr>
          <w:sz w:val="20"/>
          <w:szCs w:val="20"/>
          <w:color w:val="auto"/>
        </w:rPr>
      </w:pPr>
      <w:r>
        <w:rPr>
          <w:rFonts w:ascii="Arial" w:cs="Arial" w:eastAsia="Arial" w:hAnsi="Arial"/>
          <w:sz w:val="18"/>
          <w:szCs w:val="18"/>
          <w:color w:val="auto"/>
        </w:rPr>
        <w:t>NTIC’s management is aware, however, that there is a lack of segregation of duties due to the small number of employees of NTIC dealing with general administrative and financial matters. However, NTIC’s management has decided that considering the employees involved and the control procedures in place, risks associated with such lack of segregation are insignificant and the potential benefits of adding employees to clearly segregate duties do not at this time justify the expenses associated with such increases.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May 31, 2007 that has materially affected, or is reasonably likely to materially affect NTIC’s internal control over financial reporting.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590"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 description of NTIC’s legal proceedings in the first paragraph under Note 19 of NTIC’s consolidated financial statements included within this report is incorporated herein by reference.</w:t>
      </w:r>
    </w:p>
    <w:p>
      <w:pPr>
        <w:spacing w:after="0" w:line="18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April 2007 REACT-NTI, LLC, a company that is 75% owned by NTIC (“REACT”), was served with a summons and complaint that was filed by Shamrock Technologies, Inc. (“Shamrock”) in state court in New York. This case has been removed to the Federal District Court for the Southern District of New York. The lawsuit seeks payment from REACT of commissions in the approximate amount of $314,500 owed by REACT under a license agreement between REACT and Shamrock. The complaint alleges breach of the license agreement by REACT and seeks damages in an unspecified amount for such breach as well as damages of approximately $300,000 for the alleged failure of REACT to purchase from Shamrock certain inventory manufactured for sale to a customer. REACT, acknowledges that the commissions are owed, but denies all of the claims of breach of the license agreement by it. REACT intends to appropriately defend itself against the allegations of breach and also intends to file counter-claim for a breach of the license agreement by Shamrock and to pursue injunctive relieve against Shamrock to protect its licensed Technology and Confidential Information disclosed to Shamrock under the license agreement.</w:t>
      </w:r>
    </w:p>
    <w:p>
      <w:pPr>
        <w:spacing w:after="0" w:line="17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February 2007, NTIC was served with a summons and complaint that was originally filed by Evelyna Cantwell and Jack Cantwell, individually and also doing business as Byrd-Walsh International, LLC in the Federal District Court for the Southern District of Florida. The lawsuit alleges breach of contract, breach of implied contract, promissory estoppels, equitable estoppels, negligence, wrongful conversion, fraud, constructive fraud, misappropriation, and violation of the Uniform Trade Secrets Act. The suit seeks total damages in excess of $45 million. Based on the allegations in the complaint and our understanding of relevant facts and circumstances, we believe that the claims made by the Cantwell’s and Byrd-Walsh in this lawsuit are without merit and we intend to vigorously defend against them. The amounts claimed in this lawsuit are substantial, however, and there can be no assurances as to the outcome of this pending action. Likewise, there can be no assurances regarding the impact that this matter may have on our financial results or financial condition.</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June 2007, the Internal Revenue Service concluded its audit of the Company for fiscal 2004 and 2005. They have assessed taxes and penalties based on their findings, the company feels that they have adequate defenses to counter the assessed taxes and have started the appeals process. They intend to vigorously defend their position. It has been determined that any resulting loss is not likely and not reasonably estimateable at this time, therefore, no provision has been made in the financial statements.</w:t>
      </w:r>
    </w:p>
    <w:p>
      <w:pPr>
        <w:spacing w:after="0" w:line="191"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ITEM 2. UNREGISTERED SALES OF EQUITY SECURITIES, USE OF PROCEEDS AND SMALL BUSINESS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During the three months ended May 31, 2007, NTIC did not issue any shares of its common stock or other equity securities of NTIC that were not registered under the Securities Act of 1933.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Issuer Purchases of Equity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May 31, 2007, NTIC did not purchase any shares of its common stock or other equity securities of NTIC.</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November 13, 2003, the Board of Directors of NTIC authorized Matthew Wolsfeld, Chief Financial Officer of NTIC, to repurchase on behalf of NTIC, up to 100,000 shares of NTIC’s common stock from time to time in accordance with applicable rules governing issuer stock repurchases. Since being authorized, NTIC has repurchased and retired an aggregate of 44,200 shares of its common stock.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4" w:right="259" w:bottom="1440" w:gutter="0" w:footer="0" w:header="0"/>
        </w:sectPr>
      </w:pPr>
    </w:p>
    <w:bookmarkStart w:id="31" w:name="page32"/>
    <w:bookmarkEnd w:id="31"/>
    <w:p>
      <w:pPr>
        <w:spacing w:after="0"/>
        <w:tabs>
          <w:tab w:leader="none" w:pos="860" w:val="left"/>
        </w:tabs>
        <w:rPr>
          <w:sz w:val="20"/>
          <w:szCs w:val="20"/>
          <w:color w:val="auto"/>
        </w:rPr>
      </w:pPr>
      <w:r>
        <w:rPr>
          <w:rFonts w:ascii="Arial" w:cs="Arial" w:eastAsia="Arial" w:hAnsi="Arial"/>
          <w:sz w:val="18"/>
          <w:szCs w:val="18"/>
          <w:b w:val="1"/>
          <w:bCs w:val="1"/>
          <w:color w:val="auto"/>
        </w:rPr>
        <w:t>ITEM 5.</w:t>
        <w:tab/>
        <w:t>OTHER INFORMATION</w:t>
      </w:r>
    </w:p>
    <w:p>
      <w:pPr>
        <w:spacing w:after="0" w:line="231"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On December 10, 2006, NTIC obtained a demand line of credit of up to the principal amount of $600,000 from National City Bank to fund NTIC’s obligations related to a required deposit of $445,469 with the courts in Finland in connection with NTIC’s legal action in Finland. Refer to Note 20 of NTIC’s consolidated financial statements included elsewhere in this report for more information regarding the legal action. Advances made under the demand letter of credit will be made at the sole discretion of National City Bank and will be due and payable on demand. Any outstanding unpaid principal balance under the demand letter of</w:t>
      </w:r>
    </w:p>
    <w:p>
      <w:pPr>
        <w:spacing w:after="0" w:line="3" w:lineRule="exact"/>
        <w:rPr>
          <w:sz w:val="20"/>
          <w:szCs w:val="20"/>
          <w:color w:val="auto"/>
        </w:rPr>
      </w:pPr>
    </w:p>
    <w:p>
      <w:pPr>
        <w:ind w:right="40"/>
        <w:spacing w:after="0" w:line="209" w:lineRule="auto"/>
        <w:rPr>
          <w:sz w:val="20"/>
          <w:szCs w:val="20"/>
          <w:color w:val="auto"/>
        </w:rPr>
      </w:pPr>
      <w:r>
        <w:rPr>
          <w:rFonts w:ascii="Arial" w:cs="Arial" w:eastAsia="Arial" w:hAnsi="Arial"/>
          <w:sz w:val="18"/>
          <w:szCs w:val="18"/>
          <w:color w:val="auto"/>
        </w:rPr>
        <w:t>credit bears interest at an annual rate based on LIBOR plus 2.25%. Interest is payable in arrears on January 15, 2007 and on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each month thereafter and on demand.</w:t>
      </w:r>
    </w:p>
    <w:p>
      <w:pPr>
        <w:spacing w:after="0" w:line="21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February 15, 2007, NTIC received a comment letter from the Securities and Exchange Commission (“SEC”). The letter inquires as to the Report of Independent Registered Public Accounting Firm. NTIC has had various correspondences with the SEC regarding the letter and fully intends to investigate the matter and provide a response to the SEC in accordance with the time frame requested.</w:t>
      </w:r>
    </w:p>
    <w:p>
      <w:pPr>
        <w:spacing w:after="0" w:line="18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10-QSB:</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 w:type="dxa"/>
            <w:vAlign w:val="bottom"/>
          </w:tcPr>
          <w:p>
            <w:pPr>
              <w:jc w:val="right"/>
              <w:ind w:right="216"/>
              <w:spacing w:after="0"/>
              <w:rPr>
                <w:sz w:val="20"/>
                <w:szCs w:val="20"/>
                <w:color w:val="auto"/>
              </w:rPr>
            </w:pPr>
            <w:r>
              <w:rPr>
                <w:rFonts w:ascii="Arial" w:cs="Arial" w:eastAsia="Arial" w:hAnsi="Arial"/>
                <w:sz w:val="14"/>
                <w:szCs w:val="14"/>
                <w:b w:val="1"/>
                <w:bCs w:val="1"/>
                <w:color w:val="auto"/>
                <w:w w:val="87"/>
              </w:rPr>
              <w:t>Exhibit No.</w:t>
            </w:r>
          </w:p>
        </w:tc>
        <w:tc>
          <w:tcPr>
            <w:tcW w:w="20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280" w:type="dxa"/>
            <w:vAlign w:val="bottom"/>
            <w:tcBorders>
              <w:bottom w:val="single" w:sz="8" w:color="auto"/>
            </w:tcBorders>
          </w:tcPr>
          <w:p>
            <w:pPr>
              <w:spacing w:after="0"/>
              <w:rPr>
                <w:sz w:val="8"/>
                <w:szCs w:val="8"/>
                <w:color w:val="auto"/>
              </w:rPr>
            </w:pPr>
          </w:p>
        </w:tc>
      </w:tr>
      <w:tr>
        <w:trPr>
          <w:trHeight w:val="316"/>
        </w:trPr>
        <w:tc>
          <w:tcPr>
            <w:tcW w:w="960" w:type="dxa"/>
            <w:vAlign w:val="bottom"/>
          </w:tcPr>
          <w:p>
            <w:pPr>
              <w:jc w:val="right"/>
              <w:ind w:right="256"/>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365"/>
        </w:trPr>
        <w:tc>
          <w:tcPr>
            <w:tcW w:w="960" w:type="dxa"/>
            <w:vAlign w:val="bottom"/>
          </w:tcPr>
          <w:p>
            <w:pPr>
              <w:jc w:val="right"/>
              <w:ind w:right="256"/>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58"/>
        </w:trPr>
        <w:tc>
          <w:tcPr>
            <w:tcW w:w="960" w:type="dxa"/>
            <w:vAlign w:val="bottom"/>
          </w:tcPr>
          <w:p>
            <w:pPr>
              <w:jc w:val="right"/>
              <w:ind w:right="256"/>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r>
      <w:tr>
        <w:trPr>
          <w:trHeight w:val="222"/>
        </w:trPr>
        <w:tc>
          <w:tcPr>
            <w:tcW w:w="960" w:type="dxa"/>
            <w:vAlign w:val="bottom"/>
          </w:tcPr>
          <w:p>
            <w:pPr>
              <w:spacing w:after="0"/>
              <w:rPr>
                <w:sz w:val="19"/>
                <w:szCs w:val="19"/>
                <w:color w:val="auto"/>
              </w:rPr>
            </w:pPr>
          </w:p>
        </w:tc>
        <w:tc>
          <w:tcPr>
            <w:tcW w:w="10480" w:type="dxa"/>
            <w:vAlign w:val="bottom"/>
            <w:gridSpan w:val="2"/>
          </w:tcPr>
          <w:p>
            <w:pPr>
              <w:ind w:left="200"/>
              <w:spacing w:after="0"/>
              <w:rPr>
                <w:sz w:val="20"/>
                <w:szCs w:val="20"/>
                <w:color w:val="auto"/>
              </w:rPr>
            </w:pPr>
            <w:r>
              <w:rPr>
                <w:rFonts w:ascii="Arial" w:cs="Arial" w:eastAsia="Arial" w:hAnsi="Arial"/>
                <w:sz w:val="18"/>
                <w:szCs w:val="18"/>
                <w:color w:val="auto"/>
              </w:rPr>
              <w:t>2002</w:t>
            </w:r>
          </w:p>
        </w:tc>
      </w:tr>
      <w:tr>
        <w:trPr>
          <w:trHeight w:val="358"/>
        </w:trPr>
        <w:tc>
          <w:tcPr>
            <w:tcW w:w="960" w:type="dxa"/>
            <w:vAlign w:val="bottom"/>
          </w:tcPr>
          <w:p>
            <w:pPr>
              <w:jc w:val="right"/>
              <w:ind w:right="256"/>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r>
      <w:tr>
        <w:trPr>
          <w:trHeight w:val="222"/>
        </w:trPr>
        <w:tc>
          <w:tcPr>
            <w:tcW w:w="960" w:type="dxa"/>
            <w:vAlign w:val="bottom"/>
          </w:tcPr>
          <w:p>
            <w:pPr>
              <w:spacing w:after="0"/>
              <w:rPr>
                <w:sz w:val="19"/>
                <w:szCs w:val="19"/>
                <w:color w:val="auto"/>
              </w:rPr>
            </w:pPr>
          </w:p>
        </w:tc>
        <w:tc>
          <w:tcPr>
            <w:tcW w:w="10480" w:type="dxa"/>
            <w:vAlign w:val="bottom"/>
            <w:gridSpan w:val="2"/>
          </w:tcPr>
          <w:p>
            <w:pPr>
              <w:ind w:left="200"/>
              <w:spacing w:after="0"/>
              <w:rPr>
                <w:sz w:val="20"/>
                <w:szCs w:val="20"/>
                <w:color w:val="auto"/>
              </w:rPr>
            </w:pPr>
            <w:r>
              <w:rPr>
                <w:rFonts w:ascii="Arial" w:cs="Arial" w:eastAsia="Arial" w:hAnsi="Arial"/>
                <w:sz w:val="18"/>
                <w:szCs w:val="18"/>
                <w:color w:val="auto"/>
              </w:rPr>
              <w:t>2002</w:t>
            </w:r>
          </w:p>
        </w:tc>
      </w:tr>
      <w:tr>
        <w:trPr>
          <w:trHeight w:val="432"/>
        </w:trPr>
        <w:tc>
          <w:tcPr>
            <w:tcW w:w="960" w:type="dxa"/>
            <w:vAlign w:val="bottom"/>
          </w:tcPr>
          <w:p>
            <w:pPr>
              <w:spacing w:after="0"/>
              <w:rPr>
                <w:sz w:val="24"/>
                <w:szCs w:val="24"/>
                <w:color w:val="auto"/>
              </w:rPr>
            </w:pPr>
          </w:p>
        </w:tc>
        <w:tc>
          <w:tcPr>
            <w:tcW w:w="10480" w:type="dxa"/>
            <w:vAlign w:val="bottom"/>
            <w:gridSpan w:val="2"/>
          </w:tcPr>
          <w:p>
            <w:pPr>
              <w:jc w:val="right"/>
              <w:ind w:right="5556"/>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40"/>
          </w:cols>
          <w:pgMar w:left="240" w:top="584" w:right="219" w:bottom="1440" w:gutter="0" w:footer="0" w:header="0"/>
        </w:sectPr>
      </w:pPr>
    </w:p>
    <w:bookmarkStart w:id="32" w:name="page33"/>
    <w:bookmarkEnd w:id="3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203835</wp:posOffset>
            </wp:positionV>
            <wp:extent cx="2915920" cy="780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15920" cy="780415"/>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Date: July 12,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 and Duly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Authorized to Sign on Behalf of the Registrant)</w:t>
      </w:r>
    </w:p>
    <w:p>
      <w:pPr>
        <w:spacing w:after="0" w:line="200" w:lineRule="exact"/>
        <w:rPr>
          <w:sz w:val="20"/>
          <w:szCs w:val="20"/>
          <w:color w:val="auto"/>
        </w:rPr>
      </w:pPr>
    </w:p>
    <w:p>
      <w:pPr>
        <w:sectPr>
          <w:pgSz w:w="11900" w:h="16838" w:orient="portrait"/>
          <w:cols w:equalWidth="0" w:num="2">
            <w:col w:w="6140" w:space="720"/>
            <w:col w:w="4440"/>
          </w:cols>
          <w:pgMar w:left="240" w:top="584" w:right="359" w:bottom="1440" w:gutter="0" w:footer="0" w:header="0"/>
          <w:type w:val="continuous"/>
        </w:sectPr>
      </w:pP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00"/>
          </w:cols>
          <w:pgMar w:left="240" w:top="584" w:right="359" w:bottom="1440" w:gutter="0" w:footer="0" w:header="0"/>
          <w:type w:val="continuous"/>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10-QSB</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 w:type="dxa"/>
            <w:vAlign w:val="bottom"/>
          </w:tcPr>
          <w:p>
            <w:pPr>
              <w:jc w:val="right"/>
              <w:ind w:right="216"/>
              <w:spacing w:after="0"/>
              <w:rPr>
                <w:sz w:val="20"/>
                <w:szCs w:val="20"/>
                <w:color w:val="auto"/>
              </w:rPr>
            </w:pPr>
            <w:r>
              <w:rPr>
                <w:rFonts w:ascii="Arial" w:cs="Arial" w:eastAsia="Arial" w:hAnsi="Arial"/>
                <w:sz w:val="14"/>
                <w:szCs w:val="14"/>
                <w:b w:val="1"/>
                <w:bCs w:val="1"/>
                <w:color w:val="auto"/>
                <w:w w:val="87"/>
              </w:rPr>
              <w:t>Exhibit No.</w:t>
            </w:r>
          </w:p>
        </w:tc>
        <w:tc>
          <w:tcPr>
            <w:tcW w:w="200" w:type="dxa"/>
            <w:vAlign w:val="bottom"/>
          </w:tcPr>
          <w:p>
            <w:pPr>
              <w:spacing w:after="0"/>
              <w:rPr>
                <w:sz w:val="15"/>
                <w:szCs w:val="15"/>
                <w:color w:val="auto"/>
              </w:rPr>
            </w:pPr>
          </w:p>
        </w:tc>
        <w:tc>
          <w:tcPr>
            <w:tcW w:w="7220" w:type="dxa"/>
            <w:vAlign w:val="bottom"/>
          </w:tcPr>
          <w:p>
            <w:pPr>
              <w:ind w:left="326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88"/>
              </w:rPr>
              <w:t>Method of Filing</w:t>
            </w:r>
          </w:p>
        </w:tc>
      </w:tr>
      <w:tr>
        <w:trPr>
          <w:trHeight w:val="95"/>
        </w:trPr>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r>
      <w:tr>
        <w:trPr>
          <w:trHeight w:val="316"/>
        </w:trPr>
        <w:tc>
          <w:tcPr>
            <w:tcW w:w="960" w:type="dxa"/>
            <w:vAlign w:val="bottom"/>
          </w:tcPr>
          <w:p>
            <w:pPr>
              <w:jc w:val="right"/>
              <w:ind w:right="256"/>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 Section 302 of the Sarbanes-Oxley Act of 2002</w:t>
            </w:r>
          </w:p>
        </w:tc>
        <w:tc>
          <w:tcPr>
            <w:tcW w:w="20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r>
      <w:tr>
        <w:trPr>
          <w:trHeight w:val="365"/>
        </w:trPr>
        <w:tc>
          <w:tcPr>
            <w:tcW w:w="960" w:type="dxa"/>
            <w:vAlign w:val="bottom"/>
          </w:tcPr>
          <w:p>
            <w:pPr>
              <w:jc w:val="right"/>
              <w:ind w:right="256"/>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Arial" w:cs="Arial" w:eastAsia="Arial" w:hAnsi="Arial"/>
                <w:sz w:val="18"/>
                <w:szCs w:val="18"/>
                <w:color w:val="auto"/>
                <w:w w:val="92"/>
              </w:rPr>
              <w:t>Certification of Chief Financial Officer Pursuant to Section 302 of the Sarbanes-Oxley Act of 2002</w:t>
            </w:r>
          </w:p>
        </w:tc>
        <w:tc>
          <w:tcPr>
            <w:tcW w:w="20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r>
      <w:tr>
        <w:trPr>
          <w:trHeight w:val="358"/>
        </w:trPr>
        <w:tc>
          <w:tcPr>
            <w:tcW w:w="960" w:type="dxa"/>
            <w:vAlign w:val="bottom"/>
          </w:tcPr>
          <w:p>
            <w:pPr>
              <w:jc w:val="right"/>
              <w:ind w:right="256"/>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w:t>
            </w:r>
          </w:p>
        </w:tc>
        <w:tc>
          <w:tcPr>
            <w:tcW w:w="20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Furnished herewith</w:t>
            </w:r>
          </w:p>
        </w:tc>
      </w:tr>
      <w:tr>
        <w:trPr>
          <w:trHeight w:val="222"/>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c>
          <w:tcPr>
            <w:tcW w:w="2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358"/>
        </w:trPr>
        <w:tc>
          <w:tcPr>
            <w:tcW w:w="960" w:type="dxa"/>
            <w:vAlign w:val="bottom"/>
          </w:tcPr>
          <w:p>
            <w:pPr>
              <w:jc w:val="right"/>
              <w:ind w:right="256"/>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722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w:t>
            </w:r>
          </w:p>
        </w:tc>
        <w:tc>
          <w:tcPr>
            <w:tcW w:w="20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Furnished herewith</w:t>
            </w:r>
          </w:p>
        </w:tc>
      </w:tr>
      <w:tr>
        <w:trPr>
          <w:trHeight w:val="222"/>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c>
          <w:tcPr>
            <w:tcW w:w="2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32"/>
        </w:trPr>
        <w:tc>
          <w:tcPr>
            <w:tcW w:w="960" w:type="dxa"/>
            <w:vAlign w:val="bottom"/>
          </w:tcPr>
          <w:p>
            <w:pPr>
              <w:spacing w:after="0"/>
              <w:rPr>
                <w:sz w:val="24"/>
                <w:szCs w:val="24"/>
                <w:color w:val="auto"/>
              </w:rPr>
            </w:pPr>
          </w:p>
        </w:tc>
        <w:tc>
          <w:tcPr>
            <w:tcW w:w="7420" w:type="dxa"/>
            <w:vAlign w:val="bottom"/>
            <w:gridSpan w:val="2"/>
          </w:tcPr>
          <w:p>
            <w:pPr>
              <w:jc w:val="right"/>
              <w:ind w:right="2495"/>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ectPr>
          <w:pgSz w:w="11900" w:h="16838" w:orient="portrait"/>
          <w:cols w:equalWidth="0" w:num="1">
            <w:col w:w="11440"/>
          </w:cols>
          <w:pgMar w:left="240" w:top="584" w:right="2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10-QSB of Northern Technologies International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1" w:lineRule="exact"/>
        <w:rPr>
          <w:rFonts w:ascii="Arial" w:cs="Arial" w:eastAsia="Arial" w:hAnsi="Arial"/>
          <w:sz w:val="16"/>
          <w:szCs w:val="16"/>
          <w:color w:val="auto"/>
        </w:rPr>
      </w:pPr>
    </w:p>
    <w:p>
      <w:pPr>
        <w:ind w:left="580" w:right="100" w:hanging="572"/>
        <w:spacing w:after="0" w:line="268"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18" w:lineRule="exact"/>
        <w:rPr>
          <w:rFonts w:ascii="Arial" w:cs="Arial" w:eastAsia="Arial" w:hAnsi="Arial"/>
          <w:sz w:val="18"/>
          <w:szCs w:val="18"/>
          <w:color w:val="auto"/>
        </w:rPr>
      </w:pPr>
    </w:p>
    <w:p>
      <w:pPr>
        <w:ind w:left="1160" w:right="60" w:hanging="4"/>
        <w:spacing w:after="0" w:line="306" w:lineRule="auto"/>
        <w:tabs>
          <w:tab w:leader="none" w:pos="1574"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160" w:right="80" w:hanging="4"/>
        <w:spacing w:after="0" w:line="370" w:lineRule="auto"/>
        <w:tabs>
          <w:tab w:leader="none" w:pos="1584"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160" w:right="40" w:hanging="4"/>
        <w:spacing w:after="0" w:line="259" w:lineRule="auto"/>
        <w:tabs>
          <w:tab w:leader="none" w:pos="15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26" w:lineRule="exact"/>
        <w:rPr>
          <w:rFonts w:ascii="Arial" w:cs="Arial" w:eastAsia="Arial" w:hAnsi="Arial"/>
          <w:sz w:val="18"/>
          <w:szCs w:val="18"/>
          <w:color w:val="auto"/>
        </w:rPr>
      </w:pPr>
    </w:p>
    <w:p>
      <w:pPr>
        <w:ind w:left="580" w:right="420" w:hanging="572"/>
        <w:spacing w:after="0" w:line="259"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26" w:lineRule="exact"/>
        <w:rPr>
          <w:rFonts w:ascii="Arial" w:cs="Arial" w:eastAsia="Arial" w:hAnsi="Arial"/>
          <w:sz w:val="18"/>
          <w:szCs w:val="18"/>
          <w:color w:val="auto"/>
        </w:rPr>
      </w:pPr>
    </w:p>
    <w:p>
      <w:pPr>
        <w:jc w:val="both"/>
        <w:ind w:left="1160" w:right="540" w:hanging="4"/>
        <w:spacing w:after="0" w:line="332" w:lineRule="auto"/>
        <w:tabs>
          <w:tab w:leader="none" w:pos="1565"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71" w:lineRule="exact"/>
        <w:rPr>
          <w:rFonts w:ascii="Arial" w:cs="Arial" w:eastAsia="Arial" w:hAnsi="Arial"/>
          <w:sz w:val="16"/>
          <w:szCs w:val="16"/>
          <w:color w:val="auto"/>
        </w:rPr>
      </w:pPr>
    </w:p>
    <w:p>
      <w:pPr>
        <w:ind w:left="1160" w:right="60" w:hanging="4"/>
        <w:spacing w:after="0" w:line="268" w:lineRule="auto"/>
        <w:tabs>
          <w:tab w:leader="none" w:pos="15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July 12,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362585</wp:posOffset>
            </wp:positionV>
            <wp:extent cx="24784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78405"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-125730</wp:posOffset>
            </wp:positionV>
            <wp:extent cx="1732280" cy="420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3228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 Patrick Lynch</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10-QSB of Northern Technologies International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1" w:lineRule="exact"/>
        <w:rPr>
          <w:rFonts w:ascii="Arial" w:cs="Arial" w:eastAsia="Arial" w:hAnsi="Arial"/>
          <w:sz w:val="16"/>
          <w:szCs w:val="16"/>
          <w:color w:val="auto"/>
        </w:rPr>
      </w:pPr>
    </w:p>
    <w:p>
      <w:pPr>
        <w:ind w:left="580" w:right="100" w:hanging="572"/>
        <w:spacing w:after="0" w:line="26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18" w:lineRule="exact"/>
        <w:rPr>
          <w:rFonts w:ascii="Arial" w:cs="Arial" w:eastAsia="Arial" w:hAnsi="Arial"/>
          <w:sz w:val="18"/>
          <w:szCs w:val="18"/>
          <w:color w:val="auto"/>
        </w:rPr>
      </w:pPr>
    </w:p>
    <w:p>
      <w:pPr>
        <w:ind w:left="1160" w:right="60" w:hanging="4"/>
        <w:spacing w:after="0" w:line="306" w:lineRule="auto"/>
        <w:tabs>
          <w:tab w:leader="none" w:pos="1574"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160" w:right="80" w:hanging="4"/>
        <w:spacing w:after="0" w:line="370" w:lineRule="auto"/>
        <w:tabs>
          <w:tab w:leader="none" w:pos="1584"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160" w:right="40" w:hanging="4"/>
        <w:spacing w:after="0" w:line="259" w:lineRule="auto"/>
        <w:tabs>
          <w:tab w:leader="none" w:pos="15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26" w:lineRule="exact"/>
        <w:rPr>
          <w:rFonts w:ascii="Arial" w:cs="Arial" w:eastAsia="Arial" w:hAnsi="Arial"/>
          <w:sz w:val="18"/>
          <w:szCs w:val="18"/>
          <w:color w:val="auto"/>
        </w:rPr>
      </w:pPr>
    </w:p>
    <w:p>
      <w:pPr>
        <w:ind w:left="580" w:right="420" w:hanging="572"/>
        <w:spacing w:after="0" w:line="25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26" w:lineRule="exact"/>
        <w:rPr>
          <w:rFonts w:ascii="Arial" w:cs="Arial" w:eastAsia="Arial" w:hAnsi="Arial"/>
          <w:sz w:val="18"/>
          <w:szCs w:val="18"/>
          <w:color w:val="auto"/>
        </w:rPr>
      </w:pPr>
    </w:p>
    <w:p>
      <w:pPr>
        <w:jc w:val="both"/>
        <w:ind w:left="1160" w:right="540" w:hanging="4"/>
        <w:spacing w:after="0" w:line="332" w:lineRule="auto"/>
        <w:tabs>
          <w:tab w:leader="none" w:pos="1565"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71" w:lineRule="exact"/>
        <w:rPr>
          <w:rFonts w:ascii="Arial" w:cs="Arial" w:eastAsia="Arial" w:hAnsi="Arial"/>
          <w:sz w:val="16"/>
          <w:szCs w:val="16"/>
          <w:color w:val="auto"/>
        </w:rPr>
      </w:pPr>
    </w:p>
    <w:p>
      <w:pPr>
        <w:ind w:left="1160" w:right="60" w:hanging="4"/>
        <w:spacing w:after="0" w:line="268" w:lineRule="auto"/>
        <w:tabs>
          <w:tab w:leader="none" w:pos="15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140335</wp:posOffset>
            </wp:positionV>
            <wp:extent cx="2478405" cy="780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78405" cy="78041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Date: July 12,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Corporate Secretary</w:t>
      </w:r>
    </w:p>
    <w:p>
      <w:pPr>
        <w:sectPr>
          <w:pgSz w:w="11900" w:h="16838" w:orient="portrait"/>
          <w:cols w:equalWidth="0" w:num="2">
            <w:col w:w="6820" w:space="720"/>
            <w:col w:w="3880"/>
          </w:cols>
          <w:pgMar w:left="240" w:top="125" w:right="23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10-QSB for the period ending May 31, 2007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883285</wp:posOffset>
            </wp:positionV>
            <wp:extent cx="29159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1732280" cy="420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3228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G. Patrick. Lynch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12, 2007</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10-QSB for the period ending May 31, 2007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915920" cy="780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1592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12,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8"/>
    </w:lvl>
  </w:abstractNum>
  <w:abstractNum w:abstractNumId="6">
    <w:nsid w:val="109CF92E"/>
    <w:multiLevelType w:val="hybridMultilevel"/>
    <w:lvl w:ilvl="0">
      <w:lvlJc w:val="left"/>
      <w:lvlText w:val="%1."/>
      <w:numFmt w:val="decimal"/>
      <w:start w:val="9"/>
    </w:lvl>
  </w:abstractNum>
  <w:abstractNum w:abstractNumId="7">
    <w:nsid w:val="DED7263"/>
    <w:multiLevelType w:val="hybridMultilevel"/>
    <w:lvl w:ilvl="0">
      <w:lvlJc w:val="left"/>
      <w:lvlText w:val="%1."/>
      <w:numFmt w:val="decimal"/>
      <w:start w:val="11"/>
    </w:lvl>
  </w:abstractNum>
  <w:abstractNum w:abstractNumId="8">
    <w:nsid w:val="7FDCC233"/>
    <w:multiLevelType w:val="hybridMultilevel"/>
    <w:lvl w:ilvl="0">
      <w:lvlJc w:val="left"/>
      <w:lvlText w:val="%1."/>
      <w:numFmt w:val="decimal"/>
      <w:start w:val="12"/>
    </w:lvl>
  </w:abstractNum>
  <w:abstractNum w:abstractNumId="9">
    <w:nsid w:val="1BEFD79F"/>
    <w:multiLevelType w:val="hybridMultilevel"/>
    <w:lvl w:ilvl="0">
      <w:lvlJc w:val="left"/>
      <w:lvlText w:val="%1."/>
      <w:numFmt w:val="decimal"/>
      <w:start w:val="14"/>
    </w:lvl>
  </w:abstractNum>
  <w:abstractNum w:abstractNumId="10">
    <w:nsid w:val="41A7C4C9"/>
    <w:multiLevelType w:val="hybridMultilevel"/>
    <w:lvl w:ilvl="0">
      <w:lvlJc w:val="left"/>
      <w:lvlText w:val="%1."/>
      <w:numFmt w:val="decimal"/>
      <w:start w:val="15"/>
    </w:lvl>
  </w:abstractNum>
  <w:abstractNum w:abstractNumId="11">
    <w:nsid w:val="6B68079A"/>
    <w:multiLevelType w:val="hybridMultilevel"/>
    <w:lvl w:ilvl="0">
      <w:lvlJc w:val="left"/>
      <w:lvlText w:val="%1."/>
      <w:numFmt w:val="decimal"/>
      <w:start w:val="17"/>
    </w:lvl>
  </w:abstractNum>
  <w:abstractNum w:abstractNumId="12">
    <w:nsid w:val="4E6AFB66"/>
    <w:multiLevelType w:val="hybridMultilevel"/>
    <w:lvl w:ilvl="0">
      <w:lvlJc w:val="left"/>
      <w:lvlText w:val="%1."/>
      <w:numFmt w:val="decimal"/>
      <w:start w:val="18"/>
    </w:lvl>
  </w:abstractNum>
  <w:abstractNum w:abstractNumId="13">
    <w:nsid w:val="25E45D32"/>
    <w:multiLevelType w:val="hybridMultilevel"/>
    <w:lvl w:ilvl="0">
      <w:lvlJc w:val="left"/>
      <w:lvlText w:val="%1."/>
      <w:numFmt w:val="decimal"/>
      <w:start w:val="19"/>
    </w:lvl>
  </w:abstractNum>
  <w:abstractNum w:abstractNumId="14">
    <w:nsid w:val="519B500D"/>
    <w:multiLevelType w:val="hybridMultilevel"/>
    <w:lvl w:ilvl="0">
      <w:lvlJc w:val="left"/>
      <w:lvlText w:val="%1."/>
      <w:numFmt w:val="decimal"/>
      <w:start w:val="20"/>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2019-12-11T21:28:26Z</dcterms:created>
  <dcterms:modified xsi:type="dcterms:W3CDTF">2019-12-11T21:28:26Z</dcterms:modified>
</cp:coreProperties>
</file>