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3760" w:right="1580" w:hanging="3752"/>
        <w:spacing w:after="0" w:line="521"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November 30, 2011</w:t>
      </w:r>
    </w:p>
    <w:p>
      <w:pPr>
        <w:spacing w:after="0" w:line="1"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256"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For the transition period from ________________ to __________________.</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NORTHERN TECHNOLOGIES INTERNATIONAL CORPORATION</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25" w:right="279" w:bottom="1440" w:gutter="0" w:footer="0" w:header="0"/>
        </w:sectPr>
      </w:pPr>
    </w:p>
    <w:p>
      <w:pPr>
        <w:spacing w:after="0" w:line="232"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20"/>
          </w:cols>
          <w:pgMar w:left="240" w:top="225" w:right="279" w:bottom="1440" w:gutter="0" w:footer="0" w:header="0"/>
          <w:type w:val="continuous"/>
        </w:sectPr>
      </w:pP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P.O. Box 69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8"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 ]</w:t>
      </w:r>
    </w:p>
    <w:p>
      <w:pPr>
        <w:spacing w:after="0" w:line="208"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25" w:right="279" w:bottom="1440" w:gutter="0" w:footer="0" w:header="0"/>
          <w:type w:val="continuous"/>
        </w:sectPr>
      </w:pP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(Do not check if a smaller reporting company) [</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08" w:lineRule="exact"/>
        <w:rPr>
          <w:sz w:val="24"/>
          <w:szCs w:val="24"/>
          <w:color w:val="auto"/>
        </w:rPr>
      </w:pPr>
    </w:p>
    <w:p>
      <w:pPr>
        <w:sectPr>
          <w:pgSz w:w="11900" w:h="16838" w:orient="portrait"/>
          <w:cols w:equalWidth="0" w:num="3">
            <w:col w:w="5020" w:space="100"/>
            <w:col w:w="1920" w:space="720"/>
            <w:col w:w="3620"/>
          </w:cols>
          <w:pgMar w:left="240" w:top="225" w:right="279" w:bottom="1440" w:gutter="0" w:footer="0" w:header="0"/>
          <w:type w:val="continuous"/>
        </w:sectPr>
      </w:pPr>
    </w:p>
    <w:p>
      <w:pPr>
        <w:spacing w:after="0" w:line="5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YES [ ]  NO [X]</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January 12, 2012, 4,398,624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30, 2011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5"/>
          </w:tcPr>
          <w:p>
            <w:pPr>
              <w:spacing w:after="0"/>
              <w:rPr>
                <w:sz w:val="20"/>
                <w:szCs w:val="20"/>
                <w:color w:val="auto"/>
              </w:rPr>
            </w:pPr>
            <w:r>
              <w:rPr>
                <w:rFonts w:ascii="Arial" w:cs="Arial" w:eastAsia="Arial" w:hAnsi="Arial"/>
                <w:sz w:val="18"/>
                <w:szCs w:val="18"/>
                <w:b w:val="1"/>
                <w:bCs w:val="1"/>
                <w:color w:val="auto"/>
                <w:w w:val="88"/>
              </w:rPr>
              <w:t>Description</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Arial" w:cs="Arial" w:eastAsia="Arial" w:hAnsi="Arial"/>
                <w:sz w:val="17"/>
                <w:szCs w:val="17"/>
                <w:b w:val="1"/>
                <w:bCs w:val="1"/>
                <w:color w:val="auto"/>
                <w:w w:val="73"/>
              </w:rPr>
              <w:t>Page</w:t>
            </w:r>
          </w:p>
        </w:tc>
      </w:tr>
      <w:tr>
        <w:trPr>
          <w:trHeight w:val="412"/>
        </w:trPr>
        <w:tc>
          <w:tcPr>
            <w:tcW w:w="640" w:type="dxa"/>
            <w:vAlign w:val="bottom"/>
            <w:tcBorders>
              <w:top w:val="single" w:sz="8" w:color="auto"/>
            </w:tcBorders>
            <w:gridSpan w:val="3"/>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260" w:type="dxa"/>
            <w:vAlign w:val="bottom"/>
            <w:tcBorders>
              <w:top w:val="single" w:sz="8" w:color="auto"/>
            </w:tcBorders>
            <w:gridSpan w:val="2"/>
          </w:tcPr>
          <w:p>
            <w:pPr>
              <w:spacing w:after="0"/>
              <w:rPr>
                <w:sz w:val="24"/>
                <w:szCs w:val="24"/>
                <w:color w:val="auto"/>
              </w:rPr>
            </w:pPr>
          </w:p>
        </w:tc>
        <w:tc>
          <w:tcPr>
            <w:tcW w:w="260" w:type="dxa"/>
            <w:vAlign w:val="bottom"/>
          </w:tcPr>
          <w:p>
            <w:pPr>
              <w:spacing w:after="0"/>
              <w:rPr>
                <w:sz w:val="24"/>
                <w:szCs w:val="24"/>
                <w:color w:val="auto"/>
              </w:rPr>
            </w:pPr>
          </w:p>
        </w:tc>
        <w:tc>
          <w:tcPr>
            <w:tcW w:w="8920" w:type="dxa"/>
            <w:vAlign w:val="bottom"/>
            <w:gridSpan w:val="2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10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20" w:type="dxa"/>
            <w:vAlign w:val="bottom"/>
            <w:tcBorders>
              <w:top w:val="single" w:sz="8" w:color="0000EE"/>
            </w:tcBorders>
            <w:gridSpan w:val="2"/>
          </w:tcPr>
          <w:p>
            <w:pPr>
              <w:spacing w:after="0"/>
              <w:rPr>
                <w:sz w:val="17"/>
                <w:szCs w:val="17"/>
                <w:color w:val="auto"/>
              </w:rPr>
            </w:pPr>
          </w:p>
        </w:tc>
        <w:tc>
          <w:tcPr>
            <w:tcW w:w="520" w:type="dxa"/>
            <w:vAlign w:val="bottom"/>
            <w:gridSpan w:val="3"/>
          </w:tcPr>
          <w:p>
            <w:pPr>
              <w:spacing w:after="0"/>
              <w:rPr>
                <w:sz w:val="17"/>
                <w:szCs w:val="17"/>
                <w:color w:val="auto"/>
              </w:rPr>
            </w:pPr>
          </w:p>
        </w:tc>
        <w:tc>
          <w:tcPr>
            <w:tcW w:w="23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540" w:type="dxa"/>
            <w:vAlign w:val="bottom"/>
            <w:gridSpan w:val="8"/>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9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November 30, 2011 (unaudited) and August 31, 2011</w:t>
              </w:r>
            </w:hyperlink>
          </w:p>
        </w:tc>
        <w:tc>
          <w:tcPr>
            <w:tcW w:w="1340" w:type="dxa"/>
            <w:vAlign w:val="bottom"/>
            <w:gridSpan w:val="4"/>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60" w:type="dxa"/>
            <w:vAlign w:val="bottom"/>
            <w:gridSpan w:val="1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Operations (unaudited) for the Three Months Ended November 30, 2011 and 2010</w:t>
              </w:r>
            </w:hyperlink>
          </w:p>
        </w:tc>
        <w:tc>
          <w:tcPr>
            <w:tcW w:w="960" w:type="dxa"/>
            <w:vAlign w:val="bottom"/>
            <w:gridSpan w:val="2"/>
          </w:tcPr>
          <w:p>
            <w:pPr>
              <w:spacing w:after="0"/>
              <w:rPr>
                <w:sz w:val="17"/>
                <w:szCs w:val="17"/>
                <w:color w:val="auto"/>
              </w:rPr>
            </w:pPr>
          </w:p>
        </w:tc>
        <w:tc>
          <w:tcPr>
            <w:tcW w:w="1340" w:type="dxa"/>
            <w:vAlign w:val="bottom"/>
            <w:gridSpan w:val="4"/>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92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Three Months Ended November 30, 2011 and 2010</w:t>
              </w:r>
            </w:hyperlink>
          </w:p>
        </w:tc>
        <w:tc>
          <w:tcPr>
            <w:tcW w:w="1340" w:type="dxa"/>
            <w:vAlign w:val="bottom"/>
            <w:gridSpan w:val="4"/>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920" w:type="dxa"/>
            <w:vAlign w:val="bottom"/>
          </w:tcPr>
          <w:p>
            <w:pPr>
              <w:spacing w:after="0"/>
              <w:rPr>
                <w:sz w:val="17"/>
                <w:szCs w:val="17"/>
                <w:color w:val="auto"/>
              </w:rPr>
            </w:pPr>
          </w:p>
        </w:tc>
        <w:tc>
          <w:tcPr>
            <w:tcW w:w="1340" w:type="dxa"/>
            <w:vAlign w:val="bottom"/>
            <w:gridSpan w:val="4"/>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6-14</w:t>
              </w:r>
            </w:hyperlink>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Item 2.</w:t>
              </w:r>
            </w:hyperlink>
          </w:p>
        </w:tc>
        <w:tc>
          <w:tcPr>
            <w:tcW w:w="620" w:type="dxa"/>
            <w:vAlign w:val="bottom"/>
            <w:gridSpan w:val="4"/>
          </w:tcPr>
          <w:p>
            <w:pPr>
              <w:spacing w:after="0"/>
              <w:rPr>
                <w:sz w:val="17"/>
                <w:szCs w:val="17"/>
                <w:color w:val="auto"/>
              </w:rPr>
            </w:pP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2460" w:type="dxa"/>
            <w:vAlign w:val="bottom"/>
            <w:gridSpan w:val="3"/>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Borders>
              <w:bottom w:val="single" w:sz="8" w:color="0000EE"/>
            </w:tcBorders>
            <w:gridSpan w:val="3"/>
          </w:tcPr>
          <w:p>
            <w:pPr>
              <w:jc w:val="right"/>
              <w:spacing w:after="0"/>
              <w:rPr>
                <w:rFonts w:ascii="Arial" w:cs="Arial" w:eastAsia="Arial" w:hAnsi="Arial"/>
                <w:sz w:val="16"/>
                <w:szCs w:val="16"/>
                <w:color w:val="0000EE"/>
                <w:w w:val="73"/>
              </w:rPr>
            </w:pPr>
            <w:hyperlink w:anchor="page16">
              <w:r>
                <w:rPr>
                  <w:rFonts w:ascii="Arial" w:cs="Arial" w:eastAsia="Arial" w:hAnsi="Arial"/>
                  <w:sz w:val="16"/>
                  <w:szCs w:val="16"/>
                  <w:color w:val="0000EE"/>
                  <w:w w:val="73"/>
                </w:rPr>
                <w:t>15-26</w:t>
              </w:r>
            </w:hyperlink>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Item 3.</w:t>
              </w:r>
            </w:hyperlink>
          </w:p>
        </w:tc>
        <w:tc>
          <w:tcPr>
            <w:tcW w:w="620" w:type="dxa"/>
            <w:vAlign w:val="bottom"/>
            <w:gridSpan w:val="4"/>
          </w:tcPr>
          <w:p>
            <w:pPr>
              <w:spacing w:after="0"/>
              <w:rPr>
                <w:sz w:val="17"/>
                <w:szCs w:val="17"/>
                <w:color w:val="auto"/>
              </w:rPr>
            </w:pPr>
          </w:p>
        </w:tc>
        <w:tc>
          <w:tcPr>
            <w:tcW w:w="892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1340" w:type="dxa"/>
            <w:vAlign w:val="bottom"/>
            <w:gridSpan w:val="4"/>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20" w:type="dxa"/>
            <w:vAlign w:val="bottom"/>
          </w:tcPr>
          <w:p>
            <w:pPr>
              <w:spacing w:after="0"/>
              <w:rPr>
                <w:sz w:val="17"/>
                <w:szCs w:val="17"/>
                <w:color w:val="auto"/>
              </w:rPr>
            </w:pPr>
          </w:p>
        </w:tc>
        <w:tc>
          <w:tcPr>
            <w:tcW w:w="620" w:type="dxa"/>
            <w:vAlign w:val="bottom"/>
            <w:gridSpan w:val="4"/>
          </w:tcPr>
          <w:p>
            <w:pPr>
              <w:spacing w:after="0"/>
              <w:rPr>
                <w:sz w:val="17"/>
                <w:szCs w:val="17"/>
                <w:color w:val="auto"/>
              </w:rPr>
            </w:pPr>
          </w:p>
        </w:tc>
        <w:tc>
          <w:tcPr>
            <w:tcW w:w="4300" w:type="dxa"/>
            <w:vAlign w:val="bottom"/>
            <w:gridSpan w:val="14"/>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4620" w:type="dxa"/>
            <w:vAlign w:val="bottom"/>
            <w:gridSpan w:val="6"/>
          </w:tcPr>
          <w:p>
            <w:pPr>
              <w:spacing w:after="0"/>
              <w:rPr>
                <w:sz w:val="17"/>
                <w:szCs w:val="17"/>
                <w:color w:val="auto"/>
              </w:rPr>
            </w:pPr>
          </w:p>
        </w:tc>
        <w:tc>
          <w:tcPr>
            <w:tcW w:w="1340" w:type="dxa"/>
            <w:vAlign w:val="bottom"/>
            <w:gridSpan w:val="4"/>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26-27</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102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gridSpan w:val="6"/>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w:t>
              </w:r>
            </w:hyperlink>
          </w:p>
        </w:tc>
        <w:tc>
          <w:tcPr>
            <w:tcW w:w="8920" w:type="dxa"/>
            <w:vAlign w:val="bottom"/>
            <w:gridSpan w:val="20"/>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OTHER INFORMATION</w:t>
              </w:r>
            </w:hyperlink>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Item 1.</w:t>
              </w:r>
            </w:hyperlink>
          </w:p>
        </w:tc>
        <w:tc>
          <w:tcPr>
            <w:tcW w:w="160" w:type="dxa"/>
            <w:vAlign w:val="bottom"/>
            <w:tcBorders>
              <w:top w:val="single" w:sz="8" w:color="0000EE"/>
            </w:tcBorders>
            <w:gridSpan w:val="2"/>
          </w:tcPr>
          <w:p>
            <w:pPr>
              <w:spacing w:after="0"/>
              <w:rPr>
                <w:sz w:val="17"/>
                <w:szCs w:val="17"/>
                <w:color w:val="auto"/>
              </w:rPr>
            </w:pPr>
          </w:p>
        </w:tc>
        <w:tc>
          <w:tcPr>
            <w:tcW w:w="460" w:type="dxa"/>
            <w:vAlign w:val="bottom"/>
            <w:gridSpan w:val="2"/>
          </w:tcPr>
          <w:p>
            <w:pPr>
              <w:spacing w:after="0"/>
              <w:rPr>
                <w:sz w:val="17"/>
                <w:szCs w:val="17"/>
                <w:color w:val="auto"/>
              </w:rPr>
            </w:pPr>
          </w:p>
        </w:tc>
        <w:tc>
          <w:tcPr>
            <w:tcW w:w="1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4"/>
          </w:tcPr>
          <w:p>
            <w:pPr>
              <w:spacing w:after="0"/>
              <w:rPr>
                <w:sz w:val="17"/>
                <w:szCs w:val="17"/>
                <w:color w:val="auto"/>
              </w:rPr>
            </w:pPr>
          </w:p>
        </w:tc>
        <w:tc>
          <w:tcPr>
            <w:tcW w:w="6900" w:type="dxa"/>
            <w:vAlign w:val="bottom"/>
            <w:gridSpan w:val="10"/>
          </w:tcPr>
          <w:p>
            <w:pPr>
              <w:spacing w:after="0"/>
              <w:rPr>
                <w:sz w:val="17"/>
                <w:szCs w:val="17"/>
                <w:color w:val="auto"/>
              </w:rPr>
            </w:pPr>
          </w:p>
        </w:tc>
        <w:tc>
          <w:tcPr>
            <w:tcW w:w="1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r>
      <w:tr>
        <w:trPr>
          <w:trHeight w:val="196"/>
        </w:trPr>
        <w:tc>
          <w:tcPr>
            <w:tcW w:w="1160" w:type="dxa"/>
            <w:vAlign w:val="bottom"/>
            <w:gridSpan w:val="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1A.</w:t>
              </w:r>
            </w:hyperlink>
          </w:p>
        </w:tc>
        <w:tc>
          <w:tcPr>
            <w:tcW w:w="892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1340" w:type="dxa"/>
            <w:vAlign w:val="bottom"/>
            <w:gridSpan w:val="4"/>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r>
      <w:tr>
        <w:trPr>
          <w:trHeight w:val="20"/>
        </w:trPr>
        <w:tc>
          <w:tcPr>
            <w:tcW w:w="64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Item 2.</w:t>
              </w:r>
            </w:hyperlink>
          </w:p>
        </w:tc>
        <w:tc>
          <w:tcPr>
            <w:tcW w:w="100" w:type="dxa"/>
            <w:vAlign w:val="bottom"/>
          </w:tcPr>
          <w:p>
            <w:pPr>
              <w:spacing w:after="0"/>
              <w:rPr>
                <w:sz w:val="17"/>
                <w:szCs w:val="17"/>
                <w:color w:val="auto"/>
              </w:rPr>
            </w:pPr>
          </w:p>
        </w:tc>
        <w:tc>
          <w:tcPr>
            <w:tcW w:w="520" w:type="dxa"/>
            <w:vAlign w:val="bottom"/>
            <w:gridSpan w:val="3"/>
          </w:tcPr>
          <w:p>
            <w:pPr>
              <w:spacing w:after="0"/>
              <w:rPr>
                <w:sz w:val="17"/>
                <w:szCs w:val="17"/>
                <w:color w:val="auto"/>
              </w:rPr>
            </w:pPr>
          </w:p>
        </w:tc>
        <w:tc>
          <w:tcPr>
            <w:tcW w:w="892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1340" w:type="dxa"/>
            <w:vAlign w:val="bottom"/>
            <w:gridSpan w:val="4"/>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Item 3.</w:t>
              </w:r>
            </w:hyperlink>
          </w:p>
        </w:tc>
        <w:tc>
          <w:tcPr>
            <w:tcW w:w="620" w:type="dxa"/>
            <w:vAlign w:val="bottom"/>
            <w:gridSpan w:val="4"/>
          </w:tcPr>
          <w:p>
            <w:pPr>
              <w:spacing w:after="0"/>
              <w:rPr>
                <w:sz w:val="17"/>
                <w:szCs w:val="17"/>
                <w:color w:val="auto"/>
              </w:rPr>
            </w:pPr>
          </w:p>
        </w:tc>
        <w:tc>
          <w:tcPr>
            <w:tcW w:w="43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4580" w:type="dxa"/>
            <w:vAlign w:val="bottom"/>
            <w:gridSpan w:val="5"/>
          </w:tcPr>
          <w:p>
            <w:pPr>
              <w:spacing w:after="0"/>
              <w:rPr>
                <w:sz w:val="17"/>
                <w:szCs w:val="17"/>
                <w:color w:val="auto"/>
              </w:rPr>
            </w:pPr>
          </w:p>
        </w:tc>
        <w:tc>
          <w:tcPr>
            <w:tcW w:w="1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Item 4.</w:t>
              </w:r>
            </w:hyperlink>
          </w:p>
        </w:tc>
        <w:tc>
          <w:tcPr>
            <w:tcW w:w="620" w:type="dxa"/>
            <w:vAlign w:val="bottom"/>
            <w:gridSpan w:val="4"/>
          </w:tcPr>
          <w:p>
            <w:pPr>
              <w:spacing w:after="0"/>
              <w:rPr>
                <w:sz w:val="17"/>
                <w:szCs w:val="17"/>
                <w:color w:val="auto"/>
              </w:rPr>
            </w:pPr>
          </w:p>
        </w:tc>
        <w:tc>
          <w:tcPr>
            <w:tcW w:w="23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[Removed and Reserved]</w:t>
              </w:r>
            </w:hyperlink>
          </w:p>
        </w:tc>
        <w:tc>
          <w:tcPr>
            <w:tcW w:w="6600" w:type="dxa"/>
            <w:vAlign w:val="bottom"/>
            <w:gridSpan w:val="9"/>
          </w:tcPr>
          <w:p>
            <w:pPr>
              <w:spacing w:after="0"/>
              <w:rPr>
                <w:sz w:val="17"/>
                <w:szCs w:val="17"/>
                <w:color w:val="auto"/>
              </w:rPr>
            </w:pPr>
          </w:p>
        </w:tc>
        <w:tc>
          <w:tcPr>
            <w:tcW w:w="1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Item 5.</w:t>
              </w:r>
            </w:hyperlink>
          </w:p>
        </w:tc>
        <w:tc>
          <w:tcPr>
            <w:tcW w:w="620" w:type="dxa"/>
            <w:vAlign w:val="bottom"/>
            <w:gridSpan w:val="4"/>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Other Information</w:t>
              </w:r>
            </w:hyperlink>
          </w:p>
        </w:tc>
        <w:tc>
          <w:tcPr>
            <w:tcW w:w="500" w:type="dxa"/>
            <w:vAlign w:val="bottom"/>
            <w:tcBorders>
              <w:top w:val="single" w:sz="8" w:color="0000EE"/>
            </w:tcBorders>
            <w:gridSpan w:val="4"/>
          </w:tcPr>
          <w:p>
            <w:pPr>
              <w:spacing w:after="0"/>
              <w:rPr>
                <w:sz w:val="17"/>
                <w:szCs w:val="17"/>
                <w:color w:val="auto"/>
              </w:rPr>
            </w:pPr>
          </w:p>
        </w:tc>
        <w:tc>
          <w:tcPr>
            <w:tcW w:w="7100" w:type="dxa"/>
            <w:vAlign w:val="bottom"/>
            <w:gridSpan w:val="11"/>
          </w:tcPr>
          <w:p>
            <w:pPr>
              <w:spacing w:after="0"/>
              <w:rPr>
                <w:sz w:val="17"/>
                <w:szCs w:val="17"/>
                <w:color w:val="auto"/>
              </w:rPr>
            </w:pPr>
          </w:p>
        </w:tc>
        <w:tc>
          <w:tcPr>
            <w:tcW w:w="116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6.</w:t>
              </w:r>
            </w:hyperlink>
          </w:p>
        </w:tc>
        <w:tc>
          <w:tcPr>
            <w:tcW w:w="620" w:type="dxa"/>
            <w:vAlign w:val="bottom"/>
            <w:gridSpan w:val="4"/>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8320" w:type="dxa"/>
            <w:vAlign w:val="bottom"/>
            <w:gridSpan w:val="17"/>
          </w:tcPr>
          <w:p>
            <w:pPr>
              <w:spacing w:after="0"/>
              <w:rPr>
                <w:sz w:val="17"/>
                <w:szCs w:val="17"/>
                <w:color w:val="auto"/>
              </w:rPr>
            </w:pPr>
          </w:p>
        </w:tc>
        <w:tc>
          <w:tcPr>
            <w:tcW w:w="1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29</w:t>
              </w:r>
            </w:hyperlink>
          </w:p>
        </w:tc>
      </w:tr>
      <w:tr>
        <w:trPr>
          <w:trHeight w:val="196"/>
        </w:trPr>
        <w:tc>
          <w:tcPr>
            <w:tcW w:w="160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7"/>
              </w:rPr>
            </w:pPr>
            <w:hyperlink w:anchor="page31">
              <w:r>
                <w:rPr>
                  <w:rFonts w:ascii="Arial" w:cs="Arial" w:eastAsia="Arial" w:hAnsi="Arial"/>
                  <w:sz w:val="18"/>
                  <w:szCs w:val="18"/>
                  <w:b w:val="1"/>
                  <w:bCs w:val="1"/>
                  <w:color w:val="0000EE"/>
                  <w:w w:val="97"/>
                </w:rPr>
                <w:t>SIGNATURE PAGE</w:t>
              </w:r>
            </w:hyperlink>
          </w:p>
        </w:tc>
        <w:tc>
          <w:tcPr>
            <w:tcW w:w="8480" w:type="dxa"/>
            <w:vAlign w:val="bottom"/>
            <w:gridSpan w:val="18"/>
          </w:tcPr>
          <w:p>
            <w:pPr>
              <w:spacing w:after="0"/>
              <w:rPr>
                <w:sz w:val="17"/>
                <w:szCs w:val="17"/>
                <w:color w:val="auto"/>
              </w:rPr>
            </w:pPr>
          </w:p>
        </w:tc>
        <w:tc>
          <w:tcPr>
            <w:tcW w:w="1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30</w:t>
              </w:r>
            </w:hyperlink>
          </w:p>
        </w:tc>
      </w:tr>
      <w:tr>
        <w:trPr>
          <w:trHeight w:val="196"/>
        </w:trPr>
        <w:tc>
          <w:tcPr>
            <w:tcW w:w="10080" w:type="dxa"/>
            <w:vAlign w:val="bottom"/>
            <w:gridSpan w:val="26"/>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EXHIBIT INDEX</w:t>
              </w:r>
            </w:hyperlink>
          </w:p>
        </w:tc>
        <w:tc>
          <w:tcPr>
            <w:tcW w:w="1340" w:type="dxa"/>
            <w:vAlign w:val="bottom"/>
            <w:gridSpan w:val="4"/>
          </w:tcPr>
          <w:p>
            <w:pPr>
              <w:jc w:val="right"/>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31-32</w:t>
              </w:r>
            </w:hyperlink>
          </w:p>
        </w:tc>
      </w:tr>
      <w:tr>
        <w:trPr>
          <w:trHeight w:val="237"/>
        </w:trPr>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120" w:type="dxa"/>
            <w:vAlign w:val="bottom"/>
            <w:gridSpan w:val="15"/>
          </w:tcPr>
          <w:p>
            <w:pPr>
              <w:jc w:val="right"/>
              <w:ind w:right="1040"/>
              <w:spacing w:after="0"/>
              <w:rPr>
                <w:sz w:val="20"/>
                <w:szCs w:val="20"/>
                <w:color w:val="auto"/>
              </w:rPr>
            </w:pPr>
            <w:r>
              <w:rPr>
                <w:rFonts w:ascii="Arial" w:cs="Arial" w:eastAsia="Arial" w:hAnsi="Arial"/>
                <w:sz w:val="18"/>
                <w:szCs w:val="18"/>
                <w:color w:val="auto"/>
              </w:rPr>
              <w:t>_________________</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r>
    </w:tbl>
    <w:p>
      <w:pPr>
        <w:spacing w:after="0" w:line="229"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and its wholly owned subsidiaries, NTI Facilities, Inc. and Northern Technologies Holding Company, LLC, and its majority owned subsidiary, Zerust Prevenção de Corrosão S.A., all of which are consolidated on NTIC’s consolidated financial statements. NTIC’s consolidated financial statements do not include the accounts of any of its joint ventures.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 w:name="page3"/>
    <w:bookmarkEnd w:id="2"/>
    <w:p>
      <w:pPr>
        <w:spacing w:after="0" w:line="276" w:lineRule="auto"/>
        <w:rPr>
          <w:sz w:val="20"/>
          <w:szCs w:val="20"/>
          <w:color w:val="auto"/>
        </w:rPr>
      </w:pPr>
      <w:r>
        <w:rPr>
          <w:rFonts w:ascii="Arial" w:cs="Arial" w:eastAsia="Arial" w:hAnsi="Arial"/>
          <w:sz w:val="17"/>
          <w:szCs w:val="17"/>
          <w:i w:val="1"/>
          <w:iCs w:val="1"/>
          <w:color w:val="auto"/>
        </w:rPr>
        <w:t>References in this report to NTIC’s joint ventures do not include NTIC’s majority owned Brazilian subsidiary, Zerust Prevenção de Corrosão S.A. As used in this report, references to “Zerust Brazil” refer to NTIC’s majority owned Brazilian subsidiary, Zerust Prevenção de Corrosão S.A. As used in this report, references to “EXCOR” refer to NTIC’s primary joint venture in Germany, Excor Korrosionsschutz – Technologien und Produkte GmbH, references to “NTI ASEAN” refer to NTIC’s joint venture holding company for NTIC’s joint venture investments in the Association of Southeast Asian Nations (ASEAN) region, NTI ASEAN, LLC, and references to “HNTI” refer to NTIC’s joint venture in India, Harita NTI Limited.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80"/>
          </w:cols>
          <w:pgMar w:left="240" w:top="274"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FINANCIAL STATEMENTS</w:t>
      </w:r>
    </w:p>
    <w:p>
      <w:pPr>
        <w:spacing w:after="0" w:line="228" w:lineRule="exact"/>
        <w:rPr>
          <w:sz w:val="20"/>
          <w:szCs w:val="20"/>
          <w:color w:val="auto"/>
        </w:rPr>
      </w:pPr>
    </w:p>
    <w:p>
      <w:pPr>
        <w:ind w:right="4500"/>
        <w:spacing w:after="0" w:line="264" w:lineRule="auto"/>
        <w:rPr>
          <w:sz w:val="20"/>
          <w:szCs w:val="20"/>
          <w:color w:val="auto"/>
        </w:rPr>
      </w:pPr>
      <w:r>
        <w:rPr>
          <w:rFonts w:ascii="Arial" w:cs="Arial" w:eastAsia="Arial" w:hAnsi="Arial"/>
          <w:sz w:val="17"/>
          <w:szCs w:val="17"/>
          <w:b w:val="1"/>
          <w:bCs w:val="1"/>
          <w:color w:val="auto"/>
        </w:rPr>
        <w:t>NORTHERN TECHNOLOGIES INTERNATIONAL CORPORATION AND SUBSIDIARIES CONSOLIDATED BALANCE SHEETS AS OF NOVEMBER 30, 2011 (UNAUDITED) AND AUGUST 31, 2011 (AUDITED)</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00" w:type="dxa"/>
            <w:vAlign w:val="bottom"/>
            <w:tcBorders>
              <w:top w:val="single" w:sz="8" w:color="auto"/>
            </w:tcBorders>
          </w:tcPr>
          <w:p>
            <w:pPr>
              <w:spacing w:after="0"/>
              <w:rPr>
                <w:sz w:val="13"/>
                <w:szCs w:val="13"/>
                <w:color w:val="auto"/>
              </w:rPr>
            </w:pPr>
          </w:p>
        </w:tc>
        <w:tc>
          <w:tcPr>
            <w:tcW w:w="2880" w:type="dxa"/>
            <w:vAlign w:val="bottom"/>
            <w:tcBorders>
              <w:top w:val="single" w:sz="8" w:color="auto"/>
            </w:tcBorders>
            <w:gridSpan w:val="3"/>
          </w:tcPr>
          <w:p>
            <w:pPr>
              <w:ind w:left="1760"/>
              <w:spacing w:after="0" w:line="159" w:lineRule="exact"/>
              <w:rPr>
                <w:sz w:val="20"/>
                <w:szCs w:val="20"/>
                <w:color w:val="auto"/>
              </w:rPr>
            </w:pPr>
            <w:r>
              <w:rPr>
                <w:rFonts w:ascii="Arial" w:cs="Arial" w:eastAsia="Arial" w:hAnsi="Arial"/>
                <w:sz w:val="17"/>
                <w:szCs w:val="17"/>
                <w:b w:val="1"/>
                <w:bCs w:val="1"/>
                <w:color w:val="auto"/>
                <w:w w:val="98"/>
              </w:rPr>
              <w:t>November 30,</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95"/>
              <w:spacing w:after="0" w:line="159" w:lineRule="exact"/>
              <w:rPr>
                <w:sz w:val="20"/>
                <w:szCs w:val="20"/>
                <w:color w:val="auto"/>
              </w:rPr>
            </w:pPr>
            <w:r>
              <w:rPr>
                <w:rFonts w:ascii="Arial" w:cs="Arial" w:eastAsia="Arial" w:hAnsi="Arial"/>
                <w:sz w:val="17"/>
                <w:szCs w:val="17"/>
                <w:b w:val="1"/>
                <w:bCs w:val="1"/>
                <w:color w:val="auto"/>
                <w:w w:val="94"/>
              </w:rPr>
              <w:t>August 31,</w:t>
            </w:r>
          </w:p>
        </w:tc>
        <w:tc>
          <w:tcPr>
            <w:tcW w:w="0" w:type="dxa"/>
            <w:vAlign w:val="bottom"/>
          </w:tcPr>
          <w:p>
            <w:pPr>
              <w:spacing w:after="0"/>
              <w:rPr>
                <w:sz w:val="1"/>
                <w:szCs w:val="1"/>
                <w:color w:val="auto"/>
              </w:rPr>
            </w:pPr>
          </w:p>
        </w:tc>
      </w:tr>
      <w:tr>
        <w:trPr>
          <w:trHeight w:val="224"/>
        </w:trPr>
        <w:tc>
          <w:tcPr>
            <w:tcW w:w="74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ASSETS</w:t>
            </w:r>
          </w:p>
        </w:tc>
        <w:tc>
          <w:tcPr>
            <w:tcW w:w="1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2011</w:t>
            </w:r>
          </w:p>
        </w:tc>
        <w:tc>
          <w:tcPr>
            <w:tcW w:w="0" w:type="dxa"/>
            <w:vAlign w:val="bottom"/>
          </w:tcPr>
          <w:p>
            <w:pPr>
              <w:spacing w:after="0"/>
              <w:rPr>
                <w:sz w:val="1"/>
                <w:szCs w:val="1"/>
                <w:color w:val="auto"/>
              </w:rPr>
            </w:pPr>
          </w:p>
        </w:tc>
      </w:tr>
      <w:tr>
        <w:trPr>
          <w:trHeight w:val="180"/>
        </w:trPr>
        <w:tc>
          <w:tcPr>
            <w:tcW w:w="742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0" w:type="dxa"/>
            <w:vAlign w:val="bottom"/>
          </w:tcPr>
          <w:p>
            <w:pPr>
              <w:ind w:left="320"/>
              <w:spacing w:after="0"/>
              <w:rPr>
                <w:sz w:val="20"/>
                <w:szCs w:val="20"/>
                <w:color w:val="auto"/>
              </w:rPr>
            </w:pPr>
            <w:r>
              <w:rPr>
                <w:rFonts w:ascii="Arial" w:cs="Arial" w:eastAsia="Arial" w:hAnsi="Arial"/>
                <w:sz w:val="17"/>
                <w:szCs w:val="17"/>
                <w:color w:val="auto"/>
              </w:rPr>
              <w:t>CURRENT ASSETS: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Cash and cash equivalents</w:t>
            </w:r>
          </w:p>
        </w:tc>
        <w:tc>
          <w:tcPr>
            <w:tcW w:w="1920" w:type="dxa"/>
            <w:vAlign w:val="bottom"/>
            <w:gridSpan w:val="2"/>
            <w:shd w:val="clear" w:color="auto" w:fill="CCEEFF"/>
          </w:tcPr>
          <w:p>
            <w:pPr>
              <w:ind w:left="17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3,407,371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3,266,362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640"/>
              <w:spacing w:after="0"/>
              <w:rPr>
                <w:sz w:val="20"/>
                <w:szCs w:val="20"/>
                <w:color w:val="auto"/>
              </w:rPr>
            </w:pPr>
            <w:r>
              <w:rPr>
                <w:rFonts w:ascii="Arial" w:cs="Arial" w:eastAsia="Arial" w:hAnsi="Arial"/>
                <w:sz w:val="17"/>
                <w:szCs w:val="17"/>
                <w:color w:val="auto"/>
              </w:rPr>
              <w:t>Receivables:</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0" w:type="dxa"/>
            <w:vAlign w:val="bottom"/>
            <w:shd w:val="clear" w:color="auto" w:fill="CCEEFF"/>
          </w:tcPr>
          <w:p>
            <w:pPr>
              <w:ind w:left="960"/>
              <w:spacing w:after="0" w:line="185" w:lineRule="exact"/>
              <w:rPr>
                <w:sz w:val="20"/>
                <w:szCs w:val="20"/>
                <w:color w:val="auto"/>
              </w:rPr>
            </w:pPr>
            <w:r>
              <w:rPr>
                <w:rFonts w:ascii="Arial" w:cs="Arial" w:eastAsia="Arial" w:hAnsi="Arial"/>
                <w:sz w:val="17"/>
                <w:szCs w:val="17"/>
                <w:color w:val="auto"/>
              </w:rPr>
              <w:t>Trade excluding joint ventures, less allowance for doubtful accounts</w:t>
            </w:r>
          </w:p>
        </w:tc>
        <w:tc>
          <w:tcPr>
            <w:tcW w:w="1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00" w:type="dxa"/>
            <w:vAlign w:val="bottom"/>
            <w:shd w:val="clear" w:color="auto" w:fill="CCEEFF"/>
          </w:tcPr>
          <w:p>
            <w:pPr>
              <w:ind w:left="1180"/>
              <w:spacing w:after="0"/>
              <w:rPr>
                <w:sz w:val="20"/>
                <w:szCs w:val="20"/>
                <w:color w:val="auto"/>
              </w:rPr>
            </w:pPr>
            <w:r>
              <w:rPr>
                <w:rFonts w:ascii="Arial" w:cs="Arial" w:eastAsia="Arial" w:hAnsi="Arial"/>
                <w:sz w:val="17"/>
                <w:szCs w:val="17"/>
                <w:color w:val="auto"/>
              </w:rPr>
              <w:t>of $20,000 at November 30, 2011 and August 31, 2011</w:t>
            </w: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2,846,182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2,515,316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960"/>
              <w:spacing w:after="0"/>
              <w:rPr>
                <w:sz w:val="20"/>
                <w:szCs w:val="20"/>
                <w:color w:val="auto"/>
              </w:rPr>
            </w:pPr>
            <w:r>
              <w:rPr>
                <w:rFonts w:ascii="Arial" w:cs="Arial" w:eastAsia="Arial" w:hAnsi="Arial"/>
                <w:sz w:val="17"/>
                <w:szCs w:val="17"/>
                <w:color w:val="auto"/>
              </w:rPr>
              <w:t>Trade joint ventures</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1,005,509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1,149,666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960"/>
              <w:spacing w:after="0"/>
              <w:rPr>
                <w:sz w:val="20"/>
                <w:szCs w:val="20"/>
                <w:color w:val="auto"/>
              </w:rPr>
            </w:pPr>
            <w:r>
              <w:rPr>
                <w:rFonts w:ascii="Arial" w:cs="Arial" w:eastAsia="Arial" w:hAnsi="Arial"/>
                <w:sz w:val="17"/>
                <w:szCs w:val="17"/>
                <w:color w:val="auto"/>
              </w:rPr>
              <w:t>Fees for services provided to joint ventures</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2,168,794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2,129,911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640"/>
              <w:spacing w:after="0"/>
              <w:rPr>
                <w:sz w:val="20"/>
                <w:szCs w:val="20"/>
                <w:color w:val="auto"/>
              </w:rPr>
            </w:pPr>
            <w:r>
              <w:rPr>
                <w:rFonts w:ascii="Arial" w:cs="Arial" w:eastAsia="Arial" w:hAnsi="Arial"/>
                <w:sz w:val="17"/>
                <w:szCs w:val="17"/>
                <w:color w:val="auto"/>
              </w:rPr>
              <w:t>Inventories</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3,967,254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3,842,854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Prepaid expenses</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711,440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364,805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640"/>
              <w:spacing w:after="0"/>
              <w:rPr>
                <w:sz w:val="20"/>
                <w:szCs w:val="20"/>
                <w:color w:val="auto"/>
              </w:rPr>
            </w:pPr>
            <w:r>
              <w:rPr>
                <w:rFonts w:ascii="Arial" w:cs="Arial" w:eastAsia="Arial" w:hAnsi="Arial"/>
                <w:sz w:val="17"/>
                <w:szCs w:val="17"/>
                <w:color w:val="auto"/>
              </w:rPr>
              <w:t>Deferred income taxes</w:t>
            </w:r>
          </w:p>
        </w:tc>
        <w:tc>
          <w:tcPr>
            <w:tcW w:w="1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221,600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221,600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7"/>
                <w:szCs w:val="17"/>
                <w:color w:val="auto"/>
              </w:rPr>
              <w:t>Total current assets</w:t>
            </w:r>
          </w:p>
        </w:tc>
        <w:tc>
          <w:tcPr>
            <w:tcW w:w="1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98"/>
              </w:rPr>
              <w:t>14,328,150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91"/>
              </w:rPr>
              <w:t>13,490,514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3,589,981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3,636,335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640"/>
              <w:spacing w:after="0"/>
              <w:rPr>
                <w:sz w:val="20"/>
                <w:szCs w:val="20"/>
                <w:color w:val="auto"/>
              </w:rPr>
            </w:pPr>
            <w:r>
              <w:rPr>
                <w:rFonts w:ascii="Arial" w:cs="Arial" w:eastAsia="Arial" w:hAnsi="Arial"/>
                <w:sz w:val="17"/>
                <w:szCs w:val="17"/>
                <w:color w:val="auto"/>
              </w:rPr>
              <w:t>Investments in joint ventures</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w w:val="98"/>
              </w:rPr>
              <w:t>18,763,038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w w:val="91"/>
              </w:rPr>
              <w:t>20,559,509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Deferred income taxes</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1,410,700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1,410,700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640"/>
              <w:spacing w:after="0"/>
              <w:rPr>
                <w:sz w:val="20"/>
                <w:szCs w:val="20"/>
                <w:color w:val="auto"/>
              </w:rPr>
            </w:pPr>
            <w:r>
              <w:rPr>
                <w:rFonts w:ascii="Arial" w:cs="Arial" w:eastAsia="Arial" w:hAnsi="Arial"/>
                <w:sz w:val="17"/>
                <w:szCs w:val="17"/>
                <w:color w:val="auto"/>
              </w:rPr>
              <w:t>Patents and trademarks, net</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909,027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903,038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Other</w:t>
            </w:r>
          </w:p>
        </w:tc>
        <w:tc>
          <w:tcPr>
            <w:tcW w:w="1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41,746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39,646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98"/>
              </w:rPr>
              <w:t>21,124,511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91"/>
              </w:rPr>
              <w:t>22,912,893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ind w:left="17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8"/>
              </w:rPr>
              <w:t>39,042,642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1"/>
              </w:rPr>
              <w:t>40,039,742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400" w:type="dxa"/>
            <w:vAlign w:val="bottom"/>
            <w:tcBorders>
              <w:top w:val="single" w:sz="8" w:color="CCEEFF"/>
            </w:tcBorders>
          </w:tcPr>
          <w:p>
            <w:pPr>
              <w:spacing w:after="0"/>
              <w:rPr>
                <w:sz w:val="15"/>
                <w:szCs w:val="15"/>
                <w:color w:val="auto"/>
              </w:rPr>
            </w:pPr>
          </w:p>
        </w:tc>
        <w:tc>
          <w:tcPr>
            <w:tcW w:w="17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320"/>
              <w:spacing w:after="0"/>
              <w:rPr>
                <w:sz w:val="20"/>
                <w:szCs w:val="20"/>
                <w:color w:val="auto"/>
              </w:rPr>
            </w:pPr>
            <w:r>
              <w:rPr>
                <w:rFonts w:ascii="Arial" w:cs="Arial" w:eastAsia="Arial" w:hAnsi="Arial"/>
                <w:sz w:val="17"/>
                <w:szCs w:val="17"/>
                <w:color w:val="auto"/>
              </w:rPr>
              <w:t>CURRENT LIABILITIES:</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Current portion of note payable</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76,119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76,119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640"/>
              <w:spacing w:after="0"/>
              <w:rPr>
                <w:sz w:val="20"/>
                <w:szCs w:val="20"/>
                <w:color w:val="auto"/>
              </w:rPr>
            </w:pPr>
            <w:r>
              <w:rPr>
                <w:rFonts w:ascii="Arial" w:cs="Arial" w:eastAsia="Arial" w:hAnsi="Arial"/>
                <w:sz w:val="17"/>
                <w:szCs w:val="17"/>
                <w:color w:val="auto"/>
              </w:rPr>
              <w:t>Accounts payable</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1,496,244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2,032,614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Income tax payable</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160,420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195,762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640"/>
              <w:spacing w:after="0"/>
              <w:rPr>
                <w:sz w:val="20"/>
                <w:szCs w:val="20"/>
                <w:color w:val="auto"/>
              </w:rPr>
            </w:pPr>
            <w:r>
              <w:rPr>
                <w:rFonts w:ascii="Arial" w:cs="Arial" w:eastAsia="Arial" w:hAnsi="Arial"/>
                <w:sz w:val="17"/>
                <w:szCs w:val="17"/>
                <w:color w:val="auto"/>
              </w:rPr>
              <w:t>Accrued liabilities:</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shd w:val="clear" w:color="auto" w:fill="CCEEFF"/>
          </w:tcPr>
          <w:p>
            <w:pPr>
              <w:ind w:left="960"/>
              <w:spacing w:after="0"/>
              <w:rPr>
                <w:sz w:val="20"/>
                <w:szCs w:val="20"/>
                <w:color w:val="auto"/>
              </w:rPr>
            </w:pPr>
            <w:r>
              <w:rPr>
                <w:rFonts w:ascii="Arial" w:cs="Arial" w:eastAsia="Arial" w:hAnsi="Arial"/>
                <w:sz w:val="17"/>
                <w:szCs w:val="17"/>
                <w:color w:val="auto"/>
              </w:rPr>
              <w:t>Payroll and related benefits</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710,737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1,629,355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960"/>
              <w:spacing w:after="0"/>
              <w:rPr>
                <w:sz w:val="20"/>
                <w:szCs w:val="20"/>
                <w:color w:val="auto"/>
              </w:rPr>
            </w:pPr>
            <w:r>
              <w:rPr>
                <w:rFonts w:ascii="Arial" w:cs="Arial" w:eastAsia="Arial" w:hAnsi="Arial"/>
                <w:sz w:val="17"/>
                <w:szCs w:val="17"/>
                <w:color w:val="auto"/>
              </w:rPr>
              <w:t>Deferred joint venture royalties</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288,000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288,000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7"/>
                <w:szCs w:val="17"/>
                <w:color w:val="auto"/>
              </w:rPr>
              <w:t>Other</w:t>
            </w:r>
          </w:p>
        </w:tc>
        <w:tc>
          <w:tcPr>
            <w:tcW w:w="1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237,056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182,916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1600"/>
              <w:spacing w:after="0"/>
              <w:rPr>
                <w:sz w:val="20"/>
                <w:szCs w:val="20"/>
                <w:color w:val="auto"/>
              </w:rPr>
            </w:pPr>
            <w:r>
              <w:rPr>
                <w:rFonts w:ascii="Arial" w:cs="Arial" w:eastAsia="Arial" w:hAnsi="Arial"/>
                <w:sz w:val="17"/>
                <w:szCs w:val="17"/>
                <w:color w:val="auto"/>
              </w:rPr>
              <w:t>Total current liabilities</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2,968,576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4,404,766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7"/>
                <w:szCs w:val="17"/>
                <w:color w:val="auto"/>
              </w:rPr>
              <w:t>NOTE PAYABLE, NET OF CURRENT PORTION (Note 6)</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990,504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1,009,533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7"/>
                <w:szCs w:val="17"/>
                <w:color w:val="auto"/>
              </w:rPr>
              <w:t>COMMITMENTS AND CONTINGENCIES (Note 13)</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7"/>
                <w:szCs w:val="17"/>
                <w:color w:val="auto"/>
              </w:rPr>
              <w:t>EQUITY:</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0" w:type="dxa"/>
            <w:vAlign w:val="bottom"/>
            <w:shd w:val="clear" w:color="auto" w:fill="CCEEFF"/>
          </w:tcPr>
          <w:p>
            <w:pPr>
              <w:ind w:left="640"/>
              <w:spacing w:after="0" w:line="185" w:lineRule="exact"/>
              <w:rPr>
                <w:sz w:val="20"/>
                <w:szCs w:val="20"/>
                <w:color w:val="auto"/>
              </w:rPr>
            </w:pPr>
            <w:r>
              <w:rPr>
                <w:rFonts w:ascii="Arial" w:cs="Arial" w:eastAsia="Arial" w:hAnsi="Arial"/>
                <w:sz w:val="17"/>
                <w:szCs w:val="17"/>
                <w:color w:val="auto"/>
              </w:rPr>
              <w:t>Preferred stock, no par value; authorized 10,000 shares; none issued and</w:t>
            </w:r>
          </w:p>
        </w:tc>
        <w:tc>
          <w:tcPr>
            <w:tcW w:w="1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4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outstanding</w:t>
            </w: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0" w:type="dxa"/>
            <w:vAlign w:val="bottom"/>
          </w:tcPr>
          <w:p>
            <w:pPr>
              <w:ind w:left="640"/>
              <w:spacing w:after="0" w:line="185" w:lineRule="exact"/>
              <w:rPr>
                <w:sz w:val="20"/>
                <w:szCs w:val="20"/>
                <w:color w:val="auto"/>
              </w:rPr>
            </w:pPr>
            <w:r>
              <w:rPr>
                <w:rFonts w:ascii="Arial" w:cs="Arial" w:eastAsia="Arial" w:hAnsi="Arial"/>
                <w:sz w:val="17"/>
                <w:szCs w:val="17"/>
                <w:color w:val="auto"/>
              </w:rPr>
              <w:t>Common stock, $0.02 par value per share; authorized 10,000,000</w:t>
            </w: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0" w:type="dxa"/>
            <w:vAlign w:val="bottom"/>
          </w:tcPr>
          <w:p>
            <w:pPr>
              <w:ind w:left="840"/>
              <w:spacing w:after="0"/>
              <w:rPr>
                <w:sz w:val="20"/>
                <w:szCs w:val="20"/>
                <w:color w:val="auto"/>
              </w:rPr>
            </w:pPr>
            <w:r>
              <w:rPr>
                <w:rFonts w:ascii="Arial" w:cs="Arial" w:eastAsia="Arial" w:hAnsi="Arial"/>
                <w:sz w:val="17"/>
                <w:szCs w:val="17"/>
                <w:color w:val="auto"/>
              </w:rPr>
              <w:t>shares; issued and outstanding 4,397,324 and 4,353,058, respectively</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87,947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87,061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Additional paid-in capital</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8"/>
              </w:rPr>
              <w:t>10,847,692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1"/>
              </w:rPr>
              <w:t>10,137,809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ind w:left="640"/>
              <w:spacing w:after="0"/>
              <w:rPr>
                <w:sz w:val="20"/>
                <w:szCs w:val="20"/>
                <w:color w:val="auto"/>
              </w:rPr>
            </w:pPr>
            <w:r>
              <w:rPr>
                <w:rFonts w:ascii="Arial" w:cs="Arial" w:eastAsia="Arial" w:hAnsi="Arial"/>
                <w:sz w:val="17"/>
                <w:szCs w:val="17"/>
                <w:color w:val="auto"/>
              </w:rPr>
              <w:t>Retained earnings</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w w:val="98"/>
              </w:rPr>
              <w:t>22,770,595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w w:val="91"/>
              </w:rPr>
              <w:t>21,811,838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Accumulated other comprehensive income</w:t>
            </w:r>
          </w:p>
        </w:tc>
        <w:tc>
          <w:tcPr>
            <w:tcW w:w="1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1,318,675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2,496,940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ind w:left="1280"/>
              <w:spacing w:after="0"/>
              <w:rPr>
                <w:sz w:val="20"/>
                <w:szCs w:val="20"/>
                <w:color w:val="auto"/>
              </w:rPr>
            </w:pPr>
            <w:r>
              <w:rPr>
                <w:rFonts w:ascii="Arial" w:cs="Arial" w:eastAsia="Arial" w:hAnsi="Arial"/>
                <w:sz w:val="17"/>
                <w:szCs w:val="17"/>
                <w:color w:val="auto"/>
              </w:rPr>
              <w:t>Stockholders’ equity</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w w:val="98"/>
              </w:rPr>
              <w:t>35,024,909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w w:val="91"/>
              </w:rPr>
              <w:t>34,533,648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Non-controlling interest</w:t>
            </w:r>
          </w:p>
        </w:tc>
        <w:tc>
          <w:tcPr>
            <w:tcW w:w="1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58,653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91,795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Pr>
          <w:p>
            <w:pPr>
              <w:ind w:left="1280"/>
              <w:spacing w:after="0"/>
              <w:rPr>
                <w:sz w:val="20"/>
                <w:szCs w:val="20"/>
                <w:color w:val="auto"/>
              </w:rPr>
            </w:pPr>
            <w:r>
              <w:rPr>
                <w:rFonts w:ascii="Arial" w:cs="Arial" w:eastAsia="Arial" w:hAnsi="Arial"/>
                <w:sz w:val="17"/>
                <w:szCs w:val="17"/>
                <w:color w:val="auto"/>
              </w:rPr>
              <w:t>Total equity</w:t>
            </w:r>
          </w:p>
        </w:tc>
        <w:tc>
          <w:tcPr>
            <w:tcW w:w="1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98"/>
              </w:rPr>
              <w:t>35,083,562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91"/>
              </w:rPr>
              <w:t>34,625,443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ind w:left="17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8"/>
              </w:rPr>
              <w:t>39,042,642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1"/>
              </w:rPr>
              <w:t>40,039,742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See notes to consolidated financial statements.</w:t>
            </w:r>
          </w:p>
        </w:tc>
        <w:tc>
          <w:tcPr>
            <w:tcW w:w="17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414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 FOR THE THREE MONTHS ENDED NOVEMBER 30, 2011 AND 2010</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9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260" w:type="dxa"/>
            <w:vAlign w:val="bottom"/>
            <w:tcBorders>
              <w:top w:val="single" w:sz="8" w:color="auto"/>
              <w:bottom w:val="single" w:sz="8" w:color="auto"/>
            </w:tcBorders>
            <w:gridSpan w:val="4"/>
          </w:tcPr>
          <w:p>
            <w:pPr>
              <w:jc w:val="right"/>
              <w:ind w:right="390"/>
              <w:spacing w:after="0" w:line="204" w:lineRule="exact"/>
              <w:rPr>
                <w:sz w:val="20"/>
                <w:szCs w:val="20"/>
                <w:color w:val="auto"/>
              </w:rPr>
            </w:pPr>
            <w:r>
              <w:rPr>
                <w:rFonts w:ascii="Arial" w:cs="Arial" w:eastAsia="Arial" w:hAnsi="Arial"/>
                <w:sz w:val="18"/>
                <w:szCs w:val="18"/>
                <w:b w:val="1"/>
                <w:bCs w:val="1"/>
                <w:color w:val="auto"/>
                <w:w w:val="98"/>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12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0" w:type="dxa"/>
            <w:vAlign w:val="bottom"/>
          </w:tcPr>
          <w:p>
            <w:pPr>
              <w:spacing w:after="0"/>
              <w:rPr>
                <w:sz w:val="1"/>
                <w:szCs w:val="1"/>
                <w:color w:val="auto"/>
              </w:rPr>
            </w:pPr>
          </w:p>
        </w:tc>
      </w:tr>
      <w:tr>
        <w:trPr>
          <w:trHeight w:val="234"/>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0"/>
        </w:trPr>
        <w:tc>
          <w:tcPr>
            <w:tcW w:w="8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sales, excluding joint ventures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4,277,643</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3,446,303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20" w:type="dxa"/>
            <w:vAlign w:val="bottom"/>
          </w:tcPr>
          <w:p>
            <w:pPr>
              <w:ind w:left="320"/>
              <w:spacing w:after="0"/>
              <w:rPr>
                <w:sz w:val="20"/>
                <w:szCs w:val="20"/>
                <w:color w:val="auto"/>
              </w:rPr>
            </w:pPr>
            <w:r>
              <w:rPr>
                <w:rFonts w:ascii="Arial" w:cs="Arial" w:eastAsia="Arial" w:hAnsi="Arial"/>
                <w:sz w:val="18"/>
                <w:szCs w:val="18"/>
                <w:color w:val="auto"/>
              </w:rPr>
              <w:t>Net sales, to joint ventures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554,471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652,138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4,832,114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4,098,441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3,209,476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2,690,705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ind w:left="6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1,622,638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1,407,736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Equity in income of joint ventures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1,357,680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1,695,131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20" w:type="dxa"/>
            <w:vAlign w:val="bottom"/>
          </w:tcPr>
          <w:p>
            <w:pPr>
              <w:ind w:left="960"/>
              <w:spacing w:after="0"/>
              <w:rPr>
                <w:sz w:val="20"/>
                <w:szCs w:val="20"/>
                <w:color w:val="auto"/>
              </w:rPr>
            </w:pPr>
            <w:r>
              <w:rPr>
                <w:rFonts w:ascii="Arial" w:cs="Arial" w:eastAsia="Arial" w:hAnsi="Arial"/>
                <w:sz w:val="18"/>
                <w:szCs w:val="18"/>
                <w:color w:val="auto"/>
              </w:rPr>
              <w:t>Fees for services provided to joint ventures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1,445,252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1,451,780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2,802,932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3,146,911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960"/>
              <w:spacing w:after="0"/>
              <w:rPr>
                <w:sz w:val="20"/>
                <w:szCs w:val="20"/>
                <w:color w:val="auto"/>
              </w:rPr>
            </w:pPr>
            <w:r>
              <w:rPr>
                <w:rFonts w:ascii="Arial" w:cs="Arial" w:eastAsia="Arial" w:hAnsi="Arial"/>
                <w:sz w:val="18"/>
                <w:szCs w:val="18"/>
                <w:color w:val="auto"/>
              </w:rPr>
              <w:t>Selling expenses</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1,108,486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999,053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1,270,013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960"/>
              <w:spacing w:after="0"/>
              <w:rPr>
                <w:sz w:val="20"/>
                <w:szCs w:val="20"/>
                <w:color w:val="auto"/>
              </w:rPr>
            </w:pPr>
            <w:r>
              <w:rPr>
                <w:rFonts w:ascii="Arial" w:cs="Arial" w:eastAsia="Arial" w:hAnsi="Arial"/>
                <w:sz w:val="18"/>
                <w:szCs w:val="18"/>
                <w:color w:val="auto"/>
              </w:rPr>
              <w:t>Expenses incurred in support of joint ventures</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200,264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228,721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814,305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1,193,456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3,393,068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3,525,397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1,032,502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1,029,250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1,041,421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1,016,874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106,000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935,421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894,874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(23,336)</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INCOME ATTRIBUTABLE TO NTIC</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958,757</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899,781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ind w:left="12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92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220"/>
              <w:spacing w:after="0"/>
              <w:rPr>
                <w:sz w:val="20"/>
                <w:szCs w:val="20"/>
                <w:color w:val="auto"/>
              </w:rPr>
            </w:pPr>
            <w:r>
              <w:rPr>
                <w:rFonts w:ascii="Arial" w:cs="Arial" w:eastAsia="Arial" w:hAnsi="Arial"/>
                <w:sz w:val="18"/>
                <w:szCs w:val="18"/>
                <w:color w:val="auto"/>
              </w:rPr>
              <w:t>ASSUMED OUTSTANDING:</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9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4,355,666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4,264,187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ind w:left="12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4,433,724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4,324,757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 w:name="page6"/>
    <w:bookmarkEnd w:id="5"/>
    <w:p>
      <w:pPr>
        <w:ind w:right="414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THREE MONTHS ENDED NOVEMBER 30, 2011 AND 2010</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9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280" w:type="dxa"/>
            <w:vAlign w:val="bottom"/>
            <w:tcBorders>
              <w:top w:val="single" w:sz="8" w:color="auto"/>
              <w:bottom w:val="single" w:sz="8" w:color="auto"/>
            </w:tcBorders>
            <w:gridSpan w:val="4"/>
          </w:tcPr>
          <w:p>
            <w:pPr>
              <w:ind w:left="160"/>
              <w:spacing w:after="0" w:line="204"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12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0" w:type="dxa"/>
            <w:vAlign w:val="bottom"/>
          </w:tcPr>
          <w:p>
            <w:pPr>
              <w:spacing w:after="0"/>
              <w:rPr>
                <w:sz w:val="1"/>
                <w:szCs w:val="1"/>
                <w:color w:val="auto"/>
              </w:rPr>
            </w:pPr>
          </w:p>
        </w:tc>
      </w:tr>
      <w:tr>
        <w:trPr>
          <w:trHeight w:val="234"/>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0"/>
        </w:trPr>
        <w:tc>
          <w:tcPr>
            <w:tcW w:w="8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935,421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2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Expensing of fair value of stock options vested</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72,523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640"/>
              <w:spacing w:after="0"/>
              <w:rPr>
                <w:sz w:val="20"/>
                <w:szCs w:val="20"/>
                <w:color w:val="auto"/>
              </w:rPr>
            </w:pPr>
            <w:r>
              <w:rPr>
                <w:rFonts w:ascii="Arial" w:cs="Arial" w:eastAsia="Arial" w:hAnsi="Arial"/>
                <w:sz w:val="18"/>
                <w:szCs w:val="18"/>
                <w:color w:val="auto"/>
              </w:rPr>
              <w:t>Depreciation expense</w:t>
            </w: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80,887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Amortization expense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640"/>
              <w:spacing w:after="0"/>
              <w:rPr>
                <w:sz w:val="20"/>
                <w:szCs w:val="20"/>
                <w:color w:val="auto"/>
              </w:rPr>
            </w:pPr>
            <w:r>
              <w:rPr>
                <w:rFonts w:ascii="Arial" w:cs="Arial" w:eastAsia="Arial" w:hAnsi="Arial"/>
                <w:sz w:val="18"/>
                <w:szCs w:val="18"/>
                <w:color w:val="auto"/>
              </w:rPr>
              <w:t>Equity in income from joint ventures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(1,357,680)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(1,695,131)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current assets and liabilities: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96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Trade, excluding joint ventures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1280"/>
              <w:spacing w:after="0"/>
              <w:rPr>
                <w:sz w:val="20"/>
                <w:szCs w:val="20"/>
                <w:color w:val="auto"/>
              </w:rPr>
            </w:pPr>
            <w:r>
              <w:rPr>
                <w:rFonts w:ascii="Arial" w:cs="Arial" w:eastAsia="Arial" w:hAnsi="Arial"/>
                <w:sz w:val="18"/>
                <w:szCs w:val="18"/>
                <w:color w:val="auto"/>
              </w:rPr>
              <w:t>Trade, joint ventures</w:t>
            </w: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144,157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Fees for services receivables, joint ventures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128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96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(349,112)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960"/>
              <w:spacing w:after="0"/>
              <w:rPr>
                <w:sz w:val="20"/>
                <w:szCs w:val="20"/>
                <w:color w:val="auto"/>
              </w:rPr>
            </w:pPr>
            <w:r>
              <w:rPr>
                <w:rFonts w:ascii="Arial" w:cs="Arial" w:eastAsia="Arial" w:hAnsi="Arial"/>
                <w:sz w:val="18"/>
                <w:szCs w:val="18"/>
                <w:color w:val="auto"/>
              </w:rPr>
              <w:t>Income tax payable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(235,366)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(1,785,543)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(1,992,801)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in joint ventures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20"/>
              <w:spacing w:after="0"/>
              <w:rPr>
                <w:sz w:val="20"/>
                <w:szCs w:val="20"/>
                <w:color w:val="auto"/>
              </w:rPr>
            </w:pPr>
            <w:r>
              <w:rPr>
                <w:rFonts w:ascii="Arial" w:cs="Arial" w:eastAsia="Arial" w:hAnsi="Arial"/>
                <w:sz w:val="18"/>
                <w:szCs w:val="18"/>
                <w:color w:val="auto"/>
              </w:rPr>
              <w:t>Dividends received from joint ventures</w:t>
            </w: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2,031,450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1,368,599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Additions to property and equipment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20" w:type="dxa"/>
            <w:vAlign w:val="bottom"/>
          </w:tcPr>
          <w:p>
            <w:pPr>
              <w:ind w:left="320"/>
              <w:spacing w:after="0"/>
              <w:rPr>
                <w:sz w:val="20"/>
                <w:szCs w:val="20"/>
                <w:color w:val="auto"/>
              </w:rPr>
            </w:pPr>
            <w:r>
              <w:rPr>
                <w:rFonts w:ascii="Arial" w:cs="Arial" w:eastAsia="Arial" w:hAnsi="Arial"/>
                <w:sz w:val="18"/>
                <w:szCs w:val="18"/>
                <w:color w:val="auto"/>
              </w:rPr>
              <w:t>Additions to patents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investing activities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1,935,717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1,244,875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20"/>
              <w:spacing w:after="0"/>
              <w:rPr>
                <w:sz w:val="20"/>
                <w:szCs w:val="20"/>
                <w:color w:val="auto"/>
              </w:rPr>
            </w:pPr>
            <w:r>
              <w:rPr>
                <w:rFonts w:ascii="Arial" w:cs="Arial" w:eastAsia="Arial" w:hAnsi="Arial"/>
                <w:sz w:val="18"/>
                <w:szCs w:val="18"/>
                <w:color w:val="auto"/>
              </w:rPr>
              <w:t>Repayment of note payable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20" w:type="dxa"/>
            <w:vAlign w:val="bottom"/>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269,867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141,009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3,266,362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1,776,162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3,407,371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1,302,444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940" w:type="dxa"/>
            <w:vAlign w:val="bottom"/>
            <w:gridSpan w:val="2"/>
          </w:tcPr>
          <w:p>
            <w:pPr>
              <w:spacing w:after="0"/>
              <w:rPr>
                <w:sz w:val="20"/>
                <w:szCs w:val="20"/>
                <w:color w:val="auto"/>
              </w:rPr>
            </w:pPr>
            <w:r>
              <w:rPr>
                <w:rFonts w:ascii="Arial" w:cs="Arial" w:eastAsia="Arial" w:hAnsi="Arial"/>
                <w:sz w:val="18"/>
                <w:szCs w:val="18"/>
                <w:color w:val="auto"/>
              </w:rPr>
              <w:t>See notes to consolidated financial statements.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940" w:type="dxa"/>
            <w:vAlign w:val="bottom"/>
            <w:gridSpan w:val="2"/>
          </w:tcPr>
          <w:p>
            <w:pPr>
              <w:jc w:val="right"/>
              <w:ind w:right="309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9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ind w:right="414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55"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2011 and the results of their operations for the three months ended November 30, 2011 and November 30, 2010 and their cash flows for the three months ended November 30, 2011 and November 30, 2010, in conformity with accounting principles generally accepted in the United States of America (U.S. GAAP).</w:t>
      </w:r>
    </w:p>
    <w:p>
      <w:pPr>
        <w:spacing w:after="0" w:line="215" w:lineRule="exact"/>
        <w:rPr>
          <w:sz w:val="20"/>
          <w:szCs w:val="20"/>
          <w:color w:val="auto"/>
        </w:rPr>
      </w:pPr>
    </w:p>
    <w:p>
      <w:pPr>
        <w:jc w:val="both"/>
        <w:ind w:right="860"/>
        <w:spacing w:after="0" w:line="312" w:lineRule="auto"/>
        <w:rPr>
          <w:sz w:val="20"/>
          <w:szCs w:val="20"/>
          <w:color w:val="auto"/>
        </w:rPr>
      </w:pPr>
      <w:r>
        <w:rPr>
          <w:rFonts w:ascii="Arial" w:cs="Arial" w:eastAsia="Arial" w:hAnsi="Arial"/>
          <w:sz w:val="16"/>
          <w:szCs w:val="16"/>
          <w:color w:val="auto"/>
        </w:rPr>
        <w:t>These consolidated financial statements should be read in conjunction with the consolidated financial statements and related notes contained in the Company’s annual report on Form 10-K for the fiscal year ended August 31, 2011. These consolidated financial statements also should be read in conjunction with the “Management’s Discussion and Analysis of Financial Condition and Results of Operations” section appearing in this report.</w:t>
      </w:r>
    </w:p>
    <w:p>
      <w:pPr>
        <w:spacing w:after="0" w:line="17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Operating results for the three months ended November 30, 2011 are not necessarily indicative of the results that may be expected for the full fiscal year ending August 31, 2012.</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 evaluates events occurring after the date of the consolidated financial statements requiring recording or disclosure in the financial statements.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2.</w:t>
            </w:r>
          </w:p>
        </w:tc>
        <w:tc>
          <w:tcPr>
            <w:tcW w:w="8040" w:type="dxa"/>
            <w:vAlign w:val="bottom"/>
          </w:tcPr>
          <w:p>
            <w:pPr>
              <w:ind w:left="240"/>
              <w:spacing w:after="0"/>
              <w:rPr>
                <w:sz w:val="20"/>
                <w:szCs w:val="20"/>
                <w:color w:val="auto"/>
              </w:rPr>
            </w:pPr>
            <w:r>
              <w:rPr>
                <w:rFonts w:ascii="Arial" w:cs="Arial" w:eastAsia="Arial" w:hAnsi="Arial"/>
                <w:sz w:val="18"/>
                <w:szCs w:val="18"/>
                <w:b w:val="1"/>
                <w:bCs w:val="1"/>
                <w:color w:val="auto"/>
              </w:rPr>
              <w:t>INVENTORIES</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844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73"/>
        </w:trPr>
        <w:tc>
          <w:tcPr>
            <w:tcW w:w="40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88"/>
              </w:rPr>
              <w:t>November 30, 2011</w:t>
            </w:r>
          </w:p>
        </w:tc>
        <w:tc>
          <w:tcPr>
            <w:tcW w:w="100" w:type="dxa"/>
            <w:vAlign w:val="bottom"/>
          </w:tcPr>
          <w:p>
            <w:pPr>
              <w:spacing w:after="0"/>
              <w:rPr>
                <w:sz w:val="24"/>
                <w:szCs w:val="2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August 31, 2011</w:t>
            </w:r>
          </w:p>
        </w:tc>
      </w:tr>
      <w:tr>
        <w:trPr>
          <w:trHeight w:val="210"/>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1,470,732</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1,320,082</w:t>
            </w: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2,496,522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2,522,772</w:t>
            </w:r>
          </w:p>
        </w:tc>
      </w:tr>
      <w:tr>
        <w:trPr>
          <w:trHeight w:val="263"/>
        </w:trPr>
        <w:tc>
          <w:tcPr>
            <w:tcW w:w="400" w:type="dxa"/>
            <w:vAlign w:val="bottom"/>
            <w:tcBorders>
              <w:bottom w:val="single" w:sz="8" w:color="CCEEFF"/>
            </w:tcBorders>
            <w:shd w:val="clear" w:color="auto" w:fill="CCEEFF"/>
          </w:tcPr>
          <w:p>
            <w:pPr>
              <w:spacing w:after="0"/>
              <w:rPr>
                <w:sz w:val="22"/>
                <w:szCs w:val="22"/>
                <w:color w:val="auto"/>
              </w:rPr>
            </w:pPr>
          </w:p>
        </w:tc>
        <w:tc>
          <w:tcPr>
            <w:tcW w:w="80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3,967,254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3,842,854</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Arial" w:cs="Arial" w:eastAsia="Arial" w:hAnsi="Arial"/>
                <w:sz w:val="18"/>
                <w:szCs w:val="18"/>
                <w:b w:val="1"/>
                <w:bCs w:val="1"/>
                <w:color w:val="auto"/>
              </w:rPr>
              <w:t>3.</w:t>
            </w:r>
          </w:p>
        </w:tc>
        <w:tc>
          <w:tcPr>
            <w:tcW w:w="8320" w:type="dxa"/>
            <w:vAlign w:val="bottom"/>
            <w:gridSpan w:val="2"/>
          </w:tcPr>
          <w:p>
            <w:pPr>
              <w:ind w:left="140"/>
              <w:spacing w:after="0"/>
              <w:rPr>
                <w:sz w:val="20"/>
                <w:szCs w:val="20"/>
                <w:color w:val="auto"/>
              </w:rPr>
            </w:pPr>
            <w:r>
              <w:rPr>
                <w:rFonts w:ascii="Arial" w:cs="Arial" w:eastAsia="Arial" w:hAnsi="Arial"/>
                <w:sz w:val="18"/>
                <w:szCs w:val="18"/>
                <w:b w:val="1"/>
                <w:bCs w:val="1"/>
                <w:color w:val="auto"/>
              </w:rPr>
              <w:t>PROPERTY AND EQUIPMENT, NET</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8820" w:type="dxa"/>
            <w:vAlign w:val="bottom"/>
            <w:gridSpan w:val="3"/>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73"/>
        </w:trPr>
        <w:tc>
          <w:tcPr>
            <w:tcW w:w="5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November 30, 2011</w:t>
            </w:r>
          </w:p>
        </w:tc>
        <w:tc>
          <w:tcPr>
            <w:tcW w:w="100" w:type="dxa"/>
            <w:vAlign w:val="bottom"/>
          </w:tcPr>
          <w:p>
            <w:pPr>
              <w:spacing w:after="0"/>
              <w:rPr>
                <w:sz w:val="24"/>
                <w:szCs w:val="2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August 31, 2011</w:t>
            </w:r>
          </w:p>
        </w:tc>
      </w:tr>
      <w:tr>
        <w:trPr>
          <w:trHeight w:val="210"/>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320" w:type="dxa"/>
            <w:vAlign w:val="bottom"/>
            <w:gridSpan w:val="2"/>
            <w:shd w:val="clear" w:color="auto" w:fill="CCEEFF"/>
          </w:tcPr>
          <w:p>
            <w:pPr>
              <w:ind w:left="79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3,110,867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3,110,867</w:t>
            </w:r>
          </w:p>
        </w:tc>
      </w:tr>
      <w:tr>
        <w:trPr>
          <w:trHeight w:val="230"/>
        </w:trPr>
        <w:tc>
          <w:tcPr>
            <w:tcW w:w="8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2,247,803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2,213,269</w:t>
            </w:r>
          </w:p>
        </w:tc>
      </w:tr>
      <w:tr>
        <w:trPr>
          <w:trHeight w:val="210"/>
        </w:trPr>
        <w:tc>
          <w:tcPr>
            <w:tcW w:w="500" w:type="dxa"/>
            <w:vAlign w:val="bottom"/>
            <w:tcBorders>
              <w:top w:val="single" w:sz="8" w:color="CCEEFF"/>
            </w:tcBorders>
          </w:tcPr>
          <w:p>
            <w:pPr>
              <w:spacing w:after="0"/>
              <w:rPr>
                <w:sz w:val="18"/>
                <w:szCs w:val="18"/>
                <w:color w:val="auto"/>
              </w:rPr>
            </w:pPr>
          </w:p>
        </w:tc>
        <w:tc>
          <w:tcPr>
            <w:tcW w:w="79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5,669,035</w:t>
            </w: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5,634,501</w:t>
            </w:r>
          </w:p>
        </w:tc>
      </w:tr>
      <w:tr>
        <w:trPr>
          <w:trHeight w:val="230"/>
        </w:trPr>
        <w:tc>
          <w:tcPr>
            <w:tcW w:w="8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(2,079,054)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(1,998,166)</w:t>
            </w:r>
          </w:p>
        </w:tc>
      </w:tr>
      <w:tr>
        <w:trPr>
          <w:trHeight w:val="223"/>
        </w:trPr>
        <w:tc>
          <w:tcPr>
            <w:tcW w:w="500" w:type="dxa"/>
            <w:vAlign w:val="bottom"/>
          </w:tcPr>
          <w:p>
            <w:pPr>
              <w:spacing w:after="0"/>
              <w:rPr>
                <w:sz w:val="19"/>
                <w:szCs w:val="19"/>
                <w:color w:val="auto"/>
              </w:rPr>
            </w:pPr>
          </w:p>
        </w:tc>
        <w:tc>
          <w:tcPr>
            <w:tcW w:w="8320" w:type="dxa"/>
            <w:vAlign w:val="bottom"/>
            <w:gridSpan w:val="2"/>
          </w:tcPr>
          <w:p>
            <w:pPr>
              <w:ind w:left="79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3,589,981</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3,636,335</w:t>
            </w:r>
          </w:p>
        </w:tc>
      </w:tr>
      <w:tr>
        <w:trPr>
          <w:trHeight w:val="20"/>
        </w:trPr>
        <w:tc>
          <w:tcPr>
            <w:tcW w:w="5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4420" w:type="dxa"/>
            <w:vAlign w:val="bottom"/>
          </w:tcPr>
          <w:p>
            <w:pPr>
              <w:ind w:left="240"/>
              <w:spacing w:after="0"/>
              <w:rPr>
                <w:sz w:val="20"/>
                <w:szCs w:val="20"/>
                <w:color w:val="auto"/>
              </w:rPr>
            </w:pPr>
            <w:r>
              <w:rPr>
                <w:rFonts w:ascii="Arial" w:cs="Arial" w:eastAsia="Arial" w:hAnsi="Arial"/>
                <w:sz w:val="18"/>
                <w:szCs w:val="18"/>
                <w:b w:val="1"/>
                <w:bCs w:val="1"/>
                <w:color w:val="auto"/>
              </w:rPr>
              <w:t>PATENTS AND TRADEMARKS, NET</w:t>
            </w:r>
          </w:p>
        </w:tc>
        <w:tc>
          <w:tcPr>
            <w:tcW w:w="3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482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73"/>
        </w:trPr>
        <w:tc>
          <w:tcPr>
            <w:tcW w:w="4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November 30, 2011</w:t>
            </w:r>
          </w:p>
        </w:tc>
        <w:tc>
          <w:tcPr>
            <w:tcW w:w="100" w:type="dxa"/>
            <w:vAlign w:val="bottom"/>
          </w:tcPr>
          <w:p>
            <w:pPr>
              <w:spacing w:after="0"/>
              <w:rPr>
                <w:sz w:val="24"/>
                <w:szCs w:val="2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August 31, 2011</w:t>
            </w:r>
          </w:p>
        </w:tc>
      </w:tr>
      <w:tr>
        <w:trPr>
          <w:trHeight w:val="210"/>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402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1,803,425</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1,758,722</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36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(894,398)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(855,684)</w:t>
            </w:r>
          </w:p>
        </w:tc>
      </w:tr>
      <w:tr>
        <w:trPr>
          <w:trHeight w:val="263"/>
        </w:trPr>
        <w:tc>
          <w:tcPr>
            <w:tcW w:w="400" w:type="dxa"/>
            <w:vAlign w:val="bottom"/>
            <w:shd w:val="clear" w:color="auto" w:fill="CCEEFF"/>
          </w:tcPr>
          <w:p>
            <w:pPr>
              <w:spacing w:after="0"/>
              <w:rPr>
                <w:sz w:val="22"/>
                <w:szCs w:val="22"/>
                <w:color w:val="auto"/>
              </w:rPr>
            </w:pPr>
          </w:p>
        </w:tc>
        <w:tc>
          <w:tcPr>
            <w:tcW w:w="4420" w:type="dxa"/>
            <w:vAlign w:val="bottom"/>
            <w:shd w:val="clear" w:color="auto" w:fill="CCEEFF"/>
          </w:tcPr>
          <w:p>
            <w:pPr>
              <w:spacing w:after="0"/>
              <w:rPr>
                <w:sz w:val="22"/>
                <w:szCs w:val="22"/>
                <w:color w:val="auto"/>
              </w:rPr>
            </w:pPr>
          </w:p>
        </w:tc>
        <w:tc>
          <w:tcPr>
            <w:tcW w:w="4020" w:type="dxa"/>
            <w:vAlign w:val="bottom"/>
            <w:gridSpan w:val="2"/>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909,027</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903,038</w:t>
            </w:r>
          </w:p>
        </w:tc>
      </w:tr>
      <w:tr>
        <w:trPr>
          <w:trHeight w:val="345"/>
        </w:trPr>
        <w:tc>
          <w:tcPr>
            <w:tcW w:w="400" w:type="dxa"/>
            <w:vAlign w:val="bottom"/>
            <w:tcBorders>
              <w:top w:val="single" w:sz="8" w:color="CCEEFF"/>
            </w:tcBorders>
          </w:tcPr>
          <w:p>
            <w:pPr>
              <w:spacing w:after="0"/>
              <w:rPr>
                <w:sz w:val="24"/>
                <w:szCs w:val="24"/>
                <w:color w:val="auto"/>
              </w:rPr>
            </w:pPr>
          </w:p>
        </w:tc>
        <w:tc>
          <w:tcPr>
            <w:tcW w:w="4420" w:type="dxa"/>
            <w:vAlign w:val="bottom"/>
            <w:tcBorders>
              <w:top w:val="single" w:sz="8" w:color="CCEEFF"/>
            </w:tcBorders>
          </w:tcPr>
          <w:p>
            <w:pPr>
              <w:spacing w:after="0"/>
              <w:rPr>
                <w:sz w:val="24"/>
                <w:szCs w:val="24"/>
                <w:color w:val="auto"/>
              </w:rPr>
            </w:pPr>
          </w:p>
        </w:tc>
        <w:tc>
          <w:tcPr>
            <w:tcW w:w="3620" w:type="dxa"/>
            <w:vAlign w:val="bottom"/>
            <w:tcBorders>
              <w:top w:val="single" w:sz="8" w:color="CCEEFF"/>
            </w:tcBorders>
          </w:tcPr>
          <w:p>
            <w:pPr>
              <w:jc w:val="right"/>
              <w:ind w:right="2590"/>
              <w:spacing w:after="0"/>
              <w:rPr>
                <w:sz w:val="20"/>
                <w:szCs w:val="20"/>
                <w:color w:val="auto"/>
              </w:rPr>
            </w:pPr>
            <w:r>
              <w:rPr>
                <w:rFonts w:ascii="Arial" w:cs="Arial" w:eastAsia="Arial" w:hAnsi="Arial"/>
                <w:sz w:val="18"/>
                <w:szCs w:val="18"/>
                <w:color w:val="auto"/>
              </w:rPr>
              <w:t>6</w:t>
            </w:r>
          </w:p>
        </w:tc>
        <w:tc>
          <w:tcPr>
            <w:tcW w:w="4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105"/>
        </w:trPr>
        <w:tc>
          <w:tcPr>
            <w:tcW w:w="40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61"/>
        </w:trPr>
        <w:tc>
          <w:tcPr>
            <w:tcW w:w="400" w:type="dxa"/>
            <w:vAlign w:val="bottom"/>
            <w:shd w:val="clear" w:color="auto" w:fill="808080"/>
          </w:tcPr>
          <w:p>
            <w:pPr>
              <w:spacing w:after="0"/>
              <w:rPr>
                <w:sz w:val="5"/>
                <w:szCs w:val="5"/>
                <w:color w:val="auto"/>
              </w:rPr>
            </w:pPr>
          </w:p>
        </w:tc>
        <w:tc>
          <w:tcPr>
            <w:tcW w:w="4420" w:type="dxa"/>
            <w:vAlign w:val="bottom"/>
            <w:shd w:val="clear" w:color="auto" w:fill="808080"/>
          </w:tcPr>
          <w:p>
            <w:pPr>
              <w:spacing w:after="0"/>
              <w:rPr>
                <w:sz w:val="5"/>
                <w:szCs w:val="5"/>
                <w:color w:val="auto"/>
              </w:rPr>
            </w:pPr>
          </w:p>
        </w:tc>
        <w:tc>
          <w:tcPr>
            <w:tcW w:w="36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ind w:right="4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$160,000 in each of the next five fiscal years.</w:t>
      </w:r>
    </w:p>
    <w:p>
      <w:pPr>
        <w:spacing w:after="0" w:line="204"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financial statements have subsequently been adjusted to approximate U.S. GAAP in all material respects. All material profits recorded on sales from the Company to its joint ventures, that remain in inventory, have been eliminated for financial reporting purposes.</w:t>
      </w:r>
    </w:p>
    <w:p>
      <w:pPr>
        <w:spacing w:after="0" w:line="214"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 Technologien und Produkte GmbH (EXCOR), the Company’s joint venture holding company in the Association of Southeast Asian Nations, or ASEAN, region, NTI ASEAN, LLC (NTI ASEAN), and all of the Company’s other joint ventures, are summarized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November 30, 2011</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3"/>
        </w:trPr>
        <w:tc>
          <w:tcPr>
            <w:tcW w:w="5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NTI ASEAN</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$63,235,064</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$19,816,458</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$ 15,616,441</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$27,802,165</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Total assets</w:t>
            </w:r>
          </w:p>
        </w:tc>
        <w:tc>
          <w:tcPr>
            <w:tcW w:w="2660" w:type="dxa"/>
            <w:vAlign w:val="bottom"/>
            <w:gridSpan w:val="2"/>
          </w:tcPr>
          <w:p>
            <w:pPr>
              <w:jc w:val="right"/>
              <w:ind w:right="10"/>
              <w:spacing w:after="0"/>
              <w:rPr>
                <w:sz w:val="20"/>
                <w:szCs w:val="20"/>
                <w:color w:val="auto"/>
              </w:rPr>
            </w:pPr>
            <w:r>
              <w:rPr>
                <w:rFonts w:ascii="Arial" w:cs="Arial" w:eastAsia="Arial" w:hAnsi="Arial"/>
                <w:sz w:val="18"/>
                <w:szCs w:val="18"/>
                <w:color w:val="auto"/>
              </w:rPr>
              <w:t>69,351,206</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22,372,432</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15,767,688</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31,211,086</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24,888,418</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4,321,772</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7,200,800</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13,365,846</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660" w:type="dxa"/>
            <w:vAlign w:val="bottom"/>
            <w:gridSpan w:val="2"/>
          </w:tcPr>
          <w:p>
            <w:pPr>
              <w:jc w:val="right"/>
              <w:ind w:right="10"/>
              <w:spacing w:after="0"/>
              <w:rPr>
                <w:sz w:val="20"/>
                <w:szCs w:val="20"/>
                <w:color w:val="auto"/>
              </w:rPr>
            </w:pPr>
            <w:r>
              <w:rPr>
                <w:rFonts w:ascii="Arial" w:cs="Arial" w:eastAsia="Arial" w:hAnsi="Arial"/>
                <w:sz w:val="18"/>
                <w:szCs w:val="18"/>
                <w:color w:val="auto"/>
              </w:rPr>
              <w:t>4,709,307</w:t>
            </w: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983,009</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3,726,298</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39,753,481</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18,050,660</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7,583,879</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14,118,942</w:t>
            </w: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w:t>
            </w:r>
          </w:p>
        </w:tc>
        <w:tc>
          <w:tcPr>
            <w:tcW w:w="1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share of joint ventures’ equity</w:t>
            </w:r>
          </w:p>
        </w:tc>
        <w:tc>
          <w:tcPr>
            <w:tcW w:w="2660" w:type="dxa"/>
            <w:vAlign w:val="bottom"/>
            <w:gridSpan w:val="2"/>
          </w:tcPr>
          <w:p>
            <w:pPr>
              <w:jc w:val="right"/>
              <w:ind w:right="10"/>
              <w:spacing w:after="0"/>
              <w:rPr>
                <w:sz w:val="20"/>
                <w:szCs w:val="20"/>
                <w:color w:val="auto"/>
              </w:rPr>
            </w:pPr>
            <w:r>
              <w:rPr>
                <w:rFonts w:ascii="Arial" w:cs="Arial" w:eastAsia="Arial" w:hAnsi="Arial"/>
                <w:sz w:val="18"/>
                <w:szCs w:val="18"/>
                <w:color w:val="auto"/>
              </w:rPr>
              <w:t>18,763,038</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9,025,332</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3,138,696</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6,599,010</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August 31, 2011</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NTI ASEAN</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$66,956,061</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$ 24,411,880</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$ 14,565,219</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$27,978,962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Total assets</w:t>
            </w:r>
          </w:p>
        </w:tc>
        <w:tc>
          <w:tcPr>
            <w:tcW w:w="3300" w:type="dxa"/>
            <w:vAlign w:val="bottom"/>
            <w:gridSpan w:val="2"/>
          </w:tcPr>
          <w:p>
            <w:pPr>
              <w:jc w:val="right"/>
              <w:ind w:right="10"/>
              <w:spacing w:after="0"/>
              <w:rPr>
                <w:sz w:val="20"/>
                <w:szCs w:val="20"/>
                <w:color w:val="auto"/>
              </w:rPr>
            </w:pPr>
            <w:r>
              <w:rPr>
                <w:rFonts w:ascii="Arial" w:cs="Arial" w:eastAsia="Arial" w:hAnsi="Arial"/>
                <w:sz w:val="18"/>
                <w:szCs w:val="18"/>
                <w:color w:val="auto"/>
              </w:rPr>
              <w:t>73,155,916</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27,093,874</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14,759,582</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31,302,460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24,712,555</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5,145,239</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6,123,684</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13,443,632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300" w:type="dxa"/>
            <w:vAlign w:val="bottom"/>
            <w:gridSpan w:val="2"/>
          </w:tcPr>
          <w:p>
            <w:pPr>
              <w:jc w:val="right"/>
              <w:ind w:right="10"/>
              <w:spacing w:after="0"/>
              <w:rPr>
                <w:sz w:val="20"/>
                <w:szCs w:val="20"/>
                <w:color w:val="auto"/>
              </w:rPr>
            </w:pPr>
            <w:r>
              <w:rPr>
                <w:rFonts w:ascii="Arial" w:cs="Arial" w:eastAsia="Arial" w:hAnsi="Arial"/>
                <w:sz w:val="18"/>
                <w:szCs w:val="18"/>
                <w:color w:val="auto"/>
              </w:rPr>
              <w:t>4,605,837</w:t>
            </w: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1,020,034</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3,585,803</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43,752,524</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21,948,635</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7,615,864</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14,273,025</w:t>
            </w:r>
          </w:p>
        </w:tc>
      </w:tr>
      <w:tr>
        <w:trPr>
          <w:trHeight w:val="202"/>
        </w:trPr>
        <w:tc>
          <w:tcPr>
            <w:tcW w:w="466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w:t>
            </w:r>
          </w:p>
        </w:tc>
        <w:tc>
          <w:tcPr>
            <w:tcW w:w="2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share of joint ventures’ equity</w:t>
            </w:r>
          </w:p>
        </w:tc>
        <w:tc>
          <w:tcPr>
            <w:tcW w:w="3300" w:type="dxa"/>
            <w:vAlign w:val="bottom"/>
            <w:gridSpan w:val="2"/>
          </w:tcPr>
          <w:p>
            <w:pPr>
              <w:jc w:val="right"/>
              <w:ind w:right="10"/>
              <w:spacing w:after="0"/>
              <w:rPr>
                <w:sz w:val="20"/>
                <w:szCs w:val="20"/>
                <w:color w:val="auto"/>
              </w:rPr>
            </w:pPr>
            <w:r>
              <w:rPr>
                <w:rFonts w:ascii="Arial" w:cs="Arial" w:eastAsia="Arial" w:hAnsi="Arial"/>
                <w:sz w:val="18"/>
                <w:szCs w:val="18"/>
                <w:color w:val="auto"/>
              </w:rPr>
              <w:t>20,559,509</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10,931,819</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2,803,194</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6,824,496</w:t>
            </w:r>
          </w:p>
        </w:tc>
      </w:tr>
      <w:tr>
        <w:trPr>
          <w:trHeight w:val="608"/>
        </w:trPr>
        <w:tc>
          <w:tcPr>
            <w:tcW w:w="4660" w:type="dxa"/>
            <w:vAlign w:val="bottom"/>
          </w:tcPr>
          <w:p>
            <w:pPr>
              <w:spacing w:after="0"/>
              <w:rPr>
                <w:sz w:val="24"/>
                <w:szCs w:val="24"/>
                <w:color w:val="auto"/>
              </w:rPr>
            </w:pPr>
          </w:p>
        </w:tc>
        <w:tc>
          <w:tcPr>
            <w:tcW w:w="2280" w:type="dxa"/>
            <w:vAlign w:val="bottom"/>
          </w:tcPr>
          <w:p>
            <w:pPr>
              <w:jc w:val="right"/>
              <w:ind w:right="1090"/>
              <w:spacing w:after="0"/>
              <w:rPr>
                <w:sz w:val="20"/>
                <w:szCs w:val="20"/>
                <w:color w:val="auto"/>
              </w:rPr>
            </w:pPr>
            <w:r>
              <w:rPr>
                <w:rFonts w:ascii="Arial" w:cs="Arial" w:eastAsia="Arial" w:hAnsi="Arial"/>
                <w:sz w:val="18"/>
                <w:szCs w:val="18"/>
                <w:color w:val="auto"/>
              </w:rPr>
              <w:t>7</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5"/>
        </w:trPr>
        <w:tc>
          <w:tcPr>
            <w:tcW w:w="46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61"/>
        </w:trPr>
        <w:tc>
          <w:tcPr>
            <w:tcW w:w="466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gridSpan w:val="10"/>
          </w:tcPr>
          <w:p>
            <w:pPr>
              <w:jc w:val="right"/>
              <w:ind w:right="630"/>
              <w:spacing w:after="0"/>
              <w:rPr>
                <w:sz w:val="20"/>
                <w:szCs w:val="20"/>
                <w:color w:val="auto"/>
              </w:rPr>
            </w:pPr>
            <w:r>
              <w:rPr>
                <w:rFonts w:ascii="Arial" w:cs="Arial" w:eastAsia="Arial" w:hAnsi="Arial"/>
                <w:sz w:val="18"/>
                <w:szCs w:val="18"/>
                <w:b w:val="1"/>
                <w:bCs w:val="1"/>
                <w:color w:val="auto"/>
              </w:rPr>
              <w:t>Three Months Ended November 30, 2011</w:t>
            </w:r>
          </w:p>
        </w:tc>
      </w:tr>
      <w:tr>
        <w:trPr>
          <w:trHeight w:val="223"/>
        </w:trPr>
        <w:tc>
          <w:tcPr>
            <w:tcW w:w="6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EXCOR</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NTI ASEAN</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28,795,232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8,542,250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5,022,328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15,230,654</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13,339,072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4,325,802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2,286,705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6,726,565</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2,538,769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1,457,055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392,366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689,348</w:t>
            </w: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6940" w:type="dxa"/>
            <w:vAlign w:val="bottom"/>
          </w:tcPr>
          <w:p>
            <w:pPr>
              <w:ind w:left="220"/>
              <w:spacing w:after="0"/>
              <w:rPr>
                <w:sz w:val="20"/>
                <w:szCs w:val="20"/>
                <w:color w:val="auto"/>
              </w:rPr>
            </w:pPr>
            <w:r>
              <w:rPr>
                <w:rFonts w:ascii="Arial" w:cs="Arial" w:eastAsia="Arial" w:hAnsi="Arial"/>
                <w:sz w:val="18"/>
                <w:szCs w:val="18"/>
                <w:color w:val="auto"/>
              </w:rPr>
              <w:t>share of equity in income of joint ventures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1,357,680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728,528</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369,462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259,690</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10"/>
          </w:tcPr>
          <w:p>
            <w:pPr>
              <w:jc w:val="right"/>
              <w:ind w:right="690"/>
              <w:spacing w:after="0"/>
              <w:rPr>
                <w:sz w:val="20"/>
                <w:szCs w:val="20"/>
                <w:color w:val="auto"/>
              </w:rPr>
            </w:pPr>
            <w:r>
              <w:rPr>
                <w:rFonts w:ascii="Arial" w:cs="Arial" w:eastAsia="Arial" w:hAnsi="Arial"/>
                <w:sz w:val="18"/>
                <w:szCs w:val="18"/>
                <w:b w:val="1"/>
                <w:bCs w:val="1"/>
                <w:color w:val="auto"/>
              </w:rPr>
              <w:t>Three Months Ended November 30, 2010</w:t>
            </w:r>
          </w:p>
        </w:tc>
      </w:tr>
      <w:tr>
        <w:trPr>
          <w:trHeight w:val="223"/>
        </w:trPr>
        <w:tc>
          <w:tcPr>
            <w:tcW w:w="6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EXCOR</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NTI ASEAN</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27,101,587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8,886,252</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4,321,308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13,894,027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12,706,289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4,490,864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2,051,640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6,163,785</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3,169,841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1,876,545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374,049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919,337</w:t>
            </w:r>
          </w:p>
        </w:tc>
      </w:tr>
      <w:tr>
        <w:trPr>
          <w:trHeight w:val="202"/>
        </w:trPr>
        <w:tc>
          <w:tcPr>
            <w:tcW w:w="680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share of equity in income of joint ventures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1,695,131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938,227</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320,607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436,298</w:t>
            </w:r>
          </w:p>
        </w:tc>
      </w:tr>
    </w:tbl>
    <w:p>
      <w:pPr>
        <w:spacing w:after="0" w:line="22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 Company records expenses that are directly attributable to the joint ventures on the statements of operations on the line “Expenses incurred in support of joint ventures”. The expenses include items such as employee compensation and benefit expenses, travel expense and consulting expense.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the three months ended November 30, 2011 and 2010.</w:t>
      </w:r>
    </w:p>
    <w:p>
      <w:pPr>
        <w:spacing w:after="0" w:line="248"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purchase of its corporate headquarters, in September 2006, Northern Technologies Holding Company, LLC (NTI LLC) obtained a term loan from PNC Bank, National Association (PNC Bank) with a principal amount of $1,275,000 that was to mature on May 1, 2011. On January 10, 2011, NTI LLC refinanced its term loan in the then principal amount of approximately $1,141,788. The term loan matures on January 10, 2016, bears interest at an annual rate based on the daily LIBOR rate plus 2.15% and is payable in 59 consecutive monthly installments equal to approximately $6,343 (inclusive of principal but exclusive of interest) commencing in February 2011. The term loan is secured by a first lien on the real estate and building owned by NTI LLC and all of the assets of the Company and is guaranteed by the Company.</w:t>
      </w:r>
    </w:p>
    <w:p>
      <w:pPr>
        <w:spacing w:after="0" w:line="205"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The Company has a revolving line of credit with PNC Bank of $3,000,000. No amounts were outstanding under the line of credit as of November 30, 2011 and August 31, 2011.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As of November 30, 2011, the interest rate was 3.09% and the weighted average rate was</w:t>
      </w:r>
    </w:p>
    <w:p>
      <w:pPr>
        <w:spacing w:after="0" w:line="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3.02% for the three months ended November 30, 2011. As of August 31, 2011, the interest rate was 2.50% and the weighted average rate was 2.43% for fiscal 2011. The revolving line of credit is secured by cash, receivables and inventory.</w:t>
      </w:r>
    </w:p>
    <w:p>
      <w:pPr>
        <w:spacing w:after="0" w:line="21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term loan and the line of credit are governed under separate loan agreements (collectively, the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the Company is subject to a minimum fixed charge coverage ratio of 1.10:1.00.</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9" w:name="page10"/>
    <w:bookmarkEnd w:id="9"/>
    <w:p>
      <w:pPr>
        <w:jc w:val="both"/>
        <w:ind w:right="20"/>
        <w:spacing w:after="0" w:line="276" w:lineRule="auto"/>
        <w:rPr>
          <w:sz w:val="20"/>
          <w:szCs w:val="20"/>
          <w:color w:val="auto"/>
        </w:rPr>
      </w:pPr>
      <w:r>
        <w:rPr>
          <w:rFonts w:ascii="Arial" w:cs="Arial" w:eastAsia="Arial" w:hAnsi="Arial"/>
          <w:sz w:val="17"/>
          <w:szCs w:val="17"/>
          <w:color w:val="auto"/>
        </w:rPr>
        <w:t>On January 10, 2012, the Company and PNC Bank entered into a Waiver and First Amendment to Loan Documents pursuant to which the Company and PNC Bank amended the loan agreement and other documents evidencing the Company’s $3,000,000 line of credit with PNC Bank effective as of January 11, 2012 to extend the maturity date of the line of credit from January 10, 2012 to January 9, 2013, and waive a technical covenant default by the Company to deliver a compliance certificate for the period ending November 30, 2011. All other terms of the line of credit and the loan agreement and other documents evidencing the line of credit remain the same. See Note 14 entitled “Subsequent Event.”</w:t>
      </w:r>
    </w:p>
    <w:p>
      <w:pPr>
        <w:spacing w:after="0" w:line="196"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three months ended November 30, 2011, the Company did not purchase or retire any shares of its common stock, and no stock options to purchase shares of common stock were exercised.</w:t>
      </w:r>
    </w:p>
    <w:p>
      <w:pPr>
        <w:spacing w:after="0" w:line="19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granted stock options under the Northern Technologies International Corporation Amended and Restated 2007 Stock Incentive Plan (the 2007 Plan) to purchase an aggregate of 26,000 shares of its common stock to various employees and directors during the three months ended November 30,</w:t>
      </w:r>
    </w:p>
    <w:p>
      <w:pPr>
        <w:ind w:right="160"/>
        <w:spacing w:after="0" w:line="261" w:lineRule="auto"/>
        <w:rPr>
          <w:sz w:val="20"/>
          <w:szCs w:val="20"/>
          <w:color w:val="auto"/>
        </w:rPr>
      </w:pPr>
      <w:r>
        <w:rPr>
          <w:rFonts w:ascii="Arial" w:cs="Arial" w:eastAsia="Arial" w:hAnsi="Arial"/>
          <w:sz w:val="18"/>
          <w:szCs w:val="18"/>
          <w:color w:val="auto"/>
        </w:rPr>
        <w:t>2011. The weighted average per share exercise price of the stock options is $16.45, which is equal to the fair market value of the Company’s common stock on the date of grant.</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three months ended November 30, 2011, the Company granted stock bonuses under the 2007 Plan for an aggregate of 42,707 shares of its common stock to various employees at a grant price of $14.42 per share. The aggregate fair value of the shares of the Company’s common stock as of the date of grant of the stock bonuses was $615,830, based on the closing sale price of a share of the Company’s common stock on the date of grant. The fair value of common stock granted during the three months ended November 30, 2011 was based on fiscal 2011 performance and was included in accrued liabilities at August 31, 2011.</w:t>
      </w:r>
    </w:p>
    <w:p>
      <w:pPr>
        <w:spacing w:after="0" w:line="2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three months ended November 30, 2010, the Company did not purchase or retire any shares of its common stock. The following stock options to purchase shares of common stock were exercised during the three months ended November 30, 2010: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8"/>
              </w:rPr>
              <w:t>Options Exercised</w:t>
            </w:r>
          </w:p>
        </w:tc>
        <w:tc>
          <w:tcPr>
            <w:tcW w:w="820" w:type="dxa"/>
            <w:vAlign w:val="bottom"/>
          </w:tcPr>
          <w:p>
            <w:pPr>
              <w:spacing w:after="0"/>
              <w:rPr>
                <w:sz w:val="17"/>
                <w:szCs w:val="17"/>
                <w:color w:val="auto"/>
              </w:rPr>
            </w:pPr>
          </w:p>
        </w:tc>
        <w:tc>
          <w:tcPr>
            <w:tcW w:w="6140" w:type="dxa"/>
            <w:vAlign w:val="bottom"/>
            <w:gridSpan w:val="3"/>
          </w:tcPr>
          <w:p>
            <w:pPr>
              <w:jc w:val="right"/>
              <w:ind w:right="4920"/>
              <w:spacing w:after="0"/>
              <w:rPr>
                <w:sz w:val="20"/>
                <w:szCs w:val="20"/>
                <w:color w:val="auto"/>
              </w:rPr>
            </w:pPr>
            <w:r>
              <w:rPr>
                <w:rFonts w:ascii="Arial" w:cs="Arial" w:eastAsia="Arial" w:hAnsi="Arial"/>
                <w:sz w:val="18"/>
                <w:szCs w:val="18"/>
                <w:b w:val="1"/>
                <w:bCs w:val="1"/>
                <w:color w:val="auto"/>
                <w:w w:val="97"/>
              </w:rPr>
              <w:t>Exercise Price</w:t>
            </w:r>
          </w:p>
        </w:tc>
      </w:tr>
      <w:tr>
        <w:trPr>
          <w:trHeight w:val="21"/>
        </w:trPr>
        <w:tc>
          <w:tcPr>
            <w:tcW w:w="246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16"/>
        </w:trPr>
        <w:tc>
          <w:tcPr>
            <w:tcW w:w="3860" w:type="dxa"/>
            <w:vAlign w:val="bottom"/>
            <w:gridSpan w:val="2"/>
            <w:shd w:val="clear" w:color="auto" w:fill="CCEEFF"/>
          </w:tcPr>
          <w:p>
            <w:pPr>
              <w:jc w:val="center"/>
              <w:ind w:left="2370"/>
              <w:spacing w:after="0"/>
              <w:rPr>
                <w:sz w:val="20"/>
                <w:szCs w:val="20"/>
                <w:color w:val="auto"/>
              </w:rPr>
            </w:pPr>
            <w:r>
              <w:rPr>
                <w:rFonts w:ascii="Arial" w:cs="Arial" w:eastAsia="Arial" w:hAnsi="Arial"/>
                <w:sz w:val="18"/>
                <w:szCs w:val="18"/>
                <w:color w:val="auto"/>
                <w:w w:val="87"/>
              </w:rPr>
              <w:t>40,000</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140" w:type="dxa"/>
            <w:vAlign w:val="bottom"/>
            <w:gridSpan w:val="3"/>
            <w:shd w:val="clear" w:color="auto" w:fill="CCEEFF"/>
          </w:tcPr>
          <w:p>
            <w:pPr>
              <w:jc w:val="right"/>
              <w:ind w:right="4560"/>
              <w:spacing w:after="0"/>
              <w:rPr>
                <w:sz w:val="20"/>
                <w:szCs w:val="20"/>
                <w:color w:val="auto"/>
              </w:rPr>
            </w:pPr>
            <w:r>
              <w:rPr>
                <w:rFonts w:ascii="Arial" w:cs="Arial" w:eastAsia="Arial" w:hAnsi="Arial"/>
                <w:sz w:val="18"/>
                <w:szCs w:val="18"/>
                <w:color w:val="auto"/>
              </w:rPr>
              <w:t>5.38</w:t>
            </w:r>
          </w:p>
        </w:tc>
      </w:tr>
      <w:tr>
        <w:trPr>
          <w:trHeight w:val="216"/>
        </w:trPr>
        <w:tc>
          <w:tcPr>
            <w:tcW w:w="3860" w:type="dxa"/>
            <w:vAlign w:val="bottom"/>
            <w:gridSpan w:val="2"/>
          </w:tcPr>
          <w:p>
            <w:pPr>
              <w:jc w:val="center"/>
              <w:ind w:left="2410"/>
              <w:spacing w:after="0"/>
              <w:rPr>
                <w:sz w:val="20"/>
                <w:szCs w:val="20"/>
                <w:color w:val="auto"/>
              </w:rPr>
            </w:pPr>
            <w:r>
              <w:rPr>
                <w:rFonts w:ascii="Arial" w:cs="Arial" w:eastAsia="Arial" w:hAnsi="Arial"/>
                <w:sz w:val="18"/>
                <w:szCs w:val="18"/>
                <w:color w:val="auto"/>
                <w:w w:val="88"/>
              </w:rPr>
              <w:t>2,000</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40" w:type="dxa"/>
            <w:vAlign w:val="bottom"/>
            <w:gridSpan w:val="3"/>
          </w:tcPr>
          <w:p>
            <w:pPr>
              <w:jc w:val="right"/>
              <w:ind w:right="4560"/>
              <w:spacing w:after="0"/>
              <w:rPr>
                <w:sz w:val="20"/>
                <w:szCs w:val="20"/>
                <w:color w:val="auto"/>
              </w:rPr>
            </w:pPr>
            <w:r>
              <w:rPr>
                <w:rFonts w:ascii="Arial" w:cs="Arial" w:eastAsia="Arial" w:hAnsi="Arial"/>
                <w:sz w:val="18"/>
                <w:szCs w:val="18"/>
                <w:color w:val="auto"/>
              </w:rPr>
              <w:t>8.01</w:t>
            </w:r>
          </w:p>
        </w:tc>
      </w:tr>
      <w:tr>
        <w:trPr>
          <w:trHeight w:val="216"/>
        </w:trPr>
        <w:tc>
          <w:tcPr>
            <w:tcW w:w="3860" w:type="dxa"/>
            <w:vAlign w:val="bottom"/>
            <w:gridSpan w:val="2"/>
            <w:shd w:val="clear" w:color="auto" w:fill="CCEEFF"/>
          </w:tcPr>
          <w:p>
            <w:pPr>
              <w:jc w:val="center"/>
              <w:ind w:left="2410"/>
              <w:spacing w:after="0"/>
              <w:rPr>
                <w:sz w:val="20"/>
                <w:szCs w:val="20"/>
                <w:color w:val="auto"/>
              </w:rPr>
            </w:pPr>
            <w:r>
              <w:rPr>
                <w:rFonts w:ascii="Arial" w:cs="Arial" w:eastAsia="Arial" w:hAnsi="Arial"/>
                <w:sz w:val="18"/>
                <w:szCs w:val="18"/>
                <w:color w:val="auto"/>
                <w:w w:val="88"/>
              </w:rPr>
              <w:t>1,334</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jc w:val="right"/>
              <w:ind w:right="4560"/>
              <w:spacing w:after="0"/>
              <w:rPr>
                <w:sz w:val="20"/>
                <w:szCs w:val="20"/>
                <w:color w:val="auto"/>
              </w:rPr>
            </w:pPr>
            <w:r>
              <w:rPr>
                <w:rFonts w:ascii="Arial" w:cs="Arial" w:eastAsia="Arial" w:hAnsi="Arial"/>
                <w:sz w:val="18"/>
                <w:szCs w:val="18"/>
                <w:color w:val="auto"/>
              </w:rPr>
              <w:t>9.75</w:t>
            </w:r>
          </w:p>
        </w:tc>
      </w:tr>
      <w:tr>
        <w:trPr>
          <w:trHeight w:val="230"/>
        </w:trPr>
        <w:tc>
          <w:tcPr>
            <w:tcW w:w="3860" w:type="dxa"/>
            <w:vAlign w:val="bottom"/>
            <w:gridSpan w:val="2"/>
          </w:tcPr>
          <w:p>
            <w:pPr>
              <w:jc w:val="center"/>
              <w:ind w:left="2410"/>
              <w:spacing w:after="0"/>
              <w:rPr>
                <w:sz w:val="20"/>
                <w:szCs w:val="20"/>
                <w:color w:val="auto"/>
              </w:rPr>
            </w:pPr>
            <w:r>
              <w:rPr>
                <w:rFonts w:ascii="Arial" w:cs="Arial" w:eastAsia="Arial" w:hAnsi="Arial"/>
                <w:sz w:val="18"/>
                <w:szCs w:val="18"/>
                <w:color w:val="auto"/>
                <w:w w:val="88"/>
              </w:rPr>
              <w:t>1,333</w:t>
            </w: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140" w:type="dxa"/>
            <w:vAlign w:val="bottom"/>
            <w:gridSpan w:val="3"/>
          </w:tcPr>
          <w:p>
            <w:pPr>
              <w:jc w:val="right"/>
              <w:ind w:right="4560"/>
              <w:spacing w:after="0"/>
              <w:rPr>
                <w:sz w:val="20"/>
                <w:szCs w:val="20"/>
                <w:color w:val="auto"/>
              </w:rPr>
            </w:pPr>
            <w:r>
              <w:rPr>
                <w:rFonts w:ascii="Arial" w:cs="Arial" w:eastAsia="Arial" w:hAnsi="Arial"/>
                <w:sz w:val="18"/>
                <w:szCs w:val="18"/>
                <w:color w:val="auto"/>
              </w:rPr>
              <w:t>12.84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-557530</wp:posOffset>
            </wp:positionV>
            <wp:extent cx="28987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246620" cy="5746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1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granted stock options under the 2007 Plan to purchase an aggregate of 30,000 shares of its common stock to various employees and directors during the three months ended November 30, 2010. The weighted average per share exercise price of the stock options is $9.43, which is equal to the fair market value of the Company’s common stock on the date of grant.</w:t>
      </w:r>
    </w:p>
    <w:p>
      <w:pPr>
        <w:spacing w:after="0" w:line="20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the three months ended November 30, 2010, the Company granted stock bonuses under the 2007 Plan for an aggregate of 22,686 shares of its common stock to various employees. The fair value of the shares of the Company’s common stock as of the date of grant of the stock bonuses was $319,649, based on the closing sale price of a share of the Company’s common stock on the date of grant. The fair value of common stock granted during the three months ended November 30, 2010 was based on fiscal 2010 performance and was included in accrued liabilities at August 31, 2010.</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ind w:left="640" w:hanging="632"/>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TOTAL COMPREHENSIVE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comprehensive (loss) income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8800" w:type="dxa"/>
            <w:vAlign w:val="bottom"/>
            <w:gridSpan w:val="6"/>
          </w:tcPr>
          <w:p>
            <w:pPr>
              <w:ind w:left="5960"/>
              <w:spacing w:after="0"/>
              <w:rPr>
                <w:sz w:val="20"/>
                <w:szCs w:val="20"/>
                <w:color w:val="auto"/>
              </w:rPr>
            </w:pPr>
            <w:r>
              <w:rPr>
                <w:rFonts w:ascii="Arial" w:cs="Arial" w:eastAsia="Arial" w:hAnsi="Arial"/>
                <w:sz w:val="18"/>
                <w:szCs w:val="18"/>
                <w:b w:val="1"/>
                <w:bCs w:val="1"/>
                <w:color w:val="auto"/>
                <w:w w:val="93"/>
              </w:rPr>
              <w:t>Three Months Ended November 30,</w:t>
            </w:r>
          </w:p>
        </w:tc>
      </w:tr>
      <w:tr>
        <w:trPr>
          <w:trHeight w:val="223"/>
        </w:trPr>
        <w:tc>
          <w:tcPr>
            <w:tcW w:w="26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2010</w:t>
            </w: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220" w:type="dxa"/>
            <w:vAlign w:val="bottom"/>
            <w:gridSpan w:val="2"/>
            <w:shd w:val="clear" w:color="auto" w:fill="CCEEFF"/>
          </w:tcPr>
          <w:p>
            <w:pPr>
              <w:ind w:left="59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935,421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894,874</w:t>
            </w: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w w:val="91"/>
              </w:rPr>
              <w:t>Other comprehensive (loss) income</w:t>
            </w:r>
          </w:p>
        </w:tc>
        <w:tc>
          <w:tcPr>
            <w:tcW w:w="622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2620" w:type="dxa"/>
            <w:vAlign w:val="bottom"/>
          </w:tcPr>
          <w:p>
            <w:pPr>
              <w:ind w:left="240"/>
              <w:spacing w:after="0"/>
              <w:rPr>
                <w:sz w:val="20"/>
                <w:szCs w:val="20"/>
                <w:color w:val="auto"/>
              </w:rPr>
            </w:pPr>
            <w:r>
              <w:rPr>
                <w:rFonts w:ascii="Arial" w:cs="Arial" w:eastAsia="Arial" w:hAnsi="Arial"/>
                <w:sz w:val="18"/>
                <w:szCs w:val="18"/>
                <w:color w:val="auto"/>
              </w:rPr>
              <w:t>foreign currency translation</w:t>
            </w:r>
          </w:p>
        </w:tc>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4"/>
        </w:trPr>
        <w:tc>
          <w:tcPr>
            <w:tcW w:w="2620" w:type="dxa"/>
            <w:vAlign w:val="bottom"/>
          </w:tcPr>
          <w:p>
            <w:pPr>
              <w:ind w:left="240"/>
              <w:spacing w:after="0"/>
              <w:rPr>
                <w:sz w:val="20"/>
                <w:szCs w:val="20"/>
                <w:color w:val="auto"/>
              </w:rPr>
            </w:pPr>
            <w:r>
              <w:rPr>
                <w:rFonts w:ascii="Arial" w:cs="Arial" w:eastAsia="Arial" w:hAnsi="Arial"/>
                <w:sz w:val="18"/>
                <w:szCs w:val="18"/>
                <w:color w:val="auto"/>
              </w:rPr>
              <w:t>adjustment</w:t>
            </w:r>
          </w:p>
        </w:tc>
        <w:tc>
          <w:tcPr>
            <w:tcW w:w="59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(1,178,265)</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404,864</w:t>
            </w:r>
          </w:p>
        </w:tc>
      </w:tr>
      <w:tr>
        <w:trPr>
          <w:trHeight w:val="243"/>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comprehensive (loss) income</w:t>
            </w:r>
          </w:p>
        </w:tc>
        <w:tc>
          <w:tcPr>
            <w:tcW w:w="5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(242,844)</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1,407,645</w:t>
            </w:r>
          </w:p>
        </w:tc>
      </w:tr>
      <w:tr>
        <w:trPr>
          <w:trHeight w:val="20"/>
        </w:trPr>
        <w:tc>
          <w:tcPr>
            <w:tcW w:w="262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9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Options to purchase shares of common stock of 26,000 were excluded from the computation of common share equivalents for both the three months ended November 30, 2011 and 2010, as the exercise prices of such options were greater than market price of a share of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earnings per share computation for the three months ended November 30, 2011 and 2010: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Numerators:</w:t>
            </w: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120" w:type="dxa"/>
            <w:vAlign w:val="bottom"/>
          </w:tcPr>
          <w:p>
            <w:pPr>
              <w:spacing w:after="0"/>
              <w:rPr>
                <w:sz w:val="16"/>
                <w:szCs w:val="16"/>
                <w:color w:val="auto"/>
              </w:rPr>
            </w:pPr>
          </w:p>
        </w:tc>
        <w:tc>
          <w:tcPr>
            <w:tcW w:w="11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8"/>
              </w:rPr>
              <w:t>November 30,</w:t>
            </w:r>
          </w:p>
        </w:tc>
        <w:tc>
          <w:tcPr>
            <w:tcW w:w="0" w:type="dxa"/>
            <w:vAlign w:val="bottom"/>
          </w:tcPr>
          <w:p>
            <w:pPr>
              <w:spacing w:after="0"/>
              <w:rPr>
                <w:sz w:val="1"/>
                <w:szCs w:val="1"/>
                <w:color w:val="auto"/>
              </w:rPr>
            </w:pPr>
          </w:p>
        </w:tc>
      </w:tr>
      <w:tr>
        <w:trPr>
          <w:trHeight w:val="234"/>
        </w:trPr>
        <w:tc>
          <w:tcPr>
            <w:tcW w:w="8940" w:type="dxa"/>
            <w:vAlign w:val="bottom"/>
            <w:gridSpan w:val="2"/>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958,757</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899,781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4,355,666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4,264,187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78,058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Diluted – weighted shares outstanding</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4,433,724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4,324,757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dilutive impact summarized above relates to the periods when the average market price of the Company’s common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w:t>
      </w:r>
    </w:p>
    <w:p>
      <w:pPr>
        <w:spacing w:after="0" w:line="210"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has two stock-based compensation plans under which stock options and other stock-based awards have been granted, including the Northern Technologies International Corporation Amended and Restated 2007 Stock Incentive Plan and the Northern Technologies International Corporation Employee Stock Purchase Plan (the ESPP). The Compensation Committee of the Board of Directors and the Board of Directors administers these plans.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ind w:right="40"/>
        <w:spacing w:after="0" w:line="272" w:lineRule="auto"/>
        <w:rPr>
          <w:sz w:val="20"/>
          <w:szCs w:val="20"/>
          <w:color w:val="auto"/>
        </w:rPr>
      </w:pPr>
      <w:r>
        <w:rPr>
          <w:rFonts w:ascii="Arial" w:cs="Arial" w:eastAsia="Arial" w:hAnsi="Arial"/>
          <w:sz w:val="17"/>
          <w:szCs w:val="17"/>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Options granted under the 2007 Plan generally have a term of five years and become exercisable over a three- or four-year period beginning on the one-year anniversary of the date of grant. Options are granted at per share exercise prices equal to the market value of the Company’s common stock on the date of grant. To date, only stock options and stock bonuses have been granted under the 2007 Plan.</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Company granted options to purchase 26,000 and 30,000 shares of its common stock during the three months ended November 30, 2011 and 2010,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The fair value of option grants is determined at date of grant, using the Black-Scholes option pricing model with the assumptions listed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these valuations, the Company recognized compensation expense of $72,523 and $44,143 during the three months ended November 30, 2011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2010, respectively, related to the options that vested during such time period. The stock-based expense recorded reduced after-tax net income per share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$0.01 for each of the three months ended November 30, 2011 and 2010. As of November 30, 2011, the total compensation cost for non-vested options not yet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recognized in the Company’s consolidated statements of operations was $245,646 net of estimated forfeitures. Additional stock-based compensation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$217,570 is expected through the remainder of fiscal year 2012, and expense of $28,076 and $0 is expected to be recognized during fiscal 2013 and fiscal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2014, respectively. Future option grants will impact the compensation expense recognized.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and continually reviews this estimate for future periods.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p>
        </w:tc>
        <w:tc>
          <w:tcPr>
            <w:tcW w:w="260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November 30,</w:t>
            </w:r>
          </w:p>
        </w:tc>
      </w:tr>
      <w:tr>
        <w:trPr>
          <w:trHeight w:val="223"/>
        </w:trPr>
        <w:tc>
          <w:tcPr>
            <w:tcW w:w="8820" w:type="dxa"/>
            <w:vAlign w:val="bottom"/>
          </w:tcPr>
          <w:p>
            <w:pPr>
              <w:spacing w:after="0"/>
              <w:rPr>
                <w:sz w:val="19"/>
                <w:szCs w:val="19"/>
                <w:color w:val="auto"/>
              </w:rPr>
            </w:pP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2010</w:t>
            </w:r>
          </w:p>
        </w:tc>
      </w:tr>
      <w:tr>
        <w:trPr>
          <w:trHeight w:val="237"/>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0.00%</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0.00%</w:t>
            </w:r>
          </w:p>
        </w:tc>
      </w:tr>
      <w:tr>
        <w:trPr>
          <w:trHeight w:val="243"/>
        </w:trPr>
        <w:tc>
          <w:tcPr>
            <w:tcW w:w="8820" w:type="dxa"/>
            <w:vAlign w:val="bottom"/>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tcPr>
          <w:p>
            <w:pPr>
              <w:jc w:val="center"/>
              <w:ind w:right="10"/>
              <w:spacing w:after="0"/>
              <w:rPr>
                <w:sz w:val="20"/>
                <w:szCs w:val="20"/>
                <w:color w:val="auto"/>
              </w:rPr>
            </w:pPr>
            <w:r>
              <w:rPr>
                <w:rFonts w:ascii="Arial" w:cs="Arial" w:eastAsia="Arial" w:hAnsi="Arial"/>
                <w:sz w:val="18"/>
                <w:szCs w:val="18"/>
                <w:color w:val="auto"/>
                <w:w w:val="90"/>
              </w:rPr>
              <w:t>48.8%</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49.2%</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 years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 years</w:t>
            </w:r>
          </w:p>
        </w:tc>
      </w:tr>
      <w:tr>
        <w:trPr>
          <w:trHeight w:val="243"/>
        </w:trPr>
        <w:tc>
          <w:tcPr>
            <w:tcW w:w="882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240" w:type="dxa"/>
            <w:vAlign w:val="bottom"/>
          </w:tcPr>
          <w:p>
            <w:pPr>
              <w:jc w:val="center"/>
              <w:ind w:right="10"/>
              <w:spacing w:after="0"/>
              <w:rPr>
                <w:sz w:val="20"/>
                <w:szCs w:val="20"/>
                <w:color w:val="auto"/>
              </w:rPr>
            </w:pPr>
            <w:r>
              <w:rPr>
                <w:rFonts w:ascii="Arial" w:cs="Arial" w:eastAsia="Arial" w:hAnsi="Arial"/>
                <w:sz w:val="18"/>
                <w:szCs w:val="18"/>
                <w:color w:val="auto"/>
                <w:w w:val="90"/>
              </w:rPr>
              <w:t>1.31%</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1.31%</w:t>
            </w:r>
          </w:p>
        </w:tc>
      </w:tr>
    </w:tbl>
    <w:p>
      <w:pPr>
        <w:spacing w:after="0" w:line="229" w:lineRule="exact"/>
        <w:rPr>
          <w:sz w:val="20"/>
          <w:szCs w:val="20"/>
          <w:color w:val="auto"/>
        </w:rPr>
      </w:pPr>
    </w:p>
    <w:p>
      <w:pPr>
        <w:jc w:val="both"/>
        <w:ind w:right="440"/>
        <w:spacing w:after="0" w:line="342" w:lineRule="auto"/>
        <w:rPr>
          <w:sz w:val="20"/>
          <w:szCs w:val="20"/>
          <w:color w:val="auto"/>
        </w:rPr>
      </w:pPr>
      <w:r>
        <w:rPr>
          <w:rFonts w:ascii="Arial" w:cs="Arial" w:eastAsia="Arial" w:hAnsi="Arial"/>
          <w:sz w:val="16"/>
          <w:szCs w:val="16"/>
          <w:color w:val="auto"/>
        </w:rPr>
        <w:t>The weighted average fair value of options granted during the three months ended November 30, 2011 and 2010 was $7.14 and $3.60, respectively. The weighted average remaining contractual life of the options outstanding as of November 30, 2011 and 2010 was 2.81 years and 3.47 years, respectively.</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ind w:left="620" w:hanging="612"/>
        <w:spacing w:after="0"/>
        <w:tabs>
          <w:tab w:leader="none" w:pos="6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sales by geographic location as a percentage of total consolidated net sales for the three months ended November 30, 2011 and November 30, 2010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5480" w:type="dxa"/>
            <w:vAlign w:val="bottom"/>
            <w:gridSpan w:val="4"/>
          </w:tcPr>
          <w:p>
            <w:pPr>
              <w:ind w:left="2640"/>
              <w:spacing w:after="0"/>
              <w:rPr>
                <w:sz w:val="20"/>
                <w:szCs w:val="20"/>
                <w:color w:val="auto"/>
              </w:rPr>
            </w:pPr>
            <w:r>
              <w:rPr>
                <w:rFonts w:ascii="Arial" w:cs="Arial" w:eastAsia="Arial" w:hAnsi="Arial"/>
                <w:sz w:val="18"/>
                <w:szCs w:val="18"/>
                <w:b w:val="1"/>
                <w:bCs w:val="1"/>
                <w:color w:val="auto"/>
                <w:w w:val="93"/>
              </w:rPr>
              <w:t>Three Months Ended November 30,</w:t>
            </w:r>
          </w:p>
        </w:tc>
      </w:tr>
      <w:tr>
        <w:trPr>
          <w:trHeight w:val="223"/>
        </w:trPr>
        <w:tc>
          <w:tcPr>
            <w:tcW w:w="59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r>
      <w:tr>
        <w:trPr>
          <w:trHeight w:val="237"/>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4000" w:type="dxa"/>
            <w:vAlign w:val="bottom"/>
            <w:gridSpan w:val="2"/>
            <w:shd w:val="clear" w:color="auto" w:fill="CCEEFF"/>
          </w:tcPr>
          <w:p>
            <w:pPr>
              <w:jc w:val="center"/>
              <w:ind w:left="2450"/>
              <w:spacing w:after="0"/>
              <w:rPr>
                <w:sz w:val="20"/>
                <w:szCs w:val="20"/>
                <w:color w:val="auto"/>
              </w:rPr>
            </w:pPr>
            <w:r>
              <w:rPr>
                <w:rFonts w:ascii="Arial" w:cs="Arial" w:eastAsia="Arial" w:hAnsi="Arial"/>
                <w:sz w:val="18"/>
                <w:szCs w:val="18"/>
                <w:color w:val="auto"/>
                <w:w w:val="90"/>
              </w:rPr>
              <w:t>68.1%</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67.2%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Outside the U.S.A. to:</w:t>
            </w:r>
          </w:p>
        </w:tc>
        <w:tc>
          <w:tcPr>
            <w:tcW w:w="2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2"/>
        </w:trPr>
        <w:tc>
          <w:tcPr>
            <w:tcW w:w="5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Joint ventures in which the Company is a</w:t>
            </w:r>
          </w:p>
        </w:tc>
        <w:tc>
          <w:tcPr>
            <w:tcW w:w="26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0"/>
        </w:trPr>
        <w:tc>
          <w:tcPr>
            <w:tcW w:w="59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shareholder directly and indirectly</w:t>
            </w:r>
          </w:p>
        </w:tc>
        <w:tc>
          <w:tcPr>
            <w:tcW w:w="4000" w:type="dxa"/>
            <w:vAlign w:val="bottom"/>
            <w:gridSpan w:val="2"/>
            <w:shd w:val="clear" w:color="auto" w:fill="CCEEFF"/>
          </w:tcPr>
          <w:p>
            <w:pPr>
              <w:jc w:val="center"/>
              <w:ind w:left="2430"/>
              <w:spacing w:after="0"/>
              <w:rPr>
                <w:sz w:val="20"/>
                <w:szCs w:val="20"/>
                <w:color w:val="auto"/>
              </w:rPr>
            </w:pPr>
            <w:r>
              <w:rPr>
                <w:rFonts w:ascii="Arial" w:cs="Arial" w:eastAsia="Arial" w:hAnsi="Arial"/>
                <w:sz w:val="18"/>
                <w:szCs w:val="18"/>
                <w:color w:val="auto"/>
                <w:w w:val="91"/>
              </w:rPr>
              <w:t>15.7</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16.4</w:t>
            </w:r>
          </w:p>
        </w:tc>
      </w:tr>
      <w:tr>
        <w:trPr>
          <w:trHeight w:val="230"/>
        </w:trPr>
        <w:tc>
          <w:tcPr>
            <w:tcW w:w="5940" w:type="dxa"/>
            <w:vAlign w:val="bottom"/>
          </w:tcPr>
          <w:p>
            <w:pPr>
              <w:ind w:left="340"/>
              <w:spacing w:after="0"/>
              <w:rPr>
                <w:sz w:val="20"/>
                <w:szCs w:val="20"/>
                <w:color w:val="auto"/>
              </w:rPr>
            </w:pPr>
            <w:r>
              <w:rPr>
                <w:rFonts w:ascii="Arial" w:cs="Arial" w:eastAsia="Arial" w:hAnsi="Arial"/>
                <w:sz w:val="18"/>
                <w:szCs w:val="18"/>
                <w:color w:val="auto"/>
              </w:rPr>
              <w:t>Unaffiliated customers</w:t>
            </w:r>
          </w:p>
        </w:tc>
        <w:tc>
          <w:tcPr>
            <w:tcW w:w="2640" w:type="dxa"/>
            <w:vAlign w:val="bottom"/>
          </w:tcPr>
          <w:p>
            <w:pPr>
              <w:spacing w:after="0"/>
              <w:rPr>
                <w:sz w:val="19"/>
                <w:szCs w:val="19"/>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16.2</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5"/>
              </w:rPr>
              <w:t>16.4</w:t>
            </w:r>
          </w:p>
        </w:tc>
      </w:tr>
      <w:tr>
        <w:trPr>
          <w:trHeight w:val="237"/>
        </w:trPr>
        <w:tc>
          <w:tcPr>
            <w:tcW w:w="5940" w:type="dxa"/>
            <w:vAlign w:val="bottom"/>
            <w:shd w:val="clear" w:color="auto" w:fill="CCEEFF"/>
          </w:tcPr>
          <w:p>
            <w:pPr>
              <w:spacing w:after="0"/>
              <w:rPr>
                <w:sz w:val="20"/>
                <w:szCs w:val="20"/>
                <w:color w:val="auto"/>
              </w:rPr>
            </w:pPr>
          </w:p>
        </w:tc>
        <w:tc>
          <w:tcPr>
            <w:tcW w:w="4000" w:type="dxa"/>
            <w:vAlign w:val="bottom"/>
            <w:gridSpan w:val="2"/>
            <w:shd w:val="clear" w:color="auto" w:fill="CCEEFF"/>
          </w:tcPr>
          <w:p>
            <w:pPr>
              <w:jc w:val="center"/>
              <w:ind w:left="2430"/>
              <w:spacing w:after="0"/>
              <w:rPr>
                <w:sz w:val="20"/>
                <w:szCs w:val="20"/>
                <w:color w:val="auto"/>
              </w:rPr>
            </w:pPr>
            <w:r>
              <w:rPr>
                <w:rFonts w:ascii="Arial" w:cs="Arial" w:eastAsia="Arial" w:hAnsi="Arial"/>
                <w:sz w:val="18"/>
                <w:szCs w:val="18"/>
                <w:color w:val="auto"/>
                <w:w w:val="91"/>
              </w:rPr>
              <w:t>100.0%</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Fees for services provided to joint ventures by geographic location as a percentage of total fees for services provided to joint ventures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2011 and 2010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6"/>
          </w:tcPr>
          <w:p>
            <w:pPr>
              <w:jc w:val="right"/>
              <w:ind w:right="1390"/>
              <w:spacing w:after="0"/>
              <w:rPr>
                <w:sz w:val="20"/>
                <w:szCs w:val="20"/>
                <w:color w:val="auto"/>
              </w:rPr>
            </w:pPr>
            <w:r>
              <w:rPr>
                <w:rFonts w:ascii="Arial" w:cs="Arial" w:eastAsia="Arial" w:hAnsi="Arial"/>
                <w:sz w:val="18"/>
                <w:szCs w:val="18"/>
                <w:b w:val="1"/>
                <w:bCs w:val="1"/>
                <w:color w:val="auto"/>
                <w:w w:val="96"/>
              </w:rPr>
              <w:t>Three Months Ended November 30,</w:t>
            </w:r>
          </w:p>
        </w:tc>
      </w:tr>
      <w:tr>
        <w:trPr>
          <w:trHeight w:val="191"/>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6"/>
        </w:trPr>
        <w:tc>
          <w:tcPr>
            <w:tcW w:w="5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for Services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 of Total Fees for</w:t>
            </w:r>
          </w:p>
        </w:tc>
      </w:tr>
      <w:tr>
        <w:trPr>
          <w:trHeight w:val="216"/>
        </w:trPr>
        <w:tc>
          <w:tcPr>
            <w:tcW w:w="5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Provided to Joint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Services Provided to</w:t>
            </w:r>
          </w:p>
        </w:tc>
      </w:tr>
      <w:tr>
        <w:trPr>
          <w:trHeight w:val="234"/>
        </w:trPr>
        <w:tc>
          <w:tcPr>
            <w:tcW w:w="5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Ventures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Joint Ventures</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288,539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276,000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Germany</w:t>
            </w: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249,447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257,276</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156,657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144,111</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France</w:t>
            </w: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141,639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164,482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136,155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200,711</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Finland</w:t>
            </w:r>
          </w:p>
        </w:tc>
        <w:tc>
          <w:tcPr>
            <w:tcW w:w="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132,496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144,211</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79,499</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82,642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260,820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182,347</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10"/>
        </w:trPr>
        <w:tc>
          <w:tcPr>
            <w:tcW w:w="5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1,445,252</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1,451,780</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for the three months ended November 30, 2011 and 2010 by segment: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9"/>
          </w:tcPr>
          <w:p>
            <w:pPr>
              <w:jc w:val="right"/>
              <w:ind w:right="830"/>
              <w:spacing w:after="0"/>
              <w:rPr>
                <w:sz w:val="20"/>
                <w:szCs w:val="20"/>
                <w:color w:val="auto"/>
              </w:rPr>
            </w:pPr>
            <w:r>
              <w:rPr>
                <w:rFonts w:ascii="Arial" w:cs="Arial" w:eastAsia="Arial" w:hAnsi="Arial"/>
                <w:sz w:val="18"/>
                <w:szCs w:val="18"/>
                <w:b w:val="1"/>
                <w:bCs w:val="1"/>
                <w:color w:val="auto"/>
              </w:rPr>
              <w:t>Three Months Ended November 30,</w:t>
            </w:r>
          </w:p>
        </w:tc>
      </w:tr>
      <w:tr>
        <w:trPr>
          <w:trHeight w:val="223"/>
        </w:trPr>
        <w:tc>
          <w:tcPr>
            <w:tcW w:w="35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6"/>
              </w:rPr>
              <w:t>$ Change</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 Change</w:t>
            </w:r>
          </w:p>
        </w:tc>
      </w:tr>
      <w:tr>
        <w:trPr>
          <w:trHeight w:val="210"/>
        </w:trPr>
        <w:tc>
          <w:tcPr>
            <w:tcW w:w="356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net sales</w:t>
            </w:r>
          </w:p>
        </w:tc>
        <w:tc>
          <w:tcPr>
            <w:tcW w:w="3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4,452,646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3,875,428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557,218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3560" w:type="dxa"/>
            <w:vAlign w:val="bottom"/>
          </w:tcPr>
          <w:p>
            <w:pPr>
              <w:spacing w:after="0" w:line="229" w:lineRule="exact"/>
              <w:rPr>
                <w:sz w:val="20"/>
                <w:szCs w:val="20"/>
                <w:color w:val="auto"/>
              </w:rPr>
            </w:pPr>
            <w:r>
              <w:rPr>
                <w:rFonts w:ascii="Arial" w:cs="Arial" w:eastAsia="Arial" w:hAnsi="Arial"/>
                <w:sz w:val="18"/>
                <w:szCs w:val="18"/>
                <w:color w:val="auto"/>
              </w:rPr>
              <w:t>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w:t>
            </w:r>
          </w:p>
        </w:tc>
        <w:tc>
          <w:tcPr>
            <w:tcW w:w="3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379,468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223,013</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156,455</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r>
      <w:tr>
        <w:trPr>
          <w:trHeight w:val="263"/>
        </w:trPr>
        <w:tc>
          <w:tcPr>
            <w:tcW w:w="3560" w:type="dxa"/>
            <w:vAlign w:val="bottom"/>
            <w:shd w:val="clear" w:color="auto" w:fill="CCEEFF"/>
          </w:tcPr>
          <w:p>
            <w:pPr>
              <w:spacing w:after="0"/>
              <w:rPr>
                <w:sz w:val="22"/>
                <w:szCs w:val="22"/>
                <w:color w:val="auto"/>
              </w:rPr>
            </w:pPr>
          </w:p>
        </w:tc>
        <w:tc>
          <w:tcPr>
            <w:tcW w:w="3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4,832,114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4,098,441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733,673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588"/>
        </w:trPr>
        <w:tc>
          <w:tcPr>
            <w:tcW w:w="3560" w:type="dxa"/>
            <w:vAlign w:val="bottom"/>
            <w:tcBorders>
              <w:top w:val="single" w:sz="8" w:color="CCEEFF"/>
            </w:tcBorders>
          </w:tcPr>
          <w:p>
            <w:pPr>
              <w:spacing w:after="0"/>
              <w:rPr>
                <w:sz w:val="24"/>
                <w:szCs w:val="24"/>
                <w:color w:val="auto"/>
              </w:rPr>
            </w:pPr>
          </w:p>
        </w:tc>
        <w:tc>
          <w:tcPr>
            <w:tcW w:w="3440" w:type="dxa"/>
            <w:vAlign w:val="bottom"/>
            <w:tcBorders>
              <w:top w:val="single" w:sz="8" w:color="CCEEFF"/>
            </w:tcBorders>
          </w:tcPr>
          <w:p>
            <w:pPr>
              <w:jc w:val="right"/>
              <w:ind w:right="111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105"/>
        </w:trPr>
        <w:tc>
          <w:tcPr>
            <w:tcW w:w="35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61"/>
        </w:trPr>
        <w:tc>
          <w:tcPr>
            <w:tcW w:w="356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sets forth the Company’s cost of goods sold for the three months ended November 30, 2011 and 2010 by segment: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rPr>
              <w:t>Three Months Ended November 30,</w:t>
            </w:r>
          </w:p>
        </w:tc>
        <w:tc>
          <w:tcPr>
            <w:tcW w:w="0" w:type="dxa"/>
            <w:vAlign w:val="bottom"/>
          </w:tcPr>
          <w:p>
            <w:pPr>
              <w:spacing w:after="0"/>
              <w:rPr>
                <w:sz w:val="1"/>
                <w:szCs w:val="1"/>
                <w:color w:val="auto"/>
              </w:rPr>
            </w:pPr>
          </w:p>
        </w:tc>
      </w:tr>
      <w:tr>
        <w:trPr>
          <w:trHeight w:val="191"/>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 of Segment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 of Segment</w:t>
            </w:r>
          </w:p>
        </w:tc>
        <w:tc>
          <w:tcPr>
            <w:tcW w:w="0" w:type="dxa"/>
            <w:vAlign w:val="bottom"/>
          </w:tcPr>
          <w:p>
            <w:pPr>
              <w:spacing w:after="0"/>
              <w:rPr>
                <w:sz w:val="1"/>
                <w:szCs w:val="1"/>
                <w:color w:val="auto"/>
              </w:rPr>
            </w:pPr>
          </w:p>
        </w:tc>
      </w:tr>
      <w:tr>
        <w:trPr>
          <w:trHeight w:val="234"/>
        </w:trPr>
        <w:tc>
          <w:tcPr>
            <w:tcW w:w="6700" w:type="dxa"/>
            <w:vAlign w:val="bottom"/>
            <w:vMerge w:val="restart"/>
          </w:tcPr>
          <w:p>
            <w:pPr>
              <w:spacing w:after="0"/>
              <w:rPr>
                <w:sz w:val="20"/>
                <w:szCs w:val="20"/>
                <w:color w:val="auto"/>
              </w:rPr>
            </w:pPr>
            <w:r>
              <w:rPr>
                <w:rFonts w:ascii="Arial" w:cs="Arial" w:eastAsia="Arial" w:hAnsi="Arial"/>
                <w:sz w:val="18"/>
                <w:szCs w:val="18"/>
                <w:color w:val="auto"/>
              </w:rPr>
              <w:t>Direct cost of goods sold</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Sales*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Sales*</w:t>
            </w:r>
          </w:p>
        </w:tc>
        <w:tc>
          <w:tcPr>
            <w:tcW w:w="0" w:type="dxa"/>
            <w:vAlign w:val="bottom"/>
          </w:tcPr>
          <w:p>
            <w:pPr>
              <w:spacing w:after="0"/>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ZERUST®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2,457,799</w:t>
            </w:r>
          </w:p>
        </w:tc>
        <w:tc>
          <w:tcPr>
            <w:tcW w:w="13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55.2%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2,146,839</w:t>
            </w: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55.4%</w:t>
            </w:r>
          </w:p>
        </w:tc>
        <w:tc>
          <w:tcPr>
            <w:tcW w:w="0" w:type="dxa"/>
            <w:vAlign w:val="bottom"/>
          </w:tcPr>
          <w:p>
            <w:pPr>
              <w:spacing w:after="0"/>
              <w:rPr>
                <w:sz w:val="1"/>
                <w:szCs w:val="1"/>
                <w:color w:val="auto"/>
              </w:rPr>
            </w:pPr>
          </w:p>
        </w:tc>
      </w:tr>
      <w:tr>
        <w:trPr>
          <w:trHeight w:val="243"/>
        </w:trPr>
        <w:tc>
          <w:tcPr>
            <w:tcW w:w="6700" w:type="dxa"/>
            <w:vAlign w:val="bottom"/>
          </w:tcPr>
          <w:p>
            <w:pPr>
              <w:ind w:left="340"/>
              <w:spacing w:after="0"/>
              <w:rPr>
                <w:sz w:val="20"/>
                <w:szCs w:val="20"/>
                <w:color w:val="auto"/>
              </w:rPr>
            </w:pPr>
            <w:r>
              <w:rPr>
                <w:rFonts w:ascii="Arial" w:cs="Arial" w:eastAsia="Arial" w:hAnsi="Arial"/>
                <w:sz w:val="18"/>
                <w:szCs w:val="18"/>
                <w:color w:val="auto"/>
              </w:rPr>
              <w:t>Natur-Tec™</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296,561</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90"/>
              </w:rPr>
              <w:t>78.2%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180,630</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0"/>
              </w:rPr>
              <w:t>81.0%</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Indirect cost of goods sold</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455,116</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363,236</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3,209,476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2,690,705</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40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sales for each individual segment category by the net sales for each segment category.</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management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20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The geographical distribution of long-lived assets is set forth as follows:</w:t>
            </w: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73"/>
        </w:trPr>
        <w:tc>
          <w:tcPr>
            <w:tcW w:w="6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November 30,</w:t>
            </w:r>
          </w:p>
        </w:tc>
        <w:tc>
          <w:tcPr>
            <w:tcW w:w="920" w:type="dxa"/>
            <w:vAlign w:val="bottom"/>
            <w:tcBorders>
              <w:bottom w:val="single" w:sz="8" w:color="auto"/>
            </w:tcBorders>
          </w:tcPr>
          <w:p>
            <w:pPr>
              <w:spacing w:after="0"/>
              <w:rPr>
                <w:sz w:val="24"/>
                <w:szCs w:val="24"/>
                <w:color w:val="auto"/>
              </w:rPr>
            </w:pPr>
          </w:p>
        </w:tc>
      </w:tr>
      <w:tr>
        <w:trPr>
          <w:trHeight w:val="223"/>
        </w:trPr>
        <w:tc>
          <w:tcPr>
            <w:tcW w:w="69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2010</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9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3,456,123</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3,386,100</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Brazil</w:t>
            </w:r>
          </w:p>
        </w:tc>
        <w:tc>
          <w:tcPr>
            <w:tcW w:w="1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133,858</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56,207</w:t>
            </w: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3,589,981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3,442,307</w:t>
            </w: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Long-lived assets consist primarily of property and equipment. These assets are periodically reviewed to assure the net realizable value from the estimated future production based on forecasted sales exceeds the carrying value of the assets.</w:t>
      </w:r>
    </w:p>
    <w:p>
      <w:pPr>
        <w:spacing w:after="0" w:line="193"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expenses all costs related to product research and development as incurred. The Company incurred $814,305 and $1,193,456 of expense during the three months ended November 30, 2011 and 2010, respectively, in connection with its research and development activities. These costs related to product research and development are the net amount after being reduced by reimbursements related to certain research and development contracts of $197,000 and $25,992 for the three months ended November 30, 2011 and 2010, respectively. The net fees are accounted for in the “Research and Development Expenses” section of the consolidated statements of operations.</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certain research and development contracts. The Company accrues proceeds received under such contracts and offsets research and development expenses incurred in equal installments over the timelines associated with completion of the contracts’ specific objectives and milestones. At November 30, 2011 and August 31, 2011, the Company did not have any deferred amounts in other accrued liabilities as the Company had not yet performed under the obligations of the contract at that time.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September 27, 2011, the Compensation Committee of the Board of Directors of the Company approved the material terms of an annual bonus plan for the Company’s executive officers and certain officers and employees for the fiscal year ending August 31, 2012. For fiscal 2012 as in past years, the total amount available under the bonus plan will be up to 25% of the Company’s earnings before interest, taxes and other income (EBITOI) and will be $0 if EBITOI is below 70% of a pre-established target EBITOI for fiscal 2012. Each plan participant’s percentage of the overall bonus pool will be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2012 compared to the pre-established target EBITOI for fiscal 2012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NTIC common stock, the exact amount and percentages of which will be determined by the Company’s Board of Directors, upon recommendation of the Compensation Committee, after the completion of the Company’s consolidated financial statements for fiscal 2012.</w:t>
      </w:r>
    </w:p>
    <w:p>
      <w:pPr>
        <w:spacing w:after="0" w:line="2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was $320,814 for management bonuses accrued for three months ended November 30, 2011 compared to a management bonus accrual of $357,000 for the three months ended November 30, 2010.</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subsidiary of the Company, NTI Facilities, Inc., leases property located at 23205 Mercantile Road, Beachwood, Ohio. Remaining rentals payable under such leases are as follows: fiscal 2012 - $178,875; fiscal 2013 - $238,500; fiscal 2014 - $59,500 and thereafter - $0.</w:t>
      </w:r>
    </w:p>
    <w:p>
      <w:pPr>
        <w:spacing w:after="0" w:line="19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One customer accounted for 0% and 10.6% of the Company’s trade receivables, excluding joint ventures at November 30, 2011 and 2010, respectively. Two joint ventures accounted for 73.3% and 48.0% of the Company’s trade joint venture receivables at November 30, 2011 and 2010, respectively.</w:t>
      </w:r>
    </w:p>
    <w:p>
      <w:pPr>
        <w:spacing w:after="0" w:line="15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From time to time, the Company is subject to various claims and legal actions in the ordinary course of its business. The Company is not currently involved in any legal proceeding in which the Company believes, based on information currently available, that there is a reasonable possibility of a material loss.</w:t>
      </w:r>
    </w:p>
    <w:p>
      <w:pPr>
        <w:spacing w:after="0" w:line="147"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January 10, 2012, the Company and PNC Bank entered into a Waiver and First Amendment to Loan Documents pursuant to which the Company and PNC Bank amended the loan agreement and other documents evidencing the Company’s $3,000,000 line of credit with PNC Bank effective as of January 11, 2012 to extend the maturity date of the line of credit from January 10, 2012 to January 9, 2013, and waive a technical covenant default by the Company to deliver a compliance certificate for the period ending November 30, 2011. All other terms of the line of credit and the loan agreement and other documents evidencing the line of credit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 w:name="page16"/>
    <w:bookmarkEnd w:id="15"/>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NTIC develops and markets proprietary environmentally beneficial products and services in over 55 countries either directly or via a network of joint ventures, independent distributors and agents. NTIC’s primary business is corrosion prevention marketed mainly under the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NTIC has been selling its proprietary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to the automotive, electronics, electrical, mechanical, military and retail consumer markets for over 35 years, and more recently, has targeted and expanded into the oil and gas industry. NTIC also sells a portfolio of bio-based and biodegradable (compostable) polymer resin compounds and finished products marketed under the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These products are intended to reduce NTIC’s customers’ carbon footprint and provide environmentally sound disposal options.</w:t>
      </w:r>
    </w:p>
    <w:p>
      <w:pPr>
        <w:spacing w:after="0" w:line="231" w:lineRule="exact"/>
        <w:rPr>
          <w:sz w:val="20"/>
          <w:szCs w:val="20"/>
          <w:color w:val="auto"/>
        </w:rPr>
      </w:pPr>
    </w:p>
    <w:p>
      <w:pPr>
        <w:ind w:right="80"/>
        <w:spacing w:after="0" w:line="206" w:lineRule="auto"/>
        <w:rPr>
          <w:sz w:val="20"/>
          <w:szCs w:val="20"/>
          <w:color w:val="auto"/>
        </w:rPr>
      </w:pPr>
      <w:r>
        <w:rPr>
          <w:rFonts w:ascii="Arial" w:cs="Arial" w:eastAsia="Arial" w:hAnsi="Arial"/>
          <w:sz w:val="18"/>
          <w:szCs w:val="18"/>
          <w:color w:val="auto"/>
        </w:rPr>
        <w:t>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include plastic and paper packaging, liquids and coatings, rust removers and cleaners, diffusers and variations of these products designed specifically for the oil and gas industry. NTIC’s also offers worldwide on-site technical consulting for rust and corrosion prevention issues. NTIC’s technical service consultants work directly with the end users of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to analyze their specific needs and develop systems to meet their technical requirements. In North America, NTIC sells its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corrosion prevention solutions through a direct sales force as well as a network of independent distributors and agents. Internationally, NTIC sells its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corrosion prevention solutions through its majority owned Brazilian subsidiary, Zerust Prevenção de Corrosão S.A. (Zerust Brazil), and joint venture arrangements in North America, Europe and Asia.</w:t>
      </w:r>
    </w:p>
    <w:p>
      <w:pPr>
        <w:spacing w:after="0" w:line="236" w:lineRule="exact"/>
        <w:rPr>
          <w:sz w:val="20"/>
          <w:szCs w:val="20"/>
          <w:color w:val="auto"/>
        </w:rPr>
      </w:pPr>
    </w:p>
    <w:p>
      <w:pPr>
        <w:jc w:val="both"/>
        <w:ind w:right="80"/>
        <w:spacing w:after="0"/>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For the past several years, NTIC has focused its sales and marketing efforts on the oil and gas industry since the infrastructure that supports that industry is typically constructed using metals that are highly susceptible to corrosion and NTIC believes that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will minimize maintenance downtime on critical oil and gas industry infrastructure, extend the life of such infrastructure and reduce the risk of environmental pollution due to corrosion</w:t>
      </w:r>
    </w:p>
    <w:p>
      <w:pPr>
        <w:spacing w:after="0" w:line="1" w:lineRule="exact"/>
        <w:rPr>
          <w:sz w:val="20"/>
          <w:szCs w:val="20"/>
          <w:color w:val="auto"/>
        </w:rPr>
      </w:pPr>
    </w:p>
    <w:p>
      <w:pPr>
        <w:ind w:right="100"/>
        <w:spacing w:after="0" w:line="232" w:lineRule="auto"/>
        <w:rPr>
          <w:sz w:val="20"/>
          <w:szCs w:val="20"/>
          <w:color w:val="auto"/>
        </w:rPr>
      </w:pPr>
      <w:r>
        <w:rPr>
          <w:rFonts w:ascii="Arial" w:cs="Arial" w:eastAsia="Arial" w:hAnsi="Arial"/>
          <w:sz w:val="16"/>
          <w:szCs w:val="16"/>
          <w:color w:val="auto"/>
        </w:rPr>
        <w:t>leaks. Petroleo Brasileiro S.A. (Petrobras), an oil company located in Brazil, has conducted extensive multi-year product field trials of NTIC’s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against competitive alternatives. During fiscal 2010, Zerust Brazil received a Phase I contract for an initial implementation of $1.4 million (BRL$ 2.5 million) in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During fiscal 2011, Zerust Brazil signed a Phase 2 expanded contract with Petrobras to supply an additional $2.6 million (BRL$ 4.21 million) in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NTIC is also pursuing opportunities to market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prevention solutions to other targeted potential customers in the oil and gas industry across several countries through NTIC’s joint venture partners and other strategic partners. NTIC believes the sale of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to customers in the oil and gas industry will involve a long sales cycle, likely including a one- to two-year trial period with each customer and a slow integration process thereafter.</w:t>
      </w:r>
    </w:p>
    <w:p>
      <w:pPr>
        <w:spacing w:after="0" w:line="234"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bio-based and biodegradable plastics are manufactured using NTIC’s patented and/or proprietary technologies and are intended to replace conventional petroleum-based plastics. The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bioplastics portfolio includes biopolymer resin compounds which are available in several grades tailored for a variety of applications, such as blown-film extrusion, extrusion coating, injection molding and rigid, engineered plastics, and finished products, including shopping and grocery bags, lawn and leaf bags, can liners, pet waste collection bags, cutlery, packaging foam and coated paper products, which are engineered to be fully biodegradable in a composting</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jc w:val="both"/>
        <w:ind w:right="160"/>
        <w:spacing w:after="0" w:line="190" w:lineRule="auto"/>
        <w:rPr>
          <w:sz w:val="20"/>
          <w:szCs w:val="20"/>
          <w:color w:val="auto"/>
        </w:rPr>
      </w:pPr>
      <w:r>
        <w:rPr>
          <w:rFonts w:ascii="Arial" w:cs="Arial" w:eastAsia="Arial" w:hAnsi="Arial"/>
          <w:sz w:val="18"/>
          <w:szCs w:val="18"/>
          <w:color w:val="auto"/>
        </w:rPr>
        <w:t>environment. In North America, NTIC markets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primarily through a network of independent distributors and agents. Internationally, NTIC sells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both directly and through some of its joint venture arrangements, including in particular its joint venture in India, Harita NTI Limited (HNTI).</w:t>
      </w:r>
    </w:p>
    <w:p>
      <w:pPr>
        <w:spacing w:after="0" w:line="23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fiscal 2011, NTIC and HNTI signed a memorandum of understanding with the Indian conglomerate ITC Limited to jointly develop and commercialize biopolymer extrusion coated paper products targeted at the consumer goods packaging market in India. The two companies will jointly develop solutions in the Indian market towards providing biodegradable/compostable products such as food service ware, food packaging, personal care product packaging and other fast-moving consumer goods packaging. The biopolymer resin compounds will be manufactured by HNTI for integration with paper manufactured by ITC’s Paperboards and Specialty Papers Division. In addition, during fiscal 2011, NTIC entered into an agreement with Italy-based Naturfuels s.r.l. to distribute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bioplastic materials and products in the Italian and Swiss markets. Under the terms of the distribution agreement, NTIC will supply Naturfuels with NTIC’s patented high-strength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compostable film grade resin compounds to be used for the production of bio-plastic shopping and garbage bags on conventional plastic film production equipment.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56"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NTIC participates, either directly or indirectly, in 24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sell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and finished products and NTIC’s Polymer Energy LLC joint venture manufactures and sells Polymer Energy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equipment that converts waste plastic into diesel, gasoline and heavy fractions. NTIC historically has funded its joint venture investments with cash generated from operations.</w:t>
      </w:r>
    </w:p>
    <w:p>
      <w:pPr>
        <w:spacing w:after="0" w:line="23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NTIC’s receipt of funds from its joint ventures is dependent upon fees for services that NTIC provides to its joint ventures based primarily on the revenues of the joint ventures and NTIC’s receipt of dividend distributions from the joint ventures. NTIC receives fees for services provided to its joint ventures based primarily on the net sales of the individual joint ventures. The fees for services provided to joint ventures are determined based on either a flat fee or a percentage of sales depending on local laws and tax regulations. With respect to NTIC’s primary joint venture in Germany (EXCOR), NTIC recognizes an agreed upon quarterly fee for such services. With respect to NTIC’s ASEAN joint venture holding company (NTI ASEAN), NTIC does not receive a fee for such services, but rather receives a bi-annual dividend based on available cash.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owns only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21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NTIC does not consolidate the results of its joint ventures on its consolidated financial statements. NTIC’s investments in its joint ventures are accounted for using the equity method. Although Zerust Brazil originated as a joint venture of NTIC, it is no longer considered a joint venture, but rather it is a majority owned subsidiary of NTIC and thus unlike NTIC’s joint ventures, its results are consolidated on NTIC’s consolidated financial statements. NTIC holds 85% of the equity and 85% of the voting rights of Zerust Brazil. Although NTIC owns a 62.5% ownership interest in Polymer Energy LLC, NTIC has not consolidated the Polymer Energy LLC joint venture in NTIC’s consolidated financial statements for the three months ended November 30, 2011 or any prior period since Polymer Energy LLC has had limited activity since its inception in 2003 and NTIC believes that the impact of not consolidating this entity on NTIC’s consolidated financial statement has been immaterial. No license fees were received by Polymer Energy LLC and no other financial activity took place during the three months ended November 30, 2011, and accordingly, during such period, NTIC received and recorded no fees for services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6"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provided to joint ventures in its consolidated financial statements attributable to its ownership interest in Polymer Energy LLC.</w:t>
      </w:r>
    </w:p>
    <w:p>
      <w:pPr>
        <w:spacing w:after="0" w:line="2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NTIC considers EXCOR and NTI ASEAN to be individually significant to NTIC’s consolidated assets and income; and therefore, provides certain additional information regarding these entities in the notes to NTIC’s consolidated financial statements and in this section of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and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w:t>
      </w:r>
    </w:p>
    <w:p>
      <w:pPr>
        <w:spacing w:after="0" w:line="53"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NTIC’s consolidated net sales increased 17.9% during the three months ended November 30, 2011 compared to the three months ended November 30, 2010. This increase was primarily a result of increased sales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and sales of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During the three months ended November 30, 2011, 92.1% of NTIC’s consolidated net sales were derived from sales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which increased 14.9% to $4,452,646 during the three months ended November 30, 2011 compared to $3,875,428 during the three months ended November 30, 2010 due to increased demand from existing customers and the addition of new customers. NTIC has focused its sales efforts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by strategically targeting customers with specific corrosion issues in new market areas, including the oil and gas industry and other industrial sectors that offer sizable growth opportunities. NTIC’s consolidated net sales for the three months ended November 30, 2011 included $604,920 of sales made by Zerust Brazil, and of those sales, $45,861 in sales were made to the oil and gas industry sector in Brazil. Overall demand for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depends heavily on the overall health of the markets in which NTIC sells its products, including in particular the automotive market.</w:t>
      </w:r>
    </w:p>
    <w:p>
      <w:pPr>
        <w:spacing w:after="0" w:line="232"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During the three months ended November 30, 2011, $379,468, or 7.9%, of NTIC’s consolidated net sales were derived from sales of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compared to 5.4% during the three months ended November 30, 2010. Net sales of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increased 70.2% during the three months ended November 30, 2011 compared to the three months ended November 30, 2010. This increase was due to increased sales to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distributors on the West Coast of the United States. NTIC has continued to strengthen and expand its West Coast distribution network in California, as well as expand its industrial distribution reach to geographical “green” hotspots such as Oregon, Washington, Minnesota and New England. Additionally, NTIC has continued to target key national and regional retailers utilizing independent sales agents. Demand for the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depends primarily on market acceptance and the extent of NTIC’s distribution network.</w:t>
      </w:r>
    </w:p>
    <w:p>
      <w:pPr>
        <w:spacing w:after="0" w:line="234"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Cost of goods sold as a percentage of net sales increased to 66.4% during the three months ended November 30, 2011 compared to 65.7% during the three months ended November 30, 2010 primarily as a result of a slight increase in shipping costs, production overhead and raw material prices and a higher percentage of sales of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which generally carry smaller margins than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w:t>
      </w:r>
    </w:p>
    <w:p>
      <w:pPr>
        <w:spacing w:after="0" w:line="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NTIC’s equity in income of joint ventures decreased 19.9% to $1,357,680 during the three months ended November 30, 2011 compared to $1,695,131 during the three months ended November 30, 2010 which was primarily a result of a 22.4% decrease in the profitability of NTIC’s largest joint venture, EXCOR in Germany during the same time period. The decrease in profitability was due to increased operating expenses during the three months ended November 30, 2011 compared to the three months ended November 30, 2010. NTIC recognized a 0.5% decrease in fees for services provided to joint ventures during the three months ended November 30, 2011 compared to the three months ended November 30, 2010. This slight decrease was primarily a result of the devaluation of the EURO and other currencies compared to the U.S. dollar, partially offset by a 6.3% increase in total net sales of NTIC’s joint ventures to $28,795,232 during the three months ended November 30, 2011 compared to $ 27,101,587 during the three months ended November 30, 2010.</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18" w:name="page19"/>
    <w:bookmarkEnd w:id="18"/>
    <w:p>
      <w:pPr>
        <w:ind w:right="560"/>
        <w:spacing w:after="0" w:line="277" w:lineRule="auto"/>
        <w:rPr>
          <w:sz w:val="20"/>
          <w:szCs w:val="20"/>
          <w:color w:val="auto"/>
        </w:rPr>
      </w:pPr>
      <w:r>
        <w:rPr>
          <w:rFonts w:ascii="Arial" w:cs="Arial" w:eastAsia="Arial" w:hAnsi="Arial"/>
          <w:sz w:val="18"/>
          <w:szCs w:val="18"/>
          <w:color w:val="auto"/>
        </w:rPr>
        <w:t>NTIC’s total operating expenses decreased 3.8%, or $132,329, to $3,393,068 during the three months ended November 30, 2011 compared to the three months ended November 30, 2010.</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NTIC expenses all costs related to product research and development as incurred. NTIC incurred $814,305 and $1,193,456 of expense during the three months ended November 30, 2011 and 2010, respectively, in connection with its research and development activities. These represent net amounts after being reduced by reimbursements related to certain research and development contracts. Such reimbursements totaled $197,000 and $25,992 for the three months ended November 30, 2011 and 2010, respectively. NTIC anticipates that it will spend between $4,300,000 and $4,500,000 in total during fiscal 2012 on research and development activities related to its new technologies. This estimate is a net range after being reduced by anticipated reimbursements related to certain research and development contracts.</w:t>
      </w:r>
    </w:p>
    <w:p>
      <w:pPr>
        <w:spacing w:after="0" w:line="220"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Net income attributable to NTIC increased 6.6% to $958,757, or $0.22 per diluted common share, for the three months ended November 30, 2011 compared to $899,781, or $0.21 per diluted common share, for the three months ended November 30, 2010. This slight increase was primarily the result of an increase in sales and corresponding gross profit, partially offset by decreased equity income from NTIC’s joint ventures. NTIC anticipates that its quarterly net income will remain subject to significant volatility primarily due to the financial performance of its joint ventures and sales of its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into the oil and gas industry and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bioplastics products, which sales fluctuate more on a quarterly basis than the traditional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w:t>
      </w:r>
    </w:p>
    <w:p>
      <w:pPr>
        <w:spacing w:after="0" w:line="2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NTIC’s working capital was $11,359,574 at November 30, 2011, including $3,407,371 in cash and cash equivalents compared to $9,085,748 at August 31, 2011, including $3,266,362 in cash and cash equivalents.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the three months ended November 30, 2011 and November 30, 2010.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Three Months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Three Months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November 30,</w:t>
            </w:r>
          </w:p>
        </w:tc>
        <w:tc>
          <w:tcPr>
            <w:tcW w:w="120" w:type="dxa"/>
            <w:vAlign w:val="bottom"/>
          </w:tcPr>
          <w:p>
            <w:pPr>
              <w:spacing w:after="0"/>
              <w:rPr>
                <w:sz w:val="18"/>
                <w:szCs w:val="18"/>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November 30,</w:t>
            </w:r>
          </w:p>
        </w:tc>
        <w:tc>
          <w:tcPr>
            <w:tcW w:w="120" w:type="dxa"/>
            <w:vAlign w:val="bottom"/>
          </w:tcPr>
          <w:p>
            <w:pPr>
              <w:spacing w:after="0"/>
              <w:rPr>
                <w:sz w:val="18"/>
                <w:szCs w:val="18"/>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34"/>
        </w:trPr>
        <w:tc>
          <w:tcPr>
            <w:tcW w:w="4360" w:type="dxa"/>
            <w:vAlign w:val="bottom"/>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2011</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Net Sales</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Net Sales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4,277,643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3,446,303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831,340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554,471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652,138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(97,667)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3,209,476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2,690,705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518,771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1,357,680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1,695,131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(337,451)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1,445,252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1,451,780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Selling expenses</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1,108,486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999,053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109,433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1,270,013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1,104,167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165,846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200,264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228,721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(28,457)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814,305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1,193,456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(379,151)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r>
    </w:tbl>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NTIC’s consolidated net sales increased 17.9% to $4,832,114 during the three months ended November 30, 2011 compared to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November 30, 2010. NTIC’s consolidated net sales to unaffiliated customers excluding NTIC’s joint ventures increased 24.1% to $4,277,643, during the three months ended November 30, 2011 compared to the same prior fiscal year period. This increase was primarily a result of increased demand and sales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packaging products and services to existing customer and new customers. Net sales to joint ventures decreased 15.0% to $554,471 during the three months ended November 30, 2011 compared to the three months ended November 30, 2010. This decrease was due primarily to the timing of various shipments to several of our joint ventures.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ind w:right="60"/>
        <w:spacing w:after="0" w:line="277" w:lineRule="auto"/>
        <w:rPr>
          <w:sz w:val="20"/>
          <w:szCs w:val="20"/>
          <w:color w:val="auto"/>
        </w:rPr>
      </w:pPr>
      <w:r>
        <w:rPr>
          <w:rFonts w:ascii="Arial" w:cs="Arial" w:eastAsia="Arial" w:hAnsi="Arial"/>
          <w:sz w:val="18"/>
          <w:szCs w:val="18"/>
          <w:color w:val="auto"/>
        </w:rPr>
        <w:t>The following table sets forth additional detail regarding NTIC’s net sales by product category for the three months ended November 30, 2011 and November 30,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w w:val="98"/>
              </w:rPr>
              <w:t>Three Months</w:t>
            </w:r>
          </w:p>
        </w:tc>
        <w:tc>
          <w:tcPr>
            <w:tcW w:w="1300" w:type="dxa"/>
            <w:vAlign w:val="bottom"/>
            <w:gridSpan w:val="3"/>
          </w:tcPr>
          <w:p>
            <w:pPr>
              <w:ind w:left="120"/>
              <w:spacing w:after="0"/>
              <w:rPr>
                <w:sz w:val="20"/>
                <w:szCs w:val="20"/>
                <w:color w:val="auto"/>
              </w:rPr>
            </w:pPr>
            <w:r>
              <w:rPr>
                <w:rFonts w:ascii="Arial" w:cs="Arial" w:eastAsia="Arial" w:hAnsi="Arial"/>
                <w:sz w:val="18"/>
                <w:szCs w:val="18"/>
                <w:b w:val="1"/>
                <w:bCs w:val="1"/>
                <w:color w:val="auto"/>
                <w:w w:val="98"/>
              </w:rPr>
              <w:t>Three Months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w w:val="98"/>
              </w:rPr>
              <w:t>November 30,</w:t>
            </w:r>
          </w:p>
        </w:tc>
        <w:tc>
          <w:tcPr>
            <w:tcW w:w="1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w w:val="98"/>
              </w:rPr>
              <w:t>November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4,452,646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3,875,428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577,218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Natur-Tec® net sales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379,468</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223,013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156,455</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70.2%</w:t>
            </w: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4,832,114</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4,098,441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733,673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18"/>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__________________</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ind w:left="340" w:right="80" w:hanging="332"/>
        <w:spacing w:after="0" w:line="25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net sales by NTIC’s joint ventures which are not combined with NTIC’s sales in NTIC’s consolidated financial statements or in any description of NTIC’s sales.</w:t>
      </w:r>
    </w:p>
    <w:p>
      <w:pPr>
        <w:spacing w:after="0" w:line="213"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During the three months ended November 30, 2011, 92.1% of NTIC’s consolidated net sales were derived from sales of ZERUST® products and services, which increased 14.9% to $4,452,646 during the three months ended November 30, 2011 compared to $3,875,428 during the three months ended November 30, 2010 due to increased demand from existing customers and new customers. NTIC has focused its sales efforts of ZERUST® products and services by strategically targeting customers with specific corrosion issues in new market areas, including the oil and gas industry and other industrial sectors that offer sizable growth opportunities. NTIC’s consolidated net sales during the three months ended November 30, 2011 included $604,920 of sales made by Zerust Brazil, and of those sales, $45,861 in sales were made to the oil and gas industry sector in Brazil. Overall demand for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depends heavily on the overall health of the markets in which it sells its products, including in particular the automotive market.</w:t>
      </w:r>
    </w:p>
    <w:p>
      <w:pPr>
        <w:spacing w:after="0" w:line="195"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During the three months ended November 30, 2011, $379,468, or 7.9%, of NTIC’s consolidated net sales were derived from sales of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compared to 5.4% during the three months ended November 30, 2010. Net sales of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increased 70.2% during the three months ended November 30, 2011 compared to the three months ended November 30, 2010. This increase was due to increased sales to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distributors on the West Coast of the United States. NTIC has continued to strengthen and expand its West Coast distribution network in California, as well as expand its industrial distribution reach to geographical “green” hotspots such as Oregon, Washington, Minnesota and New England. Additionally, NTIC has continued to target key national and regional retailers utilizing independent sales agents. Demand for the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depends primarily on market acceptance and the extent of NTIC’s distribution network.</w:t>
      </w:r>
    </w:p>
    <w:p>
      <w:pPr>
        <w:spacing w:after="0" w:line="2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increased 19.3% for the three months ended November 30, 2011 compared to the three months ended November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2010 primarily as a result of increased net sales as described above. Cost of goods sold as a percentage of net sales increased to 66.4% for the three months ended November 30, 2011 compared to 65.7% for the three months ended November 30, 2010 primarily as a result of a slight increase in shipping costs, production overhead and raw material prices and a higher percentage of sales of Natur-Tec® products, which generally carry smaller margins than ZERUST® products and services.</w:t>
      </w:r>
    </w:p>
    <w:p>
      <w:pPr>
        <w:spacing w:after="0" w:line="21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i w:val="1"/>
          <w:iCs w:val="1"/>
          <w:color w:val="auto"/>
        </w:rPr>
        <w:t xml:space="preserve">Equity in Income of Joint Ventures. </w:t>
      </w:r>
      <w:r>
        <w:rPr>
          <w:rFonts w:ascii="Arial" w:cs="Arial" w:eastAsia="Arial" w:hAnsi="Arial"/>
          <w:sz w:val="17"/>
          <w:szCs w:val="17"/>
          <w:color w:val="auto"/>
        </w:rPr>
        <w:t>NTIC had equity in income of joint ventures of $1,357,680 during the three months ended November 30, 2011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equity in income of joint ventures of $1,695,131 during the three months ended November 30, 2010 which is primarily a result of a 22.4% decrease in the profitability of NTIC’s largest joint venture, EXCOR in Germany during the same time period. Of the total equity in income of joint ventures, NTIC had equity in income of joint ventures of $728,528 attributable to EXCOR during the three months ended November 30, 2011 compared to $938,227 attributable to EXCOR during the three months ended November 30, 2010. Of the total equity in income of joint ventures, NTIC had equity in income of joint ventures of $369,462 attributable to NTI ASEAN during the three months ended November 30, 2011 compared to $320,607 attributable to NTI ASEAN during the three months ended November 30, 2010. NTIC had equity in income of all other joint ventures of $259,691 during the three months ended November 30, 2011 compared to $436,297 during the three months ended November 30, 2010.</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0" w:name="page21"/>
    <w:bookmarkEnd w:id="20"/>
    <w:p>
      <w:pPr>
        <w:ind w:right="200"/>
        <w:spacing w:after="0" w:line="270" w:lineRule="auto"/>
        <w:rPr>
          <w:sz w:val="20"/>
          <w:szCs w:val="20"/>
          <w:color w:val="auto"/>
        </w:rPr>
      </w:pPr>
      <w:r>
        <w:rPr>
          <w:rFonts w:ascii="Arial" w:cs="Arial" w:eastAsia="Arial" w:hAnsi="Arial"/>
          <w:sz w:val="17"/>
          <w:szCs w:val="17"/>
          <w:i w:val="1"/>
          <w:iCs w:val="1"/>
          <w:color w:val="auto"/>
        </w:rPr>
        <w:t xml:space="preserve">Fees for Services Provided to Joint Ventures. </w:t>
      </w:r>
      <w:r>
        <w:rPr>
          <w:rFonts w:ascii="Arial" w:cs="Arial" w:eastAsia="Arial" w:hAnsi="Arial"/>
          <w:sz w:val="17"/>
          <w:szCs w:val="17"/>
          <w:color w:val="auto"/>
        </w:rPr>
        <w:t>NTIC recognized fee income for services provided to joint ventures of $1,445,252 during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November 30, 2011 compared to $1,451,780 during the three months ended November 30, 2010, representing a slight decrease of 0.4%. The slight decrease in fees for services provided to joint ventures was primarily the result of the devaluation of the EURO and other currencies compared to the U.S. dollar, partially offset by a 6.3% increase in total net sales of NTIC’s joint ventures to $28,795,232 during the three months ended November 30, 2011 compared to $27,101,587 during the three months ended November 30, 2010. Sales of NTIC’s joint ventures are not included in NTIC’s product sales and are not combined with NTIC’s sales in NTIC’s consolidated financial statements or in any description of NTIC’s sales. Of the total fee income for services provided to its joint ventures, fees of $249,447 were attributable to EXCOR during the three months ended November 30, 2011 compared to $257,276 attributable to EXCOR during the three months ended November 30, 2010. This decrease was the result of foreign currency exchange rate fluctuations. NTIC does not receive fees attributable to NTI ASEAN. NTIC receives dividend payments based on fees paid from the joint ventures that comprise the NTI ASEAN investments.</w:t>
      </w:r>
    </w:p>
    <w:p>
      <w:pPr>
        <w:spacing w:after="0" w:line="20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NTIC sponsors a worldwide joint venture conference periodically in which all of NTIC’s joint ventures and subsidiaries are invited to participate. NTIC defers a portion of its fees for services provided to joint ventures in each accounting period leading up to the next conference, reflecting that NTIC has not fully earned the payments received during that period. The next joint venture conference is scheduled to be held in summer of 2012 or 2013. No additional income during either the three months ended November 30, 2011 or 2010 was deferred related to this future conference since $288,000 had been accrued prior to such time, which represents the amount that NTIC expects to spend to hold the next conference. This amount is based on the historical experience of NTIC, current conditions and the intentions of NTIC’s management. NTIC does not anticipate deferring any additional fees for services provided to joint ventures until after the next conference. The costs associated with these joint venture conferences are offset against the deferral as incurred, generally in the period in which the conference is held and immediately before.</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11.0% for the three months ended November 30, 2011 compared to the three months ended November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2010 due to increases in compensation and employee benefits, lab testing related expenses, commissions expenses, travel and related expenses, consulting expenses and selling expenses incurred at Zerust Brazil. Selling expenses as a percentage of net sales decreased to 22.9% during the three months ended November 30, 2011, from 24.4% during the three months ended November 30, 2010, due primarily to the increase in net sales, partially offset by the increase in selling expenses as previously described.</w:t>
      </w:r>
    </w:p>
    <w:p>
      <w:pPr>
        <w:spacing w:after="0" w:line="21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increased 15.0% for the three months ended November 30, 2011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three months ended November 30, 2010 due to an increase in compensation and benefits expenses associated with an increase in headcount and annual performance raises, partially offset by a decrease in consulting expenses. As a percentage of net sales, general and administrative expenses decreased slightly to 26.3% for the three months ended November 30, 2011 from 26.9% for the three months ended November 30 2010.</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Expenses Incurred in Support of Joint Ventures. </w:t>
      </w:r>
      <w:r>
        <w:rPr>
          <w:rFonts w:ascii="Arial" w:cs="Arial" w:eastAsia="Arial" w:hAnsi="Arial"/>
          <w:sz w:val="18"/>
          <w:szCs w:val="18"/>
          <w:color w:val="auto"/>
        </w:rPr>
        <w:t>Expenses incurred in support of NTIC’s joint ventures were $200,264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30, 2011 compared to $228,721 during the three months ended November 30, 2010, representing a decrease of 12.4%. The decrease was due to a decrease in travel and legal expenses.</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NTIC’s research and development expenses decreased 31.8% for the three months ended November 30, 2011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November 30, 2010 due to a decrease in consulting expenses, lab and testing expenses, and an increase in offsetting research and development contracts and grant income.</w:t>
      </w:r>
    </w:p>
    <w:p>
      <w:pPr>
        <w:spacing w:after="0" w:line="2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increased to $8,060 during the three months ended November 30, 2011 compared to $3,933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November 30, 2010 primarily due to increased cash balances earning interest during the most recent period.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1" w:name="page22"/>
    <w:bookmarkEnd w:id="21"/>
    <w:p>
      <w:pPr>
        <w:ind w:right="40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$5,966 during the three months ended November 30, 2011 compared to $23,234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2010 primarily due to lower average outstanding debt levels during the most recent period.</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Income Before Income Tax Expense</w:t>
      </w:r>
      <w:r>
        <w:rPr>
          <w:rFonts w:ascii="Arial" w:cs="Arial" w:eastAsia="Arial" w:hAnsi="Arial"/>
          <w:sz w:val="18"/>
          <w:szCs w:val="18"/>
          <w:color w:val="auto"/>
        </w:rPr>
        <w:t>. Income before income tax expense increased to $1,041,421 for the three months ended November 30, 2011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$1,016,874 for the three months ended November 30, 2010.</w:t>
      </w:r>
    </w:p>
    <w:p>
      <w:pPr>
        <w:spacing w:after="0" w:line="197"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was $106,000 during the three months ended November 30, 2011 compared to income tax expense of $122,000</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three months ended November 30, 2010. Income tax expense was calculated based on management’s estimate of NTIC’s annual effective income tax rate. NTIC’s annual effective income tax rate during the three months ended November 30, 2011 and 2010 was lower than the statutory rate primarily due to NTIC’s equity in income of joint ventures being recognized based on after-tax earnings of these entities. To the extent undistributed earnings of NTIC’s joint ventures are distributed to NTIC, it is not expected to result in any material additional income tax liability after the application of foreign tax credits.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and that NTIC’s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2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volatility of the foreign currency translations adjustment was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strengthening of the U.S. dollar compared to the Euro and other foreign currencies during the three months ended November 30, 2011 compared to the three months ended November 30, 2010.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i w:val="1"/>
          <w:iCs w:val="1"/>
          <w:color w:val="auto"/>
        </w:rPr>
        <w:t>Sources of Cash and Working Capital</w:t>
      </w:r>
      <w:r>
        <w:rPr>
          <w:rFonts w:ascii="Arial" w:cs="Arial" w:eastAsia="Arial" w:hAnsi="Arial"/>
          <w:sz w:val="17"/>
          <w:szCs w:val="17"/>
          <w:color w:val="auto"/>
        </w:rPr>
        <w:t>. As of November 30, 2011, NTIC’s working capital was $11,359,574, including $3,407,371 in cash and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compared to working capital of $9,085,748, including $3,266,362 in cash and cash equivalents, at August 31, 2011.</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purchase of its corporate headquarters, in September 2006, Northern Technologies Holding Company, LLC (NTI LLC) obtained a term loan from PNC Bank, National Association (PNC Bank) with a principal amount of $1,275,000 that was to mature on May 1, 2011. On January 10, 2011, NTI LLC refinanced its term loan in the then principal amount of approximately $1,141,788. The term loan matures on January 10, 2016, bears interest at an annual rate based on the daily LIBOR rate plus 2.15% and is payable in 59 consecutive monthly installments equal to approximately $6,343 (inclusive of principal but exclusive of interest) commencing in February 2011. The term loan is secured by a first lien on the real estate and building owned by NTI LLC and all of the assets of NTIC and is guaranteed by NTIC.</w:t>
      </w:r>
    </w:p>
    <w:p>
      <w:pPr>
        <w:spacing w:after="0" w:line="22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November 30, 2011, NTIC had a revolving line of credit with PNC Bank of $3,000,000 with no amounts outstanding as of such date.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standby letters of credit issued under the subfacility are subject to customary fees and charges payable by NTIC. At the option of NTIC, outstanding advances under the line of credit bear interest at either (a) an annual rate based on LIBOR plus 2.15% for the applicable LIBOR interest period selected by NTIC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for such advance. Any unpaid interest is payable on the maturity date. As of November 30, 2011, the interest rate on the line of credit was 3.09%.</w:t>
      </w:r>
    </w:p>
    <w:p>
      <w:pPr>
        <w:spacing w:after="0" w:line="26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term loan and the line of credit are governed under two separate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NTIC is subject to a minimum fixed charge coverage ratio of 1.10:1.00.</w:t>
      </w:r>
    </w:p>
    <w:p>
      <w:pPr>
        <w:spacing w:after="0" w:line="19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January 10, 2012, NTIC and PNC Bank entered into a Waiver and First Amendment to Loan Documents pursuant to which NTIC and PNC Bank amended the loan agreement and other documents evidencing NTIC’s $3,000,000 line of credit with PNC Bank effective as of January 11, 2012 to extend the maturity date of the line of credit from January 10, 2012 to January 9, 2013, and waive a technical covenant default by NTIC to deliver a compliance certificate for the period ending November 30, 2011. All other terms of the line of credit and the loan agreement and other documents evidencing the line of credit remain the same. NTIC expects to remain in compliance with all loan agreement covenants during the remainder of fiscal 2012.</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capital expenditures, debt repayments and any stock repurchases for at least the next 12 months. During the remainder of fiscal 2012, NTIC expects to continue to invest in research and development and in marketing efforts and resources into its new businesses, product lines and markets, including in particular the application of its corrosion prevention technology into the oil and gas industry and its bio-plastics products.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21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Uses of Cash and Cash Flows</w:t>
      </w:r>
      <w:r>
        <w:rPr>
          <w:rFonts w:ascii="Arial" w:cs="Arial" w:eastAsia="Arial" w:hAnsi="Arial"/>
          <w:sz w:val="18"/>
          <w:szCs w:val="18"/>
          <w:color w:val="auto"/>
        </w:rPr>
        <w:t>. Net cash used in operating activities during the three months ended November 30, 2011 was $1,785,543 which resulted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from NTIC’s equity in income from joint ventures and increases in receivables, inventories and prepaid expenses, and decreases in payables and accrued liabilities partially offset by NTIC’s net income, depreciation, amortization and income taxes payable. Net cash provided by operating activities during the three months ended November 30, 2010 was $1,992,801 which resulted principally from NTIC’s equity in income from joint ventures and increases in trade receivables, inventories and prepaid expenses and decreases in accounts payables and accrued liabilities, partially offset by NTIC’s net income and decrease in trade receivables.</w:t>
      </w:r>
    </w:p>
    <w:p>
      <w:pPr>
        <w:spacing w:after="0" w:line="22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3" w:name="page24"/>
    <w:bookmarkEnd w:id="23"/>
    <w:p>
      <w:pPr>
        <w:ind w:right="20"/>
        <w:spacing w:after="0" w:line="253" w:lineRule="auto"/>
        <w:rPr>
          <w:sz w:val="20"/>
          <w:szCs w:val="20"/>
          <w:color w:val="auto"/>
        </w:rPr>
      </w:pPr>
      <w:r>
        <w:rPr>
          <w:rFonts w:ascii="Arial" w:cs="Arial" w:eastAsia="Arial" w:hAnsi="Arial"/>
          <w:sz w:val="18"/>
          <w:szCs w:val="18"/>
          <w:color w:val="auto"/>
        </w:rPr>
        <w:t>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22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NTIC experienced a slight increase in receivables and inventory as of November 30, 2011 compared to August 31, 2011 due to the increase in net sales and a desire to stock more products to shorten lead times and anticipate customer demand. Trade receivables excluding joint ventures as of November 30, 2011 increased $330,866 compared to August 31, 2011, primarily related to the increase in NTIC’s net sales.</w:t>
      </w:r>
    </w:p>
    <w:p>
      <w:pPr>
        <w:spacing w:after="0" w:line="20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Outstanding trade receivables excluding joint ventures balances as of November 30, 2011 increased 11 days to an average of 61 days from balances outstanding from these customers as of August 31, 2011.</w:t>
      </w:r>
    </w:p>
    <w:p>
      <w:pPr>
        <w:spacing w:after="0" w:line="19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Outstanding trade receivables from joint ventures as of November 30, 2011 decreased $144,157 compared to August 31, 2011, primarily due to the timing of payments, which resulted in an increase of outstanding balances from trade receivables from joint ventures as of November 30, 2011 of 42 days from an average of 123 days from balances outstanding from these customers compared to August 31, 2011. The significant average days outstanding of trade receivables from joint ventures as of November 30, 2011 were primarily due to the current receivable balance at NTIC’s joint venture in India. NTIC has made separate arrangements for payments on product that NTIC’s joint venture in India has purchased from NTIC until the product is sold.</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Outstanding services fees receivable from joint ventures as of November 30, 2011 increased $38,883 compared to August 31, 2011, primarily resulting from an extension of terms mostly associated with NTIC’s joint venture in India which resulted in an increase of 19 days of fees receivable outstanding as of November 30, 2011 to an average of 137 days compared to August 31, 2011. NTIC is in the process of converting up to $600,000 of fees receivable from its joint venture in India to equity.</w:t>
      </w:r>
    </w:p>
    <w:p>
      <w:pPr>
        <w:spacing w:after="0" w:line="21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Net cash provided by investing activities for the three months ended November 30, 2011 was $1,935,717 which was comprised of dividends received from joint ventures partially offset by additions to property and equipment and patents. Net cash provided by investing activities for the three months ended November 30, 2010 was $1,244,875 which was comprised of dividends received from joint ventures partially offset by investments in joint ventures and additions to property and equipment and patents.</w:t>
      </w:r>
    </w:p>
    <w:p>
      <w:pPr>
        <w:spacing w:after="0" w:line="214"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Net cash provided by financing activities for the three months ended November 30, 2011 was $3,385, which resulted from proceeds from the employee stock purchase plan, partially offset by principal payments on the bank loan for NTIC’s corporate headquarters buildings. Net cash provided by financing activities for the three months ended November 30, 2010 was $269,867, which resulted from proceeds from option exercises and common stock issued as management bonus, partially offset by principal payments on the bank loan for NTIC’s corporate headquarters buildings.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had no material lease or other material capital commitments as of November 30, 2011, except a lease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entered into by NTI Facilities, Inc., a subsidiary of NTIC, for approximately 16,994 square feet of office, manufacturing, laboratory and warehouse space in Beachwood, Ohio, requiring monthly payments of $17,500, which are adjusted annually according to the annual consumer price index, through November 2014.</w:t>
      </w:r>
    </w:p>
    <w:p>
      <w:pPr>
        <w:spacing w:after="0" w:line="21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NTIC spent approximately $51,000 on capital expenditures during the three months ended November 30, 2011 and expects to spend an aggregate of approximately $1,200,000 on capital expenditures during fiscal 2012.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4" w:name="page25"/>
    <w:bookmarkEnd w:id="24"/>
    <w:p>
      <w:pPr>
        <w:ind w:right="300"/>
        <w:spacing w:after="0" w:line="268" w:lineRule="auto"/>
        <w:rPr>
          <w:sz w:val="20"/>
          <w:szCs w:val="20"/>
          <w:color w:val="auto"/>
        </w:rPr>
      </w:pPr>
      <w:r>
        <w:rPr>
          <w:rFonts w:ascii="Arial" w:cs="Arial" w:eastAsia="Arial" w:hAnsi="Arial"/>
          <w:sz w:val="18"/>
          <w:szCs w:val="18"/>
          <w:color w:val="auto"/>
        </w:rPr>
        <w:t>anticipated capital expenditures for fiscal 2012 relate primarily to the expansion of its laboratory facilities in Circle Pines, Minnesota and the purchase of new equipment.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historically has had little effect on NTIC. NTIC’s business has not historically been seasonal.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9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November 30, 2011, NTIC had no borrowings under the line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“Part II. Item 7, Management’s Discussion and Analysis of Financial Condition and Results of Operations—Critical Accounting Policies”, included in NTIC’s annual report on Form 10-K for the fiscal year ended August 31, 2011.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quarterly report on Form 10-Q contains not only historical information, but also forward-looking statements within the meaning of Section 27A of the Securities Act of 1933 and Section 21E of the Securities Exchange Act of 1934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25" w:name="page26"/>
    <w:bookmarkEnd w:id="25"/>
    <w:p>
      <w:pPr>
        <w:ind w:right="20"/>
        <w:spacing w:after="0" w:line="290" w:lineRule="auto"/>
        <w:rPr>
          <w:sz w:val="20"/>
          <w:szCs w:val="20"/>
          <w:color w:val="auto"/>
        </w:rPr>
      </w:pPr>
      <w:r>
        <w:rPr>
          <w:rFonts w:ascii="Arial" w:cs="Arial" w:eastAsia="Arial" w:hAnsi="Arial"/>
          <w:sz w:val="16"/>
          <w:szCs w:val="16"/>
          <w:color w:val="auto"/>
        </w:rPr>
        <w:t>address activities, events or developments that NTIC expects, believes or anticipates will or may occur in the future are forward-looking statements including, in particular, the statements about NTIC’s plans, objectives, strategies, the outcome of contingencies such as legal proceedings, and prospects regarding, among other things, NTIC’s financial condition, results of operations and business.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214" w:lineRule="exact"/>
        <w:rPr>
          <w:sz w:val="20"/>
          <w:szCs w:val="20"/>
          <w:color w:val="auto"/>
        </w:rPr>
      </w:pPr>
    </w:p>
    <w:p>
      <w:pPr>
        <w:ind w:left="980" w:hanging="13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the European sovereign debt crisis and turmoil and disruption in the global credit and financial markets on NTIC’s business;</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52" w:lineRule="exact"/>
        <w:rPr>
          <w:rFonts w:ascii="Arial" w:cs="Arial" w:eastAsia="Arial" w:hAnsi="Arial"/>
          <w:sz w:val="18"/>
          <w:szCs w:val="18"/>
          <w:color w:val="auto"/>
        </w:rPr>
      </w:pPr>
    </w:p>
    <w:p>
      <w:pPr>
        <w:ind w:left="980" w:right="20" w:hanging="13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variability in NTIC’s equity income of joint ventures, which in turn, subjects NTIC’s earnings to quarterly fluctuations;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and import duties and taxes;</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52" w:lineRule="exact"/>
        <w:rPr>
          <w:rFonts w:ascii="Arial" w:cs="Arial" w:eastAsia="Arial" w:hAnsi="Arial"/>
          <w:sz w:val="18"/>
          <w:szCs w:val="18"/>
          <w:color w:val="auto"/>
        </w:rPr>
      </w:pPr>
    </w:p>
    <w:p>
      <w:pPr>
        <w:jc w:val="both"/>
        <w:ind w:left="980" w:hanging="13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 products and the often lengthy and extensive sales process involved in selling such products and services;</w:t>
      </w:r>
    </w:p>
    <w:p>
      <w:pPr>
        <w:spacing w:after="0" w:line="208" w:lineRule="exact"/>
        <w:rPr>
          <w:rFonts w:ascii="Arial" w:cs="Arial" w:eastAsia="Arial" w:hAnsi="Arial"/>
          <w:sz w:val="18"/>
          <w:szCs w:val="18"/>
          <w:color w:val="auto"/>
        </w:rPr>
      </w:pPr>
    </w:p>
    <w:p>
      <w:pPr>
        <w:ind w:left="980" w:hanging="13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Maturation of certain existing markets for NTIC’s ZERUST® products and services and NTIC’s ability to grow market share and succeed in penetrating other existing and new markets;</w:t>
      </w:r>
    </w:p>
    <w:p>
      <w:pPr>
        <w:spacing w:after="0" w:line="197"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competition, especially with respect to NTIC’s ZERUST® products and services, and the effect of such competition on NTIC’s and its joint ventures’ pricing, net sales and margins;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6" w:name="page27"/>
    <w:bookmarkEnd w:id="26"/>
    <w:p>
      <w:pPr>
        <w:ind w:left="980" w:hanging="13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upon suppliers, including in particular its single supply source for its base bioplastics resins;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97"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transition the manufacturing of certain select ZERUST® rust and corrosion inhibiting products in house at NTIC’s corporate headquarters location in Circle Pines, Minnesota;</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NTIC’s effective tax rate;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5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2011 under the heading “Part I. Item 1A. Risk Factors.”</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Item 3 is inapplicable to NTIC as a smaller reporting company and has been omitted pursuant to Item 305(e) of SEC Regulation S-K.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 w:name="page28"/>
    <w:bookmarkEnd w:id="27"/>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November 30, 2011 that has materially affected, or is reasonably likely to materially affect NTIC’s internal control over financial reporting.</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28" w:name="page29"/>
    <w:bookmarkEnd w:id="28"/>
    <w:p>
      <w:pPr>
        <w:spacing w:after="0"/>
        <w:tabs>
          <w:tab w:leader="none" w:pos="11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three months ended November 30, 2011, NTIC did not issue any shares of its common stock or other equity securities of NTIC that were not registered under the Securities Act of 1933, as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November 30, 2011, NTIC did not purchase any shares of its common stock or other equity securities of NTIC.</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[REMOVED AND RESERVED]</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10, 2012, NTIC and PNC Bank, National Association entered into a Waiver and First Amendment to Loan Documents (the Amendment) pursuant to which NTIC and PNC Bank amended the loan agreement and other documents evidencing NTIC’s $3,000,000 line of credit with PNC Bank effective as of January 11, 2012 to extend the maturity date of the line of credit from January 10, 2012 to January 9, 2013, and waive a technical covenant default by NTIC to deliver a compliance certificate for the period ending November 30, 2011. All other terms of the line of credit and the loan agreement and other documents evidencing the line of credit remain the same.</w:t>
      </w:r>
    </w:p>
    <w:p>
      <w:pPr>
        <w:spacing w:after="0" w:line="21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PNC Bank and its affiliates have in the past performed, and may in the future from time to time perform, investment banking, financial advisory, lending and/or commercial banking services for NTIC and its subsidiaries in arm’s length transactions, on terms customarily available to unrelated third-parties and for which services it has in the past received, and may in the future receive, customary compensation and reimbursement of expenses.</w:t>
      </w:r>
    </w:p>
    <w:p>
      <w:pPr>
        <w:spacing w:after="0" w:line="17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foregoing description of the Amendment is a summary of the material terms of such Amendment, does not purport to be complete and is qualified in its entirety by reference to the complete text of the Amendment, a copy of which is filed as Exhibit 10.6 to this report and is incorporated herein by this reference.</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29" w:name="page30"/>
    <w:bookmarkEnd w:id="29"/>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9" w:lineRule="exact"/>
        <w:rPr>
          <w:sz w:val="20"/>
          <w:szCs w:val="20"/>
          <w:color w:val="auto"/>
        </w:rPr>
      </w:pPr>
    </w:p>
    <w:p>
      <w:pPr>
        <w:ind w:left="1160" w:right="20" w:hanging="845"/>
        <w:spacing w:after="0" w:line="263" w:lineRule="auto"/>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Material Terms of Northern Technologies International Corporation Annual Bonus Plan for Fiscal Year Ending August 31, 2012 (incorporated by reference to Item 5.02 to NTIC’s Current Report on Form 8-K as filed with the Securities and Exchange Commission on September 27, 2011 (File No. 001-11038))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ind w:left="1160" w:right="120" w:hanging="845"/>
        <w:spacing w:after="0" w:line="264" w:lineRule="auto"/>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Executive Employment Agreement dated as of November 18, 2011 between Northern Technologies International Corporation and G. Patrick Lynch (incorporated by reference to Exhibit 10.13 to NTIC’s Annual Report on Form 10-K for the fiscal year ended August 31, 2011 (File No. 001-11038))</w:t>
      </w:r>
    </w:p>
    <w:p>
      <w:pPr>
        <w:spacing w:after="0" w:line="181" w:lineRule="exact"/>
        <w:rPr>
          <w:sz w:val="20"/>
          <w:szCs w:val="20"/>
          <w:color w:val="auto"/>
        </w:rPr>
      </w:pPr>
    </w:p>
    <w:p>
      <w:pPr>
        <w:jc w:val="both"/>
        <w:ind w:left="1160" w:right="100" w:hanging="845"/>
        <w:spacing w:after="0" w:line="264" w:lineRule="auto"/>
        <w:tabs>
          <w:tab w:leader="none" w:pos="11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Confidential Information, Inventions Assignment, Noncompetition and Non-Solicitation Agreement dated as of November 18, 2011 between Northern Technologies International Corporation and G. Patrick Lynch (incorporated by reference to Exhibit 10.14 to NTIC’s Annual Report on Form 10-K for the fiscal year ended August 31, 2011 (File No. 001-11038))</w:t>
      </w:r>
    </w:p>
    <w:p>
      <w:pPr>
        <w:spacing w:after="0" w:line="181" w:lineRule="exact"/>
        <w:rPr>
          <w:sz w:val="20"/>
          <w:szCs w:val="20"/>
          <w:color w:val="auto"/>
        </w:rPr>
      </w:pPr>
    </w:p>
    <w:p>
      <w:pPr>
        <w:jc w:val="both"/>
        <w:ind w:left="1160" w:hanging="845"/>
        <w:spacing w:after="0" w:line="264" w:lineRule="auto"/>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Executive Employment Agreement dated as of November 18, 2011 between Northern Technologies International Corporation and Matthew C. Wolsfeld (incorporated by reference to Exhibit 10.15 to NTIC’s Annual Report on Form 10-K for the fiscal year ended August 31, 2011 (File No. 001-11038))</w:t>
      </w:r>
    </w:p>
    <w:p>
      <w:pPr>
        <w:spacing w:after="0" w:line="181" w:lineRule="exact"/>
        <w:rPr>
          <w:sz w:val="20"/>
          <w:szCs w:val="20"/>
          <w:color w:val="auto"/>
        </w:rPr>
      </w:pPr>
    </w:p>
    <w:p>
      <w:pPr>
        <w:ind w:left="1160" w:right="100" w:hanging="845"/>
        <w:spacing w:after="0" w:line="264" w:lineRule="auto"/>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Confidential Information, Inventions Assignment, Noncompetition and Non-Solicitation Agreement dated as of November 18, 2011 between Northern Technologies International Corporation and Matthew C. Wolsfeld (incorporated by reference to Exhibit 10.16 to NTIC’s Annual Report on Form 10-K for the fiscal year ended August 31, 2011 (File No. 001-11038))</w:t>
      </w:r>
    </w:p>
    <w:p>
      <w:pPr>
        <w:spacing w:after="0" w:line="181" w:lineRule="exact"/>
        <w:rPr>
          <w:sz w:val="20"/>
          <w:szCs w:val="20"/>
          <w:color w:val="auto"/>
        </w:rPr>
      </w:pPr>
    </w:p>
    <w:p>
      <w:pPr>
        <w:ind w:left="1160" w:right="40" w:hanging="845"/>
        <w:spacing w:after="0" w:line="277" w:lineRule="auto"/>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Waiver and First Amendment to Loan Documents dated as of January 10, 2012 between Northern Technologies International Corporation and PNC Bank, National Association (filed herewith)</w:t>
      </w:r>
    </w:p>
    <w:p>
      <w:pPr>
        <w:spacing w:after="0" w:line="170"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 (filed herewith)</w:t>
      </w:r>
    </w:p>
    <w:p>
      <w:pPr>
        <w:spacing w:after="0" w:line="225"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 (filed herewith)</w:t>
      </w:r>
    </w:p>
    <w:p>
      <w:pPr>
        <w:spacing w:after="0" w:line="225" w:lineRule="exact"/>
        <w:rPr>
          <w:sz w:val="20"/>
          <w:szCs w:val="20"/>
          <w:color w:val="auto"/>
        </w:rPr>
      </w:pPr>
    </w:p>
    <w:p>
      <w:pPr>
        <w:ind w:left="1160" w:right="160" w:hanging="845"/>
        <w:spacing w:after="0" w:line="277" w:lineRule="auto"/>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18 U.S.C. Section 1350, as Adopted Pursuant to Section 906 of the Sarbanes-Oxley Act of 2002 (furnished herewith)</w:t>
      </w:r>
    </w:p>
    <w:p>
      <w:pPr>
        <w:spacing w:after="0" w:line="170"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2002 (furnished herewith)</w:t>
      </w:r>
    </w:p>
    <w:p>
      <w:pPr>
        <w:spacing w:after="0" w:line="211" w:lineRule="exact"/>
        <w:rPr>
          <w:sz w:val="20"/>
          <w:szCs w:val="20"/>
          <w:color w:val="auto"/>
        </w:rPr>
      </w:pPr>
    </w:p>
    <w:p>
      <w:pPr>
        <w:ind w:left="1160" w:right="120" w:hanging="819"/>
        <w:spacing w:after="0" w:line="254" w:lineRule="auto"/>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Northern Technologies International Corporation’s Quarterly Report on Form 10-Q for the fiscal quarter ended November 30, 2011, formatted in XBRL (Extensible Business Reporting Language): (i) the unaudited Consolidated Balance Sheets, (ii) the unaudited Consolidated Statements of Operations, (iii) the unaudited Consolidated Statements of Cash Flows, and (iv) Notes to Condensed Financial Statements (furnished herewith)*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660" w:right="60" w:hanging="652"/>
        <w:spacing w:after="0" w:line="29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shall not be deemed to be “filed” for purposes of Section 18 of the Securities Exchange Act of 1934, as amended, or otherwise subject to the liability of that section, and shall not be deemed part of a registration statement, prospectus or other document filed under Section 11 or 12 of the Securities Act of 1933, as amended, or otherwise subject to the liability of those sections, except as shall be expressly set forth by specific reference in such filings.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326390</wp:posOffset>
            </wp:positionV>
            <wp:extent cx="1346200" cy="634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462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80" w:type="dxa"/>
            <w:vAlign w:val="bottom"/>
          </w:tcPr>
          <w:p>
            <w:pPr>
              <w:spacing w:after="0"/>
              <w:rPr>
                <w:sz w:val="20"/>
                <w:szCs w:val="20"/>
                <w:color w:val="auto"/>
              </w:rPr>
            </w:pPr>
            <w:r>
              <w:rPr>
                <w:rFonts w:ascii="Arial" w:cs="Arial" w:eastAsia="Arial" w:hAnsi="Arial"/>
                <w:sz w:val="18"/>
                <w:szCs w:val="18"/>
                <w:color w:val="auto"/>
              </w:rPr>
              <w:t>Date: January 12, 2012</w:t>
            </w:r>
          </w:p>
        </w:tc>
        <w:tc>
          <w:tcPr>
            <w:tcW w:w="2040" w:type="dxa"/>
            <w:vAlign w:val="bottom"/>
          </w:tcPr>
          <w:p>
            <w:pPr>
              <w:spacing w:after="0"/>
              <w:rPr>
                <w:sz w:val="18"/>
                <w:szCs w:val="18"/>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c>
          <w:tcPr>
            <w:tcW w:w="228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28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28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and</w:t>
            </w:r>
          </w:p>
        </w:tc>
        <w:tc>
          <w:tcPr>
            <w:tcW w:w="228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Duly Authorized to Sign on Behalf of the</w:t>
            </w:r>
          </w:p>
        </w:tc>
        <w:tc>
          <w:tcPr>
            <w:tcW w:w="228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Registrant)</w:t>
            </w:r>
          </w:p>
        </w:tc>
        <w:tc>
          <w:tcPr>
            <w:tcW w:w="2280" w:type="dxa"/>
            <w:vAlign w:val="bottom"/>
          </w:tcPr>
          <w:p>
            <w:pPr>
              <w:spacing w:after="0"/>
              <w:rPr>
                <w:sz w:val="20"/>
                <w:szCs w:val="20"/>
                <w:color w:val="auto"/>
              </w:rPr>
            </w:pPr>
          </w:p>
        </w:tc>
      </w:tr>
      <w:tr>
        <w:trPr>
          <w:trHeight w:val="851"/>
        </w:trPr>
        <w:tc>
          <w:tcPr>
            <w:tcW w:w="3680" w:type="dxa"/>
            <w:vAlign w:val="bottom"/>
          </w:tcPr>
          <w:p>
            <w:pPr>
              <w:spacing w:after="0"/>
              <w:rPr>
                <w:sz w:val="24"/>
                <w:szCs w:val="24"/>
                <w:color w:val="auto"/>
              </w:rPr>
            </w:pPr>
          </w:p>
        </w:tc>
        <w:tc>
          <w:tcPr>
            <w:tcW w:w="5460" w:type="dxa"/>
            <w:vAlign w:val="bottom"/>
            <w:gridSpan w:val="2"/>
          </w:tcPr>
          <w:p>
            <w:pPr>
              <w:jc w:val="right"/>
              <w:ind w:right="3250"/>
              <w:spacing w:after="0"/>
              <w:rPr>
                <w:sz w:val="20"/>
                <w:szCs w:val="20"/>
                <w:color w:val="auto"/>
              </w:rPr>
            </w:pPr>
            <w:r>
              <w:rPr>
                <w:rFonts w:ascii="Arial" w:cs="Arial" w:eastAsia="Arial" w:hAnsi="Arial"/>
                <w:sz w:val="18"/>
                <w:szCs w:val="18"/>
                <w:color w:val="auto"/>
              </w:rPr>
              <w:t>30</w:t>
            </w:r>
          </w:p>
        </w:tc>
        <w:tc>
          <w:tcPr>
            <w:tcW w:w="2280" w:type="dxa"/>
            <w:vAlign w:val="bottom"/>
          </w:tcPr>
          <w:p>
            <w:pPr>
              <w:spacing w:after="0"/>
              <w:rPr>
                <w:sz w:val="24"/>
                <w:szCs w:val="24"/>
                <w:color w:val="auto"/>
              </w:rPr>
            </w:pPr>
          </w:p>
        </w:tc>
      </w:tr>
      <w:tr>
        <w:trPr>
          <w:trHeight w:val="105"/>
        </w:trPr>
        <w:tc>
          <w:tcPr>
            <w:tcW w:w="36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280" w:type="dxa"/>
            <w:vAlign w:val="bottom"/>
          </w:tcPr>
          <w:p>
            <w:pPr>
              <w:spacing w:after="0"/>
              <w:rPr>
                <w:sz w:val="9"/>
                <w:szCs w:val="9"/>
                <w:color w:val="auto"/>
              </w:rPr>
            </w:pPr>
          </w:p>
        </w:tc>
      </w:tr>
      <w:tr>
        <w:trPr>
          <w:trHeight w:val="61"/>
        </w:trPr>
        <w:tc>
          <w:tcPr>
            <w:tcW w:w="3680" w:type="dxa"/>
            <w:vAlign w:val="bottom"/>
            <w:shd w:val="clear" w:color="auto" w:fill="808080"/>
          </w:tcPr>
          <w:p>
            <w:pPr>
              <w:spacing w:after="0"/>
              <w:rPr>
                <w:sz w:val="5"/>
                <w:szCs w:val="5"/>
                <w:color w:val="auto"/>
              </w:rPr>
            </w:pPr>
          </w:p>
        </w:tc>
        <w:tc>
          <w:tcPr>
            <w:tcW w:w="2040" w:type="dxa"/>
            <w:vAlign w:val="bottom"/>
            <w:shd w:val="clear" w:color="auto" w:fill="808080"/>
          </w:tcPr>
          <w:p>
            <w:pPr>
              <w:spacing w:after="0"/>
              <w:rPr>
                <w:sz w:val="5"/>
                <w:szCs w:val="5"/>
                <w:color w:val="auto"/>
              </w:rPr>
            </w:pPr>
          </w:p>
        </w:tc>
        <w:tc>
          <w:tcPr>
            <w:tcW w:w="342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1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6040" w:type="dxa"/>
            <w:vAlign w:val="bottom"/>
            <w:tcBorders>
              <w:top w:val="single" w:sz="8" w:color="auto"/>
              <w:right w:val="single" w:sz="8" w:color="auto"/>
            </w:tcBorders>
          </w:tcPr>
          <w:p>
            <w:pPr>
              <w:spacing w:after="0"/>
              <w:rPr>
                <w:sz w:val="18"/>
                <w:szCs w:val="18"/>
                <w:color w:val="auto"/>
              </w:rPr>
            </w:pPr>
          </w:p>
        </w:tc>
        <w:tc>
          <w:tcPr>
            <w:tcW w:w="4300" w:type="dxa"/>
            <w:vAlign w:val="bottom"/>
            <w:tcBorders>
              <w:top w:val="single" w:sz="8" w:color="auto"/>
              <w:right w:val="single" w:sz="8" w:color="auto"/>
            </w:tcBorders>
          </w:tcPr>
          <w:p>
            <w:pPr>
              <w:spacing w:after="0"/>
              <w:rPr>
                <w:sz w:val="18"/>
                <w:szCs w:val="18"/>
                <w:color w:val="auto"/>
              </w:rPr>
            </w:pPr>
          </w:p>
        </w:tc>
      </w:tr>
      <w:tr>
        <w:trPr>
          <w:trHeight w:val="265"/>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6040" w:type="dxa"/>
            <w:vAlign w:val="bottom"/>
            <w:tcBorders>
              <w:bottom w:val="single" w:sz="8" w:color="auto"/>
              <w:right w:val="single" w:sz="8" w:color="auto"/>
            </w:tcBorders>
          </w:tcPr>
          <w:p>
            <w:pPr>
              <w:jc w:val="right"/>
              <w:ind w:right="2510"/>
              <w:spacing w:after="0"/>
              <w:rPr>
                <w:sz w:val="20"/>
                <w:szCs w:val="20"/>
                <w:color w:val="auto"/>
              </w:rPr>
            </w:pPr>
            <w:r>
              <w:rPr>
                <w:rFonts w:ascii="Arial" w:cs="Arial" w:eastAsia="Arial" w:hAnsi="Arial"/>
                <w:sz w:val="18"/>
                <w:szCs w:val="18"/>
                <w:b w:val="1"/>
                <w:bCs w:val="1"/>
                <w:color w:val="auto"/>
              </w:rPr>
              <w:t>Description</w:t>
            </w:r>
          </w:p>
        </w:tc>
        <w:tc>
          <w:tcPr>
            <w:tcW w:w="4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Method of Filing</w:t>
            </w:r>
          </w:p>
        </w:tc>
      </w:tr>
      <w:tr>
        <w:trPr>
          <w:trHeight w:val="178"/>
        </w:trPr>
        <w:tc>
          <w:tcPr>
            <w:tcW w:w="1100" w:type="dxa"/>
            <w:vAlign w:val="bottom"/>
            <w:tcBorders>
              <w:left w:val="single" w:sz="8" w:color="auto"/>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1"/>
              </w:rPr>
              <w:t>10.1</w:t>
            </w:r>
          </w:p>
        </w:tc>
        <w:tc>
          <w:tcPr>
            <w:tcW w:w="604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2"/>
              </w:rPr>
              <w:t>Material Terms of Northern Technologies International Corporation Annual Bonus</w:t>
            </w:r>
          </w:p>
        </w:tc>
        <w:tc>
          <w:tcPr>
            <w:tcW w:w="43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1"/>
              </w:rPr>
              <w:t>Incorporated by reference to Item 5.02 to NTIC’s Current</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Plan for Fiscal Year Ending August 31, 2012</w:t>
            </w:r>
          </w:p>
        </w:tc>
        <w:tc>
          <w:tcPr>
            <w:tcW w:w="4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Report on Form 8-K as filed with the Securities and</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Exchange Commission on September 27, 2011 (File No.</w:t>
            </w: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6040" w:type="dxa"/>
            <w:vAlign w:val="bottom"/>
            <w:tcBorders>
              <w:bottom w:val="single" w:sz="8" w:color="auto"/>
              <w:right w:val="single" w:sz="8" w:color="auto"/>
            </w:tcBorders>
          </w:tcPr>
          <w:p>
            <w:pPr>
              <w:spacing w:after="0"/>
              <w:rPr>
                <w:sz w:val="20"/>
                <w:szCs w:val="20"/>
                <w:color w:val="auto"/>
              </w:rPr>
            </w:pPr>
          </w:p>
        </w:tc>
        <w:tc>
          <w:tcPr>
            <w:tcW w:w="4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001-11038)</w:t>
            </w:r>
          </w:p>
        </w:tc>
      </w:tr>
      <w:tr>
        <w:trPr>
          <w:trHeight w:val="195"/>
        </w:trPr>
        <w:tc>
          <w:tcPr>
            <w:tcW w:w="11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10.2</w:t>
            </w:r>
          </w:p>
        </w:tc>
        <w:tc>
          <w:tcPr>
            <w:tcW w:w="60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8"/>
              </w:rPr>
              <w:t>Executive Employment Agreement dated as of November 18, 2011 between</w:t>
            </w:r>
          </w:p>
        </w:tc>
        <w:tc>
          <w:tcPr>
            <w:tcW w:w="43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Incorporated by reference to Exhibit 10.13 to NTIC’s</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Northern Technologies International Corporation and G. Patrick Lynch</w:t>
            </w:r>
          </w:p>
        </w:tc>
        <w:tc>
          <w:tcPr>
            <w:tcW w:w="4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Annual Report on Form 10-K for the fiscal year ended</w:t>
            </w: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6040" w:type="dxa"/>
            <w:vAlign w:val="bottom"/>
            <w:tcBorders>
              <w:bottom w:val="single" w:sz="8" w:color="auto"/>
              <w:right w:val="single" w:sz="8" w:color="auto"/>
            </w:tcBorders>
          </w:tcPr>
          <w:p>
            <w:pPr>
              <w:spacing w:after="0"/>
              <w:rPr>
                <w:sz w:val="20"/>
                <w:szCs w:val="20"/>
                <w:color w:val="auto"/>
              </w:rPr>
            </w:pPr>
          </w:p>
        </w:tc>
        <w:tc>
          <w:tcPr>
            <w:tcW w:w="4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August 31, 2011 (File No. 001-11038)</w:t>
            </w:r>
          </w:p>
        </w:tc>
      </w:tr>
      <w:tr>
        <w:trPr>
          <w:trHeight w:val="195"/>
        </w:trPr>
        <w:tc>
          <w:tcPr>
            <w:tcW w:w="11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10.3</w:t>
            </w:r>
          </w:p>
        </w:tc>
        <w:tc>
          <w:tcPr>
            <w:tcW w:w="60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Confidential Information, Inventions Assignment, Noncompetition and Non-</w:t>
            </w:r>
          </w:p>
        </w:tc>
        <w:tc>
          <w:tcPr>
            <w:tcW w:w="43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Incorporated by reference to Exhibit 10.14 to NTIC’s</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Solicitation Agreement dated as of November 18, 2011 between Northern</w:t>
            </w:r>
          </w:p>
        </w:tc>
        <w:tc>
          <w:tcPr>
            <w:tcW w:w="4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Annual Report on Form 10-K for the fiscal year ended</w:t>
            </w: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6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Technologies International Corporation and G. Patrick Lynch</w:t>
            </w:r>
          </w:p>
        </w:tc>
        <w:tc>
          <w:tcPr>
            <w:tcW w:w="4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August 31, 2011 (File No. 001-11038)</w:t>
            </w:r>
          </w:p>
        </w:tc>
      </w:tr>
      <w:tr>
        <w:trPr>
          <w:trHeight w:val="195"/>
        </w:trPr>
        <w:tc>
          <w:tcPr>
            <w:tcW w:w="11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10.4</w:t>
            </w:r>
          </w:p>
        </w:tc>
        <w:tc>
          <w:tcPr>
            <w:tcW w:w="60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8"/>
              </w:rPr>
              <w:t>Executive Employment Agreement dated as of November 18, 2011 between</w:t>
            </w:r>
          </w:p>
        </w:tc>
        <w:tc>
          <w:tcPr>
            <w:tcW w:w="43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Incorporated by reference to Exhibit 10.15 to NTIC’s</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Northern Technologies International Corporation and Matthew C. Wolsfeld</w:t>
            </w:r>
          </w:p>
        </w:tc>
        <w:tc>
          <w:tcPr>
            <w:tcW w:w="4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Annual Report on Form 10-K for the fiscal year ended</w:t>
            </w: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6040" w:type="dxa"/>
            <w:vAlign w:val="bottom"/>
            <w:tcBorders>
              <w:bottom w:val="single" w:sz="8" w:color="auto"/>
              <w:right w:val="single" w:sz="8" w:color="auto"/>
            </w:tcBorders>
          </w:tcPr>
          <w:p>
            <w:pPr>
              <w:spacing w:after="0"/>
              <w:rPr>
                <w:sz w:val="20"/>
                <w:szCs w:val="20"/>
                <w:color w:val="auto"/>
              </w:rPr>
            </w:pPr>
          </w:p>
        </w:tc>
        <w:tc>
          <w:tcPr>
            <w:tcW w:w="4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August 31, 2011 (File No. 001-11038)</w:t>
            </w:r>
          </w:p>
        </w:tc>
      </w:tr>
      <w:tr>
        <w:trPr>
          <w:trHeight w:val="195"/>
        </w:trPr>
        <w:tc>
          <w:tcPr>
            <w:tcW w:w="11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10.5</w:t>
            </w:r>
          </w:p>
        </w:tc>
        <w:tc>
          <w:tcPr>
            <w:tcW w:w="60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Confidential Information, Inventions Assignment, Noncompetition and Non-</w:t>
            </w:r>
          </w:p>
        </w:tc>
        <w:tc>
          <w:tcPr>
            <w:tcW w:w="43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Incorporated by reference to Exhibit 10.16 to NTIC’s</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Solicitation Agreement dated as of November 18, 2011 between Northern</w:t>
            </w:r>
          </w:p>
        </w:tc>
        <w:tc>
          <w:tcPr>
            <w:tcW w:w="4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Annual Report on Form 10-K for the fiscal year ended</w:t>
            </w: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6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Technologies International Corporation and Matthew C. Wolsfeld</w:t>
            </w:r>
          </w:p>
        </w:tc>
        <w:tc>
          <w:tcPr>
            <w:tcW w:w="4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August 31, 2011 (File No. 001-11038)</w:t>
            </w:r>
          </w:p>
        </w:tc>
      </w:tr>
      <w:tr>
        <w:trPr>
          <w:trHeight w:val="195"/>
        </w:trPr>
        <w:tc>
          <w:tcPr>
            <w:tcW w:w="11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10.6</w:t>
            </w:r>
          </w:p>
        </w:tc>
        <w:tc>
          <w:tcPr>
            <w:tcW w:w="60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Waiver and First Amendment to Loan Documents dated as of January 10, 2012</w:t>
            </w:r>
          </w:p>
        </w:tc>
        <w:tc>
          <w:tcPr>
            <w:tcW w:w="43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Filed herewith</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1"/>
              </w:rPr>
              <w:t>between Northern Technologies International Corporation and PNC Bank, National</w:t>
            </w:r>
          </w:p>
        </w:tc>
        <w:tc>
          <w:tcPr>
            <w:tcW w:w="4300" w:type="dxa"/>
            <w:vAlign w:val="bottom"/>
            <w:tcBorders>
              <w:right w:val="single" w:sz="8" w:color="auto"/>
            </w:tcBorders>
          </w:tcPr>
          <w:p>
            <w:pPr>
              <w:spacing w:after="0"/>
              <w:rPr>
                <w:sz w:val="18"/>
                <w:szCs w:val="18"/>
                <w:color w:val="auto"/>
              </w:rPr>
            </w:pP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6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Association</w:t>
            </w:r>
          </w:p>
        </w:tc>
        <w:tc>
          <w:tcPr>
            <w:tcW w:w="4300" w:type="dxa"/>
            <w:vAlign w:val="bottom"/>
            <w:tcBorders>
              <w:bottom w:val="single" w:sz="8" w:color="auto"/>
              <w:right w:val="single" w:sz="8" w:color="auto"/>
            </w:tcBorders>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31.1</w:t>
            </w:r>
          </w:p>
        </w:tc>
        <w:tc>
          <w:tcPr>
            <w:tcW w:w="60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3"/>
              </w:rPr>
              <w:t>Certification of Chief Executive Officer Pursuant to Section 302 of the Sarbanes-</w:t>
            </w:r>
          </w:p>
        </w:tc>
        <w:tc>
          <w:tcPr>
            <w:tcW w:w="43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Filed herewith</w:t>
            </w: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6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Oxley Act of 2002</w:t>
            </w:r>
          </w:p>
        </w:tc>
        <w:tc>
          <w:tcPr>
            <w:tcW w:w="4300" w:type="dxa"/>
            <w:vAlign w:val="bottom"/>
            <w:tcBorders>
              <w:bottom w:val="single" w:sz="8" w:color="auto"/>
              <w:right w:val="single" w:sz="8" w:color="auto"/>
            </w:tcBorders>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31.2</w:t>
            </w:r>
          </w:p>
        </w:tc>
        <w:tc>
          <w:tcPr>
            <w:tcW w:w="60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Certification of Chief Financial Officer Pursuant to Section 302 of the Sarbanes-</w:t>
            </w:r>
          </w:p>
        </w:tc>
        <w:tc>
          <w:tcPr>
            <w:tcW w:w="43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Filed herewith</w:t>
            </w: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6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Oxley Act of 2002</w:t>
            </w:r>
          </w:p>
        </w:tc>
        <w:tc>
          <w:tcPr>
            <w:tcW w:w="4300" w:type="dxa"/>
            <w:vAlign w:val="bottom"/>
            <w:tcBorders>
              <w:bottom w:val="single" w:sz="8" w:color="auto"/>
              <w:right w:val="single" w:sz="8" w:color="auto"/>
            </w:tcBorders>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32.1</w:t>
            </w:r>
          </w:p>
        </w:tc>
        <w:tc>
          <w:tcPr>
            <w:tcW w:w="60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6"/>
              </w:rPr>
              <w:t>Certification of Chief Executive Officer Pursuant to 18 U.S.C. Section 1350, as</w:t>
            </w:r>
          </w:p>
        </w:tc>
        <w:tc>
          <w:tcPr>
            <w:tcW w:w="43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Furnished herewith</w:t>
            </w:r>
          </w:p>
        </w:tc>
      </w:tr>
      <w:tr>
        <w:trPr>
          <w:trHeight w:val="230"/>
        </w:trPr>
        <w:tc>
          <w:tcPr>
            <w:tcW w:w="1100" w:type="dxa"/>
            <w:vAlign w:val="bottom"/>
            <w:tcBorders>
              <w:left w:val="single" w:sz="8" w:color="auto"/>
              <w:bottom w:val="single" w:sz="8" w:color="auto"/>
              <w:right w:val="single" w:sz="8" w:color="auto"/>
            </w:tcBorders>
          </w:tcPr>
          <w:p>
            <w:pPr>
              <w:spacing w:after="0"/>
              <w:rPr>
                <w:sz w:val="20"/>
                <w:szCs w:val="20"/>
                <w:color w:val="auto"/>
              </w:rPr>
            </w:pPr>
          </w:p>
        </w:tc>
        <w:tc>
          <w:tcPr>
            <w:tcW w:w="6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Adopted Pursuant to Section 906 of the Sarbanes-Oxley Act of 2002</w:t>
            </w:r>
          </w:p>
        </w:tc>
        <w:tc>
          <w:tcPr>
            <w:tcW w:w="4300" w:type="dxa"/>
            <w:vAlign w:val="bottom"/>
            <w:tcBorders>
              <w:bottom w:val="single" w:sz="8" w:color="auto"/>
              <w:right w:val="single" w:sz="8" w:color="auto"/>
            </w:tcBorders>
          </w:tcPr>
          <w:p>
            <w:pPr>
              <w:spacing w:after="0"/>
              <w:rPr>
                <w:sz w:val="20"/>
                <w:szCs w:val="20"/>
                <w:color w:val="auto"/>
              </w:rPr>
            </w:pPr>
          </w:p>
        </w:tc>
      </w:tr>
      <w:tr>
        <w:trPr>
          <w:trHeight w:val="195"/>
        </w:trPr>
        <w:tc>
          <w:tcPr>
            <w:tcW w:w="11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32.2</w:t>
            </w:r>
          </w:p>
        </w:tc>
        <w:tc>
          <w:tcPr>
            <w:tcW w:w="60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Certification of Chief Financial Officer Pursuant to 18 U.S.C. Section 1350, as</w:t>
            </w:r>
          </w:p>
        </w:tc>
        <w:tc>
          <w:tcPr>
            <w:tcW w:w="43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Furnished herewith</w:t>
            </w:r>
          </w:p>
        </w:tc>
      </w:tr>
      <w:tr>
        <w:trPr>
          <w:trHeight w:val="230"/>
        </w:trPr>
        <w:tc>
          <w:tcPr>
            <w:tcW w:w="1100" w:type="dxa"/>
            <w:vAlign w:val="bottom"/>
            <w:tcBorders>
              <w:left w:val="single" w:sz="8" w:color="auto"/>
              <w:right w:val="single" w:sz="8" w:color="auto"/>
            </w:tcBorders>
          </w:tcPr>
          <w:p>
            <w:pPr>
              <w:spacing w:after="0"/>
              <w:rPr>
                <w:sz w:val="20"/>
                <w:szCs w:val="20"/>
                <w:color w:val="auto"/>
              </w:rPr>
            </w:pPr>
          </w:p>
        </w:tc>
        <w:tc>
          <w:tcPr>
            <w:tcW w:w="6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Adopted Pursuant to Section 906 of the Sarbanes-Oxley Act of 2002</w:t>
            </w:r>
          </w:p>
        </w:tc>
        <w:tc>
          <w:tcPr>
            <w:tcW w:w="4300" w:type="dxa"/>
            <w:vAlign w:val="bottom"/>
            <w:tcBorders>
              <w:right w:val="single" w:sz="8" w:color="auto"/>
            </w:tcBorders>
          </w:tcPr>
          <w:p>
            <w:pPr>
              <w:spacing w:after="0"/>
              <w:rPr>
                <w:sz w:val="20"/>
                <w:szCs w:val="20"/>
                <w:color w:val="auto"/>
              </w:rPr>
            </w:pPr>
          </w:p>
        </w:tc>
      </w:tr>
      <w:tr>
        <w:trPr>
          <w:trHeight w:val="972"/>
        </w:trPr>
        <w:tc>
          <w:tcPr>
            <w:tcW w:w="1100" w:type="dxa"/>
            <w:vAlign w:val="bottom"/>
            <w:tcBorders>
              <w:left w:val="single" w:sz="8" w:color="auto"/>
              <w:bottom w:val="single" w:sz="8" w:color="auto"/>
              <w:right w:val="single" w:sz="8" w:color="auto"/>
            </w:tcBorders>
          </w:tcPr>
          <w:p>
            <w:pPr>
              <w:spacing w:after="0"/>
              <w:rPr>
                <w:sz w:val="24"/>
                <w:szCs w:val="24"/>
                <w:color w:val="auto"/>
              </w:rPr>
            </w:pPr>
          </w:p>
        </w:tc>
        <w:tc>
          <w:tcPr>
            <w:tcW w:w="6040" w:type="dxa"/>
            <w:vAlign w:val="bottom"/>
            <w:tcBorders>
              <w:bottom w:val="single" w:sz="8" w:color="auto"/>
              <w:right w:val="single" w:sz="8" w:color="auto"/>
            </w:tcBorders>
          </w:tcPr>
          <w:p>
            <w:pPr>
              <w:spacing w:after="0"/>
              <w:rPr>
                <w:sz w:val="24"/>
                <w:szCs w:val="24"/>
                <w:color w:val="auto"/>
              </w:rPr>
            </w:pPr>
          </w:p>
        </w:tc>
        <w:tc>
          <w:tcPr>
            <w:tcW w:w="4300" w:type="dxa"/>
            <w:vAlign w:val="bottom"/>
            <w:tcBorders>
              <w:bottom w:val="single" w:sz="8" w:color="auto"/>
              <w:right w:val="single" w:sz="8" w:color="auto"/>
            </w:tcBorders>
          </w:tcPr>
          <w:p>
            <w:pPr>
              <w:spacing w:after="0"/>
              <w:rPr>
                <w:sz w:val="24"/>
                <w:szCs w:val="24"/>
                <w:color w:val="auto"/>
              </w:rPr>
            </w:pPr>
          </w:p>
        </w:tc>
      </w:tr>
      <w:tr>
        <w:trPr>
          <w:trHeight w:val="844"/>
        </w:trPr>
        <w:tc>
          <w:tcPr>
            <w:tcW w:w="1100" w:type="dxa"/>
            <w:vAlign w:val="bottom"/>
          </w:tcPr>
          <w:p>
            <w:pPr>
              <w:spacing w:after="0"/>
              <w:rPr>
                <w:sz w:val="24"/>
                <w:szCs w:val="24"/>
                <w:color w:val="auto"/>
              </w:rPr>
            </w:pPr>
          </w:p>
        </w:tc>
        <w:tc>
          <w:tcPr>
            <w:tcW w:w="6040" w:type="dxa"/>
            <w:vAlign w:val="bottom"/>
          </w:tcPr>
          <w:p>
            <w:pPr>
              <w:jc w:val="right"/>
              <w:ind w:right="1250"/>
              <w:spacing w:after="0"/>
              <w:rPr>
                <w:sz w:val="20"/>
                <w:szCs w:val="20"/>
                <w:color w:val="auto"/>
              </w:rPr>
            </w:pPr>
            <w:r>
              <w:rPr>
                <w:rFonts w:ascii="Arial" w:cs="Arial" w:eastAsia="Arial" w:hAnsi="Arial"/>
                <w:sz w:val="18"/>
                <w:szCs w:val="18"/>
                <w:color w:val="auto"/>
              </w:rPr>
              <w:t>31</w:t>
            </w:r>
          </w:p>
        </w:tc>
        <w:tc>
          <w:tcPr>
            <w:tcW w:w="4300" w:type="dxa"/>
            <w:vAlign w:val="bottom"/>
          </w:tcPr>
          <w:p>
            <w:pPr>
              <w:spacing w:after="0"/>
              <w:rPr>
                <w:sz w:val="24"/>
                <w:szCs w:val="24"/>
                <w:color w:val="auto"/>
              </w:rPr>
            </w:pPr>
          </w:p>
        </w:tc>
      </w:tr>
      <w:tr>
        <w:trPr>
          <w:trHeight w:val="105"/>
        </w:trPr>
        <w:tc>
          <w:tcPr>
            <w:tcW w:w="1100" w:type="dxa"/>
            <w:vAlign w:val="bottom"/>
          </w:tcPr>
          <w:p>
            <w:pPr>
              <w:spacing w:after="0"/>
              <w:rPr>
                <w:sz w:val="9"/>
                <w:szCs w:val="9"/>
                <w:color w:val="auto"/>
              </w:rPr>
            </w:pPr>
          </w:p>
        </w:tc>
        <w:tc>
          <w:tcPr>
            <w:tcW w:w="6040" w:type="dxa"/>
            <w:vAlign w:val="bottom"/>
          </w:tcPr>
          <w:p>
            <w:pPr>
              <w:spacing w:after="0"/>
              <w:rPr>
                <w:sz w:val="9"/>
                <w:szCs w:val="9"/>
                <w:color w:val="auto"/>
              </w:rPr>
            </w:pPr>
          </w:p>
        </w:tc>
        <w:tc>
          <w:tcPr>
            <w:tcW w:w="4300" w:type="dxa"/>
            <w:vAlign w:val="bottom"/>
          </w:tcPr>
          <w:p>
            <w:pPr>
              <w:spacing w:after="0"/>
              <w:rPr>
                <w:sz w:val="9"/>
                <w:szCs w:val="9"/>
                <w:color w:val="auto"/>
              </w:rPr>
            </w:pPr>
          </w:p>
        </w:tc>
      </w:tr>
      <w:tr>
        <w:trPr>
          <w:trHeight w:val="61"/>
        </w:trPr>
        <w:tc>
          <w:tcPr>
            <w:tcW w:w="1100" w:type="dxa"/>
            <w:vAlign w:val="bottom"/>
            <w:tcBorders>
              <w:left w:val="single" w:sz="8" w:color="808080"/>
              <w:right w:val="single" w:sz="8" w:color="808080"/>
            </w:tcBorders>
            <w:shd w:val="clear" w:color="auto" w:fill="808080"/>
          </w:tcPr>
          <w:p>
            <w:pPr>
              <w:spacing w:after="0"/>
              <w:rPr>
                <w:sz w:val="5"/>
                <w:szCs w:val="5"/>
                <w:color w:val="auto"/>
              </w:rPr>
            </w:pPr>
          </w:p>
        </w:tc>
        <w:tc>
          <w:tcPr>
            <w:tcW w:w="6040" w:type="dxa"/>
            <w:vAlign w:val="bottom"/>
            <w:tcBorders>
              <w:right w:val="single" w:sz="8" w:color="808080"/>
            </w:tcBorders>
            <w:shd w:val="clear" w:color="auto" w:fill="808080"/>
          </w:tcPr>
          <w:p>
            <w:pPr>
              <w:spacing w:after="0"/>
              <w:rPr>
                <w:sz w:val="5"/>
                <w:szCs w:val="5"/>
                <w:color w:val="auto"/>
              </w:rPr>
            </w:pPr>
          </w:p>
        </w:tc>
        <w:tc>
          <w:tcPr>
            <w:tcW w:w="4300" w:type="dxa"/>
            <w:vAlign w:val="bottom"/>
            <w:tcBorders>
              <w:right w:val="single" w:sz="8" w:color="808080"/>
            </w:tcBorders>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1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6040" w:type="dxa"/>
            <w:vAlign w:val="bottom"/>
            <w:tcBorders>
              <w:top w:val="single" w:sz="8" w:color="auto"/>
              <w:right w:val="single" w:sz="8" w:color="auto"/>
            </w:tcBorders>
          </w:tcPr>
          <w:p>
            <w:pPr>
              <w:spacing w:after="0"/>
              <w:rPr>
                <w:sz w:val="18"/>
                <w:szCs w:val="18"/>
                <w:color w:val="auto"/>
              </w:rPr>
            </w:pPr>
          </w:p>
        </w:tc>
        <w:tc>
          <w:tcPr>
            <w:tcW w:w="4300" w:type="dxa"/>
            <w:vAlign w:val="bottom"/>
            <w:tcBorders>
              <w:top w:val="single" w:sz="8" w:color="auto"/>
              <w:right w:val="single" w:sz="8" w:color="auto"/>
            </w:tcBorders>
          </w:tcPr>
          <w:p>
            <w:pPr>
              <w:spacing w:after="0"/>
              <w:rPr>
                <w:sz w:val="18"/>
                <w:szCs w:val="18"/>
                <w:color w:val="auto"/>
              </w:rPr>
            </w:pPr>
          </w:p>
        </w:tc>
      </w:tr>
      <w:tr>
        <w:trPr>
          <w:trHeight w:val="251"/>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6040" w:type="dxa"/>
            <w:vAlign w:val="bottom"/>
            <w:tcBorders>
              <w:bottom w:val="single" w:sz="8" w:color="auto"/>
              <w:right w:val="single" w:sz="8" w:color="auto"/>
            </w:tcBorders>
          </w:tcPr>
          <w:p>
            <w:pPr>
              <w:ind w:left="2560"/>
              <w:spacing w:after="0"/>
              <w:rPr>
                <w:sz w:val="20"/>
                <w:szCs w:val="20"/>
                <w:color w:val="auto"/>
              </w:rPr>
            </w:pPr>
            <w:r>
              <w:rPr>
                <w:rFonts w:ascii="Arial" w:cs="Arial" w:eastAsia="Arial" w:hAnsi="Arial"/>
                <w:sz w:val="18"/>
                <w:szCs w:val="18"/>
                <w:b w:val="1"/>
                <w:bCs w:val="1"/>
                <w:color w:val="auto"/>
              </w:rPr>
              <w:t>Description</w:t>
            </w:r>
          </w:p>
        </w:tc>
        <w:tc>
          <w:tcPr>
            <w:tcW w:w="4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Method of Filing</w:t>
            </w:r>
          </w:p>
        </w:tc>
      </w:tr>
      <w:tr>
        <w:trPr>
          <w:trHeight w:val="178"/>
        </w:trPr>
        <w:tc>
          <w:tcPr>
            <w:tcW w:w="1100" w:type="dxa"/>
            <w:vAlign w:val="bottom"/>
            <w:tcBorders>
              <w:left w:val="single" w:sz="8" w:color="auto"/>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86"/>
              </w:rPr>
              <w:t>101</w:t>
            </w:r>
          </w:p>
        </w:tc>
        <w:tc>
          <w:tcPr>
            <w:tcW w:w="6040" w:type="dxa"/>
            <w:vAlign w:val="bottom"/>
            <w:tcBorders>
              <w:right w:val="single" w:sz="8" w:color="auto"/>
            </w:tcBorders>
          </w:tcPr>
          <w:p>
            <w:pPr>
              <w:spacing w:after="0" w:line="178" w:lineRule="exact"/>
              <w:rPr>
                <w:sz w:val="20"/>
                <w:szCs w:val="20"/>
                <w:color w:val="auto"/>
              </w:rPr>
            </w:pPr>
            <w:r>
              <w:rPr>
                <w:rFonts w:ascii="Arial" w:cs="Arial" w:eastAsia="Arial" w:hAnsi="Arial"/>
                <w:sz w:val="18"/>
                <w:szCs w:val="18"/>
                <w:color w:val="auto"/>
                <w:w w:val="95"/>
              </w:rPr>
              <w:t>The following materials from Northern Technologies International Corporation’s</w:t>
            </w:r>
          </w:p>
        </w:tc>
        <w:tc>
          <w:tcPr>
            <w:tcW w:w="43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1"/>
              </w:rPr>
              <w:t>Furnished herewith</w:t>
            </w: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Quarterly Report on Form 10-Q for the fiscal quarter ended November 30, 2011,</w:t>
            </w:r>
          </w:p>
        </w:tc>
        <w:tc>
          <w:tcPr>
            <w:tcW w:w="4300" w:type="dxa"/>
            <w:vAlign w:val="bottom"/>
            <w:tcBorders>
              <w:right w:val="single" w:sz="8" w:color="auto"/>
            </w:tcBorders>
          </w:tcPr>
          <w:p>
            <w:pPr>
              <w:spacing w:after="0"/>
              <w:rPr>
                <w:sz w:val="18"/>
                <w:szCs w:val="18"/>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formatted in XBRL (Extensible Business Reporting Language): (i) the unaudited</w:t>
            </w:r>
          </w:p>
        </w:tc>
        <w:tc>
          <w:tcPr>
            <w:tcW w:w="4300" w:type="dxa"/>
            <w:vAlign w:val="bottom"/>
            <w:tcBorders>
              <w:right w:val="single" w:sz="8" w:color="auto"/>
            </w:tcBorders>
          </w:tcPr>
          <w:p>
            <w:pPr>
              <w:spacing w:after="0"/>
              <w:rPr>
                <w:sz w:val="18"/>
                <w:szCs w:val="18"/>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Consolidated Balance Sheets, (ii) the unaudited Consolidated Statements of</w:t>
            </w:r>
          </w:p>
        </w:tc>
        <w:tc>
          <w:tcPr>
            <w:tcW w:w="4300" w:type="dxa"/>
            <w:vAlign w:val="bottom"/>
            <w:tcBorders>
              <w:right w:val="single" w:sz="8" w:color="auto"/>
            </w:tcBorders>
          </w:tcPr>
          <w:p>
            <w:pPr>
              <w:spacing w:after="0"/>
              <w:rPr>
                <w:sz w:val="18"/>
                <w:szCs w:val="18"/>
                <w:color w:val="auto"/>
              </w:rPr>
            </w:pPr>
          </w:p>
        </w:tc>
      </w:tr>
      <w:tr>
        <w:trPr>
          <w:trHeight w:val="216"/>
        </w:trPr>
        <w:tc>
          <w:tcPr>
            <w:tcW w:w="110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Operations, (iii) the unaudited Consolidated Statements of Cash Flows, and (iv)</w:t>
            </w:r>
          </w:p>
        </w:tc>
        <w:tc>
          <w:tcPr>
            <w:tcW w:w="4300" w:type="dxa"/>
            <w:vAlign w:val="bottom"/>
            <w:tcBorders>
              <w:right w:val="single" w:sz="8" w:color="auto"/>
            </w:tcBorders>
          </w:tcPr>
          <w:p>
            <w:pPr>
              <w:spacing w:after="0"/>
              <w:rPr>
                <w:sz w:val="18"/>
                <w:szCs w:val="18"/>
                <w:color w:val="auto"/>
              </w:rPr>
            </w:pPr>
          </w:p>
        </w:tc>
      </w:tr>
      <w:tr>
        <w:trPr>
          <w:trHeight w:val="214"/>
        </w:trPr>
        <w:tc>
          <w:tcPr>
            <w:tcW w:w="1100" w:type="dxa"/>
            <w:vAlign w:val="bottom"/>
            <w:tcBorders>
              <w:left w:val="single" w:sz="8" w:color="auto"/>
              <w:bottom w:val="single" w:sz="8" w:color="auto"/>
              <w:right w:val="single" w:sz="8" w:color="auto"/>
            </w:tcBorders>
          </w:tcPr>
          <w:p>
            <w:pPr>
              <w:spacing w:after="0"/>
              <w:rPr>
                <w:sz w:val="18"/>
                <w:szCs w:val="18"/>
                <w:color w:val="auto"/>
              </w:rPr>
            </w:pPr>
          </w:p>
        </w:tc>
        <w:tc>
          <w:tcPr>
            <w:tcW w:w="6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Notes to Condensed Financial Statements*</w:t>
            </w:r>
          </w:p>
        </w:tc>
        <w:tc>
          <w:tcPr>
            <w:tcW w:w="4300" w:type="dxa"/>
            <w:vAlign w:val="bottom"/>
            <w:tcBorders>
              <w:bottom w:val="single" w:sz="8" w:color="auto"/>
              <w:right w:val="single" w:sz="8" w:color="auto"/>
            </w:tcBorders>
          </w:tcPr>
          <w:p>
            <w:pPr>
              <w:spacing w:after="0"/>
              <w:rPr>
                <w:sz w:val="18"/>
                <w:szCs w:val="18"/>
                <w:color w:val="auto"/>
              </w:rPr>
            </w:pPr>
          </w:p>
        </w:tc>
      </w:tr>
    </w:tbl>
    <w:p>
      <w:pPr>
        <w:spacing w:after="0" w:line="226" w:lineRule="exact"/>
        <w:rPr>
          <w:sz w:val="20"/>
          <w:szCs w:val="20"/>
          <w:color w:val="auto"/>
        </w:rPr>
      </w:pPr>
    </w:p>
    <w:p>
      <w:pPr>
        <w:ind w:left="660" w:right="60" w:hanging="652"/>
        <w:spacing w:after="0" w:line="30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Pursuant to Rule 406T of Regulation S-T, the XBRL related information in Exhibit 101 to this quarterly report on Form 10-Q shall not be deemed to be “filed” for purposes of Section 18 of the Securities Exchange Act of 1934, as amended, or otherwise subject to the liability of that section, and shall not be deemed part of a registration statement, prospectus or other document filed under Section 11 or 12 of the Securities Act of 1933, as amended, or otherwise subject to the liability of those sections, except as shall be expressly set forth by specific reference in such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10.6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 AND FIRST AMENDMENT TO LOAN DOCUMENTS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WAIVER AND FIRST AMENDMENT TO LOAN DOCUMENTS (this “Amendment”) is made as of January 10, 2012, by and between NORTHERN TECHNOLOGIES INTERNATIONAL CORPORATION, a Delaware corporation (the “Borrower”), and PNC BANK, NATIONAL ASSOCIATION (the “Bank”).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The Borrower has executed and delivered to the Bank (or a predecessor which is now known by the Bank’s name as set forth above), one or more promissory notes, letter agreements, loan agreements, security agreements, mortgages, pledge agreements, collateral assignments, and other agreements, instruments, certificates and documents, some or all of which are more fully described on attached Exhibit A, which is made a part of this Amendment (collectively as amended from time to time, the “Loan Documents”) which evidence or secure some or all of the Borrower’s obligations to the Bank for one or more loans or other extensions of credit (the “Obligations”).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B. The Borrower and the Bank desire to amend the Loan Documents, and to waive certain defaults thereunder, as provided for in this Amendment.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mutual covenants herein contained and intending to be legally bound hereby, the parties hereto agree as follows:</w:t>
      </w:r>
    </w:p>
    <w:p>
      <w:pPr>
        <w:spacing w:after="0" w:line="275" w:lineRule="exact"/>
        <w:rPr>
          <w:sz w:val="20"/>
          <w:szCs w:val="20"/>
          <w:color w:val="auto"/>
        </w:rPr>
      </w:pPr>
    </w:p>
    <w:p>
      <w:pPr>
        <w:jc w:val="both"/>
        <w:ind w:firstLine="8"/>
        <w:spacing w:after="0" w:line="276" w:lineRule="auto"/>
        <w:tabs>
          <w:tab w:leader="none" w:pos="185" w:val="left"/>
        </w:tabs>
        <w:numPr>
          <w:ilvl w:val="0"/>
          <w:numId w:val="20"/>
        </w:numPr>
        <w:rPr>
          <w:rFonts w:ascii="Arial" w:cs="Arial" w:eastAsia="Arial" w:hAnsi="Arial"/>
          <w:sz w:val="17"/>
          <w:szCs w:val="17"/>
          <w:color w:val="auto"/>
        </w:rPr>
      </w:pPr>
      <w:r>
        <w:rPr>
          <w:rFonts w:ascii="Arial" w:cs="Arial" w:eastAsia="Arial" w:hAnsi="Arial"/>
          <w:sz w:val="17"/>
          <w:szCs w:val="17"/>
          <w:color w:val="auto"/>
        </w:rPr>
        <w:t>Certain of the Loan Documents are amended, and certain defaults under the Loan Documents are waived, as set forth in Exhibit A. Any and all references to any Loan Document in any other Loan Document shall be deemed to refer to such Loan Document as amended by this Amendment. This Amendment is deemed incorporated into each of the Loan Documents. Any initially capitalized terms used in this Amendment without definition shall have the meanings assigned to those terms in the Loan Documents. To the extent that any term or provision of this Amendment is or may be inconsistent with any term or provision in any Loan Document, the terms and provisions of this Amendment shall control.</w:t>
      </w:r>
    </w:p>
    <w:p>
      <w:pPr>
        <w:spacing w:after="0" w:line="199" w:lineRule="exact"/>
        <w:rPr>
          <w:rFonts w:ascii="Arial" w:cs="Arial" w:eastAsia="Arial" w:hAnsi="Arial"/>
          <w:sz w:val="17"/>
          <w:szCs w:val="17"/>
          <w:color w:val="auto"/>
        </w:rPr>
      </w:pPr>
    </w:p>
    <w:p>
      <w:pPr>
        <w:jc w:val="both"/>
        <w:ind w:firstLine="8"/>
        <w:spacing w:after="0" w:line="269" w:lineRule="auto"/>
        <w:tabs>
          <w:tab w:leader="none" w:pos="18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Borrower hereby certifies that: (a) all of its representations and warranties in the Loan Documents, as amended by this Amendment, are, except as may otherwise be stated in this Amendment: (i) true and correct in all material respects as of the date of this Amendment (other than the representations and warranties that refer to a specific date in which case such representations and warranties are true and correct in all material respects as of such specific date), (ii) ratified and confirmed without condition as if made anew, and (iii) incorporated into this Amendment by reference, (b) no Event of Default or event which, with the passage of time or the giving of notice or both, would constitute an Event of Default, exists under any Loan Document which will not be cured by the execution and effectiveness of this Amendment, (c) no consent, approval, order or authorization of, or registration or filing with, any third party is required in connection with the execution, delivery and carrying out of this Amendment or, if required, has been obtained, and (d) this Amendment has been duly authorized, executed and delivered so that it constitutes the legal, valid and binding obligation of the Borrower, enforceable in accordance with its terms, subject to bankruptcy, insolvency, fraudulent conveyance, fraudulent transfer, moratorium, and other similar laws relating to or affecting creditors’ rights generally and general equitable principles. The Borrower confirms that the Obligations remain outstanding without defense, set off, counterclaim, discount or charge of any kind as of the date of this Amendment.</w:t>
      </w:r>
    </w:p>
    <w:p>
      <w:pPr>
        <w:spacing w:after="0" w:line="209" w:lineRule="exact"/>
        <w:rPr>
          <w:rFonts w:ascii="Arial" w:cs="Arial" w:eastAsia="Arial" w:hAnsi="Arial"/>
          <w:sz w:val="17"/>
          <w:szCs w:val="17"/>
          <w:color w:val="auto"/>
        </w:rPr>
      </w:pPr>
    </w:p>
    <w:p>
      <w:pPr>
        <w:jc w:val="both"/>
        <w:ind w:firstLine="8"/>
        <w:spacing w:after="0" w:line="264"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Borrower hereby confirms that any collateral for the Obligations, including liens, security interests, mortgages, and pledges granted by the Borrower or third parties (if applicable), shall continue unimpaired and in full force and effect, and shall cover and secure all of the Borrower’s existing and future Obligations to the Bank, as modified by this Amendment.</w:t>
      </w:r>
    </w:p>
    <w:p>
      <w:pPr>
        <w:spacing w:after="0" w:line="181" w:lineRule="exact"/>
        <w:rPr>
          <w:rFonts w:ascii="Arial" w:cs="Arial" w:eastAsia="Arial" w:hAnsi="Arial"/>
          <w:sz w:val="18"/>
          <w:szCs w:val="18"/>
          <w:color w:val="auto"/>
        </w:rPr>
      </w:pPr>
    </w:p>
    <w:p>
      <w:pPr>
        <w:ind w:left="180" w:hanging="172"/>
        <w:spacing w:after="0"/>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a condition precedent to the effectiveness of this Amendment, the Borrower shall comply with the terms and conditions (if any) specified in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both"/>
        <w:ind w:firstLine="8"/>
        <w:spacing w:after="0" w:line="255" w:lineRule="auto"/>
        <w:tabs>
          <w:tab w:leader="none" w:pos="1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induce the Bank to enter into this Amendment, the Borrower waives and releases and forever discharges the Bank and its officers, directors, attorneys, agents, and employees from any liability, damage, claim, loss or expense of any kind that it may have against the Bank or any of them through the date of this Amendment arising out of or relating to the Obligations. The Borrower further agrees to indemnify and hold the Bank and its officers, directors, attorneys, agents and employees harmless from any loss, damage, judgment, liability or expense (including reasonable attorneys’ fees) suffered by or rendered against the Bank or any of them on account of any claims arising out of or relating to the Obligations other than those caused by the Bank’s gross negligence or willful misconduct. The Borrower further states that it has carefully read the foregoing release and indemnity, knows the contents thereof and grants the same as its own free act and deed.</w:t>
      </w:r>
    </w:p>
    <w:p>
      <w:pPr>
        <w:spacing w:after="0" w:line="216" w:lineRule="exact"/>
        <w:rPr>
          <w:rFonts w:ascii="Arial" w:cs="Arial" w:eastAsia="Arial" w:hAnsi="Arial"/>
          <w:sz w:val="18"/>
          <w:szCs w:val="18"/>
          <w:color w:val="auto"/>
        </w:rPr>
      </w:pPr>
    </w:p>
    <w:p>
      <w:pPr>
        <w:jc w:val="both"/>
        <w:ind w:firstLine="8"/>
        <w:spacing w:after="0" w:line="302" w:lineRule="auto"/>
        <w:tabs>
          <w:tab w:leader="none" w:pos="19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Amendment may be signed in any number of counterpart copies and by the parties to this Amendment on separate counterparts, but all such copies shall constitute one and the same instrument. Delivery of an executed counterpart of a signature page to this Amendment by facsimile transmission shall be effective as delivery of a manually executed counterpart. Any party so executing this Amendment by facsimile transmission shall promptly deliver a manually executed counterpart, provided that any failure to do so shall not affect the validity of the counterpart executed by facsimile transmission.</w:t>
      </w:r>
    </w:p>
    <w:p>
      <w:pPr>
        <w:spacing w:after="0" w:line="181" w:lineRule="exact"/>
        <w:rPr>
          <w:rFonts w:ascii="Arial" w:cs="Arial" w:eastAsia="Arial" w:hAnsi="Arial"/>
          <w:sz w:val="16"/>
          <w:szCs w:val="16"/>
          <w:color w:val="auto"/>
        </w:rPr>
      </w:pPr>
    </w:p>
    <w:p>
      <w:pPr>
        <w:ind w:right="20" w:firstLine="8"/>
        <w:spacing w:after="0" w:line="277" w:lineRule="auto"/>
        <w:tabs>
          <w:tab w:leader="none" w:pos="21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Amendment will be binding upon and inure to the benefit of the Borrower and the Bank and their respective heirs, executors, administrators, successors and assigns.</w:t>
      </w:r>
    </w:p>
    <w:p>
      <w:pPr>
        <w:spacing w:after="0" w:line="197" w:lineRule="exact"/>
        <w:rPr>
          <w:rFonts w:ascii="Arial" w:cs="Arial" w:eastAsia="Arial" w:hAnsi="Arial"/>
          <w:sz w:val="18"/>
          <w:szCs w:val="18"/>
          <w:color w:val="auto"/>
        </w:rPr>
      </w:pPr>
    </w:p>
    <w:p>
      <w:pPr>
        <w:jc w:val="both"/>
        <w:ind w:firstLine="8"/>
        <w:spacing w:after="0" w:line="264" w:lineRule="auto"/>
        <w:tabs>
          <w:tab w:leader="none" w:pos="18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Amendment has been delivered to and accepted by the Bank and will be deemed to be made in the State where the Bank’s office indicated in the Loan Documents is located. This Amendment will be interpreted and the rights and liabilities of the parties hereto determined in accordance with the laws of the State where the Bank’s office indicated in the Loan Documents is located, excluding its conflict of laws rules.</w:t>
      </w:r>
    </w:p>
    <w:p>
      <w:pPr>
        <w:spacing w:after="0" w:line="208" w:lineRule="exact"/>
        <w:rPr>
          <w:rFonts w:ascii="Arial" w:cs="Arial" w:eastAsia="Arial" w:hAnsi="Arial"/>
          <w:sz w:val="18"/>
          <w:szCs w:val="18"/>
          <w:color w:val="auto"/>
        </w:rPr>
      </w:pPr>
    </w:p>
    <w:p>
      <w:pPr>
        <w:jc w:val="both"/>
        <w:ind w:firstLine="8"/>
        <w:spacing w:after="0" w:line="276" w:lineRule="auto"/>
        <w:tabs>
          <w:tab w:leader="none" w:pos="194"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Except as amended hereby, the terms and provisions of the Loan Documents remain unchanged, are and shall remain in full force and effect unless and until modified or amended in writing in accordance with their terms, and are hereby ratified and confirmed. Except as expressly provided herein, this Amendment shall not constitute an amendment, waiver, consent or release with respect to any provision of any Loan Document, a waiver of any default or Event of Default under any Loan Document, or a waiver or release of any of the Bank’s rights and remedies (all of which are hereby reserved). The Borrower expressly ratifies and confirms the confession of judgment (if applicable) and waiver of jury trial provisions contained in the Loan Documents.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WITNESS the due execution of this Amendment as a document under seal as of the date first written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WITNESS / ATTEST: NORTHERN TECHNOLOGIES INTERNATIONAL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Matthew C. Wolsfeld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Print Name: Matthew C. Wolsfeld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Pamela LeRose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t>EXHIBIT A TO WAIVER AND FIRST AMENDMENT TO LOAN DOCUMENTS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JANUARY 10, 2012</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The “Loan Documents” that are the subject of this Amendment include the following (as any of the foregoing have previously been amended, modified or otherwise supplemented):</w:t>
      </w:r>
    </w:p>
    <w:p>
      <w:pPr>
        <w:spacing w:after="0" w:line="197" w:lineRule="exact"/>
        <w:rPr>
          <w:sz w:val="20"/>
          <w:szCs w:val="20"/>
          <w:color w:val="auto"/>
        </w:rPr>
      </w:pPr>
    </w:p>
    <w:p>
      <w:pPr>
        <w:ind w:firstLine="8"/>
        <w:spacing w:after="0" w:line="277" w:lineRule="auto"/>
        <w:tabs>
          <w:tab w:leader="none" w:pos="1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$3,000,000.00 Amended and Restated Committed Line of Credit Note dated January 10, 2011 executed and delivered to the Bank by the Borrower (the “Note”).</w:t>
      </w:r>
    </w:p>
    <w:p>
      <w:pPr>
        <w:spacing w:after="0" w:line="197" w:lineRule="exact"/>
        <w:rPr>
          <w:rFonts w:ascii="Arial" w:cs="Arial" w:eastAsia="Arial" w:hAnsi="Arial"/>
          <w:sz w:val="18"/>
          <w:szCs w:val="18"/>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Working Cash®, Line of Credit, Investment Sweep Rider dated January 10, 2011 executed and delivered to the Bank by the Borrower.</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Loan Agreement dated January 10, 2011 executed and delivered to the Bank by the Borrower (the “Loan Agreement”).</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Security Agreement dated January 10, 2011 executed and delivered to the Bank by the Borrower.</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Reimbursement Agreement dated January 10, 2011 executed and delivered to the Bank by the Borrower.</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other documents, instruments, agreements, and certificates executed and delivered in connection with the Loan Documents listed in this Section A.</w:t>
      </w:r>
    </w:p>
    <w:p>
      <w:pPr>
        <w:spacing w:after="0" w:line="2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 Waiver. The Borrower has acknowledged and agreed with the Bank that the Borrower failed to comply with the requirement for delivery of compliance certificates described in Section 4.2 of Loan Agreement for the period ending November 30, 2011. The Borrower’s failure to comply with the foregoing covenant constitutes Events of Default under the Loan Documents. The Borrower has requested that the Bank waive the Events of Default. In reliance upon the Borrower’s representations and warranties and subject to the terms and conditions herein set forth, the Bank agrees to grant a waiver of Borrower’s non-compliance with the covenants and of the Events of Default that would otherwise result from a violation of such covenants solely for the above-referenced periods. The Borrower agrees that it will hereafter comply fully with these covenants and all other provisions of the Loan Documents, which remain in full force and effect. Except as expressly described in this Amendment, this waiver shall not constitute (a) a modification or an alteration of the terms, conditions or covenants of the Loan Documents or (b) a waiver, release or limitation upon the Bank’s exercise of any of its rights and remedies thereunder, which are hereby expressly reserved. This waiver shall not relieve or release the Borrower in any way from any of its respective duties, obligations, covenants or agreements under the Loan Documents or from the consequences of any Event of Default thereunder, except as expressly described above. This waiver shall not obligate the Bank, or be construed to require the Bank, to waive any other Events of Default or defaults, whether now existing or which may occur after the date of this waiver.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 The Loan Documents are amended as follows:</w:t>
      </w:r>
    </w:p>
    <w:p>
      <w:pPr>
        <w:spacing w:after="0" w:line="252" w:lineRule="exact"/>
        <w:rPr>
          <w:sz w:val="20"/>
          <w:szCs w:val="20"/>
          <w:color w:val="auto"/>
        </w:rPr>
      </w:pPr>
    </w:p>
    <w:p>
      <w:pPr>
        <w:ind w:left="900" w:right="20" w:hanging="568"/>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Effective on January 11, 2012, the Expiration Date, as set forth in the Loan Agreement and the Note, is hereby extended from January 10, 2012 to January 9, 2013.</w:t>
      </w:r>
    </w:p>
    <w:p>
      <w:pPr>
        <w:spacing w:after="0" w:line="197"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D. Conditions to Effectiveness of Amendment: The Bank’s willingness to agree to the amendments set forth in this Amendment is subject to the prior satisfaction of the following conditions:</w:t>
      </w:r>
    </w:p>
    <w:p>
      <w:pPr>
        <w:spacing w:after="0" w:line="197" w:lineRule="exact"/>
        <w:rPr>
          <w:rFonts w:ascii="Arial" w:cs="Arial" w:eastAsia="Arial" w:hAnsi="Arial"/>
          <w:sz w:val="18"/>
          <w:szCs w:val="18"/>
          <w:color w:val="auto"/>
        </w:rPr>
      </w:pPr>
    </w:p>
    <w:p>
      <w:pPr>
        <w:ind w:left="980" w:hanging="648"/>
        <w:spacing w:after="0"/>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Execution by all parties and delivery to the Bank of this Amendment.</w:t>
      </w:r>
    </w:p>
    <w:p>
      <w:pPr>
        <w:sectPr>
          <w:pgSz w:w="11900" w:h="16838" w:orient="portrait"/>
          <w:cols w:equalWidth="0" w:num="1">
            <w:col w:w="11420"/>
          </w:cols>
          <w:pgMar w:left="240" w:top="517"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52"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140" w:right="300" w:firstLine="2"/>
        <w:spacing w:after="0" w:line="286" w:lineRule="auto"/>
        <w:tabs>
          <w:tab w:leader="none" w:pos="2015"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140" w:right="320" w:firstLine="2"/>
        <w:spacing w:after="0" w:line="286" w:lineRule="auto"/>
        <w:tabs>
          <w:tab w:leader="none" w:pos="2025"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92" w:lineRule="exact"/>
        <w:rPr>
          <w:rFonts w:ascii="Arial" w:cs="Arial" w:eastAsia="Arial" w:hAnsi="Arial"/>
          <w:sz w:val="17"/>
          <w:szCs w:val="17"/>
          <w:color w:val="auto"/>
        </w:rPr>
      </w:pPr>
    </w:p>
    <w:p>
      <w:pPr>
        <w:ind w:left="1140" w:right="140" w:firstLine="2"/>
        <w:spacing w:after="0" w:line="264" w:lineRule="auto"/>
        <w:tabs>
          <w:tab w:leader="none" w:pos="2015"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140" w:right="60" w:firstLine="2"/>
        <w:spacing w:after="0" w:line="264" w:lineRule="auto"/>
        <w:tabs>
          <w:tab w:leader="none" w:pos="202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50" w:lineRule="exact"/>
        <w:rPr>
          <w:rFonts w:ascii="Arial" w:cs="Arial" w:eastAsia="Arial" w:hAnsi="Arial"/>
          <w:sz w:val="16"/>
          <w:szCs w:val="16"/>
          <w:color w:val="auto"/>
        </w:rPr>
      </w:pPr>
    </w:p>
    <w:p>
      <w:pPr>
        <w:ind w:left="1140" w:right="80" w:firstLine="2"/>
        <w:spacing w:after="0" w:line="308" w:lineRule="auto"/>
        <w:tabs>
          <w:tab w:leader="none" w:pos="205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right="160" w:firstLine="2"/>
        <w:spacing w:after="0" w:line="277" w:lineRule="auto"/>
        <w:tabs>
          <w:tab w:leader="none" w:pos="2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288925</wp:posOffset>
            </wp:positionV>
            <wp:extent cx="2169795" cy="386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6979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Date: January 12, 2012</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52"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140" w:right="300" w:firstLine="2"/>
        <w:spacing w:after="0" w:line="286" w:lineRule="auto"/>
        <w:tabs>
          <w:tab w:leader="none" w:pos="2015"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140" w:right="320" w:firstLine="2"/>
        <w:spacing w:after="0" w:line="286" w:lineRule="auto"/>
        <w:tabs>
          <w:tab w:leader="none" w:pos="2025"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92" w:lineRule="exact"/>
        <w:rPr>
          <w:rFonts w:ascii="Arial" w:cs="Arial" w:eastAsia="Arial" w:hAnsi="Arial"/>
          <w:sz w:val="17"/>
          <w:szCs w:val="17"/>
          <w:color w:val="auto"/>
        </w:rPr>
      </w:pPr>
    </w:p>
    <w:p>
      <w:pPr>
        <w:ind w:left="1140" w:right="140" w:firstLine="2"/>
        <w:spacing w:after="0" w:line="264" w:lineRule="auto"/>
        <w:tabs>
          <w:tab w:leader="none" w:pos="2015"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ind w:left="1140" w:right="60" w:firstLine="2"/>
        <w:spacing w:after="0" w:line="264" w:lineRule="auto"/>
        <w:tabs>
          <w:tab w:leader="none" w:pos="202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80" w:hanging="652"/>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50" w:lineRule="exact"/>
        <w:rPr>
          <w:rFonts w:ascii="Arial" w:cs="Arial" w:eastAsia="Arial" w:hAnsi="Arial"/>
          <w:sz w:val="16"/>
          <w:szCs w:val="16"/>
          <w:color w:val="auto"/>
        </w:rPr>
      </w:pPr>
    </w:p>
    <w:p>
      <w:pPr>
        <w:ind w:left="1140" w:right="80" w:firstLine="2"/>
        <w:spacing w:after="0" w:line="308" w:lineRule="auto"/>
        <w:tabs>
          <w:tab w:leader="none" w:pos="205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right="160" w:firstLine="2"/>
        <w:spacing w:after="0" w:line="277" w:lineRule="auto"/>
        <w:tabs>
          <w:tab w:leader="none" w:pos="20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117475</wp:posOffset>
            </wp:positionV>
            <wp:extent cx="2169795" cy="643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6979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Date: January 12, 2012</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Corporate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121" w:right="239" w:bottom="1440" w:gutter="0" w:footer="0" w:header="0"/>
        </w:sectPr>
      </w:pPr>
    </w:p>
    <w:bookmarkStart w:id="38" w:name="page39"/>
    <w:bookmarkEnd w:id="38"/>
    <w:p>
      <w:pPr>
        <w:ind w:left="10480"/>
        <w:spacing w:after="0"/>
        <w:rPr>
          <w:sz w:val="20"/>
          <w:szCs w:val="20"/>
          <w:color w:val="auto"/>
        </w:rPr>
      </w:pPr>
      <w:r>
        <w:rPr>
          <w:rFonts w:ascii="Arial" w:cs="Arial" w:eastAsia="Arial" w:hAnsi="Arial"/>
          <w:sz w:val="16"/>
          <w:szCs w:val="16"/>
          <w:b w:val="1"/>
          <w:bCs w:val="1"/>
          <w:color w:val="auto"/>
        </w:rPr>
        <w:t>Exhibit 32.1</w:t>
      </w:r>
    </w:p>
    <w:p>
      <w:pPr>
        <w:spacing w:after="0" w:line="275"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November 30, 2011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214" w:lineRule="exact"/>
        <w:rPr>
          <w:sz w:val="20"/>
          <w:szCs w:val="20"/>
          <w:color w:val="auto"/>
        </w:rPr>
      </w:pPr>
    </w:p>
    <w:p>
      <w:pPr>
        <w:ind w:left="1620" w:hanging="964"/>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right="120" w:hanging="964"/>
        <w:spacing w:after="0" w:line="277"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2178050" cy="386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78050" cy="38608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12, 2012</w:t>
      </w:r>
    </w:p>
    <w:p>
      <w:pPr>
        <w:sectPr>
          <w:pgSz w:w="11900" w:h="16838" w:orient="portrait"/>
          <w:cols w:equalWidth="0" w:num="1">
            <w:col w:w="11420"/>
          </w:cols>
          <w:pgMar w:left="240" w:top="121" w:right="239" w:bottom="1440" w:gutter="0" w:footer="0" w:header="0"/>
        </w:sectPr>
      </w:pPr>
    </w:p>
    <w:bookmarkStart w:id="39" w:name="page40"/>
    <w:bookmarkEnd w:id="39"/>
    <w:p>
      <w:pPr>
        <w:ind w:left="10480"/>
        <w:spacing w:after="0"/>
        <w:rPr>
          <w:sz w:val="20"/>
          <w:szCs w:val="20"/>
          <w:color w:val="auto"/>
        </w:rPr>
      </w:pPr>
      <w:r>
        <w:rPr>
          <w:rFonts w:ascii="Arial" w:cs="Arial" w:eastAsia="Arial" w:hAnsi="Arial"/>
          <w:sz w:val="16"/>
          <w:szCs w:val="16"/>
          <w:b w:val="1"/>
          <w:bCs w:val="1"/>
          <w:color w:val="auto"/>
        </w:rPr>
        <w:t>Exhibit 32.2</w:t>
      </w:r>
    </w:p>
    <w:p>
      <w:pPr>
        <w:spacing w:after="0" w:line="275"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November 30, 2011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214" w:lineRule="exact"/>
        <w:rPr>
          <w:sz w:val="20"/>
          <w:szCs w:val="20"/>
          <w:color w:val="auto"/>
        </w:rPr>
      </w:pPr>
    </w:p>
    <w:p>
      <w:pPr>
        <w:ind w:left="1620" w:hanging="964"/>
        <w:spacing w:after="0"/>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right="120" w:hanging="964"/>
        <w:spacing w:after="0" w:line="27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346200" cy="634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462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780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12, 2012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24"/>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5"/>
    </w:lvl>
  </w:abstractNum>
  <w:abstractNum w:abstractNumId="4">
    <w:nsid w:val="25E45D32"/>
    <w:multiLevelType w:val="hybridMultilevel"/>
    <w:lvl w:ilvl="0">
      <w:lvlJc w:val="left"/>
      <w:lvlText w:val="%1."/>
      <w:numFmt w:val="decimal"/>
      <w:start w:val="6"/>
    </w:lvl>
  </w:abstractNum>
  <w:abstractNum w:abstractNumId="5">
    <w:nsid w:val="519B500D"/>
    <w:multiLevelType w:val="hybridMultilevel"/>
    <w:lvl w:ilvl="0">
      <w:lvlJc w:val="left"/>
      <w:lvlText w:val="%1."/>
      <w:numFmt w:val="decimal"/>
      <w:start w:val="7"/>
    </w:lvl>
  </w:abstractNum>
  <w:abstractNum w:abstractNumId="6">
    <w:nsid w:val="431BD7B7"/>
    <w:multiLevelType w:val="hybridMultilevel"/>
    <w:lvl w:ilvl="0">
      <w:lvlJc w:val="left"/>
      <w:lvlText w:val="%1."/>
      <w:numFmt w:val="decimal"/>
      <w:start w:val="8"/>
    </w:lvl>
  </w:abstractNum>
  <w:abstractNum w:abstractNumId="7">
    <w:nsid w:val="3F2DBA31"/>
    <w:multiLevelType w:val="hybridMultilevel"/>
    <w:lvl w:ilvl="0">
      <w:lvlJc w:val="left"/>
      <w:lvlText w:val="%1."/>
      <w:numFmt w:val="decimal"/>
      <w:start w:val="9"/>
    </w:lvl>
  </w:abstractNum>
  <w:abstractNum w:abstractNumId="8">
    <w:nsid w:val="7C83E458"/>
    <w:multiLevelType w:val="hybridMultilevel"/>
    <w:lvl w:ilvl="0">
      <w:lvlJc w:val="left"/>
      <w:lvlText w:val="%1."/>
      <w:numFmt w:val="decimal"/>
      <w:start w:val="10"/>
    </w:lvl>
  </w:abstractNum>
  <w:abstractNum w:abstractNumId="9">
    <w:nsid w:val="257130A3"/>
    <w:multiLevelType w:val="hybridMultilevel"/>
    <w:lvl w:ilvl="0">
      <w:lvlJc w:val="left"/>
      <w:lvlText w:val="%1."/>
      <w:numFmt w:val="decimal"/>
      <w:start w:val="1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2"/>
    </w:lvl>
  </w:abstractNum>
  <w:abstractNum w:abstractNumId="12">
    <w:nsid w:val="628C895D"/>
    <w:multiLevelType w:val="hybridMultilevel"/>
    <w:lvl w:ilvl="0">
      <w:lvlJc w:val="left"/>
      <w:lvlText w:val="%1."/>
      <w:numFmt w:val="decimal"/>
      <w:start w:val="13"/>
    </w:lvl>
  </w:abstractNum>
  <w:abstractNum w:abstractNumId="13">
    <w:nsid w:val="333AB105"/>
    <w:multiLevelType w:val="hybridMultilevel"/>
    <w:lvl w:ilvl="0">
      <w:lvlJc w:val="left"/>
      <w:lvlText w:val="%1."/>
      <w:numFmt w:val="decimal"/>
      <w:start w:val="14"/>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5"/>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upperLetter"/>
      <w:start w:val="1"/>
    </w:lvl>
    <w:lvl w:ilvl="1">
      <w:lvlJc w:val="left"/>
      <w:lvlText w:val="%2."/>
      <w:numFmt w:val="decimal"/>
      <w:start w:val="1"/>
    </w:lvl>
  </w:abstractNum>
  <w:abstractNum w:abstractNumId="23">
    <w:nsid w:val="189A769B"/>
    <w:multiLevelType w:val="hybridMultilevel"/>
    <w:lvl w:ilvl="0">
      <w:lvlJc w:val="left"/>
      <w:lvlText w:val="%1"/>
      <w:numFmt w:val="upperLetter"/>
      <w:start w:val="1"/>
    </w:lvl>
    <w:lvl w:ilvl="1">
      <w:lvlJc w:val="left"/>
      <w:lvlText w:val="%2."/>
      <w:numFmt w:val="decimal"/>
      <w:start w:val="1"/>
    </w:lvl>
  </w:abstractNum>
  <w:abstractNum w:abstractNumId="24">
    <w:nsid w:val="54E49EB4"/>
    <w:multiLevelType w:val="hybridMultilevel"/>
    <w:lvl w:ilvl="0">
      <w:lvlJc w:val="left"/>
      <w:lvlText w:val="%1."/>
      <w:numFmt w:val="decimal"/>
      <w:start w:val="1"/>
    </w:lvl>
    <w:lvl w:ilvl="1">
      <w:lvlJc w:val="left"/>
      <w:lvlText w:val="(%2)"/>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upperLetter"/>
      <w:start w:val="1"/>
    </w:lvl>
    <w:lvl w:ilvl="1">
      <w:lvlJc w:val="left"/>
      <w:lvlText w:val="(%2)"/>
      <w:numFmt w:val="decimal"/>
      <w:start w:val="1"/>
    </w:lvl>
  </w:abstractNum>
  <w:abstractNum w:abstractNumId="27">
    <w:nsid w:val="836C40E"/>
    <w:multiLevelType w:val="hybridMultilevel"/>
    <w:lvl w:ilvl="0">
      <w:lvlJc w:val="left"/>
      <w:lvlText w:val="%1."/>
      <w:numFmt w:val="upperLetter"/>
      <w:start w:val="7"/>
    </w:lvl>
    <w:lvl w:ilvl="1">
      <w:lvlJc w:val="left"/>
      <w:lvlText w:val="%2"/>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2019-12-09T10:08:47Z</dcterms:created>
  <dcterms:modified xsi:type="dcterms:W3CDTF">2019-12-09T10:08:47Z</dcterms:modified>
</cp:coreProperties>
</file>