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680" w:right="1880" w:hanging="3672"/>
        <w:spacing w:after="0" w:line="493" w:lineRule="auto"/>
        <w:tabs>
          <w:tab w:leader="none" w:pos="22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November 30, 2024</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2880" w:right="1860" w:hanging="2872"/>
        <w:spacing w:after="0" w:line="500" w:lineRule="auto"/>
        <w:tabs>
          <w:tab w:leader="none" w:pos="20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0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233"/>
        </w:trPr>
        <w:tc>
          <w:tcPr>
            <w:tcW w:w="37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10"/>
        </w:trPr>
        <w:tc>
          <w:tcPr>
            <w:tcW w:w="3740" w:type="dxa"/>
            <w:vAlign w:val="bottom"/>
            <w:tcBorders>
              <w:left w:val="single" w:sz="8" w:color="auto"/>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8"/>
                <w:szCs w:val="18"/>
                <w:color w:val="auto"/>
              </w:rPr>
            </w:pPr>
          </w:p>
        </w:tc>
        <w:tc>
          <w:tcPr>
            <w:tcW w:w="3000" w:type="dxa"/>
            <w:vAlign w:val="bottom"/>
            <w:tcBorders>
              <w:bottom w:val="single" w:sz="8" w:color="auto"/>
              <w:right w:val="single" w:sz="8" w:color="auto"/>
            </w:tcBorders>
          </w:tcPr>
          <w:p>
            <w:pPr>
              <w:jc w:val="center"/>
              <w:ind w:right="75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6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jc w:val="center"/>
              <w:ind w:right="77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040" w:space="720"/>
            <w:col w:w="448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10, 2025, there were 9,470,507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November 30, 2024</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00" w:type="dxa"/>
            <w:vAlign w:val="bottom"/>
            <w:gridSpan w:val="2"/>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77"/>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180" w:type="dxa"/>
            <w:vAlign w:val="bottom"/>
            <w:gridSpan w:val="5"/>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Financial Statements</w:t>
            </w:r>
          </w:p>
        </w:tc>
        <w:tc>
          <w:tcPr>
            <w:tcW w:w="754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Balance Sheets as of November 30, 2024 (unaudited) and August 31, 2024 (audited)</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(unaudited) for the Three Months Ended November 30, 2024 and 2023</w:t>
            </w:r>
          </w:p>
        </w:tc>
        <w:tc>
          <w:tcPr>
            <w:tcW w:w="1080" w:type="dxa"/>
            <w:vAlign w:val="bottom"/>
            <w:gridSpan w:val="3"/>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(unaudited) for the Three Months Ended November 30, 2024</w:t>
            </w:r>
          </w:p>
        </w:tc>
        <w:tc>
          <w:tcPr>
            <w:tcW w:w="860" w:type="dxa"/>
            <w:vAlign w:val="bottom"/>
          </w:tcPr>
          <w:p>
            <w:pPr>
              <w:spacing w:after="0"/>
              <w:rPr>
                <w:sz w:val="24"/>
                <w:szCs w:val="24"/>
                <w:color w:val="auto"/>
              </w:rPr>
            </w:pPr>
          </w:p>
        </w:tc>
        <w:tc>
          <w:tcPr>
            <w:tcW w:w="4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40" w:type="dxa"/>
            <w:vAlign w:val="bottom"/>
            <w:gridSpan w:val="17"/>
            <w:vMerge w:val="restart"/>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4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9040" w:type="dxa"/>
            <w:vAlign w:val="bottom"/>
            <w:gridSpan w:val="17"/>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top w:val="single" w:sz="8" w:color="0000EE"/>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Consolidated Statements of Equity (unaudited) for the Three Months Ended November 30, 2024 and 2023</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(unaudited) for the Three Months Ended November 30, 2024 and 2023</w:t>
            </w:r>
          </w:p>
        </w:tc>
        <w:tc>
          <w:tcPr>
            <w:tcW w:w="1020" w:type="dxa"/>
            <w:vAlign w:val="bottom"/>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0" w:type="dxa"/>
            <w:vAlign w:val="bottom"/>
          </w:tcPr>
          <w:p>
            <w:pPr>
              <w:spacing w:after="0"/>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5020" w:type="dxa"/>
            <w:vAlign w:val="bottom"/>
            <w:gridSpan w:val="8"/>
          </w:tcPr>
          <w:p>
            <w:pPr>
              <w:spacing w:after="0"/>
              <w:rPr>
                <w:sz w:val="24"/>
                <w:szCs w:val="24"/>
                <w:color w:val="auto"/>
              </w:rPr>
            </w:pPr>
          </w:p>
        </w:tc>
        <w:tc>
          <w:tcPr>
            <w:tcW w:w="80" w:type="dxa"/>
            <w:vAlign w:val="bottom"/>
            <w:gridSpan w:val="2"/>
          </w:tcPr>
          <w:p>
            <w:pPr>
              <w:spacing w:after="0"/>
              <w:rPr>
                <w:sz w:val="24"/>
                <w:szCs w:val="24"/>
                <w:color w:val="auto"/>
              </w:rPr>
            </w:pPr>
          </w:p>
        </w:tc>
        <w:tc>
          <w:tcPr>
            <w:tcW w:w="340" w:type="dxa"/>
            <w:vAlign w:val="bottom"/>
            <w:tcBorders>
              <w:bottom w:val="single" w:sz="8" w:color="0000EE"/>
            </w:tcBorders>
            <w:gridSpan w:val="3"/>
          </w:tcPr>
          <w:p>
            <w:pPr>
              <w:jc w:val="right"/>
              <w:spacing w:after="0"/>
              <w:rPr>
                <w:sz w:val="20"/>
                <w:szCs w:val="20"/>
                <w:color w:val="auto"/>
              </w:rPr>
            </w:pPr>
            <w:r>
              <w:rPr>
                <w:rFonts w:ascii="Times New Roman" w:cs="Times New Roman" w:eastAsia="Times New Roman" w:hAnsi="Times New Roman"/>
                <w:sz w:val="18"/>
                <w:szCs w:val="18"/>
                <w:color w:val="0000EE"/>
                <w:w w:val="96"/>
              </w:rPr>
              <w:t>6-15</w:t>
            </w:r>
          </w:p>
        </w:tc>
        <w:tc>
          <w:tcPr>
            <w:tcW w:w="0" w:type="dxa"/>
            <w:vAlign w:val="bottom"/>
          </w:tcPr>
          <w:p>
            <w:pPr>
              <w:spacing w:after="0"/>
              <w:rPr>
                <w:sz w:val="1"/>
                <w:szCs w:val="1"/>
                <w:color w:val="auto"/>
              </w:rPr>
            </w:pPr>
          </w:p>
        </w:tc>
      </w:tr>
      <w:tr>
        <w:trPr>
          <w:trHeight w:val="277"/>
        </w:trPr>
        <w:tc>
          <w:tcPr>
            <w:tcW w:w="5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160" w:type="dxa"/>
            <w:vAlign w:val="bottom"/>
            <w:gridSpan w:val="4"/>
          </w:tcPr>
          <w:p>
            <w:pPr>
              <w:spacing w:after="0"/>
              <w:rPr>
                <w:sz w:val="24"/>
                <w:szCs w:val="24"/>
                <w:color w:val="auto"/>
              </w:rPr>
            </w:pPr>
          </w:p>
        </w:tc>
        <w:tc>
          <w:tcPr>
            <w:tcW w:w="64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80" w:type="dxa"/>
            <w:vAlign w:val="bottom"/>
            <w:gridSpan w:val="6"/>
          </w:tcPr>
          <w:p>
            <w:pPr>
              <w:spacing w:after="0"/>
              <w:rPr>
                <w:sz w:val="24"/>
                <w:szCs w:val="24"/>
                <w:color w:val="auto"/>
              </w:rPr>
            </w:pPr>
          </w:p>
        </w:tc>
        <w:tc>
          <w:tcPr>
            <w:tcW w:w="420" w:type="dxa"/>
            <w:vAlign w:val="bottom"/>
            <w:tcBorders>
              <w:bottom w:val="single" w:sz="8" w:color="0000EE"/>
            </w:tcBorders>
            <w:gridSpan w:val="5"/>
          </w:tcPr>
          <w:p>
            <w:pPr>
              <w:jc w:val="right"/>
              <w:spacing w:after="0"/>
              <w:rPr>
                <w:sz w:val="20"/>
                <w:szCs w:val="20"/>
                <w:color w:val="auto"/>
              </w:rPr>
            </w:pPr>
            <w:r>
              <w:rPr>
                <w:rFonts w:ascii="Times New Roman" w:cs="Times New Roman" w:eastAsia="Times New Roman" w:hAnsi="Times New Roman"/>
                <w:sz w:val="18"/>
                <w:szCs w:val="18"/>
                <w:color w:val="0000EE"/>
                <w:w w:val="95"/>
              </w:rPr>
              <w:t>16-27</w:t>
            </w:r>
          </w:p>
        </w:tc>
        <w:tc>
          <w:tcPr>
            <w:tcW w:w="0" w:type="dxa"/>
            <w:vAlign w:val="bottom"/>
          </w:tcPr>
          <w:p>
            <w:pPr>
              <w:spacing w:after="0"/>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1160" w:type="dxa"/>
            <w:vAlign w:val="bottom"/>
            <w:gridSpan w:val="4"/>
          </w:tcPr>
          <w:p>
            <w:pPr>
              <w:spacing w:after="0"/>
              <w:rPr>
                <w:sz w:val="24"/>
                <w:szCs w:val="24"/>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4700" w:type="dxa"/>
            <w:vAlign w:val="bottom"/>
            <w:gridSpan w:val="7"/>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28</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tcBorders>
              <w:left w:val="single" w:sz="8" w:color="0000EE"/>
            </w:tcBorders>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0" w:type="dxa"/>
            <w:vAlign w:val="bottom"/>
          </w:tcPr>
          <w:p>
            <w:pPr>
              <w:spacing w:after="0"/>
              <w:rPr>
                <w:sz w:val="24"/>
                <w:szCs w:val="24"/>
                <w:color w:val="auto"/>
              </w:rPr>
            </w:pPr>
          </w:p>
        </w:tc>
        <w:tc>
          <w:tcPr>
            <w:tcW w:w="1160" w:type="dxa"/>
            <w:vAlign w:val="bottom"/>
            <w:gridSpan w:val="4"/>
          </w:tcPr>
          <w:p>
            <w:pPr>
              <w:spacing w:after="0"/>
              <w:rPr>
                <w:sz w:val="24"/>
                <w:szCs w:val="24"/>
                <w:color w:val="auto"/>
              </w:rPr>
            </w:pPr>
          </w:p>
        </w:tc>
        <w:tc>
          <w:tcPr>
            <w:tcW w:w="43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700" w:type="dxa"/>
            <w:vAlign w:val="bottom"/>
            <w:gridSpan w:val="7"/>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29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74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160" w:type="dxa"/>
            <w:vAlign w:val="bottom"/>
            <w:gridSpan w:val="4"/>
          </w:tcPr>
          <w:p>
            <w:pPr>
              <w:spacing w:after="0"/>
              <w:rPr>
                <w:sz w:val="24"/>
                <w:szCs w:val="24"/>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1A.</w:t>
            </w: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90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3.</w:t>
            </w:r>
          </w:p>
        </w:tc>
        <w:tc>
          <w:tcPr>
            <w:tcW w:w="1160" w:type="dxa"/>
            <w:vAlign w:val="bottom"/>
            <w:gridSpan w:val="4"/>
          </w:tcPr>
          <w:p>
            <w:pPr>
              <w:spacing w:after="0"/>
              <w:rPr>
                <w:sz w:val="24"/>
                <w:szCs w:val="24"/>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4.</w:t>
            </w:r>
          </w:p>
        </w:tc>
        <w:tc>
          <w:tcPr>
            <w:tcW w:w="1160" w:type="dxa"/>
            <w:vAlign w:val="bottom"/>
            <w:gridSpan w:val="4"/>
          </w:tcPr>
          <w:p>
            <w:pPr>
              <w:spacing w:after="0"/>
              <w:rPr>
                <w:sz w:val="24"/>
                <w:szCs w:val="24"/>
                <w:color w:val="auto"/>
              </w:rPr>
            </w:pPr>
          </w:p>
        </w:tc>
        <w:tc>
          <w:tcPr>
            <w:tcW w:w="23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720" w:type="dxa"/>
            <w:vAlign w:val="bottom"/>
            <w:gridSpan w:val="9"/>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30</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160" w:type="dxa"/>
            <w:vAlign w:val="bottom"/>
            <w:gridSpan w:val="4"/>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280" w:type="dxa"/>
            <w:vAlign w:val="bottom"/>
            <w:gridSpan w:val="10"/>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774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1160" w:type="dxa"/>
            <w:vAlign w:val="bottom"/>
            <w:gridSpan w:val="4"/>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w w:val="93"/>
              </w:rPr>
              <w:t>Exhibits</w:t>
            </w:r>
          </w:p>
        </w:tc>
        <w:tc>
          <w:tcPr>
            <w:tcW w:w="700" w:type="dxa"/>
            <w:vAlign w:val="bottom"/>
            <w:gridSpan w:val="3"/>
          </w:tcPr>
          <w:p>
            <w:pPr>
              <w:spacing w:after="0"/>
              <w:rPr>
                <w:sz w:val="24"/>
                <w:szCs w:val="24"/>
                <w:color w:val="auto"/>
              </w:rPr>
            </w:pPr>
          </w:p>
        </w:tc>
        <w:tc>
          <w:tcPr>
            <w:tcW w:w="7740" w:type="dxa"/>
            <w:vAlign w:val="bottom"/>
            <w:gridSpan w:val="13"/>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0000EE"/>
              </w:rPr>
              <w:t>33</w:t>
            </w:r>
          </w:p>
        </w:tc>
        <w:tc>
          <w:tcPr>
            <w:tcW w:w="0" w:type="dxa"/>
            <w:vAlign w:val="bottom"/>
          </w:tcPr>
          <w:p>
            <w:pPr>
              <w:spacing w:after="0"/>
              <w:rPr>
                <w:sz w:val="1"/>
                <w:szCs w:val="1"/>
                <w:color w:val="auto"/>
              </w:rPr>
            </w:pPr>
          </w:p>
        </w:tc>
      </w:tr>
      <w:tr>
        <w:trPr>
          <w:trHeight w:val="277"/>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460" w:type="dxa"/>
            <w:vAlign w:val="bottom"/>
            <w:gridSpan w:val="11"/>
          </w:tcPr>
          <w:p>
            <w:pPr>
              <w:ind w:left="3120"/>
              <w:spacing w:after="0"/>
              <w:rPr>
                <w:sz w:val="20"/>
                <w:szCs w:val="20"/>
                <w:color w:val="auto"/>
              </w:rPr>
            </w:pPr>
            <w:r>
              <w:rPr>
                <w:rFonts w:ascii="Times New Roman" w:cs="Times New Roman" w:eastAsia="Times New Roman" w:hAnsi="Times New Roman"/>
                <w:sz w:val="18"/>
                <w:szCs w:val="18"/>
                <w:color w:val="auto"/>
              </w:rPr>
              <w:t>_________________</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9" w:right="379" w:bottom="1440" w:gutter="0" w:footer="0" w:header="0"/>
        </w:sectPr>
      </w:pPr>
    </w:p>
    <w:bookmarkStart w:id="2" w:name="page3"/>
    <w:bookmarkEnd w:id="2"/>
    <w:p>
      <w:pPr>
        <w:ind w:left="4860"/>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23" w:lineRule="exact"/>
        <w:rPr>
          <w:sz w:val="20"/>
          <w:szCs w:val="20"/>
          <w:color w:val="auto"/>
        </w:rPr>
      </w:pPr>
    </w:p>
    <w:p>
      <w:pPr>
        <w:ind w:right="2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HNTI Limited (formerly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2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NOVEMBER 30, 2024 (UNAUDITED) AND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8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AUGUST 31, 2024 (AUDITED)</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r>
      <w:tr>
        <w:trPr>
          <w:trHeight w:val="187"/>
        </w:trPr>
        <w:tc>
          <w:tcPr>
            <w:tcW w:w="76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8"/>
        </w:trPr>
        <w:tc>
          <w:tcPr>
            <w:tcW w:w="7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09"/>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5,569,834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4,952,184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less allowance for credit losses of $310,000 as of November 30, 2024 and August 31, 2024</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16,081,710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19,187,079</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1,170,328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1,235,016</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392,293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14,337,384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14,390,844</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2,454,288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1,421,803</w:t>
            </w:r>
          </w:p>
        </w:tc>
      </w:tr>
      <w:tr>
        <w:trPr>
          <w:trHeight w:val="209"/>
        </w:trPr>
        <w:tc>
          <w:tcPr>
            <w:tcW w:w="7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40,302,350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41,579,219</w:t>
            </w:r>
          </w:p>
        </w:tc>
      </w:tr>
      <w:tr>
        <w:trPr>
          <w:trHeight w:val="210"/>
        </w:trPr>
        <w:tc>
          <w:tcPr>
            <w:tcW w:w="80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17,053,239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r>
      <w:tr>
        <w:trPr>
          <w:trHeight w:val="209"/>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25,492,921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25,397,287</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544,464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5,573,945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324,329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424,558</w:t>
            </w:r>
          </w:p>
        </w:tc>
      </w:tr>
      <w:tr>
        <w:trPr>
          <w:trHeight w:val="210"/>
        </w:trPr>
        <w:tc>
          <w:tcPr>
            <w:tcW w:w="80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36,682,066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36,831,630</w:t>
            </w:r>
          </w:p>
        </w:tc>
      </w:tr>
      <w:tr>
        <w:trPr>
          <w:trHeight w:val="209"/>
        </w:trPr>
        <w:tc>
          <w:tcPr>
            <w:tcW w:w="7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94,037,655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94,676,502</w:t>
            </w:r>
          </w:p>
        </w:tc>
      </w:tr>
      <w:tr>
        <w:trPr>
          <w:trHeight w:val="20"/>
        </w:trPr>
        <w:tc>
          <w:tcPr>
            <w:tcW w:w="7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00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4,518,734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4,291,608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Term loan</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2,820,835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6,559,744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6,393,355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327,781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2,710,181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3,163,372</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574,876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217,441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325,116</w:t>
            </w:r>
          </w:p>
        </w:tc>
      </w:tr>
      <w:tr>
        <w:trPr>
          <w:trHeight w:val="209"/>
        </w:trPr>
        <w:tc>
          <w:tcPr>
            <w:tcW w:w="7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18,118,922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17,896,943</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1,504,796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1,504,796</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leases,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99,442</w:t>
            </w:r>
          </w:p>
        </w:tc>
      </w:tr>
      <w:tr>
        <w:trPr>
          <w:trHeight w:val="210"/>
        </w:trPr>
        <w:tc>
          <w:tcPr>
            <w:tcW w:w="7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1,611,684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1,604,238</w:t>
            </w:r>
          </w:p>
        </w:tc>
      </w:tr>
      <w:tr>
        <w:trPr>
          <w:trHeight w:val="209"/>
        </w:trPr>
        <w:tc>
          <w:tcPr>
            <w:tcW w:w="8000" w:type="dxa"/>
            <w:vAlign w:val="bottom"/>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November 30, 2024 and</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4"/>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August 31, 2024; issued and outstanding 9,470,507 and 9,466,980, respectively</w:t>
            </w:r>
          </w:p>
        </w:tc>
        <w:tc>
          <w:tcPr>
            <w:tcW w:w="14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23,999,854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53,669,366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53,771,211</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(7,645,298)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(6,382,124)</w:t>
            </w:r>
          </w:p>
        </w:tc>
      </w:tr>
      <w:tr>
        <w:trPr>
          <w:trHeight w:val="210"/>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70,213,332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71,193,991</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4,093,717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3,981,330</w:t>
            </w:r>
          </w:p>
        </w:tc>
      </w:tr>
      <w:tr>
        <w:trPr>
          <w:trHeight w:val="210"/>
        </w:trPr>
        <w:tc>
          <w:tcPr>
            <w:tcW w:w="760" w:type="dxa"/>
            <w:vAlign w:val="bottom"/>
          </w:tcPr>
          <w:p>
            <w:pPr>
              <w:spacing w:after="0"/>
              <w:rPr>
                <w:sz w:val="18"/>
                <w:szCs w:val="18"/>
                <w:color w:val="auto"/>
              </w:rPr>
            </w:pPr>
          </w:p>
        </w:tc>
        <w:tc>
          <w:tcPr>
            <w:tcW w:w="7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74,307,049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r>
      <w:tr>
        <w:trPr>
          <w:trHeight w:val="249"/>
        </w:trPr>
        <w:tc>
          <w:tcPr>
            <w:tcW w:w="76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94,037,655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94,676,502</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4" w:name="page5"/>
    <w:bookmarkEnd w:id="4"/>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MONTHS ENDED NOVEMBER 30, 2024 AND 2023</w:t>
      </w:r>
    </w:p>
    <w:tbl>
      <w:tblPr>
        <w:tblLayout w:type="fixed"/>
        <w:tblInd w:w="0" w:type="dxa"/>
        <w:tblCellMar>
          <w:top w:w="0" w:type="dxa"/>
          <w:left w:w="0" w:type="dxa"/>
          <w:bottom w:w="0" w:type="dxa"/>
          <w:right w:w="0" w:type="dxa"/>
        </w:tblCellMar>
      </w:tblPr>
      <w:tr>
        <w:trPr>
          <w:trHeight w:val="169"/>
        </w:trPr>
        <w:tc>
          <w:tcPr>
            <w:tcW w:w="80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100" w:type="dxa"/>
            <w:vAlign w:val="bottom"/>
            <w:tcBorders>
              <w:top w:val="single" w:sz="8" w:color="auto"/>
            </w:tcBorders>
            <w:gridSpan w:val="4"/>
          </w:tcPr>
          <w:p>
            <w:pPr>
              <w:jc w:val="right"/>
              <w:ind w:right="210"/>
              <w:spacing w:after="0" w:line="170" w:lineRule="exact"/>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8,162,953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7,334,274</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1,129,593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1,284,119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2,413,712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2,351,199</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4,267,654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3,686,058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3,858,943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3,517,061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1,343,397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1,105,921</w:t>
            </w: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9,469,994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8,309,040</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1,106,671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1,376,433</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(111,138)</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1,012,018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1,311,737</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226,796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r>
      <w:tr>
        <w:trPr>
          <w:trHeight w:val="216"/>
        </w:trPr>
        <w:tc>
          <w:tcPr>
            <w:tcW w:w="8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233,056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561,091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895,521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0.09</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800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0.09</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9,470,507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9,427,588</w:t>
            </w: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6"/>
        </w:trPr>
        <w:tc>
          <w:tcPr>
            <w:tcW w:w="800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9,754,209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9,706,581</w:t>
            </w:r>
          </w:p>
        </w:tc>
      </w:tr>
      <w:tr>
        <w:trPr>
          <w:trHeight w:val="197"/>
        </w:trPr>
        <w:tc>
          <w:tcPr>
            <w:tcW w:w="8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0.07</w:t>
            </w:r>
          </w:p>
        </w:tc>
      </w:tr>
      <w:tr>
        <w:trPr>
          <w:trHeight w:val="413"/>
        </w:trPr>
        <w:tc>
          <w:tcPr>
            <w:tcW w:w="800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MONTHS ENDED NOVEMBER 30, 2024 AND 2023</w:t>
      </w:r>
    </w:p>
    <w:tbl>
      <w:tblPr>
        <w:tblLayout w:type="fixed"/>
        <w:tblInd w:w="0" w:type="dxa"/>
        <w:tblCellMar>
          <w:top w:w="0" w:type="dxa"/>
          <w:left w:w="0" w:type="dxa"/>
          <w:bottom w:w="0" w:type="dxa"/>
          <w:right w:w="0" w:type="dxa"/>
        </w:tblCellMar>
      </w:tblPr>
      <w:tr>
        <w:trPr>
          <w:trHeight w:val="192"/>
        </w:trPr>
        <w:tc>
          <w:tcPr>
            <w:tcW w:w="80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3100" w:type="dxa"/>
            <w:vAlign w:val="bottom"/>
            <w:tcBorders>
              <w:top w:val="single" w:sz="8" w:color="auto"/>
              <w:bottom w:val="single" w:sz="8" w:color="auto"/>
            </w:tcBorders>
            <w:gridSpan w:val="4"/>
          </w:tcPr>
          <w:p>
            <w:pPr>
              <w:jc w:val="right"/>
              <w:ind w:right="21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0" w:type="dxa"/>
            <w:vAlign w:val="bottom"/>
          </w:tcPr>
          <w:p>
            <w:pPr>
              <w:spacing w:after="0"/>
              <w:rPr>
                <w:sz w:val="1"/>
                <w:szCs w:val="1"/>
                <w:color w:val="auto"/>
              </w:rPr>
            </w:pPr>
          </w:p>
        </w:tc>
      </w:tr>
      <w:tr>
        <w:trPr>
          <w:trHeight w:val="198"/>
        </w:trPr>
        <w:tc>
          <w:tcPr>
            <w:tcW w:w="800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(LOSS) INCOME – FOREIGN CURRENCY TRANSLATION</w:t>
            </w:r>
          </w:p>
        </w:tc>
        <w:tc>
          <w:tcPr>
            <w:tcW w:w="14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(1,383,843)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301,319</w:t>
            </w:r>
          </w:p>
        </w:tc>
        <w:tc>
          <w:tcPr>
            <w:tcW w:w="0" w:type="dxa"/>
            <w:vAlign w:val="bottom"/>
          </w:tcPr>
          <w:p>
            <w:pPr>
              <w:spacing w:after="0"/>
              <w:rPr>
                <w:sz w:val="1"/>
                <w:szCs w:val="1"/>
                <w:color w:val="auto"/>
              </w:rPr>
            </w:pPr>
          </w:p>
        </w:tc>
      </w:tr>
      <w:tr>
        <w:trPr>
          <w:trHeight w:val="221"/>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ADJUSTMENT</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1,386,260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(112,387)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(183,797)</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NTIC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1,202,463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4"/>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Non-</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0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20" w:type="dxa"/>
            <w:vAlign w:val="bottom"/>
          </w:tcPr>
          <w:p>
            <w:pPr>
              <w:spacing w:after="0"/>
              <w:rPr>
                <w:sz w:val="19"/>
                <w:szCs w:val="19"/>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2023</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9,424,101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188,482</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$21,986,767</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$51,004,427</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(6,823,403)</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4,342,524</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$70,698,797</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40,026</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40,096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350,933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350,933</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(659,932)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895,521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189,420</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1,084,941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306,942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301,319</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AT NOVEMBER 30, 2023</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9,427,597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188,552</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22,377,726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51,240,016</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(6,516,461)</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3,726,321</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$71,016,154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31,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9,466,980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189,340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$23,615,564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$ 53,771,211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(6,382,124)</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3,981,330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$75,175,321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42,400</w:t>
            </w:r>
          </w:p>
        </w:tc>
        <w:tc>
          <w:tcPr>
            <w:tcW w:w="1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341,890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341,890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561,091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233,056</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(120,669)</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(1,383,843)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NOVEMBER 30, 2024</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9,470,507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189,410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23,999,854</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53,669,366</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(7,645,298)</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4,093,717</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$74,307,049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 w:name="page8"/>
    <w:bookmarkEnd w:id="7"/>
    <w:p>
      <w:pPr>
        <w:ind w:right="3960"/>
        <w:spacing w:after="0" w:line="266"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THREE MONTHS ENDED NOVEMBER 30, 2024 AND 2023</w:t>
      </w:r>
    </w:p>
    <w:tbl>
      <w:tblPr>
        <w:tblLayout w:type="fixed"/>
        <w:tblInd w:w="0" w:type="dxa"/>
        <w:tblCellMar>
          <w:top w:w="0" w:type="dxa"/>
          <w:left w:w="0" w:type="dxa"/>
          <w:bottom w:w="0" w:type="dxa"/>
          <w:right w:w="0" w:type="dxa"/>
        </w:tblCellMar>
      </w:tblPr>
      <w:tr>
        <w:trPr>
          <w:trHeight w:val="192"/>
        </w:trPr>
        <w:tc>
          <w:tcPr>
            <w:tcW w:w="75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3260" w:type="dxa"/>
            <w:vAlign w:val="bottom"/>
            <w:tcBorders>
              <w:top w:val="single" w:sz="8" w:color="auto"/>
              <w:bottom w:val="single" w:sz="8" w:color="auto"/>
            </w:tcBorders>
            <w:gridSpan w:val="4"/>
          </w:tcPr>
          <w:p>
            <w:pPr>
              <w:jc w:val="right"/>
              <w:ind w:right="310"/>
              <w:spacing w:after="0" w:line="192" w:lineRule="exact"/>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794,147</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1,084,941</w:t>
            </w: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341,890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350,933</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267,155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307,010</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147,655</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(1,129,593)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(1,102,241)</w:t>
            </w: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371,103</w:t>
            </w: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15,335</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Trade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2,874,595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794,395</w:t>
            </w:r>
          </w:p>
        </w:tc>
      </w:tr>
      <w:tr>
        <w:trPr>
          <w:trHeight w:val="216"/>
        </w:trPr>
        <w:tc>
          <w:tcPr>
            <w:tcW w:w="7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64,687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75,914</w:t>
            </w:r>
          </w:p>
        </w:tc>
      </w:tr>
      <w:tr>
        <w:trPr>
          <w:trHeight w:val="216"/>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Dividends receivable from joint venture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1,986,027</w:t>
            </w:r>
          </w:p>
        </w:tc>
      </w:tr>
      <w:tr>
        <w:trPr>
          <w:trHeight w:val="216"/>
        </w:trPr>
        <w:tc>
          <w:tcPr>
            <w:tcW w:w="7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(285,866)</w:t>
            </w: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525,559</w:t>
            </w: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(1,046,973)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(929,250)</w:t>
            </w: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195,752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270,194</w:t>
            </w:r>
          </w:p>
        </w:tc>
      </w:tr>
      <w:tr>
        <w:trPr>
          <w:trHeight w:val="216"/>
        </w:trPr>
        <w:tc>
          <w:tcPr>
            <w:tcW w:w="75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9,594</w:t>
            </w:r>
          </w:p>
        </w:tc>
      </w:tr>
      <w:tr>
        <w:trPr>
          <w:trHeight w:val="216"/>
        </w:trPr>
        <w:tc>
          <w:tcPr>
            <w:tcW w:w="754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299,800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(544,411)</w:t>
            </w:r>
          </w:p>
        </w:tc>
      </w:tr>
      <w:tr>
        <w:trPr>
          <w:trHeight w:val="209"/>
        </w:trPr>
        <w:tc>
          <w:tcPr>
            <w:tcW w:w="75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2,395,066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3,076,892</w:t>
            </w:r>
          </w:p>
        </w:tc>
      </w:tr>
      <w:tr>
        <w:trPr>
          <w:trHeight w:val="210"/>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(390,729)</w:t>
            </w:r>
          </w:p>
        </w:tc>
      </w:tr>
      <w:tr>
        <w:trPr>
          <w:trHeight w:val="216"/>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(33,142)</w:t>
            </w:r>
          </w:p>
        </w:tc>
      </w:tr>
      <w:tr>
        <w:trPr>
          <w:trHeight w:val="209"/>
        </w:trPr>
        <w:tc>
          <w:tcPr>
            <w:tcW w:w="75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(1,258,336)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(423,871)</w:t>
            </w:r>
          </w:p>
        </w:tc>
      </w:tr>
      <w:tr>
        <w:trPr>
          <w:trHeight w:val="210"/>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payments on line of credit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(659,932)</w:t>
            </w: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42,471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40,096</w:t>
            </w:r>
          </w:p>
        </w:tc>
      </w:tr>
      <w:tr>
        <w:trPr>
          <w:trHeight w:val="210"/>
        </w:trPr>
        <w:tc>
          <w:tcPr>
            <w:tcW w:w="754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(393,341)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(2,019,836)</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(125,739)</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54,673</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617,650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687,858</w:t>
            </w:r>
          </w:p>
        </w:tc>
      </w:tr>
      <w:tr>
        <w:trPr>
          <w:trHeight w:val="21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4,952,184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5,406,174</w:t>
            </w: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5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5,569,834</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6,094,032</w:t>
            </w:r>
          </w:p>
        </w:tc>
      </w:tr>
      <w:tr>
        <w:trPr>
          <w:trHeight w:val="413"/>
        </w:trPr>
        <w:tc>
          <w:tcPr>
            <w:tcW w:w="7540" w:type="dxa"/>
            <w:vAlign w:val="bottom"/>
            <w:tcBorders>
              <w:top w:val="single" w:sz="8" w:color="CCEEFF"/>
            </w:tcBorders>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4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ind w:right="320"/>
        <w:spacing w:after="0" w:line="277"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November 30, 2024 and August 31, 2024, the results of the Company’s operations for the three months ended November 30, 2024 and 2023, the changes in stockholders’ equity for the three months ended November 30, 2024 and 2023 and the Company’s cash flows for the three months ended November 30, 2024 and 2023, in conformity with accounting principles generally accepted in the United States of America (U.S. GAAP).</w:t>
      </w:r>
    </w:p>
    <w:p>
      <w:pPr>
        <w:spacing w:after="0" w:line="168" w:lineRule="exact"/>
        <w:rPr>
          <w:sz w:val="20"/>
          <w:szCs w:val="20"/>
          <w:color w:val="auto"/>
        </w:rPr>
      </w:pPr>
    </w:p>
    <w:p>
      <w:pPr>
        <w:ind w:right="660"/>
        <w:spacing w:after="0" w:line="289" w:lineRule="auto"/>
        <w:rPr>
          <w:sz w:val="20"/>
          <w:szCs w:val="20"/>
          <w:color w:val="auto"/>
        </w:rPr>
      </w:pPr>
      <w:r>
        <w:rPr>
          <w:rFonts w:ascii="Times New Roman" w:cs="Times New Roman" w:eastAsia="Times New Roman" w:hAnsi="Times New Roman"/>
          <w:sz w:val="17"/>
          <w:szCs w:val="17"/>
          <w:color w:val="auto"/>
        </w:rPr>
        <w:t>These consolidated financial statements should be read in conjunction with the consolidated financial statements and related notes contained in the Company’s annual report on Form 10-K for the fiscal year ended August 31, 2024. These consolidated financial statements also should be read in conjunction with the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 section appearing in this report.</w:t>
      </w:r>
    </w:p>
    <w:p>
      <w:pPr>
        <w:spacing w:after="0" w:line="15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months ended November 30, 2024 are not necessarily indicative of the results that may be expected for the full fiscal year ending August 31, 2025.</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period presentation. These reclassifications had no effect on the reported results of operations. An adjustment has been made to the Consolidated Statements of Cash Flows for the three months ended November 30, 2023 to reclassify joint venture receivables, tax receivables and tax payables.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through the date the consolidated financial statements were available to be issued, requiring recording or disclosure in the consolidated financial statements.</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SIGNIFICANT ACCOUNTING POLICIES</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the three months ended November 30, 2024, there have been no new significant accounting policies from those disclosed in the Company’s annual report on Form 10-K for the fiscal year ended August 31, 2024.</w:t>
      </w:r>
    </w:p>
    <w:p>
      <w:pPr>
        <w:spacing w:after="0" w:line="200" w:lineRule="exact"/>
        <w:rPr>
          <w:sz w:val="20"/>
          <w:szCs w:val="20"/>
          <w:color w:val="auto"/>
        </w:rPr>
      </w:pPr>
    </w:p>
    <w:p>
      <w:pPr>
        <w:spacing w:after="0" w:line="201"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No. 2023-07, Segment Reporting (Topic 280): </w:t>
      </w:r>
      <w:r>
        <w:rPr>
          <w:rFonts w:ascii="Times New Roman" w:cs="Times New Roman" w:eastAsia="Times New Roman" w:hAnsi="Times New Roman"/>
          <w:sz w:val="18"/>
          <w:szCs w:val="18"/>
          <w:i w:val="1"/>
          <w:iCs w:val="1"/>
          <w:color w:val="auto"/>
        </w:rPr>
        <w:t>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Disclosures</w:t>
      </w:r>
      <w:r>
        <w:rPr>
          <w:rFonts w:ascii="Times New Roman" w:cs="Times New Roman" w:eastAsia="Times New Roman" w:hAnsi="Times New Roman"/>
          <w:sz w:val="18"/>
          <w:szCs w:val="18"/>
          <w:color w:val="auto"/>
        </w:rPr>
        <w:t>. ASU 2023-07 is intended to enhance financial reporting by requiring incremental disclosures for significant segment expenses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and interim basis by public entities required to report segment information in accordance with Accounting Standards Codification Topic 280. The amendments in ASU 2023-07 are to be applied retrospectively to all periods presented in the financial statements and early adoption is permitted. This standard will be applicable to the Company for the 2025 annual period and quarterly periods thereafter. The Company is evaluating its disclosure approach for ASU 2023-07 and anticipates adopting the standard for the year ended August 31, 2025 and filings thereafter.</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 w:name="page10"/>
    <w:bookmarkEnd w:id="9"/>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spacing w:after="0" w:line="18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Securities and Exchange Commission (SEC) adopted rules under SEC Release No. 33-11275, </w:t>
      </w:r>
      <w:r>
        <w:rPr>
          <w:rFonts w:ascii="Times New Roman" w:cs="Times New Roman" w:eastAsia="Times New Roman" w:hAnsi="Times New Roman"/>
          <w:sz w:val="18"/>
          <w:szCs w:val="18"/>
          <w:i w:val="1"/>
          <w:iCs w:val="1"/>
          <w:color w:val="auto"/>
        </w:rPr>
        <w:t>The Enhancement and Standardization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Climate-Related Disclosures for Investors</w:t>
      </w:r>
      <w:r>
        <w:rPr>
          <w:rFonts w:ascii="Times New Roman" w:cs="Times New Roman" w:eastAsia="Times New Roman" w:hAnsi="Times New Roman"/>
          <w:sz w:val="18"/>
          <w:szCs w:val="18"/>
          <w:color w:val="auto"/>
        </w:rPr>
        <w:t>, which requires the disclosure of material Scope 1 and Scope 2 greenhouse gas emissions and other climate-related topics in annual reports and registration statements. For large-accelerated filers and accelerated filers, disclosure requirements will begin phasing in for fiscal years beginning on or after January 1, 2025, and January 1, 2026, respectively, subject to legal challenges and the SEC’s voluntary stay of the disclosure requirements. The Company is currently evaluating the impact these rules will have on its consolidated financial statements and related disclosures.</w:t>
      </w:r>
    </w:p>
    <w:p>
      <w:pPr>
        <w:spacing w:after="0" w:line="200" w:lineRule="exact"/>
        <w:rPr>
          <w:sz w:val="20"/>
          <w:szCs w:val="20"/>
          <w:color w:val="auto"/>
        </w:rPr>
      </w:pPr>
    </w:p>
    <w:p>
      <w:pPr>
        <w:spacing w:after="0" w:line="223"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5,543,326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5,513,409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8,794,058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8,877,435</w:t>
            </w:r>
          </w:p>
        </w:tc>
      </w:tr>
      <w:tr>
        <w:trPr>
          <w:trHeight w:val="249"/>
        </w:trPr>
        <w:tc>
          <w:tcPr>
            <w:tcW w:w="440" w:type="dxa"/>
            <w:vAlign w:val="bottom"/>
            <w:shd w:val="clear" w:color="auto" w:fill="CCEEFF"/>
          </w:tcPr>
          <w:p>
            <w:pPr>
              <w:spacing w:after="0"/>
              <w:rPr>
                <w:sz w:val="21"/>
                <w:szCs w:val="21"/>
                <w:color w:val="auto"/>
              </w:rPr>
            </w:pPr>
          </w:p>
        </w:tc>
        <w:tc>
          <w:tcPr>
            <w:tcW w:w="75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14,337,384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14,390,844</w:t>
            </w:r>
          </w:p>
        </w:tc>
      </w:tr>
      <w:tr>
        <w:trPr>
          <w:trHeight w:val="656"/>
        </w:trPr>
        <w:tc>
          <w:tcPr>
            <w:tcW w:w="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56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0"/>
        </w:trPr>
        <w:tc>
          <w:tcPr>
            <w:tcW w:w="4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38"/>
        </w:trPr>
        <w:tc>
          <w:tcPr>
            <w:tcW w:w="4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210"/>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1,238,180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1,238,180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14,760,250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14,760,250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4,171,288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3,086,479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7,298,297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7,276,151</w:t>
            </w:r>
          </w:p>
        </w:tc>
      </w:tr>
      <w:tr>
        <w:trPr>
          <w:trHeight w:val="210"/>
        </w:trPr>
        <w:tc>
          <w:tcPr>
            <w:tcW w:w="4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27,468,015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26,361,060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(10,414,776)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(10,095,407)</w:t>
            </w: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17,053,239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r>
    </w:tbl>
    <w:p>
      <w:pPr>
        <w:spacing w:after="0" w:line="198"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Depreciation expense was $267,155 for the three months ended November 30, 2024, compared to $307,010 for the three months ended November 30,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Patents and trademarks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intangible assets,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As of November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3,498,597</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(2,896,469)</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602,128</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(1,375,183)</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4,971,817</w:t>
            </w:r>
          </w:p>
        </w:tc>
      </w:tr>
      <w:tr>
        <w:trPr>
          <w:trHeight w:val="209"/>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9,845,597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(4,271,652)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5,573,945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As of August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191"/>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3,459,877</w:t>
            </w:r>
          </w:p>
        </w:tc>
        <w:tc>
          <w:tcPr>
            <w:tcW w:w="12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(2,854,532)</w:t>
            </w:r>
          </w:p>
        </w:tc>
        <w:tc>
          <w:tcPr>
            <w:tcW w:w="10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605,345</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(1,269,400)</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5,077,600</w:t>
            </w:r>
          </w:p>
        </w:tc>
      </w:tr>
      <w:tr>
        <w:trPr>
          <w:trHeight w:val="210"/>
        </w:trPr>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9,806,877</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(4,123,932)</w:t>
            </w: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5,682,945</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600" w:space="720"/>
            <w:col w:w="4920"/>
          </w:cols>
          <w:pgMar w:left="320" w:top="81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Amortization expense related to intangible assets was $147,720 and $147,655 for the three months ended November 30, 2024 and 2023, respectively.</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As of November 30, 2024, future amortization expense related to intangible assets for each of the next five fiscal years and thereafter is estimated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2025</w:t>
            </w:r>
          </w:p>
        </w:tc>
        <w:tc>
          <w:tcPr>
            <w:tcW w:w="21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459,191</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485,814</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1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w:t>
            </w:r>
          </w:p>
        </w:tc>
        <w:tc>
          <w:tcPr>
            <w:tcW w:w="1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450,739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3,276,723</w:t>
            </w:r>
          </w:p>
        </w:tc>
      </w:tr>
      <w:tr>
        <w:trPr>
          <w:trHeight w:val="249"/>
        </w:trPr>
        <w:tc>
          <w:tcPr>
            <w:tcW w:w="3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5,573,945</w:t>
            </w: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As of November 30, 2024</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56,703,487</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26,050,938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30,652,549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64,773,897</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31,700,918</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33,072,979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12,976,356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2,455,785</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10,520,571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300,116</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300,116</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51,497,426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29,245,133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22,252,293</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25,493,228</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14,622,568</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10,870,660</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24,548,560</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14,591,663</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9,956,897</w:t>
            </w:r>
          </w:p>
        </w:tc>
      </w:tr>
      <w:tr>
        <w:trPr>
          <w:trHeight w:val="432"/>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 November 30, 2024</w:t>
            </w: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23,837,010</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8,738,814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15,098,196</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10,315,283</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4,757,686</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5,557,597</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2,259,187</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1,247,500</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1,011,687</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1,129,593</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623,750</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505,843</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As of August 31, 2024</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56,420,503</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26,234,664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30,185,839</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64,183,071</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31,513,288</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32,669,783</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12,553,716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2,221,726</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10,331,990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323,199</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323,199</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51,306,156</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29,291,562</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22,014,594</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joint ventures’ equity</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25,397,287</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14,645,783</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10,751,504</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share of joint ventures’ undistributed earnings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23,645,685</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14,614,878</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9,030,807</w:t>
            </w:r>
          </w:p>
        </w:tc>
      </w:tr>
      <w:tr>
        <w:trPr>
          <w:trHeight w:val="432"/>
        </w:trPr>
        <w:tc>
          <w:tcPr>
            <w:tcW w:w="5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 November 30, 2023</w:t>
            </w:r>
          </w:p>
        </w:tc>
      </w:tr>
      <w:tr>
        <w:trPr>
          <w:trHeight w:val="210"/>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23,560,661</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8,420,960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15,139,701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10,103,800</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4,375,075</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5,728,725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2,204,482</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1,026,907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1,177,575</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NTIC’s share of equity in income from joint ventures</w:t>
            </w: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1,102,241</w:t>
            </w:r>
          </w:p>
        </w:tc>
        <w:tc>
          <w:tcPr>
            <w:tcW w:w="44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513,453</w:t>
            </w: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588,788</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NTIC’s dividends received from joint ventures</w:t>
            </w: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371,104</w:t>
            </w: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371,104</w:t>
            </w: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On January 6, 2023, the Company entered into a Credit Agreement (the Credit Agreement) with JPMorgan Chase Bank, N.A. (JPM), which provided the Company with a senior secured revolving line of credit (the Credit Facility) of up to $10.0 million, which included a $5.0 million sublimit for standby letters of credit. Borrowings of $4,518,734 and $4,291,608 were outstanding under the Credit Facility as of November 30, 2024 and August 31, 2024, respectively. The Company was in compliance with all covenants under the Credit Agreement as of November 30, 2024.</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6, 2025, the Company and JPM entered into an amendment to the Credit Agreement to extend the maturity date of the Credit Facility from January 6, 2025 to January 5, 2026, reduce the availability under the Credit Facility from $10.0 million to $8.0 million and increase the applicable margin for Adjusted SOFR Rate (as defined below) advances from 2.15% to 2.35%. All other material terms of the Credit Facility and the Credit Agreement remain the same.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January 5, 2026 maturity date, unless the Credit Facility is extended or renewed or terminated earlier.</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The weighted average interest rate was 7.07% and 7.43% for the three months ended November 30, 2024 and 2023.</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JPM a continuing security interest in all of its right, title and interest in collateral made up of the assets of the Company.</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each of April 10, 2023 and May 30, 2023, the Company’s wholly-owned subsidiary in China, NTIC China, entered into a 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The Company was in compliance with the covenants as of November 30, 2024. The current outstanding balance for both term loans was USD $2,761,592 as of November 30, 2024 and USD $2,820,835 as of August 31, 2024.</w:t>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October 16, 2024, the Company’s Board of Directors declared a cash dividend of $0.07 per share of the Company’s common stock, payable on November 13, 2024 to stockholders of record on October 30, 2024. On October 18, 2023, the Company’s Board of Directors declared a cash dividend of $0.07 per share of the Company’s common stock, payable on November 15, 2023 to stockholders of record on November 1, 2023.</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During the three months ended November 30, 2024 and 2023, the Company repurchased no shares of its common stock.</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issued 3,527 and 3,496 shares of common stock on September 1, 2023 and 2022, respectively, under the Northern Technologies International Corporation Employee Stock Purchase Plan (the ESPP). The ESPP is compensatory for financial reporting purposes. As of November 30, 2024, 51,727 shares of common stock remained available for sale under the ESPP.</w:t>
      </w:r>
    </w:p>
    <w:p>
      <w:pPr>
        <w:spacing w:after="0" w:line="200" w:lineRule="exact"/>
        <w:rPr>
          <w:sz w:val="20"/>
          <w:szCs w:val="20"/>
          <w:color w:val="auto"/>
        </w:rPr>
      </w:pPr>
    </w:p>
    <w:p>
      <w:pPr>
        <w:spacing w:after="0" w:line="21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and the settlement of restricted stock units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months ended November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561,091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895,521</w:t>
            </w:r>
          </w:p>
        </w:tc>
      </w:t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9,470,507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9,427,588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 and settlement of restricted stock units</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283,702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278,993</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9,754,209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9,706,581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0.09</w:t>
            </w:r>
          </w:p>
        </w:tc>
      </w:tr>
    </w:tbl>
    <w:p>
      <w:pPr>
        <w:spacing w:after="0" w:line="17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and restricted stock units are included as equivalents using the treasury stock market method when computing the diluted net income per share. Excluded from the computation of diluted net income per share for the three months ended November 30, 2024 were options outstanding to purchase 751,153 shares of common stock. Excluded from the computation of diluted net income per share for the three months ended November 30, 2023 were options outstanding to purchase 580,869 shares of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 summary of stock option activities under the Northern Technologies International Corporation 2024 Stock Incentive Plan (2024 Plan), the Northern Technologies International Corporation Amended and Restated 2019 Stock Incentive Plan and the Northern Technologies International Corporation Amended and Restated 2007 Stock Incentive Plan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8"/>
                <w:szCs w:val="18"/>
                <w:color w:val="auto"/>
              </w:rPr>
            </w:pPr>
          </w:p>
        </w:tc>
        <w:tc>
          <w:tcPr>
            <w:tcW w:w="15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Exercise</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4"/>
              </w:rPr>
              <w:t>Price</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1,752,667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245,190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1,997,857</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w:t>
            </w:r>
          </w:p>
        </w:tc>
      </w:tr>
    </w:tbl>
    <w:p>
      <w:pPr>
        <w:spacing w:after="0" w:line="1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three months ended November 30, 2024 and 2023 was $4.95 and $5.05, respectively. The weighted average remaining contractual life of the options outstanding as of November 30, 2024 and 2023 was 6.27 years and 6.55 years, respectively.</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recognized stock option compensation expense of $304,930 and $350,933 during the three months ended November 30, 2024 and 2023, respectively. As of November 30, 2024, there was $1,916,887 of unrecognized stock option compensation expense. The amount is expected to be recognized over a period of 2.75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Restricted stock units were granted under the 2024 Plan on September 1, 2024 to certain non-employee directors during the three months ended November 30, 2024 and vest in full on the one-year anniversary of the date of grant. A summary of restricted stock unit activity for the three months ended November 30, 2024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5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0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8000" w:type="dxa"/>
            <w:vAlign w:val="bottom"/>
          </w:tcPr>
          <w:p>
            <w:pPr>
              <w:spacing w:after="0"/>
              <w:rPr>
                <w:sz w:val="20"/>
                <w:szCs w:val="20"/>
                <w:color w:val="auto"/>
              </w:rPr>
            </w:pPr>
          </w:p>
        </w:tc>
        <w:tc>
          <w:tcPr>
            <w:tcW w:w="15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August 31,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Vested/Settled</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November 30, 2024</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r>
    </w:tbl>
    <w:p>
      <w:pPr>
        <w:spacing w:after="0" w:line="19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Restricted stock units are valued using the closing stock price on the grant date. The Company recognizes the grant date fair value of the restricted stock units over one year. For the three months ended November 30, 2024, the Company recognized $36,960 in stock-based compensation expense. As of November 30, 2024, there is an unrecognized stock-based compensation expense of $111,692, which is expected to be recognized over 0.75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5" w:name="page16"/>
    <w:bookmarkEnd w:id="15"/>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months ended November 30, 2024 and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15,475,803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15,405,745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5,862,590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4,775,930</w:t>
            </w:r>
          </w:p>
        </w:tc>
      </w:tr>
      <w:tr>
        <w:trPr>
          <w:trHeight w:val="250"/>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months ended November 30, 2024 and 2023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59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38"/>
        </w:trPr>
        <w:tc>
          <w:tcPr>
            <w:tcW w:w="5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8,678,706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8,744,024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3,689,183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3,228,583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807,551</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874,794</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5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500" w:right="340" w:hanging="492"/>
        <w:spacing w:after="0" w:line="282" w:lineRule="auto"/>
        <w:tabs>
          <w:tab w:leader="none" w:pos="5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product sales is calculated by dividing the direct cost of goods sold for each individual segment category by the net sales for each segment category.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sales by geographic location for the three months ended November 30, 2024 and 2023 were as follows:</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80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 to unaffiliated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13,088,319</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12,097,843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 to:</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767,456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851,452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Unaffiliated customers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7,482,618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7,232,380</w:t>
            </w:r>
          </w:p>
        </w:tc>
      </w:tr>
      <w:tr>
        <w:trPr>
          <w:trHeight w:val="250"/>
        </w:trPr>
        <w:tc>
          <w:tcPr>
            <w:tcW w:w="80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r>
      <w:tr>
        <w:trPr>
          <w:trHeight w:val="413"/>
        </w:trPr>
        <w:tc>
          <w:tcPr>
            <w:tcW w:w="8000" w:type="dxa"/>
            <w:vAlign w:val="bottom"/>
            <w:tcBorders>
              <w:top w:val="single" w:sz="8" w:color="CCEEFF"/>
            </w:tcBorders>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months ended November 30, 2024 and 2023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Provided</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to 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220,010</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198,017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206,329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205,643</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148,538</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136,081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131,460</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103,744</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116,226</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63,149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79,438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79,064</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121,966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77,812</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67,701</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74,957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66,928</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110,536</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77,615</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r>
        <w:trPr>
          <w:trHeight w:val="209"/>
        </w:trPr>
        <w:tc>
          <w:tcPr>
            <w:tcW w:w="59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1,284,119</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8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14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November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At</w:t>
            </w:r>
          </w:p>
        </w:tc>
      </w:tr>
      <w:tr>
        <w:trPr>
          <w:trHeight w:val="238"/>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2024</w:t>
            </w:r>
          </w:p>
        </w:tc>
      </w:tr>
      <w:tr>
        <w:trPr>
          <w:trHeight w:val="191"/>
        </w:trPr>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5,453,786</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5,627,202</w:t>
            </w:r>
          </w:p>
        </w:tc>
      </w:tr>
      <w:tr>
        <w:trPr>
          <w:trHeight w:val="216"/>
        </w:trPr>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1,212,917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1,217,400</w:t>
            </w:r>
          </w:p>
        </w:tc>
      </w:tr>
      <w:tr>
        <w:trPr>
          <w:trHeight w:val="234"/>
        </w:trPr>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10,386,536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9,421,051</w:t>
            </w:r>
          </w:p>
        </w:tc>
      </w:tr>
      <w:tr>
        <w:trPr>
          <w:trHeight w:val="210"/>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17,053,239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16,265,653</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3,994,769</w:t>
            </w:r>
          </w:p>
        </w:tc>
        <w:tc>
          <w:tcPr>
            <w:tcW w:w="100" w:type="dxa"/>
            <w:vAlign w:val="bottom"/>
          </w:tcPr>
          <w:p>
            <w:pPr>
              <w:spacing w:after="0"/>
              <w:rPr>
                <w:sz w:val="16"/>
                <w:szCs w:val="16"/>
                <w:color w:val="auto"/>
              </w:rPr>
            </w:pPr>
          </w:p>
        </w:tc>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3,678,523</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1,385,194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1,529,623</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6,045,735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5,180,391</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2,430,077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2,560,757</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7,482,618</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7,232,381</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21,338,393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40"/>
          </w:cols>
          <w:pgMar w:left="320" w:top="580" w:right="339" w:bottom="1440" w:gutter="0" w:footer="0" w:header="0"/>
          <w:type w:val="continuous"/>
        </w:sect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All joint venture operations, including equity in income, fees for services and related dividends, are primarily related to ZERUST® products and services.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7" w:name="page18"/>
    <w:bookmarkEnd w:id="17"/>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November 30, 2024,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14.   SUPPLEMENTAL CASH FLOW INFORMATION</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40" w:type="dxa"/>
            <w:vAlign w:val="bottom"/>
          </w:tcPr>
          <w:p>
            <w:pPr>
              <w:spacing w:after="0"/>
              <w:rPr>
                <w:sz w:val="24"/>
                <w:szCs w:val="24"/>
                <w:color w:val="auto"/>
              </w:rPr>
            </w:pPr>
          </w:p>
        </w:tc>
        <w:tc>
          <w:tcPr>
            <w:tcW w:w="3100" w:type="dxa"/>
            <w:vAlign w:val="bottom"/>
            <w:gridSpan w:val="4"/>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120,220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November 30, 2024 was $217,871 compared to $226,796 for the three months ended November 30, 2023. The expense was largely due to foreign operations. The Company has federal and state tax credit carry forwards, net operating loss carry forwards and foreign tax carry forwards. The Company has recorded a full valuation allowance against the U.S. deferred tax assets as of November 30, 2024 and August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8" w:name="page19"/>
    <w:bookmarkEnd w:id="1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spacing w:after="0" w:line="1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In North America, NTIC sells its ZERUST® corrosion prevention solutions through a network of independent distributors and agents supported by a direct sales force.</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its wholly-owned subsidiary in India, HNTI Limited (Zerust India), its majority-owned joint venture holding company for NTIC’s joint venture investments in the Association of Southeast Asian Nations (ASEAN) region, NTI Asean LLC (NTI Asean), and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in a continuously increasing number of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 w:name="page20"/>
    <w:bookmarkEnd w:id="19"/>
    <w:p>
      <w:pPr>
        <w:ind w:right="34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4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months ended November 30, 2024 include the following, with increases or decreases in each case as compared to the prior fiscal year quarterly period:</w:t>
      </w:r>
    </w:p>
    <w:p>
      <w:pPr>
        <w:spacing w:after="0" w:line="162" w:lineRule="exact"/>
        <w:rPr>
          <w:sz w:val="20"/>
          <w:szCs w:val="20"/>
          <w:color w:val="auto"/>
        </w:rPr>
      </w:pPr>
    </w:p>
    <w:p>
      <w:pPr>
        <w:ind w:left="980" w:hanging="486"/>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5.7% during the three months ended November 30, 2024 compared to the three months ended November 30, 2023 primarily due to increased sales and demand for Natur-Tec® products and, to a significantly lesser extent, ZERUST® products. During the three months ended November 30, 2024, 72.5% of NTIC’s consolidated net sales were derived from sales of ZERUST® products and services and 27.5% of NTIC’s consolidated net sales were derived from sales of Natur-Tec® products.</w:t>
      </w:r>
    </w:p>
    <w:p>
      <w:pPr>
        <w:spacing w:after="0" w:line="179" w:lineRule="exact"/>
        <w:rPr>
          <w:rFonts w:ascii="Times New Roman" w:cs="Times New Roman" w:eastAsia="Times New Roman" w:hAnsi="Times New Roman"/>
          <w:sz w:val="18"/>
          <w:szCs w:val="18"/>
          <w:color w:val="auto"/>
        </w:rPr>
      </w:pPr>
    </w:p>
    <w:p>
      <w:pPr>
        <w:ind w:left="980" w:right="140" w:hanging="486"/>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decreased to 61.7% during the three months ended November 30, 2024, compared to 63.7% during the three months ended November 30, 2023 primarily as a result of lower raw material prices overall and savings associated with the insourcing of various finished goods production.</w:t>
      </w:r>
    </w:p>
    <w:p>
      <w:pPr>
        <w:spacing w:after="0" w:line="1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joint venture operating income increased 2.7% to $2,413,712 during the three months ended November 30, 2024 compared to</w:t>
      </w:r>
    </w:p>
    <w:p>
      <w:pPr>
        <w:spacing w:after="0" w:line="27" w:lineRule="exact"/>
        <w:rPr>
          <w:rFonts w:ascii="Times New Roman" w:cs="Times New Roman" w:eastAsia="Times New Roman" w:hAnsi="Times New Roman"/>
          <w:sz w:val="18"/>
          <w:szCs w:val="18"/>
          <w:color w:val="auto"/>
        </w:rPr>
      </w:pPr>
    </w:p>
    <w:p>
      <w:pPr>
        <w:jc w:val="both"/>
        <w:ind w:left="980" w:right="2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$2,351,199 during the three months ended November 30, 2023. This increase was primarily due to increases in equity in income from joint ventures and fees for services provided to joint ventures, both of which were driven primarily by increased sales at the majority of the joint ventures. Net sales at the joint ventures, which are not consolidated with NTIC’s net sales, increased 1.2% to $23,837,010 during the three months ended November 30, 2024, compared to $23,560,661 for the three months ended November 30, 2023.</w:t>
      </w:r>
    </w:p>
    <w:p>
      <w:pPr>
        <w:spacing w:after="0" w:line="188" w:lineRule="exact"/>
        <w:rPr>
          <w:rFonts w:ascii="Times New Roman" w:cs="Times New Roman" w:eastAsia="Times New Roman" w:hAnsi="Times New Roman"/>
          <w:sz w:val="18"/>
          <w:szCs w:val="18"/>
          <w:color w:val="auto"/>
        </w:rPr>
      </w:pPr>
    </w:p>
    <w:p>
      <w:pPr>
        <w:ind w:left="980" w:right="100" w:hanging="486"/>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14.0% to $9,469,994 during the three months ended November 30, 2024 compared to $8,309,040 for the three months ended November 30, 2023. This increase was primarily due to strategic investments in ZERUST® oil and gas sales infrastructure and, to a lesser extent, increased personnel expenses, including due to new hires and benefits, and increased travel and professional fees.</w:t>
      </w:r>
    </w:p>
    <w:p>
      <w:pPr>
        <w:spacing w:after="0" w:line="179"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$561,091, or $0.06 per diluted common share, for the three months ended November 30, 2024 compared to $895,521, or $0.09 per diluted common share, for the three months ended November 30,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88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months ended November 30, 2024 and 2023.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324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8"/>
          </w:tcPr>
          <w:p>
            <w:pPr>
              <w:ind w:left="120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21,338,393</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   $</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   $</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1,156,718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13,175,440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12,847,401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328,039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1,129,593</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1,102,241</w:t>
            </w:r>
          </w:p>
        </w:tc>
        <w:tc>
          <w:tcPr>
            <w:tcW w:w="12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27,352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1,284,119</w:t>
            </w:r>
          </w:p>
        </w:tc>
        <w:tc>
          <w:tcPr>
            <w:tcW w:w="120" w:type="dxa"/>
            <w:vAlign w:val="bottom"/>
          </w:tcPr>
          <w:p>
            <w:pPr>
              <w:spacing w:after="0"/>
              <w:rPr>
                <w:sz w:val="18"/>
                <w:szCs w:val="18"/>
                <w:color w:val="auto"/>
              </w:rPr>
            </w:pPr>
          </w:p>
        </w:tc>
        <w:tc>
          <w:tcPr>
            <w:tcW w:w="15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1,248,958</w:t>
            </w:r>
          </w:p>
        </w:tc>
        <w:tc>
          <w:tcPr>
            <w:tcW w:w="120" w:type="dxa"/>
            <w:vAlign w:val="bottom"/>
          </w:tcPr>
          <w:p>
            <w:pPr>
              <w:spacing w:after="0"/>
              <w:rPr>
                <w:sz w:val="18"/>
                <w:szCs w:val="18"/>
                <w:color w:val="auto"/>
              </w:rPr>
            </w:pPr>
          </w:p>
        </w:tc>
        <w:tc>
          <w:tcPr>
            <w:tcW w:w="15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4,267,654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3,686,058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581,596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3,858,943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3,517,061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341,882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1,343,397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1,105,921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237,476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96"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5.7% to $21,338,393 during the three months ended November 30, 2024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2023. This increase was primarily due to increased sales and demand for Natur-Tec® and, to a significantly lesser extent, ZERUST® products.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months ended November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14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15,475,803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15,405,745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5,862,590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4,775,930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1,086,660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0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21,338,393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20,181,675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1,156,718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2024, 72.5% of NTIC’s consolidated net sales were derived from sales of ZERUST® products and services, which increased 0.5% to $15,475,803 during the three months ended November 30, 2024 compared to $15,405,745 during the three months ended November 30, 2023. This slight increase was primarily a result of increased demand in North America for ZERUST® oil and gas products and ZERUST® industrial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months ended November 30,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November 30,</w:t>
            </w: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13,962,252</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13,903,431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58,821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1,513,551</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1,502,314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11,237</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15,475,803</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15,405,745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70,058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ZERUST® industrial net sales increased during the three months ended November 30, 2024, compared to the same prior fiscal year period, primarily due to increased demand for North American ZERUST® industrial products. Overall, demand for ZERUST® products and services depends heavily on the overall health of the markets in which NTIC sells its products, including the automotive, construction, agriculture, and mining markets in particular.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t>ZERUST® oil and gas net sales increased 0.4% during the three months ended November 30, 2024 compared to the same period last fiscal year primarily due to increased demand.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three months ended November 30, 2024, 27.5% of NTIC’s consolidated net sales were derived from sales of Natur-Tec® products, compared to 23.7% during the three months ended November 30, 2023. Sales of Natur-Tec® products increased 22.8% to $5,862,590 during the three months ended November 30, 2024 compared to $4,775,930 during the three months ended November 30, 2023 due to increased global demand.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spacing w:after="0" w:line="18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2.6% for the three months ended November 30, 2024 compared to the three months ended November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primarily as a result of lower raw material prices overall and the continued effect of cost containment measures. Cost of goods sold as a percentage of net sales decreased to 61.7% for the three months ended November 30, 2024 compared to 63.7% for the three months ended November 30, 2023 due primarily to the lower raw material prices and the insourcing of various finished goods production. NTIC has taken certain actions to address inflationary pressures and pass on related cost increases to its customers and some improvements from these actions, as well as some improvements in gross margin, were realized during the three months ended November 30, 2024.</w:t>
      </w:r>
    </w:p>
    <w:p>
      <w:pPr>
        <w:spacing w:after="0" w:line="18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increased 2.5% to $1,129,593 during the three months ended November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$1,102,241 during the three months ended November 30, 2023. NTIC’s equity in income from joint ventures fluctuates based on net sales and profitability of the joint ventures during the respective periods. Of the total equity in income from joint ventures, NTIC had equity in income from joint ventures of $623,750 attributable to EXCOR during the three months ended November 30, 2024 compared to $513,453 attributable to EXCOR during the three months ended November 30, 2023. This increase was due to a slight increase in net sales by EXCOR compared to the prior fiscal year period. NTIC had equity in income from all other joint ventures of $505,843 during the three months ended November 30, 2024, compared to $588,788 during the three months ended November 30, 2023.</w:t>
      </w:r>
    </w:p>
    <w:p>
      <w:pPr>
        <w:spacing w:after="0" w:line="18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$1,284,119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2024 compared to $1,248,958 during the three months ended November 30, 2023, representing an increase of 2.8%, or $35,161.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during the three months ended November 30, 2024, specifically EXCOR. Net sales at the joint ventures increased to $23,837,010 during the three months ended November 30, 2024 compared to $23,560,661 for the three months ended November 30, 2023, representing an increase of 1.2%. This increase was primarily a result of increased demand during the three months ended November 30, 2024 at NTIC’s joint venture in Germany primarily, as described above. Net sales of NTIC’s joint ventures are not included in NTIC’s product sales and are not included in NTIC’s consolidated financial statements. Of the total fee income for services provided to joint ventures, fees of $206,329 were attributable to EXCOR during the three months ended November 30, 2024 compared to $205,643 attributable to EXCOR during the three months ended November 30, 2023.</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15.8% for the three months ended November 30, 2024 compared to the same period in fiscal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increased personnel expense during the current fiscal year period compared to the same prior fiscal year period due primarily to an expansion in the ZERUST® oil and gas sales team. Selling expenses as a percentage of net sales increased to 20.0% for the three months ended November 30, 2024 compared to 18.3% during the three months ended November 30, 2023 primarily due to increased selling expenses, as noted above, and partially offset by increased net sales.</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9.7% for the three months ended November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2024 primarily due to increased professional services and travel and personnel expenses during the current fiscal year period compared to the same prior fiscal year period. As a percentage of net sales, general and administrative expenses increased to 18.1% for the three months ended November 30, 2024 from 17.4% for the three months ended November 30, 2023 primarily due to increased general and administrative expenses, as noted above, and partially offset by increased net sales.</w:t>
      </w:r>
    </w:p>
    <w:p>
      <w:pPr>
        <w:spacing w:after="0" w:line="18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21.5% for the three months ended November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fiscal 2024 primarily due to the continued investment into new product development. As these initiatives transition into commercialization, the costs will shift from research and development expenses to selling expenses, reflecting our advancement toward bringing these innovations to market.</w:t>
      </w:r>
    </w:p>
    <w:p>
      <w:pPr>
        <w:spacing w:after="0" w:line="180"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decreased to $25,567 during the three months ended November 30, 2024 compared to $46,442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2023 primarily due to changes in the invested cash balances and rate of return at various subsidiaries.</w:t>
      </w:r>
    </w:p>
    <w:p>
      <w:pPr>
        <w:spacing w:after="0" w:line="15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$120,220 during the three months ended November 30, 2024 compared to $111,138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November 30, 2023 primarily due to increased outstanding average borrowings during the current fiscal year period.</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$1,012,018 for the three months ended November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income before income tax expense of $1,311,737 for the three months ended November 30, 2023.</w:t>
      </w:r>
    </w:p>
    <w:p>
      <w:pPr>
        <w:spacing w:after="0" w:line="158"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$217,871 during the three months ended November 30, 2024 compared to $226,796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November 30, 2023. Income tax expense was calculated based on management’s estimate of NTIC’s annual effective income tax rate.</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$24,548,560 and $23,465,685 as of November 30, 2024 and August 31, 2024,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$561,091, or $0.06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2024 compared to $895,521, or $0.09 per diluted common share, for the three months ended November 30, 2023. This decrease was primarily due to the increase in operating expenses, partially offset by the increase in gross profit and income from our joint venture operations.</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3" w:name="page24"/>
    <w:bookmarkEnd w:id="23"/>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months ended November 30, 2024 compared to the same period in fiscal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$22,183,428 as of November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$5,569,834 in cash and cash equivalents, $4,518,734 outstanding under NTIC’s line of credit and $2,761,592 outstanding under NTIC China’s term loans, compared to $23,682,276 as of August 31, 2024, including $4,952,184 in cash and cash equivalents, $4,291,608 outstanding under NTIC’s line of credit and $2,820,835 outstanding under NTIC China’s term loans.</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2025,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NTIC also expects to use some of its capital resources to acquire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Agreement with JPMorgan Chase Bank, N.A. </w:t>
      </w:r>
      <w:r>
        <w:rPr>
          <w:rFonts w:ascii="Times New Roman" w:cs="Times New Roman" w:eastAsia="Times New Roman" w:hAnsi="Times New Roman"/>
          <w:sz w:val="18"/>
          <w:szCs w:val="18"/>
          <w:color w:val="auto"/>
        </w:rPr>
        <w:t>On January 6, 2023, NTIC entered into a Credit Agreement (the Credit Agreement) with JPMorgan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Chase Bank, N.A. (JPM), which provided NTIC with a senior secured revolving line of credit (the Credit Facility) of up to $10.0 million, and replaced NTIC’s prior loan agreement. The Credit Facility included a $5.0 million sublimit for standby letters of credit. Borrowings of $4,518,734 were outstanding under the Credit Facility as of November 30, 2024. The Company was in compliance with all covenants under the Credit Agreement as of November 30, 2024.</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4" w:name="page25"/>
    <w:bookmarkEnd w:id="24"/>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6, 2025, the Company and JPM entered into an amendment to the Credit Agreement to extend the maturity date of the Credit Facility from January 6, 2025 to January 5, 2026, reduce the availability under the Credit Facility from $10.0 million to $8.0 million and increase the applicable margin for Adjusted SOFR Rate (as defined below) advances from 2.15% to 2.35%. All other material terms of the Credit Facility and the Credit Agreement remain the same.</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principal amount under the Credit Facility, together with all accrued unpaid interest and other amounts owing thereunder, if any, will be payable in full on the January 5, 2026 maturity date, unless the Credit Facility is extended or renewed or terminated earlier. It is anticipated that the Credit Facility will be renewed each year for one additional year for the immediate foreseeable future.</w:t>
      </w:r>
    </w:p>
    <w:p>
      <w:pPr>
        <w:spacing w:after="0" w:line="17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2.15% applied per annum. There is no applicable margin with respect to borrowings using a CB Floating Rate. The weighted average interest rate was 7.07% and 7.43% for the three months ended November 30, 2024 and 2023.</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secure the Credit Agreement, the Company assigned to JPM a continuing security interest in all of its right, title and interest in collateral made up of the assets of the Company.</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Credit Arrangements. </w:t>
      </w:r>
      <w:r>
        <w:rPr>
          <w:rFonts w:ascii="Times New Roman" w:cs="Times New Roman" w:eastAsia="Times New Roman" w:hAnsi="Times New Roman"/>
          <w:sz w:val="18"/>
          <w:szCs w:val="18"/>
          <w:color w:val="auto"/>
        </w:rPr>
        <w:t>On each of April 10, 2023 and May 30, 2023, the Company’s wholly-owned subsidiary in China, NTIC China, entered into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agreement with China Construction Bank Corporation. Each term loan provided NTIC China with a RMB 10,000,000 (USD $1.45 million). The term loans mature in April 2025 and June 2025, respectively, unless extended. Both term loans have an annual interest rate of 3.25% with interest due monthly. Both term loans are secured by an office building owned by NTIC China and the loan agreements contain certain financial and other covenants. NTIC was in compliance with the covenants as of November 30, 2024. The current outstanding balance as of November 30, 2024 for both term loans is a total of USD $2,761,592.</w:t>
      </w:r>
    </w:p>
    <w:p>
      <w:pPr>
        <w:spacing w:after="0" w:line="18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Uses of Cash and Cash Flow</w:t>
      </w:r>
      <w:r>
        <w:rPr>
          <w:rFonts w:ascii="Times New Roman" w:cs="Times New Roman" w:eastAsia="Times New Roman" w:hAnsi="Times New Roman"/>
          <w:sz w:val="18"/>
          <w:szCs w:val="18"/>
          <w:color w:val="auto"/>
        </w:rPr>
        <w:t>. Net cash provided by operating activities during the three months ended November 30, 2024 was $2,395,066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a decrease in trade receivables and technical fee receivables, NTIC’s net income, an increase in accounts payable, depreciation and amortization expense, and stock-based compensation, partially offset by equity in income from joint ventures and an increase in inventory and prepaid expenses. Net cash provided by operating activities during the three months ended November 30, 2023 was $3,076,892, which resulted principally from a decrease in dividends receivable from joint venture and trade receivables, NTIC’s net income, dividends received from joint ventures, a decrease in inventories, depreciation and amortization expense, and stock-based compensation, partially offset by equity in income from joint ventures and an increase in prepaid expenses and other, technical fee receivables and accounts payable.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NTIC experienced a decrease in trade receivables and inventory as of November 30, 2024 compared to August 31, 2024. Trade receivables, as of November 30, 2024 decreased $3,105,369 compared to August 31, 2024, primarily related to timing differences of sales.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Outstanding trade receivables, decreased an average of 6 days to an average of 69 days from balances outstanding from these customers as of November 30, 2024 from an average of 75 days as of August 31, 2024.</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November 30, 2024 decreased $64,688 compared to August 31, 2024, and the average days to pay increased an average of 7 days to an average of 83 days from an average of 76 days as of August 31, 2024.</w:t>
      </w:r>
    </w:p>
    <w:p>
      <w:pPr>
        <w:spacing w:after="0" w:line="16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November 30, 2024 was $1,258,336, which was primarily the result of the purchases of property and equipment, and investments in patents. Net cash used in investing activities for the three months ended November 30, 2023 was $423,871, which was primarily the result of the purchases of property and equipment, and investments in patents.</w:t>
      </w:r>
    </w:p>
    <w:p>
      <w:pPr>
        <w:spacing w:after="0" w:line="176"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November 30, 2024 was $393,341, which resulted from dividends paid to shareholders, partially offset by borrowings under the line of credit, and proceeds from NTIC’s employee stock purchase plan. Net cash used in financing activities for the three months ended November 30, 2023 was $2,019,836, which resulted from dividends paid to shareholders, the repayment of borrowings under the line of credit, and dividends received by non-controlling interests, partially offset by proceeds from NTIC’s employee stock purchase plan.</w:t>
      </w:r>
    </w:p>
    <w:p>
      <w:pPr>
        <w:spacing w:after="0" w:line="17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As of November 30, 2024, up to $2,640,548 in shares of NTIC common stock remained available for repurchase under NTIC’s stock repurchase program. No repurchases occurred during the three months ended November 30, 2024.</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6" w:name="page27"/>
    <w:bookmarkEnd w:id="26"/>
    <w:p>
      <w:pPr>
        <w:ind w:right="280"/>
        <w:spacing w:after="0" w:line="258"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On October 16, 2024, the Company’s Board of Directors declared a cash dividend of $0.07 per share of the Company’s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on November 13, 2024 to stockholders of record on October 30, 2024. On October 18, 2023, the Company’s Board of Directors declared a cash dividend of $0.07 per share of the Company’s common stock, payable on November 15, 2023 to stockholders of record on November 1, 2023.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w:t>
      </w:r>
    </w:p>
    <w:p>
      <w:pPr>
        <w:spacing w:after="0" w:line="183"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$1,219,616 on capital expenditures during the three months ended November 30, 2024,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facility improvements to the warehouse facility NTIC purchased during fiscal 2023 and the installation of a new Enterprise Resource Planning (ERP) software system and associated equipment. NTIC expects to spend an aggregate of approximately $1,600,000 to $2,100,000 on capital expenditures during fiscal 2025, which it expects will relate primarily to the purchase of new equipment and facility improvements.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Inflation in the United States and abroad historically has had minimal effect on NTIC and did not adversely affect NTIC’s gross margins during the first quarter of fiscal 2025. NTIC believes there is some seasonality in its business. NTIC anticipates its net sales in the second fiscal quarter may be adversely affected by the long Chinese New Year, the North American holiday season and overall less corrosion taking place at lower winter temperatures worldwide.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and bioplastic resins.</w:t>
      </w:r>
    </w:p>
    <w:p>
      <w:pPr>
        <w:spacing w:after="0" w:line="162"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Any outstanding advances under NTIC’s Credit Facility with JPM bear interest at a floating rate, at the option of NTIC, equal to either the CB Floating Rate or the Adjusted SOFR Rate, as defined above. Borrowings of $4,518,734 were outstanding under the Credit Facility as of November 30, 2024.</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Both term loans undertaken by NTIC China with China Construction Bank Corporation have an annual interest rate of 3.25% with interest due monthly.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outstanding balance as of November 30, 2024 for both term loans is a total of USD $2,761,592.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included in NTIC’s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fiscal year ended August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220" w:hanging="324"/>
        <w:spacing w:after="0" w:line="26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including in particular in the United States, Europe, India and China, and in the automotive industry, and the effect of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p>
      <w:pPr>
        <w:spacing w:after="0" w:line="179"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slowdowns within the automotive industry on NTIC’s business and the evolution of the automotive industry towards electric vehicles;</w:t>
      </w:r>
    </w:p>
    <w:p>
      <w:pPr>
        <w:spacing w:after="0" w:line="161" w:lineRule="exact"/>
        <w:rPr>
          <w:rFonts w:ascii="Times New Roman" w:cs="Times New Roman" w:eastAsia="Times New Roman" w:hAnsi="Times New Roman"/>
          <w:sz w:val="18"/>
          <w:szCs w:val="18"/>
          <w:color w:val="auto"/>
        </w:rPr>
      </w:pPr>
    </w:p>
    <w:p>
      <w:pPr>
        <w:ind w:left="5540" w:right="140" w:hanging="4884"/>
        <w:spacing w:after="0" w:line="532" w:lineRule="auto"/>
        <w:tabs>
          <w:tab w:leader="none" w:pos="9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trade regulation, quotas, duties, or tariffs, caused by the changing U.S. and geopolitical environments or otherwise;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28" w:name="page29"/>
    <w:bookmarkEnd w:id="28"/>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w:t>
      </w:r>
    </w:p>
    <w:p>
      <w:pPr>
        <w:spacing w:after="0" w:line="225"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disruptions to distribution channels for NTIC’s products and disruptions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jc w:val="both"/>
        <w:ind w:left="324" w:right="180"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ongoing wars and sanctions against Russia by U.S. and European governments on commodity price fluctuations, which have decreased our margins and the margins of our joint ventures and resulted in decreased joint venture profitability, which will likely continue through the end of fiscal 2025;</w:t>
      </w:r>
    </w:p>
    <w:p>
      <w:pPr>
        <w:spacing w:after="0" w:line="175" w:lineRule="exact"/>
        <w:rPr>
          <w:rFonts w:ascii="Times New Roman" w:cs="Times New Roman" w:eastAsia="Times New Roman" w:hAnsi="Times New Roman"/>
          <w:sz w:val="18"/>
          <w:szCs w:val="18"/>
          <w:color w:val="auto"/>
        </w:rPr>
      </w:pPr>
    </w:p>
    <w:p>
      <w:pPr>
        <w:ind w:left="324" w:right="56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 including trade or other issues that may result from increasing tensions between the U.S. and China, including the implementation of higher tariffs;</w:t>
      </w:r>
    </w:p>
    <w:p>
      <w:pPr>
        <w:spacing w:after="0" w:line="161" w:lineRule="exact"/>
        <w:rPr>
          <w:rFonts w:ascii="Times New Roman" w:cs="Times New Roman" w:eastAsia="Times New Roman" w:hAnsi="Times New Roman"/>
          <w:sz w:val="18"/>
          <w:szCs w:val="18"/>
          <w:color w:val="auto"/>
        </w:rPr>
      </w:pPr>
    </w:p>
    <w:p>
      <w:pPr>
        <w:ind w:left="324" w:right="280"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324" w:right="16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right="600" w:hanging="324"/>
        <w:spacing w:after="0" w:line="312" w:lineRule="auto"/>
        <w:tabs>
          <w:tab w:leader="none" w:pos="32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324" w:right="32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due to supply chain disruptions and the impact of government sanctions;</w:t>
      </w:r>
    </w:p>
    <w:p>
      <w:pPr>
        <w:spacing w:after="0" w:line="161"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enforcement or lack thereof of rules and regulations favorable to the market for biodegradable plastics;</w:t>
      </w:r>
    </w:p>
    <w:p>
      <w:pPr>
        <w:spacing w:after="0" w:line="22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580" w:right="399" w:bottom="1440" w:gutter="0" w:footer="0" w:header="0"/>
        </w:sectPr>
      </w:pPr>
    </w:p>
    <w:bookmarkStart w:id="29" w:name="page30"/>
    <w:bookmarkEnd w:id="29"/>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ongoing wars, including the war between Russia and Ukraine;</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 and the need to hire and train local support in a timely manner in order to support customer needs;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 and risks associated with its recent implementation of a new Enterprise Resource Planning system.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2024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interest rate risk, any outstanding advances under NTIC’s Credit Facility with JPM bear interest at a floating rate, at the option of NTIC, equal to either the CB Floating Rate or the Adjusted SOFR Rate, as defined above. Borrowings of $4,518,734 were outstanding under the Credit Facility as of November 30, 2024. Both term loans undertaken by NTIC China with China Construction Bank Corporation have an annual interest rate of 3.25% with interest due monthly. The current outstanding balance as of November 30, 2024 for both term loans is a total of USD $2,761,592.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November 30, 2024 that has materially affected or is reasonably likely to materially affect NTIC’s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12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1A. is inapplicable to NTIC as a smaller reporting company.</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2024,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first quarter of fiscal 2024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Units)</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that May Yet</w:t>
            </w:r>
          </w:p>
        </w:tc>
      </w:tr>
      <w:tr>
        <w:trPr>
          <w:trHeight w:val="216"/>
        </w:trPr>
        <w:tc>
          <w:tcPr>
            <w:tcW w:w="5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Be</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Publicly</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5980" w:type="dxa"/>
            <w:vAlign w:val="bottom"/>
          </w:tcPr>
          <w:p>
            <w:pPr>
              <w:spacing w:after="0"/>
              <w:rPr>
                <w:sz w:val="18"/>
                <w:szCs w:val="18"/>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Programs</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 2024 through September 30, 2024</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2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9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jc w:val="right"/>
              <w:ind w:right="51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40" w:type="dxa"/>
            <w:vAlign w:val="bottom"/>
            <w:gridSpan w:val="2"/>
          </w:tcPr>
          <w:p>
            <w:pPr>
              <w:jc w:val="right"/>
              <w:ind w:right="4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47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(1)(2)</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500" w:right="60" w:hanging="492"/>
        <w:spacing w:after="0" w:line="255"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5"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30, 2024,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6, 2025, the Company and JPM entered into an amendment to the Credit Agreement to extend the maturity date of the Credit Facility from January 6, 2025 to January 5, 2026, reduce the availability under the Credit Facility from $10.0 million to $8.0 million and increase the applicable margin for Adjusted SOFR Rate (as defined below) advances from 2.15% to 2.35%. All other material terms of the Credit Facility and the Credit Agreement remain the same.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represents only a summary of the material terms of the amendment to the Credit Agreement, does not purport to be complete and is qualified in its entirety by reference to the complete text of the amendment to the Credit Agreement and new Line of Credit Note, which are filed as Exhibit 10.1 and Exhibit 10.2, respectively, to this quarterly report on Form 10-Q, and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 and Non-Rule 10b5-1 Trading Arrangement Adoptions, Terminations, and Modifications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three months ended November 30, 2024, none of our directors or “officers” (as defined in Rule 16a-1(f) under the Exchange Act) adopted or terminated a “Rule 10b5-1 trading arrangement” or “non-Rule 10b5-1 trading arrangement,” as each term is defined in Item 408 of SEC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Changes to the Procedures by Which Security Holders May Recommend Nominees to the Registrant's Board of Directors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14, 2024, NTIC’s Board of Directors approved and adopted Third Amended and Restated Bylaws (the “Amended and Restated Bylaws”) incorporating certain amendments, including amendments in response to recent developments in Delaware law. The Amended and Restated Bylaws became effective immediately upon their approval and adoption by the Board of Directors. The amendments reflected in the Amended and Restated Bylaws include, among other changes: (i) limiting certain disclosure requirements to bring forth a stockholder proposal or director nomination to the stockholder giving notice, any beneficial owners of such stockholder and stockholders who are known to financially support such stockholder proposal or director nomination; and (ii) incorporating other non-substantive, conforming changes.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Amended and Restated Bylaws is qualified in its entirety by reference to the complete text of the Amended and Restated Bylaws, as approved, adopted, and effective on November 14, 2024, which is filed as Exhibit 3.1 to this quarterly report on Form 10-Q and incorporated by reference herein.</w:t>
      </w:r>
    </w:p>
    <w:p>
      <w:pPr>
        <w:spacing w:after="0" w:line="200" w:lineRule="exact"/>
        <w:rPr>
          <w:sz w:val="20"/>
          <w:szCs w:val="20"/>
          <w:color w:val="auto"/>
        </w:rPr>
      </w:pPr>
    </w:p>
    <w:p>
      <w:pPr>
        <w:spacing w:after="0" w:line="21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020" w:right="580" w:hanging="726"/>
        <w:spacing w:after="0" w:line="276" w:lineRule="auto"/>
        <w:tabs>
          <w:tab w:leader="none" w:pos="1000" w:val="left"/>
        </w:tabs>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52">
        <w:r>
          <w:rPr>
            <w:rFonts w:ascii="Times New Roman" w:cs="Times New Roman" w:eastAsia="Times New Roman" w:hAnsi="Times New Roman"/>
            <w:sz w:val="18"/>
            <w:szCs w:val="18"/>
            <w:u w:val="single" w:color="auto"/>
            <w:color w:val="0000EE"/>
          </w:rPr>
          <w:t>Third Amended and Restated Bylaws of Northern Technologies International Corporation (incorporated by reference to Exhibit 3.2 to</w:t>
        </w:r>
      </w:hyperlink>
      <w:r>
        <w:rPr>
          <w:rFonts w:ascii="Times New Roman" w:cs="Times New Roman" w:eastAsia="Times New Roman" w:hAnsi="Times New Roman"/>
          <w:sz w:val="18"/>
          <w:szCs w:val="18"/>
          <w:u w:val="single" w:color="auto"/>
          <w:color w:val="0000EE"/>
        </w:rPr>
        <w:t xml:space="preserve"> </w:t>
      </w:r>
      <w:hyperlink r:id="rId52">
        <w:r>
          <w:rPr>
            <w:rFonts w:ascii="Times New Roman" w:cs="Times New Roman" w:eastAsia="Times New Roman" w:hAnsi="Times New Roman"/>
            <w:sz w:val="18"/>
            <w:szCs w:val="18"/>
            <w:u w:val="single" w:color="auto"/>
            <w:color w:val="0000EE"/>
          </w:rPr>
          <w:t>NTIC’s Annual Report on Form 10-K for the fiscal year ended August 31, 2024 (File No. 001-11038))</w:t>
        </w:r>
      </w:hyperlink>
    </w:p>
    <w:p>
      <w:pPr>
        <w:spacing w:after="0" w:line="167" w:lineRule="exact"/>
        <w:rPr>
          <w:rFonts w:ascii="Times New Roman" w:cs="Times New Roman" w:eastAsia="Times New Roman" w:hAnsi="Times New Roman"/>
          <w:sz w:val="18"/>
          <w:szCs w:val="18"/>
          <w:u w:val="single" w:color="auto"/>
          <w:color w:val="0000EE"/>
        </w:rPr>
      </w:pPr>
    </w:p>
    <w:p>
      <w:pPr>
        <w:ind w:left="1020" w:right="360" w:hanging="771"/>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Second Amendment to Credit Agreement, dated as of January 6, 2025, between JPMorgan Chase Bank, N.A. and Northern Technologies International Corporation (filed herewith)</w:t>
      </w:r>
    </w:p>
    <w:p>
      <w:pPr>
        <w:spacing w:after="0" w:line="162" w:lineRule="exact"/>
        <w:rPr>
          <w:rFonts w:ascii="Times New Roman" w:cs="Times New Roman" w:eastAsia="Times New Roman" w:hAnsi="Times New Roman"/>
          <w:sz w:val="18"/>
          <w:szCs w:val="18"/>
          <w:u w:val="single" w:color="auto"/>
          <w:color w:val="0000EE"/>
        </w:rPr>
      </w:pPr>
    </w:p>
    <w:p>
      <w:pPr>
        <w:ind w:left="1020" w:hanging="771"/>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Line of Credit Note, dated January 6, 2025, between Northern Technologies International Corporation and JPMorgan Chase Bank, N.A. (filed herewith)</w:t>
      </w:r>
    </w:p>
    <w:p>
      <w:pPr>
        <w:spacing w:after="0" w:line="162" w:lineRule="exact"/>
        <w:rPr>
          <w:rFonts w:ascii="Times New Roman" w:cs="Times New Roman" w:eastAsia="Times New Roman" w:hAnsi="Times New Roman"/>
          <w:sz w:val="18"/>
          <w:szCs w:val="18"/>
          <w:u w:val="single" w:color="auto"/>
          <w:color w:val="0000EE"/>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5715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ind w:left="900" w:right="120" w:hanging="771"/>
        <w:spacing w:after="0" w:line="282"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 Rule 13a-14(a), as adopted pursuant to Section 302 of the Sarbanes-Oxley Act of 2002 (filed herewith)</w:t>
      </w:r>
    </w:p>
    <w:p>
      <w:pPr>
        <w:spacing w:after="0" w:line="16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 Rule 13a-14(a), as adopted pursuant to Section 302 of the Sarbanes-Oxley Act of</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EE"/>
        </w:rPr>
        <w:t>2002 (filed herewith)</w:t>
      </w:r>
    </w:p>
    <w:p>
      <w:pPr>
        <w:spacing w:after="0" w:line="207" w:lineRule="exact"/>
        <w:rPr>
          <w:sz w:val="20"/>
          <w:szCs w:val="20"/>
          <w:color w:val="auto"/>
        </w:rPr>
      </w:pPr>
    </w:p>
    <w:p>
      <w:pPr>
        <w:ind w:left="900" w:right="620" w:hanging="771"/>
        <w:spacing w:after="0" w:line="282"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 (furnished herewith)</w:t>
      </w:r>
    </w:p>
    <w:p>
      <w:pPr>
        <w:spacing w:after="0" w:line="162" w:lineRule="exact"/>
        <w:rPr>
          <w:sz w:val="20"/>
          <w:szCs w:val="20"/>
          <w:color w:val="auto"/>
        </w:rPr>
      </w:pPr>
    </w:p>
    <w:p>
      <w:pPr>
        <w:ind w:left="120"/>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18 U.S.C. Section 1350, as adopted pursuant to Section 906 of the Sarbanes-Oxley Act of</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EE"/>
        </w:rPr>
        <w:t>2002 (furnished herewith)</w:t>
      </w:r>
    </w:p>
    <w:p>
      <w:pPr>
        <w:spacing w:after="0" w:line="207" w:lineRule="exact"/>
        <w:rPr>
          <w:sz w:val="20"/>
          <w:szCs w:val="20"/>
          <w:color w:val="auto"/>
        </w:rPr>
      </w:pPr>
    </w:p>
    <w:p>
      <w:pPr>
        <w:ind w:left="900" w:hanging="749"/>
        <w:spacing w:after="0" w:line="272" w:lineRule="auto"/>
        <w:tabs>
          <w:tab w:leader="none" w:pos="9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NTIC’s Quarterly Report on Form 10-Q for the fiscal quarter ended November 30, 2024, formatted in Inline XBRL (Extensible Business Reporting Language): (i) the unaudited Consolidated Balance Sheets, (ii) the unaudited Consolidated Statements of Operations, (iii) the unaudited Consolidated Statements of Comprehensive Income , (iv) the unaudited Consolidated Statements of Equity,</w:t>
      </w:r>
    </w:p>
    <w:p>
      <w:pPr>
        <w:spacing w:after="0" w:line="1"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the unaudited Consolidated Statements of Cash Flows, and (vi) Notes to Consolidated Financial Statements (filed herewith)</w:t>
      </w:r>
    </w:p>
    <w:p>
      <w:pPr>
        <w:spacing w:after="0" w:line="207" w:lineRule="exact"/>
        <w:rPr>
          <w:sz w:val="20"/>
          <w:szCs w:val="20"/>
          <w:color w:val="auto"/>
        </w:rPr>
      </w:pPr>
    </w:p>
    <w:p>
      <w:pPr>
        <w:ind w:left="160"/>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40" w:top="576" w:right="379" w:bottom="1440" w:gutter="0" w:footer="0" w:header="0"/>
        </w:sectPr>
      </w:pPr>
    </w:p>
    <w:bookmarkStart w:id="35" w:name="page36"/>
    <w:bookmarkEnd w:id="3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7"/>
          <w:szCs w:val="17"/>
          <w:color w:val="auto"/>
        </w:rPr>
        <w:t>Matthew C. Wolsfeld, CPA</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(Principal Financial and Accounting Officer and</w:t>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6"/>
          <w:szCs w:val="16"/>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57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14500" cy="317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714500" cy="317500"/>
                    </a:xfrm>
                    <a:prstGeom prst="rect">
                      <a:avLst/>
                    </a:prstGeom>
                    <a:noFill/>
                  </pic:spPr>
                </pic:pic>
              </a:graphicData>
            </a:graphic>
          </wp:anchor>
        </w:drawing>
      </w: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3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Second Amendment to Credit Agreement (this "Amendment") is dated as of January 6, 2025, by and between Northern Technologies International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and JPMorgan Chase Bank, N.A. (together with its successors and assigns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The provisions of this Amendment are effective on the date that this Amendment has been executed by all of the signers and delivered to the Bank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and the Bank entered into a Credit Agreement dated December 19, 2022, as amended by the First Amendment to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dated as of April 11, 2023 (collectively,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and the Bank has agreed to amend the Credit Agreement as set forth in this Amendment;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mutual consideration of the agreements contained herein and for other good and valuable consideration, the parties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155" w:lineRule="exact"/>
        <w:rPr>
          <w:sz w:val="20"/>
          <w:szCs w:val="20"/>
          <w:color w:val="auto"/>
        </w:rPr>
      </w:pPr>
    </w:p>
    <w:p>
      <w:pPr>
        <w:ind w:left="500" w:hanging="492"/>
        <w:spacing w:after="0" w:line="286" w:lineRule="auto"/>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Capitalized terms used in this Amendment shall have the same meanings as in the Credit Agreement, unless otherwise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Amendment.</w:t>
      </w:r>
    </w:p>
    <w:p>
      <w:pPr>
        <w:spacing w:after="0" w:line="154"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MODIFICATION OF CREDIT AGREEMENT</w:t>
      </w:r>
      <w:r>
        <w:rPr>
          <w:rFonts w:ascii="Times New Roman" w:cs="Times New Roman" w:eastAsia="Times New Roman" w:hAnsi="Times New Roman"/>
          <w:sz w:val="18"/>
          <w:szCs w:val="18"/>
          <w:color w:val="auto"/>
        </w:rPr>
        <w:t>. The Credit Agreement is hereby amended as follows:</w:t>
      </w:r>
    </w:p>
    <w:p>
      <w:pPr>
        <w:spacing w:after="0" w:line="225" w:lineRule="exact"/>
        <w:rPr>
          <w:sz w:val="20"/>
          <w:szCs w:val="20"/>
          <w:color w:val="auto"/>
        </w:rPr>
      </w:pPr>
    </w:p>
    <w:p>
      <w:pPr>
        <w:ind w:left="980" w:hanging="485"/>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8"/>
          <w:szCs w:val="18"/>
          <w:color w:val="auto"/>
        </w:rPr>
        <w:t xml:space="preserve">The first grammatical paragraph of Section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the Credit Agreement captioned "</w:t>
      </w:r>
      <w:r>
        <w:rPr>
          <w:rFonts w:ascii="Times New Roman" w:cs="Times New Roman" w:eastAsia="Times New Roman" w:hAnsi="Times New Roman"/>
          <w:sz w:val="18"/>
          <w:szCs w:val="18"/>
          <w:b w:val="1"/>
          <w:bCs w:val="1"/>
          <w:color w:val="auto"/>
        </w:rPr>
        <w:t>Facility A (Line of Credit)</w:t>
      </w:r>
      <w:r>
        <w:rPr>
          <w:rFonts w:ascii="Times New Roman" w:cs="Times New Roman" w:eastAsia="Times New Roman" w:hAnsi="Times New Roman"/>
          <w:sz w:val="18"/>
          <w:szCs w:val="18"/>
          <w:color w:val="auto"/>
        </w:rPr>
        <w:t>" is hereby amended and restated to read as follows:</w:t>
      </w:r>
    </w:p>
    <w:p>
      <w:pPr>
        <w:spacing w:after="0" w:line="155"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 Facility A (Line of Credit). </w:t>
      </w:r>
      <w:r>
        <w:rPr>
          <w:rFonts w:ascii="Times New Roman" w:cs="Times New Roman" w:eastAsia="Times New Roman" w:hAnsi="Times New Roman"/>
          <w:sz w:val="18"/>
          <w:szCs w:val="18"/>
          <w:color w:val="auto"/>
        </w:rPr>
        <w:t>The Bank has approved a credit facility to the Borrower in a principal amount not to exceed $8,000,000.00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at any one time outstanding ("</w:t>
      </w:r>
      <w:r>
        <w:rPr>
          <w:rFonts w:ascii="Times New Roman" w:cs="Times New Roman" w:eastAsia="Times New Roman" w:hAnsi="Times New Roman"/>
          <w:sz w:val="18"/>
          <w:szCs w:val="18"/>
          <w:b w:val="1"/>
          <w:bCs w:val="1"/>
          <w:color w:val="auto"/>
        </w:rPr>
        <w:t>Facility A</w:t>
      </w:r>
      <w:r>
        <w:rPr>
          <w:rFonts w:ascii="Times New Roman" w:cs="Times New Roman" w:eastAsia="Times New Roman" w:hAnsi="Times New Roman"/>
          <w:sz w:val="18"/>
          <w:szCs w:val="18"/>
          <w:color w:val="auto"/>
        </w:rPr>
        <w:t>"). Credit under Facility A shall be repaid as described in a Line of Credit Note executed at the same time as this agreement, along with any renewals, modifications, extensions, rearrangements, restatements and replacements or substitutions</w:t>
      </w:r>
    </w:p>
    <w:p>
      <w:pPr>
        <w:spacing w:after="0" w:line="176" w:lineRule="exact"/>
        <w:rPr>
          <w:sz w:val="20"/>
          <w:szCs w:val="20"/>
          <w:color w:val="auto"/>
        </w:rPr>
      </w:pPr>
    </w:p>
    <w:p>
      <w:pPr>
        <w:ind w:left="500" w:hanging="492"/>
        <w:spacing w:after="0" w:line="286"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w:t>
      </w:r>
      <w:r>
        <w:rPr>
          <w:rFonts w:ascii="Times New Roman" w:cs="Times New Roman" w:eastAsia="Times New Roman" w:hAnsi="Times New Roman"/>
          <w:sz w:val="18"/>
          <w:szCs w:val="18"/>
          <w:color w:val="auto"/>
        </w:rPr>
        <w:t>. The Borrower ratifies and reaffirms the Credit Agreement and the Credit Agreement shall remain in full force and effect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modified by this Amendment.</w:t>
      </w:r>
    </w:p>
    <w:p>
      <w:pPr>
        <w:spacing w:after="0" w:line="154" w:lineRule="exact"/>
        <w:rPr>
          <w:rFonts w:ascii="Times New Roman" w:cs="Times New Roman" w:eastAsia="Times New Roman" w:hAnsi="Times New Roman"/>
          <w:sz w:val="18"/>
          <w:szCs w:val="18"/>
          <w:b w:val="1"/>
          <w:bCs w:val="1"/>
          <w:color w:val="auto"/>
        </w:rPr>
      </w:pPr>
    </w:p>
    <w:p>
      <w:pPr>
        <w:jc w:val="both"/>
        <w:ind w:left="500" w:hanging="492"/>
        <w:spacing w:after="0" w:line="259"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BORROWER REPRESENTATIONS AND WARRANTIES</w:t>
      </w:r>
      <w:r>
        <w:rPr>
          <w:rFonts w:ascii="Times New Roman" w:cs="Times New Roman" w:eastAsia="Times New Roman" w:hAnsi="Times New Roman"/>
          <w:sz w:val="18"/>
          <w:szCs w:val="18"/>
          <w:color w:val="auto"/>
        </w:rPr>
        <w:t>. The Borrower represents and warrants that (a) the 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in the Credit Agreement are true and correct in all material respects as of the date of this Amendment, (b) no condition, event, act or omission which could constitute a default or an event of default under the Credit Agreement, as modified by this Amendment, or any other Related Document exists, and (c) no condition, event, act or omission has occurred and is continuing that with the giving of notice, or the passage of time or both, would constitute a default or an event of default under the Credit Agreement, as modified by this Amendment, or any other Related Document.</w:t>
      </w:r>
    </w:p>
    <w:p>
      <w:pPr>
        <w:spacing w:after="0" w:line="179" w:lineRule="exact"/>
        <w:rPr>
          <w:rFonts w:ascii="Times New Roman" w:cs="Times New Roman" w:eastAsia="Times New Roman" w:hAnsi="Times New Roman"/>
          <w:sz w:val="18"/>
          <w:szCs w:val="18"/>
          <w:b w:val="1"/>
          <w:bCs w:val="1"/>
          <w:color w:val="auto"/>
        </w:rPr>
      </w:pPr>
    </w:p>
    <w:p>
      <w:pPr>
        <w:ind w:left="500" w:hanging="492"/>
        <w:spacing w:after="0" w:line="286"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AND EXPENSES</w:t>
      </w:r>
      <w:r>
        <w:rPr>
          <w:rFonts w:ascii="Times New Roman" w:cs="Times New Roman" w:eastAsia="Times New Roman" w:hAnsi="Times New Roman"/>
          <w:sz w:val="18"/>
          <w:szCs w:val="18"/>
          <w:color w:val="auto"/>
        </w:rPr>
        <w:t>. The Borrower agrees to pay all fees and out-of-pocket disbursements incurred by the Bank in connection with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including legal fees incurred by the Bank in the preparation, consummation, administration and enforcement of this Amendment.</w:t>
      </w:r>
    </w:p>
    <w:p>
      <w:pPr>
        <w:spacing w:after="0" w:line="154" w:lineRule="exact"/>
        <w:rPr>
          <w:rFonts w:ascii="Times New Roman" w:cs="Times New Roman" w:eastAsia="Times New Roman" w:hAnsi="Times New Roman"/>
          <w:sz w:val="18"/>
          <w:szCs w:val="18"/>
          <w:b w:val="1"/>
          <w:bCs w:val="1"/>
          <w:color w:val="auto"/>
        </w:rPr>
      </w:pPr>
    </w:p>
    <w:p>
      <w:pPr>
        <w:jc w:val="both"/>
        <w:ind w:left="500" w:hanging="492"/>
        <w:spacing w:after="0" w:line="268"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AND DELIVERY BY THE BANK. </w:t>
      </w:r>
      <w:r>
        <w:rPr>
          <w:rFonts w:ascii="Times New Roman" w:cs="Times New Roman" w:eastAsia="Times New Roman" w:hAnsi="Times New Roman"/>
          <w:sz w:val="18"/>
          <w:szCs w:val="18"/>
          <w:color w:val="auto"/>
        </w:rPr>
        <w:t>The Bank shall not be bound by this Amendment until (i) the Bank has executed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and (ii) the Borrower has executed and delivered this Amendment together with all other related documents requested by the Bank, and the Borrower has fully satisfied all other conditions precedent, as determined by the Bank in its sole discretion.</w:t>
      </w:r>
    </w:p>
    <w:p>
      <w:pPr>
        <w:spacing w:after="0" w:line="170" w:lineRule="exact"/>
        <w:rPr>
          <w:rFonts w:ascii="Times New Roman" w:cs="Times New Roman" w:eastAsia="Times New Roman" w:hAnsi="Times New Roman"/>
          <w:sz w:val="18"/>
          <w:szCs w:val="18"/>
          <w:b w:val="1"/>
          <w:bCs w:val="1"/>
          <w:color w:val="auto"/>
        </w:rPr>
      </w:pPr>
    </w:p>
    <w:p>
      <w:pPr>
        <w:jc w:val="both"/>
        <w:ind w:left="500" w:hanging="492"/>
        <w:spacing w:after="0" w:line="254" w:lineRule="auto"/>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ACKNOWLEDGEMENTS OF BORROWER / RELEASE. </w:t>
      </w:r>
      <w:r>
        <w:rPr>
          <w:rFonts w:ascii="Times New Roman" w:cs="Times New Roman" w:eastAsia="Times New Roman" w:hAnsi="Times New Roman"/>
          <w:sz w:val="18"/>
          <w:szCs w:val="18"/>
          <w:color w:val="auto"/>
        </w:rPr>
        <w:t>The Borrower acknowledges that as of the date of this Amendment it has no offsets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all amounts owed by the Borrower to the Bank arising under or related to the Credit Agreement, as modified by this Amendment, or any other Related Document on or prior to the date of this Amendment. The Borrower fully, finally and forever releases and discharges the Bank, its successors and assigns and their respective directors, officers, employees, agents and representatives (each a "</w:t>
      </w:r>
      <w:r>
        <w:rPr>
          <w:rFonts w:ascii="Times New Roman" w:cs="Times New Roman" w:eastAsia="Times New Roman" w:hAnsi="Times New Roman"/>
          <w:sz w:val="18"/>
          <w:szCs w:val="18"/>
          <w:b w:val="1"/>
          <w:bCs w:val="1"/>
          <w:color w:val="auto"/>
        </w:rPr>
        <w:t>Bank Party</w:t>
      </w:r>
      <w:r>
        <w:rPr>
          <w:rFonts w:ascii="Times New Roman" w:cs="Times New Roman" w:eastAsia="Times New Roman" w:hAnsi="Times New Roman"/>
          <w:sz w:val="18"/>
          <w:szCs w:val="18"/>
          <w:color w:val="auto"/>
        </w:rPr>
        <w:t>") from any and all claims, causes of action, debts, demands and liabilities, of whatever kind or nature, in law or in equity, of the Borrower, whether now known or unknown to the Borrower, which may have arisen in connection with the Credit Agreement or the actions or omissions of any Bank Party related to the Credit Agreement on or prior to the date hereof. The Borrower acknowledges and agrees that this Amendment is limited to the terms outlined above, and shall not be construed as an agreement to change any other terms or provisions of the Credit Agreement. This Amendment shall not establish a course of dealing or be construed as evidence of any willingness on the Bank's part to grant other or future agreements, should any be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both"/>
        <w:ind w:left="500" w:hanging="492"/>
        <w:spacing w:after="0" w:line="256"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STATEMENTS. </w:t>
      </w:r>
      <w:r>
        <w:rPr>
          <w:rFonts w:ascii="Times New Roman" w:cs="Times New Roman" w:eastAsia="Times New Roman" w:hAnsi="Times New Roman"/>
          <w:sz w:val="18"/>
          <w:szCs w:val="18"/>
          <w:color w:val="auto"/>
        </w:rPr>
        <w:t>The Bank may from time to time provide the Borrower with account statements or invoices with respect to any of the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The Bank is under no duty or obligation to provide Statements, which, if provided, will be solely for the Borrower’s convenience. Statements may contain estimates of the amounts owed during the relevant billing period, whether of principal, interest, fees or other Liabilities. If the Borrower pays the full amount indicated on a Statement on or before the due date indicated on such Statement, the Borrower shall not be in default of payment with respect to the billing period indicated on such Statement; provided, that acceptance by the Bank of any payment that is less than the total amount actually due at that time (including but not limited to any past due amounts) shall not constitute a waiver of the Bank’s right to receive payment in full at another time.</w:t>
      </w:r>
    </w:p>
    <w:p>
      <w:pPr>
        <w:spacing w:after="0" w:line="182" w:lineRule="exact"/>
        <w:rPr>
          <w:rFonts w:ascii="Times New Roman" w:cs="Times New Roman" w:eastAsia="Times New Roman" w:hAnsi="Times New Roman"/>
          <w:sz w:val="18"/>
          <w:szCs w:val="18"/>
          <w:b w:val="1"/>
          <w:bCs w:val="1"/>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INTEGRATION, ENTIRE AGREEMENT, CHANGE, DISCHARGE, TERMINATION, OR WAIVER. </w:t>
      </w:r>
      <w:r>
        <w:rPr>
          <w:rFonts w:ascii="Times New Roman" w:cs="Times New Roman" w:eastAsia="Times New Roman" w:hAnsi="Times New Roman"/>
          <w:sz w:val="18"/>
          <w:szCs w:val="18"/>
          <w:color w:val="auto"/>
        </w:rPr>
        <w:t>The Credit</w:t>
      </w:r>
    </w:p>
    <w:p>
      <w:pPr>
        <w:spacing w:after="0" w:line="229" w:lineRule="exact"/>
        <w:rPr>
          <w:rFonts w:ascii="Times New Roman" w:cs="Times New Roman" w:eastAsia="Times New Roman" w:hAnsi="Times New Roman"/>
          <w:sz w:val="18"/>
          <w:szCs w:val="18"/>
          <w:b w:val="1"/>
          <w:bCs w:val="1"/>
          <w:color w:val="auto"/>
        </w:rPr>
      </w:pPr>
    </w:p>
    <w:p>
      <w:pPr>
        <w:jc w:val="both"/>
        <w:ind w:left="5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 as modified by this Amendment, and the other Related Documents contain the complete understanding and agreement of the Borrower and the Bank in respect of the Credit Facilities and supersede all prior understandings and negotiations. If any one or more of the obligations of the Borrower under this Amendment or the Credit Agreement, as amended by this Amendment, is invalid, illegal or unenforceable in any jurisdiction, the validity, legality and enforceability of the remaining obligations of the Borrower shall not in any way be affected or impaired, and the invalidity, illegality or unenforceability in one jurisdiction shall not affect the validity, legality or enforceability of the obligations of the Borrower under this Amendment, the Credit Agreement, as modified by this Amendment, or any other Related Document in any other jurisdiction. No provision of the Credit Agreement, as modified by this Amendment, or the other Related Documents, may be changed, discharged, supplemented, terminated, or waived except in a writing signed by the party against whom it is being enforced.</w:t>
      </w:r>
    </w:p>
    <w:p>
      <w:pPr>
        <w:spacing w:after="0" w:line="187" w:lineRule="exact"/>
        <w:rPr>
          <w:rFonts w:ascii="Times New Roman" w:cs="Times New Roman" w:eastAsia="Times New Roman" w:hAnsi="Times New Roman"/>
          <w:sz w:val="18"/>
          <w:szCs w:val="18"/>
          <w:b w:val="1"/>
          <w:bCs w:val="1"/>
          <w:color w:val="auto"/>
        </w:rPr>
      </w:pPr>
    </w:p>
    <w:p>
      <w:pPr>
        <w:jc w:val="both"/>
        <w:ind w:left="500" w:hanging="492"/>
        <w:spacing w:after="0" w:line="257"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and Venue. </w:t>
      </w:r>
      <w:r>
        <w:rPr>
          <w:rFonts w:ascii="Times New Roman" w:cs="Times New Roman" w:eastAsia="Times New Roman" w:hAnsi="Times New Roman"/>
          <w:sz w:val="18"/>
          <w:szCs w:val="18"/>
          <w:color w:val="auto"/>
        </w:rPr>
        <w:t>This Amendment and (unless stated otherwise therein) all Related Documents shall be governed by and construed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laws of the State of Minnesota (without giving effect to its laws of conflicts). The Borrower agrees that any legal action or proceeding with respect to any of its obligations under this Amendment may be brought by the Bank in any state or federal court located in the State of Minnesota, as the Bank in its sole discretion may elect. By the execution and delivery of this Amendment, the Borrower submits to and accepts, for itself and in respect of its property, generally and unconditionally, the non-exclusive jurisdiction of those courts. The Borrower waives any claim that the State of Minnesota is not a convenient forum or the proper venue for any such suit, action or proceeding.</w:t>
      </w:r>
    </w:p>
    <w:p>
      <w:pPr>
        <w:spacing w:after="0" w:line="182" w:lineRule="exact"/>
        <w:rPr>
          <w:rFonts w:ascii="Times New Roman" w:cs="Times New Roman" w:eastAsia="Times New Roman" w:hAnsi="Times New Roman"/>
          <w:sz w:val="18"/>
          <w:szCs w:val="18"/>
          <w:b w:val="1"/>
          <w:bCs w:val="1"/>
          <w:color w:val="auto"/>
        </w:rPr>
      </w:pPr>
    </w:p>
    <w:p>
      <w:pPr>
        <w:jc w:val="both"/>
        <w:ind w:left="500" w:hanging="492"/>
        <w:spacing w:after="0" w:line="255"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 A NOVATION</w:t>
      </w:r>
      <w:r>
        <w:rPr>
          <w:rFonts w:ascii="Times New Roman" w:cs="Times New Roman" w:eastAsia="Times New Roman" w:hAnsi="Times New Roman"/>
          <w:sz w:val="18"/>
          <w:szCs w:val="18"/>
          <w:color w:val="auto"/>
        </w:rPr>
        <w:t>. This Amendment is a modification only and not a novation. Except as expressly modified by this Amendment,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any other Related Documents, and all the terms and conditions thereof, shall be and remain in full force and effect with the changes herein deemed to be incorporated therein. This Amendment is to be considered attached to the Credit Agreement and made a part thereof. This Amendment shall not release or affect the liability of any guarantor of any promissory note or credit facility executed in reference to the Credit Agreement or release any owner of collateral granted as security for the Credit Agreement. The validity, priority and enforceability of the Credit Agreement shall not be impaired hereby. To the extent that any provision of this Amendment conflicts with any term or condition set forth in the Credit Agreement, or any other Related Documents, the provisions of this Amendment shall supersede and control. The Bank expressly reserves all rights against all parties to the Credit Agreement and the other Related Documents.</w:t>
      </w:r>
    </w:p>
    <w:p>
      <w:pPr>
        <w:spacing w:after="0" w:line="184" w:lineRule="exact"/>
        <w:rPr>
          <w:rFonts w:ascii="Times New Roman" w:cs="Times New Roman" w:eastAsia="Times New Roman" w:hAnsi="Times New Roman"/>
          <w:sz w:val="18"/>
          <w:szCs w:val="18"/>
          <w:b w:val="1"/>
          <w:bCs w:val="1"/>
          <w:color w:val="auto"/>
        </w:rPr>
      </w:pPr>
    </w:p>
    <w:p>
      <w:pPr>
        <w:ind w:left="500" w:hanging="492"/>
        <w:spacing w:after="0" w:line="286" w:lineRule="auto"/>
        <w:tabs>
          <w:tab w:leader="none" w:pos="5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COUNTERPART EXECUTION. </w:t>
      </w:r>
      <w:r>
        <w:rPr>
          <w:rFonts w:ascii="Times New Roman" w:cs="Times New Roman" w:eastAsia="Times New Roman" w:hAnsi="Times New Roman"/>
          <w:sz w:val="18"/>
          <w:szCs w:val="18"/>
          <w:color w:val="auto"/>
        </w:rPr>
        <w:t>This Amendment may be executed in multiple counterparts, each of which, when so executed,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such counterparts, taken together, shall constitute one and the same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ind w:left="500" w:hanging="492"/>
        <w:spacing w:after="0" w:line="286" w:lineRule="auto"/>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IS OF THE ESSENCE. </w:t>
      </w:r>
      <w:r>
        <w:rPr>
          <w:rFonts w:ascii="Times New Roman" w:cs="Times New Roman" w:eastAsia="Times New Roman" w:hAnsi="Times New Roman"/>
          <w:sz w:val="18"/>
          <w:szCs w:val="18"/>
          <w:color w:val="auto"/>
        </w:rPr>
        <w:t>Time is of the essence under this Amendment and in the performance of every term, covenant and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6740" w:type="dxa"/>
            <w:vAlign w:val="bottom"/>
          </w:tcPr>
          <w:p>
            <w:pPr>
              <w:spacing w:after="0"/>
              <w:rPr>
                <w:sz w:val="20"/>
                <w:szCs w:val="20"/>
                <w:color w:val="auto"/>
              </w:rPr>
            </w:pPr>
          </w:p>
        </w:tc>
      </w:tr>
      <w:tr>
        <w:trPr>
          <w:trHeight w:val="41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4201 Woodland Rd</w:t>
            </w:r>
          </w:p>
        </w:tc>
        <w:tc>
          <w:tcPr>
            <w:tcW w:w="84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Northern Technologies International Corporation</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Circle Pines, MN 55014-1794</w:t>
            </w:r>
          </w:p>
        </w:tc>
        <w:tc>
          <w:tcPr>
            <w:tcW w:w="1720" w:type="dxa"/>
            <w:vAlign w:val="bottom"/>
          </w:tcPr>
          <w:p>
            <w:pPr>
              <w:spacing w:after="0"/>
              <w:rPr>
                <w:sz w:val="20"/>
                <w:szCs w:val="20"/>
                <w:color w:val="auto"/>
              </w:rPr>
            </w:pPr>
          </w:p>
        </w:tc>
        <w:tc>
          <w:tcPr>
            <w:tcW w:w="6740" w:type="dxa"/>
            <w:vAlign w:val="bottom"/>
          </w:tcPr>
          <w:p>
            <w:pPr>
              <w:spacing w:after="0"/>
              <w:rPr>
                <w:sz w:val="20"/>
                <w:szCs w:val="20"/>
                <w:color w:val="auto"/>
              </w:rPr>
            </w:pPr>
          </w:p>
        </w:tc>
      </w:tr>
      <w:tr>
        <w:trPr>
          <w:trHeight w:val="864"/>
        </w:trPr>
        <w:tc>
          <w:tcPr>
            <w:tcW w:w="2780" w:type="dxa"/>
            <w:vAlign w:val="bottom"/>
          </w:tcPr>
          <w:p>
            <w:pPr>
              <w:spacing w:after="0"/>
              <w:rPr>
                <w:sz w:val="24"/>
                <w:szCs w:val="24"/>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By:</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Wolsfeld</w:t>
            </w:r>
          </w:p>
        </w:tc>
      </w:tr>
      <w:tr>
        <w:trPr>
          <w:trHeight w:val="209"/>
        </w:trPr>
        <w:tc>
          <w:tcPr>
            <w:tcW w:w="2780" w:type="dxa"/>
            <w:vAlign w:val="bottom"/>
          </w:tcPr>
          <w:p>
            <w:pPr>
              <w:spacing w:after="0"/>
              <w:rPr>
                <w:sz w:val="18"/>
                <w:szCs w:val="18"/>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Printed Name:</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Matt Wolsfeld</w:t>
            </w:r>
          </w:p>
        </w:tc>
      </w:tr>
      <w:tr>
        <w:trPr>
          <w:trHeight w:val="210"/>
        </w:trPr>
        <w:tc>
          <w:tcPr>
            <w:tcW w:w="2780" w:type="dxa"/>
            <w:vAlign w:val="bottom"/>
          </w:tcPr>
          <w:p>
            <w:pPr>
              <w:spacing w:after="0"/>
              <w:rPr>
                <w:sz w:val="18"/>
                <w:szCs w:val="18"/>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Title:</w:t>
            </w:r>
          </w:p>
        </w:tc>
        <w:tc>
          <w:tcPr>
            <w:tcW w:w="6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&amp; Secretary</w:t>
            </w:r>
          </w:p>
        </w:tc>
      </w:tr>
      <w:tr>
        <w:trPr>
          <w:trHeight w:val="228"/>
        </w:trPr>
        <w:tc>
          <w:tcPr>
            <w:tcW w:w="2780" w:type="dxa"/>
            <w:vAlign w:val="bottom"/>
          </w:tcPr>
          <w:p>
            <w:pPr>
              <w:spacing w:after="0"/>
              <w:rPr>
                <w:sz w:val="19"/>
                <w:szCs w:val="19"/>
                <w:color w:val="auto"/>
              </w:rPr>
            </w:pPr>
          </w:p>
        </w:tc>
        <w:tc>
          <w:tcPr>
            <w:tcW w:w="17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Date Signed:</w:t>
            </w: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January 6, 2025</w:t>
            </w:r>
          </w:p>
        </w:tc>
      </w:tr>
      <w:tr>
        <w:trPr>
          <w:trHeight w:val="1204"/>
        </w:trPr>
        <w:tc>
          <w:tcPr>
            <w:tcW w:w="27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9" w:name="page40"/>
    <w:bookmarkEnd w:id="39"/>
    <w:p>
      <w:pPr>
        <w:ind w:left="2260"/>
        <w:spacing w:after="0"/>
        <w:rPr>
          <w:sz w:val="20"/>
          <w:szCs w:val="20"/>
          <w:color w:val="auto"/>
        </w:rPr>
      </w:pPr>
      <w:r>
        <w:rPr>
          <w:rFonts w:ascii="Times New Roman" w:cs="Times New Roman" w:eastAsia="Times New Roman" w:hAnsi="Times New Roman"/>
          <w:sz w:val="18"/>
          <w:szCs w:val="18"/>
          <w:b w:val="1"/>
          <w:bCs w:val="1"/>
          <w:color w:val="auto"/>
        </w:rPr>
        <w:t>Bank:</w:t>
      </w:r>
    </w:p>
    <w:p>
      <w:pPr>
        <w:spacing w:after="0" w:line="2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JPMorgan Chase Bank, N.A.</w:t>
      </w:r>
    </w:p>
    <w:p>
      <w:pPr>
        <w:sectPr>
          <w:pgSz w:w="11900" w:h="16838" w:orient="portrait"/>
          <w:cols w:equalWidth="0" w:num="1">
            <w:col w:w="9019"/>
          </w:cols>
          <w:pgMar w:left="1440" w:top="576" w:right="1440" w:bottom="1440" w:gutter="0" w:footer="0" w:header="0"/>
        </w:sectPr>
      </w:pPr>
    </w:p>
    <w:p>
      <w:pPr>
        <w:spacing w:after="0" w:line="23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By: /s/ [Insert name]</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Printed Name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Date Signed: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Officer</w:t>
      </w:r>
    </w:p>
    <w:p>
      <w:pPr>
        <w:sectPr>
          <w:pgSz w:w="11900" w:h="16838" w:orient="portrait"/>
          <w:cols w:equalWidth="0" w:num="2">
            <w:col w:w="3960" w:space="720"/>
            <w:col w:w="4339"/>
          </w:cols>
          <w:pgMar w:left="1440" w:top="576" w:right="1440" w:bottom="1440" w:gutter="0" w:footer="0" w:header="0"/>
          <w:type w:val="continuous"/>
        </w:sectPr>
      </w:pPr>
    </w:p>
    <w:bookmarkStart w:id="40" w:name="page41"/>
    <w:bookmarkEnd w:id="40"/>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714500" cy="316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714500" cy="31686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LINE OF CREDIT NOTE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$8,000,000.00</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December 19, 2024</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Promise to Pay. </w:t>
      </w:r>
      <w:r>
        <w:rPr>
          <w:rFonts w:ascii="Times New Roman" w:cs="Times New Roman" w:eastAsia="Times New Roman" w:hAnsi="Times New Roman"/>
          <w:sz w:val="18"/>
          <w:szCs w:val="18"/>
          <w:color w:val="auto"/>
        </w:rPr>
        <w:t>On or before January 5, 2026, for value received, Northern Technologies International Corporation (the "Borrower") promises to pay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JPMorgan Chase Bank, N.A., whose address is 650 3rd Ave S Ste 450, Minneapolis, MN 55402-4300 (the "Bank") or order, in lawful money of the United States of America, the sum of Eight Million and 00/100 Dollars ($8,000,000.00) or so much thereof as may be advanced and outstanding, plus interest on the unpaid principal balance as provided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Interest Rate Definitions. </w:t>
      </w:r>
      <w:r>
        <w:rPr>
          <w:rFonts w:ascii="Times New Roman" w:cs="Times New Roman" w:eastAsia="Times New Roman" w:hAnsi="Times New Roman"/>
          <w:sz w:val="18"/>
          <w:szCs w:val="18"/>
          <w:color w:val="auto"/>
        </w:rPr>
        <w:t>As used in this Note, the following terms have the following respective meanings: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SOFR Rate" </w:t>
      </w:r>
      <w:r>
        <w:rPr>
          <w:rFonts w:ascii="Times New Roman" w:cs="Times New Roman" w:eastAsia="Times New Roman" w:hAnsi="Times New Roman"/>
          <w:sz w:val="18"/>
          <w:szCs w:val="18"/>
          <w:color w:val="auto"/>
        </w:rPr>
        <w:t>means, with respect to a SOFR Rate Advance for the relevant Interest Period, the sum of (a) the SOFR Rate applicable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Period, plus (b) the Unsecured to Secured Rate Adjustment.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"Advance" </w:t>
      </w:r>
      <w:r>
        <w:rPr>
          <w:rFonts w:ascii="Times New Roman" w:cs="Times New Roman" w:eastAsia="Times New Roman" w:hAnsi="Times New Roman"/>
          <w:sz w:val="18"/>
          <w:szCs w:val="18"/>
          <w:color w:val="auto"/>
        </w:rPr>
        <w:t>means a SOFR Rate Advance or a CB Floating Rate Advance and</w:t>
      </w:r>
      <w:r>
        <w:rPr>
          <w:rFonts w:ascii="Times New Roman" w:cs="Times New Roman" w:eastAsia="Times New Roman" w:hAnsi="Times New Roman"/>
          <w:sz w:val="18"/>
          <w:szCs w:val="18"/>
          <w:b w:val="1"/>
          <w:bCs w:val="1"/>
          <w:color w:val="auto"/>
        </w:rPr>
        <w:t xml:space="preserve"> "Advances" </w:t>
      </w:r>
      <w:r>
        <w:rPr>
          <w:rFonts w:ascii="Times New Roman" w:cs="Times New Roman" w:eastAsia="Times New Roman" w:hAnsi="Times New Roman"/>
          <w:sz w:val="18"/>
          <w:szCs w:val="18"/>
          <w:color w:val="auto"/>
        </w:rPr>
        <w:t>means all SOFR Rate Advances and all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Advances under this Note.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Margin" </w:t>
      </w:r>
      <w:r>
        <w:rPr>
          <w:rFonts w:ascii="Times New Roman" w:cs="Times New Roman" w:eastAsia="Times New Roman" w:hAnsi="Times New Roman"/>
          <w:sz w:val="18"/>
          <w:szCs w:val="18"/>
          <w:color w:val="auto"/>
        </w:rPr>
        <w:t>means with respect to any CB Floating Rate Advance, 0.00% Per Annum and with respect to any SOFR Rate Advance, 2.35%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"Benchmark Transition Event" </w:t>
      </w:r>
      <w:r>
        <w:rPr>
          <w:rFonts w:ascii="Times New Roman" w:cs="Times New Roman" w:eastAsia="Times New Roman" w:hAnsi="Times New Roman"/>
          <w:sz w:val="18"/>
          <w:szCs w:val="18"/>
          <w:color w:val="auto"/>
        </w:rPr>
        <w:t>means the occurrence of one or more of the following events with respect to SOFR:</w:t>
      </w:r>
    </w:p>
    <w:p>
      <w:pPr>
        <w:spacing w:after="0" w:line="229" w:lineRule="exact"/>
        <w:rPr>
          <w:sz w:val="20"/>
          <w:szCs w:val="20"/>
          <w:color w:val="auto"/>
        </w:rPr>
      </w:pPr>
    </w:p>
    <w:p>
      <w:pPr>
        <w:jc w:val="both"/>
        <w:ind w:left="500" w:hanging="492"/>
        <w:spacing w:after="0" w:line="266"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SOFR Administrator announcing that such SOFR Administrator has ceased or will cease to provide SOFR, permanently or indefinitely, provided that, at the time of such statement or publication, there is no successor SOFR Administrator that will continue to provide SOFR; or</w:t>
      </w:r>
    </w:p>
    <w:p>
      <w:pPr>
        <w:spacing w:after="0" w:line="175"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NYFRB, the Federal Reserve Board, or, as applicable, the regulatory supervisor for the SOFR Administrator, an insolvency official with jurisdiction over the SOFR Administrator, a resolution authority with jurisdiction over the SOFR Administrator or a court or an entity with similar insolvency or resolution authority over the SOFR Administrator, in each case, which states that the SOFR Administrator has ceased or will cease to provide SOFR permanently or indefinitely, provided that, at the time of such statement or publication, there is no successor administrator that will continue to provide SOFR; or</w:t>
      </w:r>
    </w:p>
    <w:p>
      <w:pPr>
        <w:spacing w:after="0" w:line="183"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Federal Reserve Board, the NYFRB, the SOFR Administrator or the regulatory supervisor for the SOFR Administrator (as applicable), announcing that SOFR is no longer, or as of a specified future date will no longer be, representative.</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"Business Day" </w:t>
      </w:r>
      <w:r>
        <w:rPr>
          <w:rFonts w:ascii="Times New Roman" w:cs="Times New Roman" w:eastAsia="Times New Roman" w:hAnsi="Times New Roman"/>
          <w:sz w:val="18"/>
          <w:szCs w:val="18"/>
          <w:color w:val="auto"/>
        </w:rPr>
        <w:t>means any day that is not a Saturday, Sunday, or other day on which commercial banks in New York City or Chicago are authorized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to remain closed; provided that, when used in connection with a SOFR Rate Advance, the term "Business Day" shall also exclude any day on which the Securities Industry and Financial Markets Association recommends that the fixed income departments of its members be closed for the entire day for purposes of trading in United States government securities.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"CB Floating Rate" </w:t>
      </w:r>
      <w:r>
        <w:rPr>
          <w:rFonts w:ascii="Times New Roman" w:cs="Times New Roman" w:eastAsia="Times New Roman" w:hAnsi="Times New Roman"/>
          <w:sz w:val="18"/>
          <w:szCs w:val="18"/>
          <w:color w:val="auto"/>
        </w:rPr>
        <w:t>means the greater of (i) the Prime Rate or (ii) 2.50%. The CB Floating Rate is a variable rate and any change in the CB Floating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any change in the Prime Rate is effective from and including the effective date of such change in the Prime Rate.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"CB Floating Rate Advance" </w:t>
      </w:r>
      <w:r>
        <w:rPr>
          <w:rFonts w:ascii="Times New Roman" w:cs="Times New Roman" w:eastAsia="Times New Roman" w:hAnsi="Times New Roman"/>
          <w:sz w:val="18"/>
          <w:szCs w:val="18"/>
          <w:color w:val="auto"/>
        </w:rPr>
        <w:t>means any borrowing under this Note when and to the extent that its interest rate is determined by reference to the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"Federal Reserve Board" </w:t>
      </w:r>
      <w:r>
        <w:rPr>
          <w:rFonts w:ascii="Times New Roman" w:cs="Times New Roman" w:eastAsia="Times New Roman" w:hAnsi="Times New Roman"/>
          <w:sz w:val="18"/>
          <w:szCs w:val="18"/>
          <w:color w:val="auto"/>
        </w:rPr>
        <w:t>means the Board of Governors of the Federal Reserve System of the United States of America.</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"Interest Period" </w:t>
      </w:r>
      <w:r>
        <w:rPr>
          <w:rFonts w:ascii="Times New Roman" w:cs="Times New Roman" w:eastAsia="Times New Roman" w:hAnsi="Times New Roman"/>
          <w:sz w:val="18"/>
          <w:szCs w:val="18"/>
          <w:color w:val="auto"/>
        </w:rPr>
        <w:t>means, with respect to a SOFR Rate Advance, a period of one (1), three (3) or six (6) month(s) commencing on a Business Day 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Borrower pursuant to this Note. Such Interest Period shall end on the day which corresponds numerically to such date one (1), three (3) or six (6) month(s) thereafter, as applicable,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there is no such numerically corresponding day in such first, third or sixth succeeding month(s), as applicable, such Interest Period shall end on the last Business Day of such first, third or sixth succeeding month(s), as applicable. If an Interest Period would otherwise end on a day which is not a BusinessDay, such Interest Period shall end on the next succeeding Business Day,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said next succeeding Business Day falls in a new calendar month, such Interest Period shall end on the immediately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 xml:space="preserve">"NYFRB" </w:t>
      </w:r>
      <w:r>
        <w:rPr>
          <w:rFonts w:ascii="Times New Roman" w:cs="Times New Roman" w:eastAsia="Times New Roman" w:hAnsi="Times New Roman"/>
          <w:sz w:val="18"/>
          <w:szCs w:val="18"/>
          <w:color w:val="auto"/>
        </w:rPr>
        <w:t>means the Federal Reserve Bank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"Per Annum" </w:t>
      </w:r>
      <w:r>
        <w:rPr>
          <w:rFonts w:ascii="Times New Roman" w:cs="Times New Roman" w:eastAsia="Times New Roman" w:hAnsi="Times New Roman"/>
          <w:sz w:val="18"/>
          <w:szCs w:val="18"/>
          <w:color w:val="auto"/>
        </w:rPr>
        <w:t>means for a year deemed to be comprised of 360 days.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means the rate of interest last quoted by The Wall Street Journal as the "Prime Rate" in the U.S. or, if The Wall Street Journal ceases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Bank) or any similar release by the Federal Reserve Board (as determined by the Bank). Each change in the Prime Rate shall be effective from and including the date such change is publicly announced or quoted as being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"Principal Payment Date" </w:t>
      </w:r>
      <w:r>
        <w:rPr>
          <w:rFonts w:ascii="Times New Roman" w:cs="Times New Roman" w:eastAsia="Times New Roman" w:hAnsi="Times New Roman"/>
          <w:sz w:val="18"/>
          <w:szCs w:val="18"/>
          <w:color w:val="auto"/>
        </w:rPr>
        <w:t>is defined in the paragraph entitled "Principal Payments"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"SOFR" </w:t>
      </w:r>
      <w:r>
        <w:rPr>
          <w:rFonts w:ascii="Times New Roman" w:cs="Times New Roman" w:eastAsia="Times New Roman" w:hAnsi="Times New Roman"/>
          <w:sz w:val="18"/>
          <w:szCs w:val="18"/>
          <w:color w:val="auto"/>
        </w:rPr>
        <w:t>is defined in the "SOFR Rate" definition.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"SOFR Administrator" </w:t>
      </w:r>
      <w:r>
        <w:rPr>
          <w:rFonts w:ascii="Times New Roman" w:cs="Times New Roman" w:eastAsia="Times New Roman" w:hAnsi="Times New Roman"/>
          <w:sz w:val="18"/>
          <w:szCs w:val="18"/>
          <w:color w:val="auto"/>
        </w:rPr>
        <w:t>means the CME Group Benchmark Administration Limited (or a successor administrator of SOFR).</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"SOFR Administrator's Website" </w:t>
      </w:r>
      <w:r>
        <w:rPr>
          <w:rFonts w:ascii="Times New Roman" w:cs="Times New Roman" w:eastAsia="Times New Roman" w:hAnsi="Times New Roman"/>
          <w:sz w:val="18"/>
          <w:szCs w:val="18"/>
          <w:color w:val="auto"/>
        </w:rPr>
        <w:t>means the SOFR Administrator’s website, currently accessed through the website https://www.cmegroup.com,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source for SOFR identified as such by the SOFR Administrator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"SOFR Rate Advance" </w:t>
      </w:r>
      <w:r>
        <w:rPr>
          <w:rFonts w:ascii="Times New Roman" w:cs="Times New Roman" w:eastAsia="Times New Roman" w:hAnsi="Times New Roman"/>
          <w:sz w:val="18"/>
          <w:szCs w:val="18"/>
          <w:color w:val="auto"/>
        </w:rPr>
        <w:t>means any borrowing under this Note when and to the extent that its interest rate is determined by reference to the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SOFR Rate.</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"SOFR Rate" </w:t>
      </w:r>
      <w:r>
        <w:rPr>
          <w:rFonts w:ascii="Times New Roman" w:cs="Times New Roman" w:eastAsia="Times New Roman" w:hAnsi="Times New Roman"/>
          <w:sz w:val="18"/>
          <w:szCs w:val="18"/>
          <w:color w:val="auto"/>
        </w:rPr>
        <w:t>means with respect to any SOFR Rate Advance for any Interest Period, a rate per annum equal to the forward-looking term secured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for a period equal in length to such Interest Period as published by the SOFR Administrator on the SOFR Administrator’s Website, or on the appropriate page of such other information service that publishes such rate from time to time as shall be selected by the Bank in its reasonable discretion (in each case, the "</w:t>
      </w:r>
      <w:r>
        <w:rPr>
          <w:rFonts w:ascii="Times New Roman" w:cs="Times New Roman" w:eastAsia="Times New Roman" w:hAnsi="Times New Roman"/>
          <w:sz w:val="18"/>
          <w:szCs w:val="18"/>
          <w:b w:val="1"/>
          <w:bCs w:val="1"/>
          <w:color w:val="auto"/>
        </w:rPr>
        <w:t>SOFR Screen Rate</w:t>
      </w:r>
      <w:r>
        <w:rPr>
          <w:rFonts w:ascii="Times New Roman" w:cs="Times New Roman" w:eastAsia="Times New Roman" w:hAnsi="Times New Roman"/>
          <w:sz w:val="18"/>
          <w:szCs w:val="18"/>
          <w:color w:val="auto"/>
        </w:rPr>
        <w:t xml:space="preserve">") at approximately 5:00 a.m., Chicago time, two (2) Business Days prior to the commencement of such Interest Period;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if any SOFR Screen Rate shall be less than zero, such rate shall be deemed to be zero for the purposes of this Note.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"Unsecured to Secured Rate Adjustment" </w:t>
      </w:r>
      <w:r>
        <w:rPr>
          <w:rFonts w:ascii="Times New Roman" w:cs="Times New Roman" w:eastAsia="Times New Roman" w:hAnsi="Times New Roman"/>
          <w:sz w:val="18"/>
          <w:szCs w:val="18"/>
          <w:color w:val="auto"/>
        </w:rPr>
        <w:t>means, with respect to any SOFR Rate Advance, 0.10% Per Annum.</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Interest Rates. </w:t>
      </w:r>
      <w:r>
        <w:rPr>
          <w:rFonts w:ascii="Times New Roman" w:cs="Times New Roman" w:eastAsia="Times New Roman" w:hAnsi="Times New Roman"/>
          <w:sz w:val="18"/>
          <w:szCs w:val="18"/>
          <w:color w:val="auto"/>
        </w:rPr>
        <w:t>The Advance(s) evidenced by this Note may be drawn down and remain outstanding as up to five (5) SOFR Rate Advances and/or a CB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Floating Rate Advance. The Borrower shall pay interest to the Bank on the outstanding and unpaid principal amount of each CB Floating Rate Advance at the CB Floating Rate plus the Applicable Margin and each SOFR Rate Advance at the Adjusted SOFR Rate plus the Applicable Margin. Interest shall be calculated on the basis of the actual number of days elapsed in a year of 360 days. In no event shall the interest rate applicable to any Advance exceed the maximum rate allowed by law. Any interest payment which would for any reason be deemed unlawful under applicable law shall be applied to principal.</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Benchmarks; No Liability. </w:t>
      </w:r>
      <w:r>
        <w:rPr>
          <w:rFonts w:ascii="Times New Roman" w:cs="Times New Roman" w:eastAsia="Times New Roman" w:hAnsi="Times New Roman"/>
          <w:sz w:val="18"/>
          <w:szCs w:val="18"/>
          <w:color w:val="auto"/>
        </w:rPr>
        <w:t>The interest rate on a SOFR Rate Advance may be derived from an interest rate benchmark that may be discontinued or is,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in the future become, the subject of regulatory reform. Upon the occurrence of a Benchmark Transition Event, the section captioned "Alternate Rate of Interest" below provides a mechanism for determining an alternative rate of interest. The Bank does not warrant or accept any responsibility for, and shall not have any liability with respect to, the administration, submission, performance or any other matter related to any interest rate used in this Note,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Bank and its affiliates and/or other related entities may engage in transactions that affect the calculation of any interest rate used in this Note or any alternative, successor or alternative rate (including any Alternate Rate) and/or any relevant adjustments thereto, in each case, in a manner adverse to the Borrower. The Bank may select information sources or services in its reasonable discretion to ascertain any interest rate used in this Agreement, any component thereof, or rates referenced in the definition thereof, in each case pursuant to the terms of this Note,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Bank Records. </w:t>
      </w:r>
      <w:r>
        <w:rPr>
          <w:rFonts w:ascii="Times New Roman" w:cs="Times New Roman" w:eastAsia="Times New Roman" w:hAnsi="Times New Roman"/>
          <w:sz w:val="18"/>
          <w:szCs w:val="18"/>
          <w:color w:val="auto"/>
        </w:rPr>
        <w:t>The Bank shall, in the ordinary course of business, make notations in its records of the date, amount, interest rate and Interest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Advance hereunder, the amount of each payment on the Advances, and other information. Such records shall, in the absence of manifest error, be conclusive as to the outstanding principal balance of and interest rate or rates applicable to this Note.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Notice and Manner of Electing Interest Rates on Advances. </w:t>
      </w:r>
      <w:r>
        <w:rPr>
          <w:rFonts w:ascii="Times New Roman" w:cs="Times New Roman" w:eastAsia="Times New Roman" w:hAnsi="Times New Roman"/>
          <w:sz w:val="18"/>
          <w:szCs w:val="18"/>
          <w:color w:val="auto"/>
        </w:rPr>
        <w:t>The Borrower shall give the Bank written notice in accordance with established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(effective upon receipt) of the Borrower's intent to draw down an Advance under this Note no later than 2:00 p.m. Central time, on the date of disbursement, if the full amount of the drawn Advance is to be disbursed as a CB Floating Rate Advance and no later than 11:00 a.m. Central time three (3) Business Days before disbursement, if any part of such Advance is to be disbursed as a SOFR Rate Advance. The Borrower's notice must specify: (a) the disbursement date, (b) the amount of each Advance, (c) the type of each Advance (CB Floating Rate Advance or SOFR Rate Advance), and (d) for each SOFR Rate Advance, the duration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 may not elect an Interest Period ending after the maturity date of this Note. Each SOFR Rate Advance shall be in a minimum amount of One Hundred Thousand and 00/100 Dollars ($100,000.00). All notices under this paragraph are irrevocable. By the Bank's close of business on the disbursement date and upon fulfillment of the conditions set forth herein and in any other of the Related Documents, the Bank shall disburse the requested Advances in immediately available funds by crediting the amount of such Advances to the Borrower's account with the Bank.</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Conversion and Renewals. </w:t>
      </w:r>
      <w:r>
        <w:rPr>
          <w:rFonts w:ascii="Times New Roman" w:cs="Times New Roman" w:eastAsia="Times New Roman" w:hAnsi="Times New Roman"/>
          <w:sz w:val="18"/>
          <w:szCs w:val="18"/>
          <w:color w:val="auto"/>
        </w:rPr>
        <w:t>The Borrower may elect from time to time to convert one type of Advance into another or to renew any Advance by giving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written notice no later than 2:00 p.m. Central time, on the date of the conversion into or renewal of a CB Floating Rate Advance and 11:00 a.m. Central time three (3) Business Days before conversion into or renewal of a SOFR Rate Advance, specifying: (a) the renewal or conversion date, (b) the amount of the Advance to be converted or renewed, (c) in the case of conversion, the type of Advance to be converted into (CB Floating Rate Advance or SOFR Rate Advance), and (d) in the case of renewals of or conversion into a SOFR Rate Advance, the applicable Interest Period, provided that (i) the minimum principal amount of each SOFR Rate Advance outstanding after a renewal or conversion shall be One Hundred Thousand and 00/100 Dollars ($100,000.00); (ii) a SOFR Rate Advance can only be converted on the last day of the Interest Period for the Advance; and (iii) the Borrower may not elect an Interest Period ending after the maturity date of this Note. All notices given under this paragraph are irrevocable. If the Borrower fails to give the Bank the notice specified above for the renewal or conversion of a SOFR Rate Advance by 11:00 a.m. Central time three (3) Business Days before the end of the Interest Period for that Advance, the Advance shall automatically be converted to a CB Floating Rate Advance on the last day of the Interest Period for the Advance.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Illegality/Temporary Unavailability. If:</w:t>
      </w:r>
    </w:p>
    <w:p>
      <w:pPr>
        <w:spacing w:after="0" w:line="229" w:lineRule="exact"/>
        <w:rPr>
          <w:sz w:val="20"/>
          <w:szCs w:val="20"/>
          <w:color w:val="auto"/>
        </w:rPr>
      </w:pPr>
    </w:p>
    <w:p>
      <w:pPr>
        <w:jc w:val="both"/>
        <w:ind w:left="500" w:hanging="492"/>
        <w:spacing w:after="0" w:line="261"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domestic or foreign law, treaty, rule or regulation now or later in effect (whether or not it now applies to the Bank) or the interpretation or administration thereof by a governmental authority charged with such interpretation or administration, or compliance by the Bank with any guideline, request or directive of such an authority (whether or not having the force of law), shall make it unlawful or impossible for the Bank to maintain or fund the SOFR Rate Advances, or</w:t>
      </w:r>
    </w:p>
    <w:p>
      <w:pPr>
        <w:spacing w:after="0" w:line="17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determines (which determination shall be conclusive absent manifest error) that adequate and reasonable means do not exist for ascertaining the SOFR Rate (including because the SOFR Screen Rate is not available or published on a current basis), for the applicable Interest Period; or</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 determines the SOFR Rate will not adequately and fairly reflect the cost to the Bank of making or maintaining SOFR Rate Advances for such Interest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the Bank shall give notice thereof to the Borrower as promptly as practicable thereafter and, until the Bank notifies the Borrower that the circumstances giving rise to such notice no longer exist, (A) any Advance request that requests the conversion of any Advance, or continuation of any Advance as, a SOFR Rate Advance shall be ineffective and any such SOFR Rate Advance shall be repaid or converted into a CB Floating Rate Advance on the last day of the then current Interest Period applicable thereto, and (B) if any Advance request that requests a SOFR Rate Advance, such Advance shall, subject to the terms and conditions of this Note and the other Related Documents, be made as a CB Floating Rate Advance.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Alternate Rate of Interest. </w:t>
      </w:r>
      <w:r>
        <w:rPr>
          <w:rFonts w:ascii="Times New Roman" w:cs="Times New Roman" w:eastAsia="Times New Roman" w:hAnsi="Times New Roman"/>
          <w:sz w:val="18"/>
          <w:szCs w:val="18"/>
          <w:color w:val="auto"/>
        </w:rPr>
        <w:t>If a Benchmark Transition Event occurs, Bank may, by notice to Borrower, amend this Note to establish an alternate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for SOFR that gives due consideration to the then-evolving or prevailing market convention for determining a rate of interest for commercial loans in US Dollars at such time (the "</w:t>
      </w: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Borrower acknowledges that the Alternate Rate may include a mathematical adjustment using any then-evolving or prevailing market convention or method for determining a spread adjustment for the replacement of SOFR (which may include, if SOFR already contains such a spread, adding that spread to the Alternate Rate). The Bank may further amend the Note by such notice to Borrower to make technical, administrative or operational changes (including, without limitation, changes to the definition of "CB Floating Rate", the definition of "Interest Period", timing and frequency of determining rates and making payments of interest) that the Bank decides in its reasonable discretion may be appropriate to reflect the adoption and implementation of the Alternate Rate. The Alternate Rate, together with all such technical, administrative and operational changes as specified in any notice, shall become effective at the later of (i) the fifth Business Day after the Bank has provided notice (including without limitation for this purpose, by electronic means) to the Borrower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and (ii) a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by the Bank in the notice, without any further action or consent of the Borrower, so long as Bank has not received, by 5:00 pm Eastern time on the Notice Date, written notice of objection to the Alternate Rate from the Borrower. If, on the date SOFR actually becomes permanently unavailable pursuant to a Benchmark Transition Event, an Alternate Rate has not been established in this manner, Advances will, until an Alternate Rate is so established, bear interest at the CB Floating Rate. In no event shall the Alternate Rate be less than zero.</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a rate replacement described in the paragraph above, Bank may from time to time, upon written notice to Borrower, make any further technical, administrative or operational changes to this Note (including changes to the definition of "CB Floating Rate", the definition of "Business Day", the timing and frequency of determining rates and making payments of interest, the timing of prepayment or conversion notices, the length of lookback periods, the applicability of breakage provisions and other technical, administrative or operational matters) that Bank decides may be appropriate to reflect the adoption and implementation of such rate replacement and to permit the administration thereof by Bank.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determinations by Bank under this section shall be conclusive and binding absent manifest error.</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Payments. </w:t>
      </w:r>
      <w:r>
        <w:rPr>
          <w:rFonts w:ascii="Times New Roman" w:cs="Times New Roman" w:eastAsia="Times New Roman" w:hAnsi="Times New Roman"/>
          <w:sz w:val="18"/>
          <w:szCs w:val="18"/>
          <w:color w:val="auto"/>
        </w:rPr>
        <w:t>Interest on the Advances shall be paid on the ***IF SOFR CBF Payment Day Selection[TempCounterNum] = "Specific Day"***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month, beginning with the first month following disbursement of the Advance, whether the Advance is a CB Floating Rate Advance or SOFR Rate Advance.</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Principal Payments. </w:t>
      </w:r>
      <w:r>
        <w:rPr>
          <w:rFonts w:ascii="Times New Roman" w:cs="Times New Roman" w:eastAsia="Times New Roman" w:hAnsi="Times New Roman"/>
          <w:sz w:val="18"/>
          <w:szCs w:val="18"/>
          <w:color w:val="auto"/>
        </w:rPr>
        <w:t>All outstanding principal and interest is due and payable in full on January 5, 2026, which is defined herein as the "Principal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Default Rate of Interest. </w:t>
      </w:r>
      <w:r>
        <w:rPr>
          <w:rFonts w:ascii="Times New Roman" w:cs="Times New Roman" w:eastAsia="Times New Roman" w:hAnsi="Times New Roman"/>
          <w:sz w:val="18"/>
          <w:szCs w:val="18"/>
          <w:color w:val="auto"/>
        </w:rPr>
        <w:t>After a default has occurred under this Note, whether or not the Bank elects to accelerate the maturity of this Note because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default, all Advances outstanding under this Note, shall bear interest at a Per Annum rate equal to the interest rate being charged on each such Advance plus three percent (3.00%) from the date the Bank elects to impose such rate. Imposition of this rate shall not affect any limitations contained in this Note on the Borrower's right to repay principal on any SOFR Rate Advance before the expiration of the Interest Period for each such Advance.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Prepayment/Funding Loss Indemnification. </w:t>
      </w:r>
      <w:r>
        <w:rPr>
          <w:rFonts w:ascii="Times New Roman" w:cs="Times New Roman" w:eastAsia="Times New Roman" w:hAnsi="Times New Roman"/>
          <w:sz w:val="18"/>
          <w:szCs w:val="18"/>
          <w:color w:val="auto"/>
        </w:rPr>
        <w:t>The Borrower may prepay all or any part of any CB Floating Rate Advance at any time without premium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penalty.</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Borrower shall pay the Bank amounts sufficient (in the Bank's reasonable opinion) to compensate the Bank for any loss, cost, or expense incurred as a result of:</w:t>
      </w:r>
    </w:p>
    <w:p>
      <w:pPr>
        <w:spacing w:after="0" w:line="162" w:lineRule="exact"/>
        <w:rPr>
          <w:sz w:val="20"/>
          <w:szCs w:val="20"/>
          <w:color w:val="auto"/>
        </w:rPr>
      </w:pPr>
    </w:p>
    <w:p>
      <w:pPr>
        <w:ind w:firstLine="8"/>
        <w:spacing w:after="0" w:line="282" w:lineRule="auto"/>
        <w:tabs>
          <w:tab w:leader="none" w:pos="4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a SOFR Rate Advance on a date other than the last day of the Interest Period for the Advance, including, without limitation, acceleration of the Advances by the Bank pursuant to this Note or the other Related Documents; or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Borrower to borrow or renew a SOFR Rate Advance on the date specified in the relevant notice from the Borrower to the Bank.</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Obligations Due on Non-Business Day. </w:t>
      </w:r>
      <w:r>
        <w:rPr>
          <w:rFonts w:ascii="Times New Roman" w:cs="Times New Roman" w:eastAsia="Times New Roman" w:hAnsi="Times New Roman"/>
          <w:sz w:val="18"/>
          <w:szCs w:val="18"/>
          <w:color w:val="auto"/>
        </w:rPr>
        <w:t>Whenever any payment under this Note becomes due and payable on a day that is not a Business Day, if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default then exists under this Note, the maturity of the payment shall be extended to the next succeeding Business Day, except, in the case of a SOFR Rate Advance, if the result of the extension would be to extend the payment into another calendar month, the payment must be made on the immediately preceding Business Day.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Matters Regarding Payment. </w:t>
      </w:r>
      <w:r>
        <w:rPr>
          <w:rFonts w:ascii="Times New Roman" w:cs="Times New Roman" w:eastAsia="Times New Roman" w:hAnsi="Times New Roman"/>
          <w:sz w:val="18"/>
          <w:szCs w:val="18"/>
          <w:color w:val="auto"/>
        </w:rPr>
        <w:t>The Borrower will pay the Bank at the Bank's address shown above or at such other place as the Bank may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shall be allocated among principal, interest and fees at the discretion of the Bank unless otherwise agreed or required by applicable law. Acceptance by the Bank of any payment which is less than the payment due at the time shall not constitute a waiver of the Bank's right to receive payment in full at that time or any other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Authorization for Direct Payments (ACH Debits). </w:t>
      </w:r>
      <w:r>
        <w:rPr>
          <w:rFonts w:ascii="Times New Roman" w:cs="Times New Roman" w:eastAsia="Times New Roman" w:hAnsi="Times New Roman"/>
          <w:sz w:val="18"/>
          <w:szCs w:val="18"/>
          <w:color w:val="auto"/>
        </w:rPr>
        <w:t>To effectuate any payment due under this Note or under any other Related Documents, the Borrower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hereby authorizes the Bank to initiate debit entries to Account Number at the Bank and to debit the same to such account. This authorization to initiate debit entries shall remain in full force and effect until the Bank has received written notification of its termination in such time and in such manner as to afford the Bank a reasonable opportunity to act on it. The Borrower represents that the Borrower is and will be the owner of all funds in such account. The Borrower acknowledges:</w:t>
      </w:r>
    </w:p>
    <w:p>
      <w:pPr>
        <w:spacing w:after="0" w:line="189" w:lineRule="exact"/>
        <w:rPr>
          <w:sz w:val="20"/>
          <w:szCs w:val="20"/>
          <w:color w:val="auto"/>
        </w:rPr>
      </w:pPr>
    </w:p>
    <w:p>
      <w:pPr>
        <w:jc w:val="both"/>
        <w:ind w:firstLine="8"/>
        <w:spacing w:after="0" w:line="266" w:lineRule="auto"/>
        <w:tabs>
          <w:tab w:leader="none" w:pos="27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debit entries may cause an overdraft of such account which may result in the Bank's refusal to honor items drawn on such account until adequate deposits are made to such account; (2) that the Bank is under no duty or obligation to initiate any debit entry for any purpose; and (3) that if a debit is not made because the above-referenced account does not have a sufficient available balance, or otherwise, the payment may be late or past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Late Fee</w:t>
      </w:r>
      <w:r>
        <w:rPr>
          <w:rFonts w:ascii="Times New Roman" w:cs="Times New Roman" w:eastAsia="Times New Roman" w:hAnsi="Times New Roman"/>
          <w:sz w:val="18"/>
          <w:szCs w:val="18"/>
          <w:color w:val="auto"/>
        </w:rPr>
        <w:t>. Any principal or interest which is not paid within 10 days after its due date (whether as stated, by acceleration or otherwise) shall be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 payment charge of five percent (5.00%) of the total payment due, in addition to the payment of interest, up to the maximum amount of One Thousand Five Hundred and 00/100 Dollars ($1,500.00) per late charge. The Borrower agrees to pay and stipulates that five percent (5.00%) of the total payment due is a reasonable amount for a late payment charge. The Borrower shall pay the late payment charge upon demand by the Bank or, if billed, within the time specified.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Purpose of Loan. </w:t>
      </w:r>
      <w:r>
        <w:rPr>
          <w:rFonts w:ascii="Times New Roman" w:cs="Times New Roman" w:eastAsia="Times New Roman" w:hAnsi="Times New Roman"/>
          <w:sz w:val="18"/>
          <w:szCs w:val="18"/>
          <w:color w:val="auto"/>
        </w:rPr>
        <w:t>The Borrower acknowledges and agrees that this Note evidences a loan for a business, commercial, agricultural or similar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enterprise purpose, and that no advance shall be used for any personal, family or household purpose. The proceeds of the loan shall be used only for the Borrower's general corporate purposes.</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Facility. </w:t>
      </w:r>
      <w:r>
        <w:rPr>
          <w:rFonts w:ascii="Times New Roman" w:cs="Times New Roman" w:eastAsia="Times New Roman" w:hAnsi="Times New Roman"/>
          <w:sz w:val="18"/>
          <w:szCs w:val="18"/>
          <w:color w:val="auto"/>
        </w:rPr>
        <w:t>The Bank has approved a credit facility to the Borrower in a principal amount not to exceed the face amount of this Note. The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facility is in the form of advances made from time to time by the Bank to the Borrower. This Note evidences the Borrower's obligation to repay those advances. The aggregate principal amount of debt evidenced by this Note is the amount reflected from time to time in the records of the Bank. Until the earliest to occur of maturity, any default, event of default, or any event that would constitute a default or event of default but for the giving of notice, the lapse of time or both, the Borrower may borrow, pay down and reborrow under this Note subject to the terms of the Related Documents.</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Renewal and Extension. </w:t>
      </w:r>
      <w:r>
        <w:rPr>
          <w:rFonts w:ascii="Times New Roman" w:cs="Times New Roman" w:eastAsia="Times New Roman" w:hAnsi="Times New Roman"/>
          <w:sz w:val="18"/>
          <w:szCs w:val="18"/>
          <w:color w:val="auto"/>
        </w:rPr>
        <w:t>This Note is given in replacement, renewal and/or extension of, but not in extinguishment of the indebtedness evidenced by,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 of Credit Note dated December 21, 2023 executed by the Borrower in the original principal amount of Ten Million and 00/100 Dollars ($10,000,000.00), including previous renewals or modifications thereof, if any (the "Prior Note" and together with all loan agreements, credit agreements, reimbursement agreements, security agreements, mortgages, deeds of trust, pledge agreements, assignments, guaranties, and any other instrument or document executed in connection with the Prior Note, the "Prior Related Documents"), and is not a novation thereof. All interest evidenced by the Prior Note shall continue to be due and payable until paid. The Borrower fully, finally, and forever releases and discharges the Bank and its successors, assigns, directors, officers, employees, agents, and representatives (each a "Bank Party") from any and all causes of action, claims, debts, demands, and liabilities, of whatever kind or nature, in law or equity, of the Borrower, whether now known or unknown to the Borrower (i) in respect of the Liabilities evidenced by the Prior Note and the Prior Related Documents, or of the actions or omissions of any Bank Party in any manner related to the Liabilities evidenced by the Prior Note or the Prior Related Documents and (ii) arising from events occurring prior to the date of this Note. If applicable, all Collateral continues to secure the payment of this Note and the Liabilities. The provisions of this Note are effective on the date that this Note has been executed by all of the signers and delivered to the Bank.</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Note binds the Borrower and its successors, and benefits the Bank, its successors and assigns. Any reference to the Bank includes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of this Note. This Note is subject to that certain Credit Agreement by and between the Borrower and the Bank, dated December 19, 2022, and all amendments, restatements and replacements thereof (the "Credit Agreement") to which reference is hereby made for a more complete statement of the terms and conditions under which the loan evidenced hereby is made and is to be repaid. The terms and provisions of the Credit Agreement are hereby incorporated and made a part hereof by this reference thereto with the same force and effect as if set forth at length herein. No reference to the Credit Agreement and no provisions of this Note or the Credit Agreement shall alter or impair the absolute and unconditional obligation of the Borrower to pay the principal and interest on this Note as herein prescribed. Capitalized terms not otherwise defined herein shall have the meanings assigned to such terms in the Credit Agreement. If any one or more of the obligations of the Borrower under this Note or any provision hereof is held to be invalid, illegal or unenforceable in any jurisdiction, the validity, legality and enforceability of the remaining obligations of the Borrower and the remaining provisions shall not in any way be affected or impaired; and the invalidity, illegality or unenforceability in one jurisdiction shall not affect the validity, legality or enforceability of such obligations or provisions in any other jurisdiction. Time is of the essence under this Note and in the performance of every term, covenant and obligation contained herein.</w:t>
      </w:r>
    </w:p>
    <w:p>
      <w:pPr>
        <w:spacing w:after="0" w:line="1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4201 Woodland 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MN 55014-1794</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Northern Technologies International Corporation</w:t>
      </w:r>
    </w:p>
    <w:p>
      <w:pPr>
        <w:spacing w:after="0" w:line="225" w:lineRule="exact"/>
        <w:rPr>
          <w:sz w:val="20"/>
          <w:szCs w:val="20"/>
          <w:color w:val="auto"/>
        </w:rPr>
      </w:pPr>
    </w:p>
    <w:tbl>
      <w:tblPr>
        <w:tblLayout w:type="fixed"/>
        <w:tblInd w:w="27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Matt Wolsfeld</w:t>
            </w:r>
          </w:p>
        </w:tc>
        <w:tc>
          <w:tcPr>
            <w:tcW w:w="0" w:type="dxa"/>
            <w:vAlign w:val="bottom"/>
          </w:tcPr>
          <w:p>
            <w:pPr>
              <w:spacing w:after="0"/>
              <w:rPr>
                <w:sz w:val="1"/>
                <w:szCs w:val="1"/>
                <w:color w:val="auto"/>
              </w:rPr>
            </w:pPr>
          </w:p>
        </w:tc>
      </w:tr>
      <w:tr>
        <w:trPr>
          <w:trHeight w:val="25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Printed</w:t>
            </w: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Wolsfeld</w:t>
            </w:r>
          </w:p>
        </w:tc>
        <w:tc>
          <w:tcPr>
            <w:tcW w:w="0" w:type="dxa"/>
            <w:vAlign w:val="bottom"/>
          </w:tcPr>
          <w:p>
            <w:pPr>
              <w:spacing w:after="0"/>
              <w:rPr>
                <w:sz w:val="1"/>
                <w:szCs w:val="1"/>
                <w:color w:val="auto"/>
              </w:rPr>
            </w:pPr>
          </w:p>
        </w:tc>
      </w:tr>
      <w:tr>
        <w:trPr>
          <w:trHeight w:val="162"/>
        </w:trPr>
        <w:tc>
          <w:tcPr>
            <w:tcW w:w="6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18"/>
                <w:szCs w:val="18"/>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&amp; Secretary</w:t>
            </w:r>
          </w:p>
        </w:tc>
        <w:tc>
          <w:tcPr>
            <w:tcW w:w="0" w:type="dxa"/>
            <w:vAlign w:val="bottom"/>
          </w:tcPr>
          <w:p>
            <w:pPr>
              <w:spacing w:after="0"/>
              <w:rPr>
                <w:sz w:val="1"/>
                <w:szCs w:val="1"/>
                <w:color w:val="auto"/>
              </w:rPr>
            </w:pP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Date</w:t>
            </w:r>
          </w:p>
        </w:tc>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January 6, 2025</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Signed:</w:t>
            </w:r>
          </w:p>
        </w:tc>
        <w:tc>
          <w:tcPr>
            <w:tcW w:w="56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00" w:hanging="492"/>
        <w:spacing w:after="0"/>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120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right="20" w:hanging="6"/>
        <w:spacing w:after="0" w:line="266" w:lineRule="auto"/>
        <w:tabs>
          <w:tab w:leader="none" w:pos="12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132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128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14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129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10, 2025</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191"/>
        </w:trPr>
        <w:tc>
          <w:tcPr>
            <w:tcW w:w="5640" w:type="dxa"/>
            <w:vAlign w:val="bottom"/>
          </w:tcPr>
          <w:p>
            <w:pPr>
              <w:spacing w:after="0"/>
              <w:rPr>
                <w:sz w:val="16"/>
                <w:szCs w:val="16"/>
                <w:color w:val="auto"/>
              </w:rPr>
            </w:pP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4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4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00" w:hanging="492"/>
        <w:spacing w:after="0"/>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114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12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124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right="20" w:hanging="6"/>
        <w:spacing w:after="0" w:line="266" w:lineRule="auto"/>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20" w:hanging="492"/>
        <w:spacing w:after="0" w:line="282"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132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121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1342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January 10, 2025</w:t>
      </w:r>
      <w:r>
        <w:rPr>
          <w:sz w:val="20"/>
          <w:szCs w:val="20"/>
          <w:color w:val="auto"/>
        </w:rPr>
        <w:tab/>
      </w:r>
      <w:r>
        <w:rPr>
          <w:rFonts w:ascii="Times New Roman" w:cs="Times New Roman" w:eastAsia="Times New Roman" w:hAnsi="Times New Roman"/>
          <w:sz w:val="17"/>
          <w:szCs w:val="17"/>
          <w:color w:val="auto"/>
        </w:rPr>
        <w:t>Matthew C. Wolsfeld, CPA</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and Corporate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2024,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p>
      <w:pPr>
        <w:sectPr>
          <w:pgSz w:w="11900" w:h="16838" w:orient="portrait"/>
          <w:cols w:equalWidth="0" w:num="1">
            <w:col w:w="11240"/>
          </w:cols>
          <w:pgMar w:left="320" w:top="117" w:right="339" w:bottom="1440" w:gutter="0" w:footer="0" w:header="0"/>
        </w:sectPr>
      </w:pPr>
    </w:p>
    <w:bookmarkStart w:id="48" w:name="page49"/>
    <w:bookmarkEnd w:id="48"/>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November 30, 2024,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980" w:hanging="486"/>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10,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6"/>
    </w:lvl>
  </w:abstractNum>
  <w:abstractNum w:abstractNumId="7">
    <w:nsid w:val="628C895D"/>
    <w:multiLevelType w:val="hybridMultilevel"/>
    <w:lvl w:ilvl="0">
      <w:lvlJc w:val="left"/>
      <w:lvlText w:val="%1."/>
      <w:numFmt w:val="decimal"/>
      <w:start w:val="7"/>
    </w:lvl>
  </w:abstractNum>
  <w:abstractNum w:abstractNumId="8">
    <w:nsid w:val="333AB105"/>
    <w:multiLevelType w:val="hybridMultilevel"/>
    <w:lvl w:ilvl="0">
      <w:lvlJc w:val="left"/>
      <w:lvlText w:val="%1."/>
      <w:numFmt w:val="decimal"/>
      <w:start w:val="8"/>
    </w:lvl>
  </w:abstractNum>
  <w:abstractNum w:abstractNumId="9">
    <w:nsid w:val="721DA317"/>
    <w:multiLevelType w:val="hybridMultilevel"/>
    <w:lvl w:ilvl="0">
      <w:lvlJc w:val="left"/>
      <w:lvlText w:val="%1."/>
      <w:numFmt w:val="decimal"/>
      <w:start w:val="9"/>
    </w:lvl>
  </w:abstractNum>
  <w:abstractNum w:abstractNumId="10">
    <w:nsid w:val="2443A858"/>
    <w:multiLevelType w:val="hybridMultilevel"/>
    <w:lvl w:ilvl="0">
      <w:lvlJc w:val="left"/>
      <w:lvlText w:val="%1."/>
      <w:numFmt w:val="decimal"/>
      <w:start w:val="10"/>
    </w:lvl>
  </w:abstractNum>
  <w:abstractNum w:abstractNumId="11">
    <w:nsid w:val="2D1D5AE9"/>
    <w:multiLevelType w:val="hybridMultilevel"/>
    <w:lvl w:ilvl="0">
      <w:lvlJc w:val="left"/>
      <w:lvlText w:val="%1."/>
      <w:numFmt w:val="decimal"/>
      <w:start w:val="11"/>
    </w:lvl>
  </w:abstractNum>
  <w:abstractNum w:abstractNumId="12">
    <w:nsid w:val="6763845E"/>
    <w:multiLevelType w:val="hybridMultilevel"/>
    <w:lvl w:ilvl="0">
      <w:lvlJc w:val="left"/>
      <w:lvlText w:val="%1."/>
      <w:numFmt w:val="decimal"/>
      <w:start w:val="12"/>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5"/>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0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decimal"/>
      <w:start w:val="8"/>
    </w:lvl>
  </w:abstractNum>
  <w:abstractNum w:abstractNumId="25">
    <w:nsid w:val="8138641"/>
    <w:multiLevelType w:val="hybridMultilevel"/>
    <w:lvl w:ilvl="0">
      <w:lvlJc w:val="left"/>
      <w:lvlText w:val="%1."/>
      <w:numFmt w:val="decimal"/>
      <w:start w:val="13"/>
    </w:lvl>
  </w:abstractNum>
  <w:abstractNum w:abstractNumId="26">
    <w:nsid w:val="1E7FF521"/>
    <w:multiLevelType w:val="hybridMultilevel"/>
    <w:lvl w:ilvl="0">
      <w:lvlJc w:val="left"/>
      <w:lvlText w:val="(%1)"/>
      <w:numFmt w:val="lowerRoman"/>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upperLetter"/>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52" Type="http://schemas.openxmlformats.org/officeDocument/2006/relationships/hyperlink" Target="http://www.sec.gov/Archives/edgar/data/875582/000117184324006440/ex_74887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2025-01-10T15:11:24Z</dcterms:created>
  <dcterms:modified xsi:type="dcterms:W3CDTF">2025-01-10T15:11:24Z</dcterms:modified>
</cp:coreProperties>
</file>