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30,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For the transition period from ________________ to __________________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3"/>
        </w:trPr>
        <w:tc>
          <w:tcPr>
            <w:tcW w:w="3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189"/>
        </w:trPr>
        <w:tc>
          <w:tcPr>
            <w:tcW w:w="374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11, 2024, there were 9,427,598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30,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20" w:type="dxa"/>
            <w:vAlign w:val="bottom"/>
            <w:tcBorders>
              <w:top w:val="single" w:sz="8" w:color="0000EE"/>
            </w:tcBorders>
            <w:gridSpan w:val="2"/>
          </w:tcPr>
          <w:p>
            <w:pPr>
              <w:spacing w:after="0"/>
              <w:rPr>
                <w:sz w:val="24"/>
                <w:szCs w:val="24"/>
                <w:color w:val="auto"/>
              </w:rPr>
            </w:pPr>
          </w:p>
        </w:tc>
        <w:tc>
          <w:tcPr>
            <w:tcW w:w="24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0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November 30, 2023 (unaudited) and August 31, 2023</w:t>
            </w:r>
          </w:p>
        </w:tc>
        <w:tc>
          <w:tcPr>
            <w:tcW w:w="3120" w:type="dxa"/>
            <w:vAlign w:val="bottom"/>
            <w:gridSpan w:val="6"/>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(unaudited) for the Three Months Ended November 30, 2023 and 2022</w:t>
            </w:r>
          </w:p>
        </w:tc>
        <w:tc>
          <w:tcPr>
            <w:tcW w:w="1540" w:type="dxa"/>
            <w:vAlign w:val="bottom"/>
            <w:gridSpan w:val="3"/>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(unaudited) for the Three Months Ended November 30, 2023 and 2022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Consolidated Statements of Equity (unaudited) for the Three Months Ended November 30, 2023 and 2022</w:t>
            </w:r>
          </w:p>
        </w:tc>
        <w:tc>
          <w:tcPr>
            <w:tcW w:w="620" w:type="dxa"/>
            <w:vAlign w:val="bottom"/>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(unaudited) for the Three Months Ended November 30, 2023 and 2022</w:t>
            </w:r>
          </w:p>
        </w:tc>
        <w:tc>
          <w:tcPr>
            <w:tcW w:w="1480" w:type="dxa"/>
            <w:vAlign w:val="bottom"/>
            <w:gridSpan w:val="2"/>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4000" w:type="dxa"/>
            <w:vAlign w:val="bottom"/>
            <w:gridSpan w:val="7"/>
          </w:tcPr>
          <w:p>
            <w:pPr>
              <w:spacing w:after="0"/>
              <w:rPr>
                <w:sz w:val="24"/>
                <w:szCs w:val="24"/>
                <w:color w:val="auto"/>
              </w:rPr>
            </w:pPr>
          </w:p>
        </w:tc>
        <w:tc>
          <w:tcPr>
            <w:tcW w:w="1480" w:type="dxa"/>
            <w:vAlign w:val="bottom"/>
            <w:gridSpan w:val="2"/>
          </w:tcPr>
          <w:p>
            <w:pPr>
              <w:spacing w:after="0"/>
              <w:rPr>
                <w:sz w:val="24"/>
                <w:szCs w:val="24"/>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20" w:type="dxa"/>
            <w:vAlign w:val="bottom"/>
            <w:gridSpan w:val="2"/>
          </w:tcPr>
          <w:p>
            <w:pPr>
              <w:spacing w:after="0"/>
              <w:rPr>
                <w:sz w:val="24"/>
                <w:szCs w:val="24"/>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15</w:t>
            </w: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20" w:type="dxa"/>
            <w:vAlign w:val="bottom"/>
            <w:gridSpan w:val="2"/>
          </w:tcPr>
          <w:p>
            <w:pPr>
              <w:spacing w:after="0"/>
              <w:rPr>
                <w:sz w:val="24"/>
                <w:szCs w:val="24"/>
                <w:color w:val="auto"/>
              </w:rPr>
            </w:pPr>
          </w:p>
        </w:tc>
        <w:tc>
          <w:tcPr>
            <w:tcW w:w="4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tcBorders>
              <w:top w:val="single" w:sz="8" w:color="0000EE"/>
            </w:tcBorders>
            <w:gridSpan w:val="2"/>
          </w:tcPr>
          <w:p>
            <w:pPr>
              <w:spacing w:after="0"/>
              <w:rPr>
                <w:sz w:val="24"/>
                <w:szCs w:val="24"/>
                <w:color w:val="auto"/>
              </w:rPr>
            </w:pPr>
          </w:p>
        </w:tc>
        <w:tc>
          <w:tcPr>
            <w:tcW w:w="3040" w:type="dxa"/>
            <w:vAlign w:val="bottom"/>
            <w:gridSpan w:val="5"/>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20" w:type="dxa"/>
            <w:vAlign w:val="bottom"/>
            <w:gridSpan w:val="2"/>
          </w:tcPr>
          <w:p>
            <w:pPr>
              <w:spacing w:after="0"/>
              <w:rPr>
                <w:sz w:val="24"/>
                <w:szCs w:val="24"/>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2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80" w:type="dxa"/>
            <w:vAlign w:val="bottom"/>
            <w:tcBorders>
              <w:top w:val="single" w:sz="8" w:color="0000EE"/>
            </w:tcBorders>
            <w:gridSpan w:val="3"/>
          </w:tcPr>
          <w:p>
            <w:pPr>
              <w:spacing w:after="0"/>
              <w:rPr>
                <w:sz w:val="24"/>
                <w:szCs w:val="24"/>
                <w:color w:val="auto"/>
              </w:rPr>
            </w:pPr>
          </w:p>
        </w:tc>
        <w:tc>
          <w:tcPr>
            <w:tcW w:w="7380" w:type="dxa"/>
            <w:vAlign w:val="bottom"/>
            <w:gridSpan w:val="12"/>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r>
      <w:tr>
        <w:trPr>
          <w:trHeight w:val="412"/>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20" w:type="dxa"/>
            <w:vAlign w:val="bottom"/>
            <w:gridSpan w:val="2"/>
          </w:tcPr>
          <w:p>
            <w:pPr>
              <w:spacing w:after="0"/>
              <w:rPr>
                <w:sz w:val="24"/>
                <w:szCs w:val="24"/>
                <w:color w:val="auto"/>
              </w:rPr>
            </w:pPr>
          </w:p>
        </w:tc>
        <w:tc>
          <w:tcPr>
            <w:tcW w:w="43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160" w:type="dxa"/>
            <w:vAlign w:val="bottom"/>
            <w:gridSpan w:val="8"/>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20" w:type="dxa"/>
            <w:vAlign w:val="bottom"/>
            <w:gridSpan w:val="2"/>
          </w:tcPr>
          <w:p>
            <w:pPr>
              <w:spacing w:after="0"/>
              <w:rPr>
                <w:sz w:val="24"/>
                <w:szCs w:val="24"/>
                <w:color w:val="auto"/>
              </w:rPr>
            </w:pPr>
          </w:p>
        </w:tc>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180" w:type="dxa"/>
            <w:vAlign w:val="bottom"/>
            <w:gridSpan w:val="11"/>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2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20" w:type="dxa"/>
            <w:vAlign w:val="bottom"/>
            <w:gridSpan w:val="2"/>
          </w:tcPr>
          <w:p>
            <w:pPr>
              <w:spacing w:after="0"/>
              <w:rPr>
                <w:sz w:val="24"/>
                <w:szCs w:val="24"/>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900" w:type="dxa"/>
            <w:vAlign w:val="bottom"/>
            <w:gridSpan w:val="18"/>
          </w:tcPr>
          <w:p>
            <w:pPr>
              <w:spacing w:after="0"/>
              <w:rPr>
                <w:sz w:val="24"/>
                <w:szCs w:val="24"/>
                <w:color w:val="auto"/>
              </w:rPr>
            </w:pPr>
          </w:p>
        </w:tc>
        <w:tc>
          <w:tcPr>
            <w:tcW w:w="82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37"/>
        </w:trPr>
        <w:tc>
          <w:tcPr>
            <w:tcW w:w="1160" w:type="dxa"/>
            <w:vAlign w:val="bottom"/>
            <w:tcBorders>
              <w:top w:val="single" w:sz="8" w:color="0000EE"/>
            </w:tcBorders>
          </w:tcPr>
          <w:p>
            <w:pPr>
              <w:spacing w:after="0"/>
              <w:rPr>
                <w:sz w:val="20"/>
                <w:szCs w:val="20"/>
                <w:color w:val="auto"/>
              </w:rPr>
            </w:pPr>
          </w:p>
        </w:tc>
        <w:tc>
          <w:tcPr>
            <w:tcW w:w="1860" w:type="dxa"/>
            <w:vAlign w:val="bottom"/>
          </w:tcPr>
          <w:p>
            <w:pPr>
              <w:spacing w:after="0"/>
              <w:rPr>
                <w:sz w:val="20"/>
                <w:szCs w:val="20"/>
                <w:color w:val="auto"/>
              </w:rPr>
            </w:pPr>
          </w:p>
        </w:tc>
        <w:tc>
          <w:tcPr>
            <w:tcW w:w="8040" w:type="dxa"/>
            <w:vAlign w:val="bottom"/>
          </w:tcPr>
          <w:p>
            <w:pPr>
              <w:jc w:val="right"/>
              <w:ind w:right="4590"/>
              <w:spacing w:after="0"/>
              <w:rPr>
                <w:sz w:val="20"/>
                <w:szCs w:val="20"/>
                <w:color w:val="auto"/>
              </w:rPr>
            </w:pPr>
            <w:r>
              <w:rPr>
                <w:rFonts w:ascii="Times New Roman" w:cs="Times New Roman" w:eastAsia="Times New Roman" w:hAnsi="Times New Roman"/>
                <w:sz w:val="18"/>
                <w:szCs w:val="18"/>
                <w:color w:val="auto"/>
              </w:rPr>
              <w:t>_________________</w:t>
            </w:r>
          </w:p>
        </w:tc>
        <w:tc>
          <w:tcPr>
            <w:tcW w:w="180" w:type="dxa"/>
            <w:vAlign w:val="bottom"/>
            <w:tcBorders>
              <w:top w:val="single" w:sz="8" w:color="0000EE"/>
            </w:tcBorders>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20" w:type="dxa"/>
            <w:vAlign w:val="bottom"/>
            <w:gridSpan w:val="2"/>
          </w:tcPr>
          <w:p>
            <w:pPr>
              <w:jc w:val="center"/>
              <w:ind w:right="3020"/>
              <w:spacing w:after="0"/>
              <w:rPr>
                <w:sz w:val="20"/>
                <w:szCs w:val="20"/>
                <w:color w:val="auto"/>
              </w:rPr>
            </w:pPr>
            <w:r>
              <w:rPr>
                <w:rFonts w:ascii="Times New Roman" w:cs="Times New Roman" w:eastAsia="Times New Roman" w:hAnsi="Times New Roman"/>
                <w:sz w:val="18"/>
                <w:szCs w:val="18"/>
                <w:color w:val="auto"/>
                <w:w w:val="78"/>
              </w:rPr>
              <w:t>i</w:t>
            </w:r>
          </w:p>
        </w:tc>
      </w:tr>
      <w:tr>
        <w:trPr>
          <w:trHeight w:val="115"/>
        </w:trPr>
        <w:tc>
          <w:tcPr>
            <w:tcW w:w="11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8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NOVEMBER 30, 2023 (UNAUDITED) AND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AUGUST 31, 2023 (AUDITED)</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71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696"/>
        </w:trPr>
        <w:tc>
          <w:tcPr>
            <w:tcW w:w="7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09"/>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6,094,032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5,406,173</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88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$533,000 as of November 30, 2023 and August 31, 2023</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14,239,360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15,645,130</w:t>
            </w:r>
          </w:p>
        </w:tc>
      </w:tr>
      <w:tr>
        <w:trPr>
          <w:trHeight w:val="216"/>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187,912</w:t>
            </w: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1,220,680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1,296,594</w:t>
            </w:r>
          </w:p>
        </w:tc>
      </w:tr>
      <w:tr>
        <w:trPr>
          <w:trHeight w:val="216"/>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Dividend receivable from joint venture</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1,986,027</w:t>
            </w: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34,202</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12,592,515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13,096,489</w:t>
            </w: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3,024,134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2,019,029</w:t>
            </w:r>
          </w:p>
        </w:tc>
      </w:tr>
      <w:tr>
        <w:trPr>
          <w:trHeight w:val="210"/>
        </w:trPr>
        <w:tc>
          <w:tcPr>
            <w:tcW w:w="74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38,269,414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39,671,556</w:t>
            </w:r>
          </w:p>
        </w:tc>
      </w:tr>
      <w:tr>
        <w:trPr>
          <w:trHeight w:val="236"/>
        </w:trPr>
        <w:tc>
          <w:tcPr>
            <w:tcW w:w="7880" w:type="dxa"/>
            <w:vAlign w:val="bottom"/>
            <w:gridSpan w:val="2"/>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14,256,990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14,065,354</w:t>
            </w:r>
          </w:p>
        </w:tc>
      </w:tr>
      <w:tr>
        <w:trPr>
          <w:trHeight w:val="210"/>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24,599,520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23,705,714</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530,944</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5,394,950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5,500,733</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658,752</w:t>
            </w: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327,463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428,874</w:t>
            </w:r>
          </w:p>
        </w:tc>
      </w:tr>
      <w:tr>
        <w:trPr>
          <w:trHeight w:val="210"/>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36,275,660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35,607,393</w:t>
            </w:r>
          </w:p>
        </w:tc>
      </w:tr>
      <w:tr>
        <w:trPr>
          <w:trHeight w:val="250"/>
        </w:trPr>
        <w:tc>
          <w:tcPr>
            <w:tcW w:w="740" w:type="dxa"/>
            <w:vAlign w:val="bottom"/>
            <w:shd w:val="clear" w:color="auto" w:fill="CCEEFF"/>
          </w:tcPr>
          <w:p>
            <w:pPr>
              <w:spacing w:after="0"/>
              <w:rPr>
                <w:sz w:val="21"/>
                <w:szCs w:val="21"/>
                <w:color w:val="auto"/>
              </w:rPr>
            </w:pPr>
          </w:p>
        </w:tc>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88,802,064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89,344,303</w:t>
            </w:r>
          </w:p>
        </w:tc>
      </w:tr>
      <w:tr>
        <w:trPr>
          <w:trHeight w:val="223"/>
        </w:trPr>
        <w:tc>
          <w:tcPr>
            <w:tcW w:w="7880" w:type="dxa"/>
            <w:vAlign w:val="bottom"/>
            <w:tcBorders>
              <w:top w:val="single" w:sz="8" w:color="CCEEFF"/>
            </w:tcBorders>
            <w:gridSpan w:val="2"/>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3,600,000</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2,810,686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2,757,176</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6,353,859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6,056,329</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13,053</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2,305,400</w:t>
            </w: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1,648,615</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231,881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340,799</w:t>
            </w:r>
          </w:p>
        </w:tc>
      </w:tr>
      <w:tr>
        <w:trPr>
          <w:trHeight w:val="209"/>
        </w:trPr>
        <w:tc>
          <w:tcPr>
            <w:tcW w:w="74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15,854,269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16,721,372</w:t>
            </w:r>
          </w:p>
        </w:tc>
      </w:tr>
      <w:tr>
        <w:trPr>
          <w:trHeight w:val="210"/>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1,836,059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1,836,059</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95,582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88,075</w:t>
            </w:r>
          </w:p>
        </w:tc>
      </w:tr>
      <w:tr>
        <w:trPr>
          <w:trHeight w:val="209"/>
        </w:trPr>
        <w:tc>
          <w:tcPr>
            <w:tcW w:w="740" w:type="dxa"/>
            <w:vAlign w:val="bottom"/>
            <w:shd w:val="clear" w:color="auto" w:fill="CCEEFF"/>
          </w:tcPr>
          <w:p>
            <w:pPr>
              <w:spacing w:after="0"/>
              <w:rPr>
                <w:sz w:val="18"/>
                <w:szCs w:val="18"/>
                <w:color w:val="auto"/>
              </w:rPr>
            </w:pPr>
          </w:p>
        </w:tc>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1,931,641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1,924,134</w:t>
            </w:r>
          </w:p>
        </w:tc>
      </w:tr>
      <w:tr>
        <w:trPr>
          <w:trHeight w:val="210"/>
        </w:trPr>
        <w:tc>
          <w:tcPr>
            <w:tcW w:w="788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432"/>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16"/>
        </w:trPr>
        <w:tc>
          <w:tcPr>
            <w:tcW w:w="78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shares as of November 30, 2023 and August 31, 2023;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4"/>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issued and outstanding 9,427,598 and 9,424,101, respectively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188,482</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22,377,726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21,986,767</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51,240,016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51,004,427</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(6,516,461)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(6,823,403)</w:t>
            </w:r>
          </w:p>
        </w:tc>
      </w:tr>
      <w:tr>
        <w:trPr>
          <w:trHeight w:val="209"/>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67,289,833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66,356,273</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3,726,321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4,342,524</w:t>
            </w:r>
          </w:p>
        </w:tc>
      </w:tr>
      <w:tr>
        <w:trPr>
          <w:trHeight w:val="209"/>
        </w:trPr>
        <w:tc>
          <w:tcPr>
            <w:tcW w:w="740" w:type="dxa"/>
            <w:vAlign w:val="bottom"/>
            <w:tcBorders>
              <w:bottom w:val="single" w:sz="8" w:color="CCEEFF"/>
            </w:tcBorders>
            <w:shd w:val="clear" w:color="auto" w:fill="CCEEFF"/>
          </w:tcPr>
          <w:p>
            <w:pPr>
              <w:spacing w:after="0"/>
              <w:rPr>
                <w:sz w:val="18"/>
                <w:szCs w:val="18"/>
                <w:color w:val="auto"/>
              </w:rPr>
            </w:pPr>
          </w:p>
        </w:tc>
        <w:tc>
          <w:tcPr>
            <w:tcW w:w="71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71,016,154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70,698,797</w:t>
            </w:r>
          </w:p>
        </w:tc>
      </w:tr>
      <w:tr>
        <w:trPr>
          <w:trHeight w:val="209"/>
        </w:trPr>
        <w:tc>
          <w:tcPr>
            <w:tcW w:w="740" w:type="dxa"/>
            <w:vAlign w:val="bottom"/>
          </w:tcPr>
          <w:p>
            <w:pPr>
              <w:spacing w:after="0"/>
              <w:rPr>
                <w:sz w:val="18"/>
                <w:szCs w:val="18"/>
                <w:color w:val="auto"/>
              </w:rPr>
            </w:pPr>
          </w:p>
        </w:tc>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88,802,064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89,344,303</w:t>
            </w:r>
          </w:p>
        </w:tc>
      </w:tr>
      <w:tr>
        <w:trPr>
          <w:trHeight w:val="20"/>
        </w:trPr>
        <w:tc>
          <w:tcPr>
            <w:tcW w:w="7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62" w:right="339" w:bottom="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MONTHS ENDED NOVEMBER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12,847,401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13,599,642</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7,334,274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6,353,124</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1,189,404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1,248,958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1,181,805</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2,351,199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2,371,209</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3,686,058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3,507,434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3,517,061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3,130,599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1,105,921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1,256,724</w:t>
            </w: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8,309,040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7,894,757</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1,376,433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829,576</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744,413</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226,796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110,733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189,420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131,438</w:t>
            </w:r>
          </w:p>
        </w:tc>
      </w:tr>
      <w:tr>
        <w:trPr>
          <w:trHeight w:val="2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895,521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502,242</w:t>
            </w:r>
          </w:p>
        </w:tc>
      </w:tr>
      <w:tr>
        <w:trPr>
          <w:trHeight w:val="224"/>
        </w:trPr>
        <w:tc>
          <w:tcPr>
            <w:tcW w:w="80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0.05</w:t>
            </w:r>
          </w:p>
        </w:tc>
      </w:tr>
      <w:tr>
        <w:trPr>
          <w:trHeight w:val="223"/>
        </w:trPr>
        <w:tc>
          <w:tcPr>
            <w:tcW w:w="80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9,427,588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9,317,680</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9,706,581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9,718,931</w:t>
            </w:r>
          </w:p>
        </w:tc>
      </w:tr>
      <w:tr>
        <w:trPr>
          <w:trHeight w:val="196"/>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413"/>
        </w:trPr>
        <w:tc>
          <w:tcPr>
            <w:tcW w:w="800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 w:name="page7"/>
    <w:bookmarkEnd w:id="6"/>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MONTHS ENDED NOVEMBER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c>
          <w:tcPr>
            <w:tcW w:w="0" w:type="dxa"/>
            <w:vAlign w:val="bottom"/>
          </w:tcPr>
          <w:p>
            <w:pPr>
              <w:spacing w:after="0"/>
              <w:rPr>
                <w:sz w:val="1"/>
                <w:szCs w:val="1"/>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 FOREIGN CURRENCY TRANSLATION</w:t>
            </w:r>
          </w:p>
        </w:tc>
        <w:tc>
          <w:tcPr>
            <w:tcW w:w="140" w:type="dxa"/>
            <w:vAlign w:val="bottom"/>
          </w:tcPr>
          <w:p>
            <w:pPr>
              <w:spacing w:after="0"/>
              <w:rPr>
                <w:sz w:val="17"/>
                <w:szCs w:val="17"/>
                <w:color w:val="auto"/>
              </w:rPr>
            </w:pPr>
          </w:p>
        </w:tc>
        <w:tc>
          <w:tcPr>
            <w:tcW w:w="14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301,319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0" w:type="dxa"/>
            <w:vAlign w:val="bottom"/>
          </w:tcPr>
          <w:p>
            <w:pPr>
              <w:spacing w:after="0"/>
              <w:rPr>
                <w:sz w:val="1"/>
                <w:szCs w:val="1"/>
                <w:color w:val="auto"/>
              </w:rPr>
            </w:pPr>
          </w:p>
        </w:tc>
      </w:tr>
      <w:tr>
        <w:trPr>
          <w:trHeight w:val="221"/>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1,386,260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579,763</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138,225</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717,988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11"/>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8"/>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8"/>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9"/>
                <w:szCs w:val="19"/>
                <w:color w:val="auto"/>
              </w:rPr>
            </w:pPr>
          </w:p>
        </w:tc>
        <w:tc>
          <w:tcPr>
            <w:tcW w:w="13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9,232,483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1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$19,939,131</w:t>
            </w:r>
          </w:p>
        </w:tc>
        <w:tc>
          <w:tcPr>
            <w:tcW w:w="114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$50,716,613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(7,245,132)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3,649,034</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413,958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38,696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329,522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329,522</w:t>
            </w: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131,438</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(60,704)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6,787</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9,366,357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20,721,235</w:t>
            </w:r>
          </w:p>
        </w:tc>
        <w:tc>
          <w:tcPr>
            <w:tcW w:w="114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50,563,210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(7,305,836)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3,707,259</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$67,873,195</w:t>
            </w:r>
          </w:p>
        </w:tc>
        <w:tc>
          <w:tcPr>
            <w:tcW w:w="0" w:type="dxa"/>
            <w:vAlign w:val="bottom"/>
          </w:tcPr>
          <w:p>
            <w:pPr>
              <w:spacing w:after="0"/>
              <w:rPr>
                <w:sz w:val="1"/>
                <w:szCs w:val="1"/>
                <w:color w:val="auto"/>
              </w:rPr>
            </w:pPr>
          </w:p>
        </w:tc>
      </w:tr>
      <w:tr>
        <w:trPr>
          <w:trHeight w:val="197"/>
        </w:trPr>
        <w:tc>
          <w:tcPr>
            <w:tcW w:w="3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2023</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9,424,101</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188,482</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$21,986,767</w:t>
            </w:r>
          </w:p>
        </w:tc>
        <w:tc>
          <w:tcPr>
            <w:tcW w:w="1240" w:type="dxa"/>
            <w:vAlign w:val="bottom"/>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$51,004,427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(6,823,403)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4,342,524</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$70,698,797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issued for employee stock purchase plan</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70</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40,096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350,933</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(659,932)</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895,521</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189,420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306,942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301,319</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NOVEMBER 30, 2023</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9,427,597</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188,552</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22,377,726</w:t>
            </w:r>
          </w:p>
        </w:tc>
        <w:tc>
          <w:tcPr>
            <w:tcW w:w="12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51,240,016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(6,516,461)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3,726,321</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$71,016,154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THREE MONTHS ENDED NOVEMBER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Borders>
              <w:bottom w:val="single" w:sz="8" w:color="auto"/>
            </w:tcBorders>
          </w:tcPr>
          <w:p>
            <w:pPr>
              <w:spacing w:after="0"/>
              <w:rPr>
                <w:sz w:val="20"/>
                <w:szCs w:val="20"/>
                <w:color w:val="auto"/>
              </w:rPr>
            </w:pP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November 30, 2023</w:t>
            </w:r>
          </w:p>
        </w:tc>
        <w:tc>
          <w:tcPr>
            <w:tcW w:w="12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30, 2022</w:t>
            </w: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c>
          <w:tcPr>
            <w:tcW w:w="8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633,680</w:t>
            </w: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350,933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329,522</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307,010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262,876</w:t>
            </w: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147,655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147,811</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(1,102,241)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(1,189,404)</w:t>
            </w: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371,103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3,042,688</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(54,376)</w:t>
            </w: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1,385,108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(539,925)</w:t>
            </w: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Trade, joint ventures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(590,713)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104,260</w:t>
            </w: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75,914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641,639</w:t>
            </w: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Dividends receivable from joint venture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1,986,027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(226,731)</w:t>
            </w: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525,559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948,661</w:t>
            </w: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(929,250)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(252,301)</w:t>
            </w: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270,194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(1,573,008)</w:t>
            </w: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9,594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r>
      <w:tr>
        <w:trPr>
          <w:trHeight w:val="216"/>
        </w:trPr>
        <w:tc>
          <w:tcPr>
            <w:tcW w:w="7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(544,411)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(254,442)</w:t>
            </w:r>
          </w:p>
        </w:tc>
      </w:tr>
      <w:tr>
        <w:trPr>
          <w:trHeight w:val="210"/>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3,076,892</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2,002,543</w:t>
            </w: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(390,729)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(409,094)</w:t>
            </w: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Investments in patents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(33,142)</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(44,445)</w:t>
            </w:r>
          </w:p>
        </w:tc>
      </w:tr>
      <w:tr>
        <w:trPr>
          <w:trHeight w:val="210"/>
        </w:trPr>
        <w:tc>
          <w:tcPr>
            <w:tcW w:w="75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(423,871)</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(453,539)</w:t>
            </w: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payments on line of credit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(655,645)</w:t>
            </w: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416,563</w:t>
            </w: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40,096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38,696</w:t>
            </w:r>
          </w:p>
        </w:tc>
      </w:tr>
      <w:tr>
        <w:trPr>
          <w:trHeight w:val="210"/>
        </w:trPr>
        <w:tc>
          <w:tcPr>
            <w:tcW w:w="75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(2,019,836)</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(730,386)</w:t>
            </w:r>
          </w:p>
        </w:tc>
      </w:tr>
      <w:tr>
        <w:trPr>
          <w:trHeight w:val="236"/>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54,673</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(86,187)</w:t>
            </w: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7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687,858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732,431</w:t>
            </w: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5,406,174</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5,333,890</w:t>
            </w:r>
          </w:p>
        </w:tc>
      </w:tr>
      <w:tr>
        <w:trPr>
          <w:trHeight w:val="236"/>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6,094,032</w:t>
            </w:r>
          </w:p>
        </w:tc>
        <w:tc>
          <w:tcPr>
            <w:tcW w:w="8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6,066,321</w:t>
            </w:r>
          </w:p>
        </w:tc>
      </w:tr>
      <w:tr>
        <w:trPr>
          <w:trHeight w:val="412"/>
        </w:trPr>
        <w:tc>
          <w:tcPr>
            <w:tcW w:w="754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9" w:name="page10"/>
    <w:bookmarkEnd w:id="9"/>
    <w:p>
      <w:pPr>
        <w:ind w:right="396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2023 and August 31, 2023 and the results of the Company’s operations for the three months ended November 30, 2023 and 2022, the changes in stockholders’ equity for the three months ended November 30, 2023 and 2022 and the Company’s cash flows for the three months ended November 30, 2023 and 2022, in conformity with accounting principles generally accepted in the United States of America (U.S. GAAP).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 for the fiscal year ended August 31, 2023. These consolidated financial statements also should be read in conjunction with the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section appearing in this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November 30, 2023 are not necessarily indicative of the results that may be expected for the full fiscal year ending August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through the date the consolidated financial statements were available to be issued, requiring recording or disclosure in the consolidated financial statements.</w:t>
      </w:r>
    </w:p>
    <w:p>
      <w:pPr>
        <w:spacing w:after="0" w:line="200" w:lineRule="exact"/>
        <w:rPr>
          <w:sz w:val="20"/>
          <w:szCs w:val="20"/>
          <w:color w:val="auto"/>
        </w:rPr>
      </w:pPr>
    </w:p>
    <w:p>
      <w:pPr>
        <w:spacing w:after="0" w:line="201" w:lineRule="exact"/>
        <w:rPr>
          <w:sz w:val="20"/>
          <w:szCs w:val="20"/>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revises guidance for the accounting for credit losses on financial instruments within its scope, and in November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Entities are required to apply the standard’s provisions as a cumulative-effect adjustment to retained earnings as of the beginning of the first reporting period in which the guidance is adopted. The Company adopted this pronouncement on September 1, 2023 which did not have a material impact on the Company’s consolidated financial position or operating results.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1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4,580,739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4,960,355</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8,011,776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8,136,134</w:t>
            </w:r>
          </w:p>
        </w:tc>
      </w:tr>
      <w:tr>
        <w:trPr>
          <w:trHeight w:val="250"/>
        </w:trPr>
        <w:tc>
          <w:tcPr>
            <w:tcW w:w="34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12,592,515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13,096,489</w:t>
            </w:r>
          </w:p>
        </w:tc>
      </w:tr>
      <w:tr>
        <w:trPr>
          <w:trHeight w:val="413"/>
        </w:trPr>
        <w:tc>
          <w:tcPr>
            <w:tcW w:w="34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3820" w:type="dxa"/>
            <w:vAlign w:val="bottom"/>
            <w:tcBorders>
              <w:top w:val="single" w:sz="8" w:color="CCEEFF"/>
            </w:tcBorders>
          </w:tcPr>
          <w:p>
            <w:pPr>
              <w:jc w:val="right"/>
              <w:ind w:right="22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680" w:type="dxa"/>
            <w:vAlign w:val="bottom"/>
            <w:gridSpan w:val="2"/>
          </w:tcPr>
          <w:p>
            <w:pPr>
              <w:jc w:val="right"/>
              <w:ind w:right="45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4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09"/>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496,965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496,965</w:t>
            </w: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17,649,550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17,250,392</w:t>
            </w:r>
          </w:p>
        </w:tc>
      </w:tr>
      <w:tr>
        <w:trPr>
          <w:trHeight w:val="216"/>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6,050,458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5,984,364</w:t>
            </w:r>
          </w:p>
        </w:tc>
      </w:tr>
      <w:tr>
        <w:trPr>
          <w:trHeight w:val="209"/>
        </w:trPr>
        <w:tc>
          <w:tcPr>
            <w:tcW w:w="460" w:type="dxa"/>
            <w:vAlign w:val="bottom"/>
            <w:tcBorders>
              <w:top w:val="single" w:sz="8" w:color="CCEEFF"/>
            </w:tcBorders>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24,196,973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23,731,721</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(9,939,983)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(9,666,367)</w:t>
            </w:r>
          </w:p>
        </w:tc>
      </w:tr>
      <w:tr>
        <w:trPr>
          <w:trHeight w:val="209"/>
        </w:trPr>
        <w:tc>
          <w:tcPr>
            <w:tcW w:w="460" w:type="dxa"/>
            <w:vAlign w:val="bottom"/>
          </w:tcPr>
          <w:p>
            <w:pPr>
              <w:spacing w:after="0"/>
              <w:rPr>
                <w:sz w:val="18"/>
                <w:szCs w:val="18"/>
                <w:color w:val="auto"/>
              </w:rPr>
            </w:pPr>
          </w:p>
        </w:tc>
        <w:tc>
          <w:tcPr>
            <w:tcW w:w="7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14,256,990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r>
        <w:trPr>
          <w:trHeight w:val="20"/>
        </w:trPr>
        <w:tc>
          <w:tcPr>
            <w:tcW w:w="4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$307,010 for the three months ended November 30, 2023, compared to $262,876 for the three months ended November 30, 2022.</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As of November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3,372,859</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(2,722,837)</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650,022</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(952,050)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5,394,950</w:t>
            </w:r>
          </w:p>
        </w:tc>
      </w:tr>
      <w:tr>
        <w:trPr>
          <w:trHeight w:val="210"/>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9,719,859</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(3,674,887)</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6,044,972</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As of August 31, 2023</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3,339,717</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(2,680,965)</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658,752</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6,347,000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(846,267)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5,500,733</w:t>
            </w:r>
          </w:p>
        </w:tc>
      </w:tr>
      <w:tr>
        <w:trPr>
          <w:trHeight w:val="209"/>
        </w:trPr>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9,686,717</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(3,527,232)</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6,159,485</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8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$147,655 and $147,811 for the three months ended November 30, 2023 and 2022, respectively.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November 30, 2023, future amortization expense related to intangible assets for each of the next five fiscal years and thereafter is estimated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528,439</w:t>
            </w:r>
          </w:p>
        </w:tc>
        <w:tc>
          <w:tcPr>
            <w:tcW w:w="45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543,721</w:t>
            </w:r>
          </w:p>
        </w:tc>
        <w:tc>
          <w:tcPr>
            <w:tcW w:w="45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517,990</w:t>
            </w:r>
          </w:p>
        </w:tc>
        <w:tc>
          <w:tcPr>
            <w:tcW w:w="45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492,221</w:t>
            </w:r>
          </w:p>
        </w:tc>
        <w:tc>
          <w:tcPr>
            <w:tcW w:w="45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479,012</w:t>
            </w:r>
          </w:p>
        </w:tc>
        <w:tc>
          <w:tcPr>
            <w:tcW w:w="450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3,483,589</w:t>
            </w:r>
          </w:p>
        </w:tc>
        <w:tc>
          <w:tcPr>
            <w:tcW w:w="4500" w:type="dxa"/>
            <w:vAlign w:val="bottom"/>
          </w:tcPr>
          <w:p>
            <w:pPr>
              <w:spacing w:after="0"/>
              <w:rPr>
                <w:sz w:val="18"/>
                <w:szCs w:val="18"/>
                <w:color w:val="auto"/>
              </w:rPr>
            </w:pPr>
          </w:p>
        </w:tc>
      </w:tr>
      <w:tr>
        <w:trPr>
          <w:trHeight w:val="250"/>
        </w:trPr>
        <w:tc>
          <w:tcPr>
            <w:tcW w:w="3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6,044,972</w:t>
            </w:r>
          </w:p>
        </w:tc>
        <w:tc>
          <w:tcPr>
            <w:tcW w:w="4500" w:type="dxa"/>
            <w:vAlign w:val="bottom"/>
          </w:tcPr>
          <w:p>
            <w:pPr>
              <w:spacing w:after="0"/>
              <w:rPr>
                <w:sz w:val="21"/>
                <w:szCs w:val="21"/>
                <w:color w:val="auto"/>
              </w:rPr>
            </w:pPr>
          </w:p>
        </w:tc>
      </w:tr>
      <w:tr>
        <w:trPr>
          <w:trHeight w:val="412"/>
        </w:trPr>
        <w:tc>
          <w:tcPr>
            <w:tcW w:w="3180" w:type="dxa"/>
            <w:vAlign w:val="bottom"/>
          </w:tcPr>
          <w:p>
            <w:pPr>
              <w:spacing w:after="0"/>
              <w:rPr>
                <w:sz w:val="24"/>
                <w:szCs w:val="24"/>
                <w:color w:val="auto"/>
              </w:rPr>
            </w:pPr>
          </w:p>
        </w:tc>
        <w:tc>
          <w:tcPr>
            <w:tcW w:w="2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INVESTMENTS IN JOINT VENTURES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November 30, 2023</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58,856,062</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28,976,285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29,879,777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63,316,496</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31,258,136</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32,058,360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13,323,941</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2,674,730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10,649,211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300,465</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300,465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49,692,091</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28,583,406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21,108,685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24,599,516</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14,291,705</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10,307,811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23,654,848</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14,260,800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9,394,048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November 30, 2023</w:t>
            </w:r>
          </w:p>
        </w:tc>
      </w:tr>
      <w:tr>
        <w:trPr>
          <w:trHeight w:val="209"/>
        </w:trPr>
        <w:tc>
          <w:tcPr>
            <w:tcW w:w="5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23,560,661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8,420,960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15,139,701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10,103,800</w:t>
            </w: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4,375,075</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5,728,725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2,204,482</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1,026,907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1,177,575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1,102,241</w:t>
            </w:r>
          </w:p>
        </w:tc>
        <w:tc>
          <w:tcPr>
            <w:tcW w:w="3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513,453</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588,788</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371,104</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371,104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2023</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55,339,662</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27,862,458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27,477,204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59,729,348</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30,054,277</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29,675,071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11,464,247</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2,687,064</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8,777,183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323,762</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323,762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47,941,339</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27,367,213</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20,574,126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23,705,714</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13,683,608</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10,022,106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20,493,861</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12,075,524</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8,418,337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November 30, 2022</w:t>
            </w:r>
          </w:p>
        </w:tc>
      </w:tr>
      <w:tr>
        <w:trPr>
          <w:trHeight w:val="210"/>
        </w:trPr>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24,730,289</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10,145,921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14,584,368</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9,693,568</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4,720,042</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4,973,526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2,646,908</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1,742,287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904,621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1,189,400</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871,144</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318,260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3,042,688</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2,459,500</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583,188</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provides the Company with a senior secured revolving line of credit (the Credit Facility) of up to $10.0 million, which includes a $5.0 million sublimit for standby letters of credit. Borrowings of $3,000,000 and $3,600,000 under this Credit Agreement were outstanding as of November 30, 2023 and August 31,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interested in collateral made up for the assets of the Company.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Company was in compliance with all covenants as of November 30, 2023.</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each of April 10, 2023 and May 30, 2023, the Company’s wholly-owned subsidiary in China, NTIC China, entered into a 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The Company was in compliance with the covenants as of November 30, 2023. The current outstanding balance for both term loans was USD $2,810,686 as of November 30, 2023 and USD $2,757,176 as of August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18, 2023, the Company’s Board of Directors declared a cash dividend of $0.07 per share of the Company’s common stock, payable on November 15, 2023 to stockholders of record on November 1, 2023. On October 20, 2022, the Company’s Board of Directors declared a cash dividend of $0.07 per share of the Company’s common stock, payable on November 16, 2022 to stockholders of record on November 3,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November 30, 2023 and 2022, the Company repurchased no shares of its common stock.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3,496 and 3,620 shares of common stock on September 1, 2023 and 2022, respectively, under the Northern Technologies International Corporation Employee Stock Purchase Plan (the ESPP). The ESPP is compensatory for financial reporting purposes. As of November 30, 2023, 58,538 shares of common stock remained available for sale under the ESPP.</w:t>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months ended November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895,521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502,242</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9,427,588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9,317,680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278,993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401,251</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9,706,581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9,718,931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months ended November 30, 2023 were options outstanding to purchase 580,869 shares of common stock. Excluded from the computation of diluted net income per share for the three months ended November 30, 2022 were options outstanding to purchase 305,514 shares of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Amended and Restated 2019 Stock Incentive Plan (the 2019 Plan) and the Northern Technologies International Corporation Amended and Restated 2007 Stock Incentive Plan (the 2007 Plan)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2023</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1,557,131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269,845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November 30, 2023</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1,826,976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three months ended November 30, 2023 and 2022 was $5.05 and $4.85, respectively. The weighted average remaining contractual life of the options outstanding as of November 30, 2023 and 2022 was 6.55 years and 6.66 years,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of $350,933 and $329,522 during the three months ended November 30, 2023 and 2022, respectively. As of November 30, 2023, there was $2,037,871 of unrecognized compensation expense. The amount is expected to be recognized over a period of 2.75 years.</w:t>
      </w:r>
    </w:p>
    <w:p>
      <w:pPr>
        <w:spacing w:after="0" w:line="200" w:lineRule="exact"/>
        <w:rPr>
          <w:sz w:val="20"/>
          <w:szCs w:val="20"/>
          <w:color w:val="auto"/>
        </w:rPr>
      </w:pPr>
    </w:p>
    <w:p>
      <w:pPr>
        <w:spacing w:after="0" w:line="201" w:lineRule="exact"/>
        <w:rPr>
          <w:sz w:val="20"/>
          <w:szCs w:val="20"/>
          <w:color w:val="auto"/>
        </w:rPr>
      </w:pPr>
    </w:p>
    <w:p>
      <w:pPr>
        <w:ind w:left="620" w:hanging="612"/>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months ended November 30, 2023 and 2022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15,405,745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15,370,001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4,775,930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4,582,765</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months ended November 30, 2023 and 2022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 of Product</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 of Product</w:t>
            </w:r>
          </w:p>
        </w:tc>
      </w:tr>
      <w:tr>
        <w:trPr>
          <w:trHeight w:val="238"/>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8,744,024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9,179,254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3,228,583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3,570,673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874,794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849,715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49"/>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cost of goods sold ….</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12,847,401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13,599,642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660" w:hanging="652"/>
        <w:spacing w:after="0" w:line="282" w:lineRule="auto"/>
        <w:tabs>
          <w:tab w:leader="none" w:pos="1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ectPr>
          <w:pgSz w:w="11900" w:h="16838" w:orient="portrait"/>
          <w:cols w:equalWidth="0" w:num="1">
            <w:col w:w="11240"/>
          </w:cols>
          <w:pgMar w:left="320" w:top="580" w:right="339" w:bottom="144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months ended November 30,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U.S.A.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2080"/>
        <w:spacing w:after="0" w:line="276" w:lineRule="auto"/>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12,097,843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7,478,161</w:t>
            </w:r>
          </w:p>
        </w:tc>
      </w:tr>
      <w:tr>
        <w:trPr>
          <w:trHeight w:val="395"/>
        </w:trPr>
        <w:tc>
          <w:tcPr>
            <w:tcW w:w="14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851,452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633,465</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7,232,380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11,841,140</w:t>
            </w:r>
          </w:p>
        </w:tc>
      </w:tr>
      <w:tr>
        <w:trPr>
          <w:trHeight w:val="21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740" w:space="260"/>
            <w:col w:w="3240"/>
          </w:cols>
          <w:pgMar w:left="320" w:top="580" w:right="339" w:bottom="1440" w:gutter="0" w:footer="0" w:header="0"/>
          <w:type w:val="continuous"/>
        </w:sectPr>
      </w:pPr>
    </w:p>
    <w:p>
      <w:pPr>
        <w:spacing w:after="0" w:line="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months ended November 30,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80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205,643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193,828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147,920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121,966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110,536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100,436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74,957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77,615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68,762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8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1,248,958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1,181,805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5,801,146</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5,729,080</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745,469</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7,637,946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7,590,805</w:t>
            </w:r>
          </w:p>
        </w:tc>
      </w:tr>
      <w:tr>
        <w:trPr>
          <w:trHeight w:val="20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14,256,990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3,678,523</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3,746,640</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1,367,418</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5,180,391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4,846,927</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2,560,757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2,513,620</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7,232,381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7,478,161</w:t>
            </w:r>
          </w:p>
        </w:tc>
      </w:tr>
      <w:tr>
        <w:trPr>
          <w:trHeight w:val="20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580" w:right="339" w:bottom="1440" w:gutter="0" w:footer="0" w:header="0"/>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joint ventures (consisting of the Company’s joint ventures in Korea, Thailand and Japan) accounted for 68.2% of the Company’s trade joint venture receivables as of November 30, 2023, and two joint ventures (consisting of the Company’s joint ventures in United States and South Korea) accounted for 40.1% of the Company’s trade joint venture receivables as of August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2023,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44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r>
      <w:tr>
        <w:trPr>
          <w:trHeight w:val="238"/>
        </w:trPr>
        <w:tc>
          <w:tcPr>
            <w:tcW w:w="4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111,138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91,331</w:t>
            </w:r>
          </w:p>
        </w:tc>
      </w:tr>
    </w:tbl>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November 30, 2023 was $226,796 compared to $110,733 for the three months ended November 30, 2022. The expense was largely due to foreign operations. The Company has federal and state tax credit carry forwards, net operating loss carry forwards and foreign tax carry forwards. The Company has recorded a full valuation allowance against the U.S. deferred tax assets as of November 30, 2023 and August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8" w:name="page19"/>
    <w:bookmarkEnd w:id="1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jc w:val="both"/>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months ended November 30, 2023 include the following, with increases or decreases in each case as compared to the prior fiscal year quarterly period:</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1.1% during the three months ended November 30, 2023 compared to the three months ended November 30, 2022 primarily as a result of an increase in sales of Natur-Tec® products. During the three months ended November 30, 2023, 76.3% of NTIC’s consolidated net sales were derived from sales of ZERUST® products and services and 23.7% of NTIC’s consolidated net sales were derived from sales of Natur-Tec®.</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to 63.7% during the three months ended November 30, 2023, compared to 68.2% during the three months ended November 30, 2022 primarily as a result of lower raw material prices overall.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decreased 7.3% to $1,102,241 during the three months ended November 30, 2023 compared to $1,189,404 during the three months ended November 30, 2022. This decrease was primarily due to a decrease in net income at NTIC’s joint venture in Germany, partially offset by increases at the majority of the other joint ventures. Net sales at the joint ventures decreased 4.7% to $23,560,661 during the three months ended November 30, 2023, compared to $24,730,289 for the three months ended November 30, 2022.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5.2% to $8,309,040 during the three months ended November 30, 2023 compared to $7,894,757 for the three months ended November 30, 2022. This increase was primarily due to increased personnel expenses, including new hires, benefits and travel.</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$895,521, or $0.09 per diluted common share, for the three months ended November 30, 2023 compared to net income attributable to NTIC of $502,242, or $0.05 per diluted common share, for the three months ended November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months ended November 30,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20,181,675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19,952,766</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12,847,401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13,599,642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(752,241)</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1,102,241</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1,189,404</w:t>
            </w:r>
          </w:p>
        </w:tc>
        <w:tc>
          <w:tcPr>
            <w:tcW w:w="1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(87,163)</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1,248,958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1,181,805</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67,153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3,686,058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3,507,434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178,624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3,517,061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3,130,599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386,462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1,105,921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1,256,724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(150,803)</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1.1% to $20,181,675 during the three months ended November 30, 2023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2022. This increase was primarily a result of an increase in sales of Natur-Tec®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months ended November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15,405,745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15,370,001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35,744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4,775,930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4,582,765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193,165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20,181,675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228,909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2023, 76.3% of NTIC’s consolidated net sales were derived from sales of ZERUST® products and services, which increased 0.2% to $15,405,745 during the three months ended November 30, 2023 compared to $15,370,001 during the three months ended November 30, 2022. This increase was primarily a result of increased demand in North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months ended November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13,903,431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13,748,104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1,502,314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1,621,897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15,405,745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15,370,001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35,744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NTIC’s total ZERUST® net sales increased during the three months ended November 30, 2023, compared to the same prior fiscal year period, primarily due to increased demand in North American ZERUST® industrial business. Overall, demand for ZERUST® products and services depends heavily on the overall health of the markets in which NTIC sells its products, including the automotive, oil and gas, agriculture, and mining markets in particular.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ZERUST® oil and gas net sales decreased 7.4% during the three months ended November 30, 2023 compared to the same period last fiscal year primarily as a result of timing on the delivery of various orders that were not shipped prior to the end of the quarter. NTIC anticipates that its sales of ZERUST® products and services 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November 30, 2023, 23.7% of NTIC’s consolidated net sales were derived from sales of Natur-Tec® products, compared to 23.0% during the three months ended November 30, 2022. Sales of Natur-Tec® products increased 4.2% to $4,775,930 during the three months ended November 30, 2023 compared to $4,582,765 during the three months ended November 30, 2022 as a result of increased global demand. The demand for Natur-Tec® products in most markets has returned to pre-pandemic levels; however, there are lingering effects of COVID-19 in the apparel industry, as well as corporate office complexes.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decreased 5.5% for the three months ended November 30, 2023 compared to the three months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primarily as a result of lower raw material prices overall. Cost of goods sold as a percentage of net sales decreased to 63.7% for the three months ended November 30, 2023 compared to 68.2% for the three months ended November 30, 2022 primarily as a result of these lower raw material prices. NTIC has taken certain actions to address inflationary pressures and pass on related cost increases to its customers and some improvements from these actions, as well as some improvements in gross margin, were realized during the three months ended November 30, 2023.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decreased 7.3% to $1,102,241 during the three months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compared to $1,189,404 during the three months ended November 30, 2022. This decrease was primarily due to a decrease in net income at NTIC’s joint venture in Germany, partially offset by increases at the majority of the other joint ventures. NTIC’s equity in income from joint ventures fluctuates based on net sales and profitability of the joint ventures during the respective periods. Of the total equity in income from joint ventures, NTIC had equity in income from joint ventures of $513,453 attributable to EXCOR during the three months ended November 30, 2023 compared to $871,144 attributable to EXCOR during the three months ended November 30, 2022. This decrease was primarily a result of a decrease in net sales by EXCOR compared to the same prior fiscal year period, due primarily to the loss of a customer and softer demand within the region related to higher energy prices and other externalities linked to the war between Ukraine and Russia. NTIC had equity in income from all other joint ventures of $588,788 during the three months ended November 30, 2023, compared to $318,260 during the three months ended November 30, 2022.</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$1,248,958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2023 compared to $1,181,805 during the three months ended November 30, 2022, representing an increase of 5.7%, or $67,153. Fee income for services provided to joint ventures is traditionally a function of the sales made by NTIC’s joint ventures; however, at various joint ventures, the fee income for services is a fixed amount that does not fluctuate with the change in sales which was experienced by certain joint ventures during the three months ended November 30, 2023. Total net sales of NTIC’s joint ventures decreased to $23,560,661 during the three months ended November 30, 2023 compared to $24,730,289 for the three months ended November 30, 2022, representing a decrease of 4.7%. This decrease was primarily a result of decreased demand during the three months ended November 30, 2023 at NTIC’s joint venture in Germany due primarily to the loss of a customer and softer demand within the region, as described above. Net sales of NTIC’s joint ventures are not included in NTIC’s product sales and are not included in NTIC’s consolidated financial statements. Of the total fee income for services provided to joint ventures, fees of $205,643 were attributable to EXCOR during the three months ended November 30, 2023 compared to $193,828 attributable to EXCOR during the three months ended November 30, 2022</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5.1% for the three months ended November 30, 2023 compared to the same period in fiscal 2023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an increase in personnel expense during the current fiscal year period compared to the same prior fiscal year period. Selling expenses as a percentage of net sales increased to 18.3% for the three months ended November 30, 2023 compared to 17.6% during the three months ended November 30, 2022 primarily due to increased selling expenses, as noted above.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12.3% for the three months ended November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2023 primarily due to increased professional services and travel and personnel expenses during the current fiscal year period compared to the same prior fiscal year period. As a percentage of net sales, general and administrative expenses increased to 17.4% for the three months ended November 30, 2023 from 15.7% for the three months ended November 30, 2022 primarily due to the increase in general and administrative expenses, as noted above.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decreased 12.0% for the three months ended November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2023 primarily due to the timing of expenses incurred and a decrease in expenses associated with development efforts.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$46,442 during the three months ended November 30, 2023 compared to $6,168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2022 primarily due to changes to the invested cash balances at subsidiaries.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$111,138 during the three months ended November 30, 2023 compared to $91,331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2022 primarily due to increased average interest rates during the current fiscal year period.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$1,311,737 for the three months ended November 30,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before income tax expense of $744,413 for the three months ended November 30, 2022.</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$226,796 during the three months ended November 30, 2023 compared to $110,733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2022. Income tax expense was calculated based on management’s estimate of NTIC’s annual effective income tax rate.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$23,654,848 and $20,493,861 as of November 30, 2023 and August 31, 2023,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increased to $895,521, or $0.09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2023 compared to $502,242, or $0.05 per diluted common share, for the three months ended November 30, 2022. This increase was primarily due to the increase in gross profit, partially offset by the increase in operating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months ended November 30, 2023 compared to the same period in fiscal 2023.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$22,415,145 as of November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$6,094,032 in cash and cash equivalents, compared to $22,950,184 as of August 31, 2023, including $5,406,173 in cash and cash equivalents.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2024,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also expects to use some of its capital resources to continue to transition some of its joint ventures as needed or appropriate, which may include additional acquisitions by NTIC of the remaining ownership interests of joint ventures not owned by NTIC, the formation of one or more new subsidiaries to assume the operations of a joint venture, and dissolutions or liquidations of one or more of its joint ventures. Some of these joint venture transitions may materially impact NTIC’s results of operations for a particular reporting period. For example, the formation of a new indirect, majority owned subsidiary of NTIC to assume the operations of a former joint venture increased NTIC’s operating expenses during the three months ended November 30,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On January 6, 2023, NTIC entered into a Credit Agreement (the Credit Agreement) with JPMorgan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Chase Bank, N.A. (JPM), which provides NTIC with a senior secured revolving line of credit (the Credit Facility) of up to $10.0 million, and replaced NTIC’s prior loan agreement with PNC Bank, National Association. The Credit Facility includes a $5.0 million sublimit for standby letters of credit. Borrowings of $3,000,000 were outstanding under the Credit Facility as of November 30, 2023.</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 It is anticipated that the Credit Facility will be renewed each year for one additional year for the immediate foreseeable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to JPM a continuing security interest in all of its right, title and interested in collateral made up for the assets of the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 As of November 30, 2023, NTIC was in compliance with all debt covenants under the Credit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Credit Arrangements. </w:t>
      </w:r>
      <w:r>
        <w:rPr>
          <w:rFonts w:ascii="Times New Roman" w:cs="Times New Roman" w:eastAsia="Times New Roman" w:hAnsi="Times New Roman"/>
          <w:sz w:val="18"/>
          <w:szCs w:val="18"/>
          <w:color w:val="auto"/>
        </w:rPr>
        <w:t>On each of April 10, 2023 and May 30, 2023, the Company’s wholly-owned subsidiary in China, NTIC China,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NTIC was in compliance with the covenants as of November 30, 2023. The current outstanding balance as of November 30, 2023 for both term loans is USD $2,810,686.</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three months ended November 30, 2023 was $3,076,892,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a decrease in dividends receivable from joint venture and trade receivables, NTIC’s net income, dividends received from joint ventures, a decrease in inventories, depreciation and amortization expense, and stock-based compensation, partially offset by equity in income from joint ventures and an increase in prepaid expenses and other, technical fee receivables and accounts payable. Net cash provided by operating activities during the three months ended November 30, 2022 was $2,002,543, which resulted principally from dividends received from joint ventures, NTIC’s net income, an increase in inventories, depreciation and amortization expense, and stock-based compensation, partially offset by equity in income from joint ventures and an increase in accounts payable.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NTIC experienced a decrease in trade receivables and a decrease in inventory as of November 30, 2023 compared to August 31, 2023. Trade receivables, excluding joint ventures, as of November 30, 2023 decreased $1,405,769 compared to August 31, 2023, primarily related to the timing of collections.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decreased an average of 4 days to an average of 67 days from balances outstanding from these customers as of November 30, 2023 from an average of 71 days as of August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November 30, 2023 increased $590,713 compared to August 31, 2023 primarily due to the timing of payments and orders. Outstanding balances from trade receivables from joint ventures increased an average of 49 days to an average of 83 days from balances outstanding from these customers as of November 30, 2023 from an average of 34 days as of August 31, 2023. The average days outstanding of trade receivables from joint ventures as of November 30, 2023 were primarily due to the receivables balances at Japan, Thailand and South Korea.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November 30, 2023 decreased $75,194 compared to August 31, 2023, and the average days to pay increased an average of 3 days to an average of 89 days from an average of 86 days as of August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November 30, 2023 was $423,871, which was primarily the result of the purchases of property and equipment, and investments in patents. Net cash used in investing activities for the three months ended November 30, 2022 was $453,539, which was primarily the result of the purchases of property and equipment, and investments in patents.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November 30, 2023 was $2,019,836, which resulted from dividends paid to shareholders, the repayment of borrowings under the line of credit, and dividends received by non-controlling interests, partially offset by proceeds from NTIC’s employee stock purchase plan. Net cash used in financing activities for the three months ended November 30, 2022 was $730,386, which resulted from dividends paid to shareholders, the repayment of borrowings under the line of credit, and dividends received by non-controlling interests, partially offset by proceeds from the exercise of stock options and proceeds from NTIC’s employee stock purchase plan.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2023. As of November 30, 2023, up to $2,640,548 in shares of NTIC common stock remained available for repurchase under NTIC’s stock repurchase program.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On October 18, 2023, the Company’s Board of Directors declared a cash dividend of $0.07 per share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on November 15, 2023 to stockholders of record on November 1, 2023. On October 20, 2022, the Company’s Board of Directors declared a cash dividend of $0.07 per share of the Company’s common stock, payable on November 16, 2022 to stockholders of record on November 3, 2022.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$390,729 on capital expenditures during the three months ended November 30, 2023,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a new warehouse facility, equipment and facility improvements, including the purchase of the property immediately adjacent to NTIC’s headquarters in Circle Pines, Minnesota, which includes a 26,000 square foot industrial building, and related renovations. The building will be used primarily for warehousing space and light industrial production. NTIC expects to spend an aggregate of approximately $1,600,000 to $2,100,000 on capital expenditures during fiscal 2024, which it expects will relate primarily to the installation of new Enterprise Resource Planning (ERP) software system and the purchase of new equipment and facility improvements.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first quarter of fiscal 2024.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Credit Facility with JPM bear interest at a floating rate, at the option of NTIC, equal to either the CB Floating Rate or the Adjusted SOFR Rate, as defined above. Borrowings of $3,000,000 were outstanding under the Credit Facility as of November 30,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November 30, 2023 for both term loans is USD $2,810,686.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fiscal 2024, regardless of the status of COVID-19;</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in particular in China, and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ind w:left="324"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Russia and Ukraine, and the effect of the war and the resulting sanctions by U.S. and European governments on commodity price fluctuations, which have decreased our margins and the margins of our joint ventures and resulted in decreased joint venture profitability, which will likely continue through the end of fiscal 2024;</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Israel and Hamas;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9" w:name="page30"/>
    <w:bookmarkEnd w:id="29"/>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ongoing war between Russia and Ukraine;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effectively remediate its material weakness and maintain effective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2023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interest rate risk, any outstanding advances under NTIC’s Credit Facility with JPM bear interest at a floating rate, at the option of NTIC, equal to either the CB Floating Rate or the Adjusted SOFR Rate, as defined above. Borrowings of $3,000,000 were outstanding under the Credit Facility as of November 30, 2023. Both term loans undertaken by NTIC China with China Construction Bank Corporation have an annual interest rate of 3.25% with interest due monthly. The current outstanding balance as of November 30, 2023 for both term loans is USD $2,810,686.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and as a result of the material weakness in NTIC’s internal control over financial reporting discussed below, NTIC’s Chief Executive Officer and Chief Financial Officer concluded that NTIC’s disclosure controls and procedures were not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NTIC did not maintain effective controls over the probability assessment associated with the recognition of income related to employee retention credits (ERCs).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providing numerous tax provisions and other stimulus measures, including ERCs, which are refundable tax credits against certain employment taxes. The Taxpayer Certainty and Disaster Tax Relief Act of 2020 and the American Rescue Plan Act of 2021 extended and expanded the availability of the ERC.</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 engaged tax advisors of a Big 4 accounting firm which determined NTIC qualified for ERCs. NTIC qualified for ERCs on qualified wages paid in the first and second quarters of 2021 and filed for and recognized income from the ERCs in the second and third quarters of fiscal 2023. In connection with the preparation of its consolidated financial statements for the fiscal year ended August 31, 2023, NTIC concluded that it should have accounted for the ERCs as government grants in accordance with International Accounting Standard (IAS) 20, Accounting for Government Grants and Disclosure of Government Assistance (IAS 20) since U.S. Generally Accepted Accounting Principles (U.S. GAAP) do not provide for the accounting of government grants. Pursuant to IAS 20, NTIC cannot recognize any income from the grant until it is “reasonably assured” that the grant conditions will be met and that the grant will be received, at which time grant income is recorded on a systematic basis over the periods in which NTIC recognizes the payroll expenses for which the grant is intended to compensate. In connection with the preparation of its consolidated financial statements for the fiscal year ended August 31, 2023, NTIC determined that it was not yet reasonably assured that the grant conditions will be met, requiring the restatement of its previously issued consolidated financial statements for the three and six months ended February 28, 2023 and three and nine months ended May 31, 2023. Management determined that this control deficiency constitutes a material weakness in NTIC’s internal control over financial reporting.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NTIC’s management is taking steps to remediate the material weakness in its internal control over financial reporting relating to the proper accounting treatment of the ERCs. These steps include the preparation of a technical accounting memorandum for any material unusual transactions including careful evaluation of any probability assessments or other areas of judgment involved, such as the ERCs, to determine the correct accounting treatment for such transactions. Management believes the additional control procedures designed, and when implemented, will fully remediate the material weakness.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remediation steps discussed above, there was no change in NTIC’s internal control over financial reporting that occurred during the quarter ended November 30, 2023 that has materially affected or is reasonably likely to materially affect NTIC’s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2023,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first quarter of fiscal 2024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00" w:type="dxa"/>
            <w:vAlign w:val="bottom"/>
            <w:tcBorders>
              <w:top w:val="single" w:sz="8" w:color="auto"/>
              <w:left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 (or</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 Purchased As Part</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 that May</w:t>
            </w: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(or Unit)</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Publicly Announced</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60"/>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tcBorders>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174"/>
        </w:trPr>
        <w:tc>
          <w:tcPr>
            <w:tcW w:w="3300" w:type="dxa"/>
            <w:vAlign w:val="bottom"/>
            <w:tcBorders>
              <w:top w:val="single" w:sz="8" w:color="auto"/>
              <w:left w:val="single" w:sz="8" w:color="CCEEFF"/>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September 1, 2023 through September 30,</w:t>
            </w:r>
          </w:p>
        </w:tc>
        <w:tc>
          <w:tcPr>
            <w:tcW w:w="1900" w:type="dxa"/>
            <w:vAlign w:val="bottom"/>
            <w:tcBorders>
              <w:top w:val="single" w:sz="8" w:color="CCEEFF"/>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top w:val="single" w:sz="8" w:color="auto"/>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w:t>
            </w:r>
          </w:p>
        </w:tc>
        <w:tc>
          <w:tcPr>
            <w:tcW w:w="2140" w:type="dxa"/>
            <w:vAlign w:val="bottom"/>
            <w:tcBorders>
              <w:top w:val="single" w:sz="8" w:color="CCEEFF"/>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0</w:t>
            </w:r>
          </w:p>
        </w:tc>
        <w:tc>
          <w:tcPr>
            <w:tcW w:w="2120" w:type="dxa"/>
            <w:vAlign w:val="bottom"/>
            <w:tcBorders>
              <w:top w:val="single" w:sz="8" w:color="auto"/>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w:t>
            </w:r>
          </w:p>
        </w:tc>
      </w:tr>
      <w:tr>
        <w:trPr>
          <w:trHeight w:val="234"/>
        </w:trPr>
        <w:tc>
          <w:tcPr>
            <w:tcW w:w="330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191"/>
        </w:trPr>
        <w:tc>
          <w:tcPr>
            <w:tcW w:w="3300" w:type="dxa"/>
            <w:vAlign w:val="bottom"/>
            <w:tcBorders>
              <w:left w:val="single" w:sz="8" w:color="CCEEFF"/>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November 1, 2023 through November 30,</w:t>
            </w:r>
          </w:p>
        </w:tc>
        <w:tc>
          <w:tcPr>
            <w:tcW w:w="19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214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212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r>
      <w:tr>
        <w:trPr>
          <w:trHeight w:val="234"/>
        </w:trPr>
        <w:tc>
          <w:tcPr>
            <w:tcW w:w="330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p>
        </w:tc>
        <w:tc>
          <w:tcPr>
            <w:tcW w:w="212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30, 2023,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 of Credit Facility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5, 2024, the Company and JPM renewed its Credit Agreement to extend the maturity date of the Credit Facility from January 6, 2024 to January 6, 2025. All other terms of the Credit Facility and the Credit Agreement remain the same. The foregoing represents only a summary of the material terms of the line of credit note, does not purport to be complete and is qualified in its entirety by reference to the complete text of the line of credit note, which is filed as Exhibit 10.1 to this report, and is incorporated by reference herein.</w:t>
      </w:r>
    </w:p>
    <w:p>
      <w:pPr>
        <w:spacing w:after="0" w:line="200" w:lineRule="exact"/>
        <w:rPr>
          <w:sz w:val="20"/>
          <w:szCs w:val="20"/>
          <w:color w:val="auto"/>
        </w:rPr>
      </w:pPr>
    </w:p>
    <w:p>
      <w:pPr>
        <w:spacing w:after="0" w:line="21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20" w:right="20" w:hanging="771"/>
        <w:spacing w:after="0" w:line="258"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Line of Credit Note, effective January 5, 2024, between Northern Technologies International Corporation and JPMorgan Chase Bank, N.A. (filed herewith)</w:t>
      </w:r>
    </w:p>
    <w:p>
      <w:pPr>
        <w:ind w:left="1020" w:hanging="771"/>
        <w:spacing w:after="0" w:line="250"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 Sarbanes-Oxley Act of 2002 (filed herewith)</w:t>
      </w:r>
    </w:p>
    <w:p>
      <w:pPr>
        <w:spacing w:after="0" w:line="1" w:lineRule="exact"/>
        <w:rPr>
          <w:sz w:val="20"/>
          <w:szCs w:val="20"/>
          <w:color w:val="auto"/>
        </w:rPr>
      </w:pPr>
    </w:p>
    <w:p>
      <w:pPr>
        <w:ind w:left="2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SEC Rule 13a-14(a), as adopted pursuant to Section 302 of the Sarbanes-Oxley Act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EE"/>
        </w:rPr>
        <w:t>2002 (filed herewith)</w:t>
      </w:r>
    </w:p>
    <w:p>
      <w:pPr>
        <w:spacing w:after="0" w:line="9" w:lineRule="exact"/>
        <w:rPr>
          <w:sz w:val="20"/>
          <w:szCs w:val="20"/>
          <w:color w:val="auto"/>
        </w:rPr>
      </w:pPr>
    </w:p>
    <w:p>
      <w:pPr>
        <w:ind w:left="1020" w:hanging="771"/>
        <w:spacing w:after="0" w:line="250"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 (furnished herewith)</w:t>
      </w:r>
    </w:p>
    <w:p>
      <w:pPr>
        <w:spacing w:after="0" w:line="1" w:lineRule="exact"/>
        <w:rPr>
          <w:sz w:val="20"/>
          <w:szCs w:val="20"/>
          <w:color w:val="auto"/>
        </w:rPr>
      </w:pPr>
    </w:p>
    <w:p>
      <w:pPr>
        <w:ind w:left="24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 Act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EE"/>
        </w:rPr>
        <w:t>2002 (furnished herewith)</w:t>
      </w:r>
    </w:p>
    <w:p>
      <w:pPr>
        <w:spacing w:after="0" w:line="9" w:lineRule="exact"/>
        <w:rPr>
          <w:sz w:val="20"/>
          <w:szCs w:val="20"/>
          <w:color w:val="auto"/>
        </w:rPr>
      </w:pPr>
    </w:p>
    <w:p>
      <w:pPr>
        <w:jc w:val="both"/>
        <w:ind w:left="1020" w:hanging="739"/>
        <w:spacing w:after="0" w:line="250" w:lineRule="auto"/>
        <w:tabs>
          <w:tab w:leader="none" w:pos="10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NTIC’s Quarterly Report on Form 10-Q for the fiscal quarter ended November 30, 2023, formatted in Inline XBRL (Extensible Business Reporting Language): (i) the unaudited Consolidated Balance Sheets, (ii) the unaudited Consolidated Statements of Operations, (iii) the unaudited Consolidated Statements of Comprehensive Income , (iv) the unaudited Consolidated Statements of Equity,</w:t>
      </w:r>
    </w:p>
    <w:p>
      <w:pPr>
        <w:spacing w:after="0" w:line="1" w:lineRule="exact"/>
        <w:rPr>
          <w:sz w:val="20"/>
          <w:szCs w:val="20"/>
          <w:color w:val="auto"/>
        </w:rPr>
      </w:pPr>
    </w:p>
    <w:p>
      <w:pPr>
        <w:ind w:left="1280" w:hanging="26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Statements of Cash Flows, and (vi) Notes to Consolidated Financial Statements (filed herewith)</w:t>
      </w:r>
    </w:p>
    <w:p>
      <w:pPr>
        <w:spacing w:after="0" w:line="9"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(formatted as Inline XBRL and contained in Exhibit 101)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right="3560" w:hanging="5615"/>
        <w:spacing w:after="0" w:line="273" w:lineRule="auto"/>
        <w:tabs>
          <w:tab w:leader="none" w:pos="5600" w:val="left"/>
        </w:tabs>
        <w:rPr>
          <w:sz w:val="20"/>
          <w:szCs w:val="20"/>
          <w:color w:val="auto"/>
        </w:rPr>
      </w:pPr>
      <w:r>
        <w:rPr>
          <w:rFonts w:ascii="Times New Roman" w:cs="Times New Roman" w:eastAsia="Times New Roman" w:hAnsi="Times New Roman"/>
          <w:sz w:val="18"/>
          <w:szCs w:val="18"/>
          <w:color w:val="auto"/>
        </w:rPr>
        <w:t>Date: January 11, 2024</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576" w:right="4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LINE OF CREDIT NOTE, EFFECTIVE JANUARY 5, 2024, BETWEEN NORTHERN TECHNOLOGIES INTERNATIONAL CORPORATION AND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714500" cy="3346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3346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b w:val="1"/>
          <w:bCs w:val="1"/>
          <w:color w:val="auto"/>
        </w:rPr>
        <w:t>Line of Credit Note</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$10,000,000.00</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December 21, 2023</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Promise to Pay. </w:t>
      </w:r>
      <w:r>
        <w:rPr>
          <w:rFonts w:ascii="Times New Roman" w:cs="Times New Roman" w:eastAsia="Times New Roman" w:hAnsi="Times New Roman"/>
          <w:sz w:val="18"/>
          <w:szCs w:val="18"/>
          <w:color w:val="auto"/>
        </w:rPr>
        <w:t>On or before January 6, 2025, for value received, Northern Technologies International Corporation (the "Borrower") promises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JPMorgan Chase Bank, N.A., whose address is 10 S. Dearborn St., Floor 35, Chicago, IL 60603-2300, ATTN Credit Executive-MN (the "Bank") or order, in lawful money of the United States of America, the sum of Ten Million and 00/100 Dollars ($10,000,000.00) or so much thereof as may be advanced and outstanding, plus interest on the unpaid principal balance as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Rate Definitions. </w:t>
      </w:r>
      <w:r>
        <w:rPr>
          <w:rFonts w:ascii="Times New Roman" w:cs="Times New Roman" w:eastAsia="Times New Roman" w:hAnsi="Times New Roman"/>
          <w:sz w:val="18"/>
          <w:szCs w:val="18"/>
          <w:color w:val="auto"/>
        </w:rPr>
        <w:t>As used in this Note, the following terms have the following respective meanings: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SOFR Rate" </w:t>
      </w:r>
      <w:r>
        <w:rPr>
          <w:rFonts w:ascii="Times New Roman" w:cs="Times New Roman" w:eastAsia="Times New Roman" w:hAnsi="Times New Roman"/>
          <w:sz w:val="18"/>
          <w:szCs w:val="18"/>
          <w:color w:val="auto"/>
        </w:rPr>
        <w:t>means, with respect to a SOFR Rate Advance for the relevant Interest Period, the sum of (a) the SOFR Rate applicable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Period, plus (b) the Unsecured to Secured Rate Adjustment.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"Advance" </w:t>
      </w:r>
      <w:r>
        <w:rPr>
          <w:rFonts w:ascii="Times New Roman" w:cs="Times New Roman" w:eastAsia="Times New Roman" w:hAnsi="Times New Roman"/>
          <w:sz w:val="18"/>
          <w:szCs w:val="18"/>
          <w:color w:val="auto"/>
        </w:rPr>
        <w:t>means a SOFR Rate Advance or a CB Floating Rate Advance and</w:t>
      </w:r>
      <w:r>
        <w:rPr>
          <w:rFonts w:ascii="Times New Roman" w:cs="Times New Roman" w:eastAsia="Times New Roman" w:hAnsi="Times New Roman"/>
          <w:sz w:val="18"/>
          <w:szCs w:val="18"/>
          <w:b w:val="1"/>
          <w:bCs w:val="1"/>
          <w:color w:val="auto"/>
        </w:rPr>
        <w:t xml:space="preserve"> "Advances" </w:t>
      </w:r>
      <w:r>
        <w:rPr>
          <w:rFonts w:ascii="Times New Roman" w:cs="Times New Roman" w:eastAsia="Times New Roman" w:hAnsi="Times New Roman"/>
          <w:sz w:val="18"/>
          <w:szCs w:val="18"/>
          <w:color w:val="auto"/>
        </w:rPr>
        <w:t>means all SOFR Rate Advances and all CB Floating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Advances under this Note.</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Margin" </w:t>
      </w:r>
      <w:r>
        <w:rPr>
          <w:rFonts w:ascii="Times New Roman" w:cs="Times New Roman" w:eastAsia="Times New Roman" w:hAnsi="Times New Roman"/>
          <w:sz w:val="18"/>
          <w:szCs w:val="18"/>
          <w:color w:val="auto"/>
        </w:rPr>
        <w:t>means with respect to any CB Floating Rate Advance, 0.00% Per Annum and with respect to any SOFR Rate Advance, 2.15%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"Benchmark Transition Event" </w:t>
      </w:r>
      <w:r>
        <w:rPr>
          <w:rFonts w:ascii="Times New Roman" w:cs="Times New Roman" w:eastAsia="Times New Roman" w:hAnsi="Times New Roman"/>
          <w:sz w:val="18"/>
          <w:szCs w:val="18"/>
          <w:color w:val="auto"/>
        </w:rPr>
        <w:t>means the occurrence of one or more of the following events with respect to SOFR:</w:t>
      </w:r>
    </w:p>
    <w:p>
      <w:pPr>
        <w:spacing w:after="0" w:line="229" w:lineRule="exact"/>
        <w:rPr>
          <w:sz w:val="20"/>
          <w:szCs w:val="20"/>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SOFR Administrator announcing that such SOFR Administrator has ceased or will cease to provide SOFR, permanently or indefinitely, provided that, at the time of such statement or publication, there is no successor SOFR Administrator that will continue to provide SOFR; or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NYFRB, the Federal Reserve Board, or, as applicable, the regulatory supervisor for the SOFR Administrator, an insolvency official with jurisdiction over the SOFR Administrator, a resolution authority with jurisdiction over the SOFR Administrator or a court or an entity with similar insolvency or resolution authority over the SOFR Administrator, in each case, which states that the SOFR Administrator has ceased or will cease to provide SOFR permanently or indefinitely, provided that, at the time of such statement or publication, there is no successor administrator that will continue to provide SOFR; or</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Federal Reserve Board, the NYFRB, the SOFR Administrator or the regulatory supervisor for the SOFR Administrator (as applicable), announcing that SOFR is no longer, or as of a specified future date will no longer be, representative.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any day that is not a Saturday, Sunday, or other day on which commercial banks in New York City or Chicago are authorized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to remain closed; provided that, when used in connection with a SOFR Rate Advance, the term "Business Day" shall also exclude any day on which the Securities Industry and Financial Markets Association recommends that the fixed income departments of its members be closed for the entire day for purposes of trading in United States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"CB Floating Rate" </w:t>
      </w:r>
      <w:r>
        <w:rPr>
          <w:rFonts w:ascii="Times New Roman" w:cs="Times New Roman" w:eastAsia="Times New Roman" w:hAnsi="Times New Roman"/>
          <w:sz w:val="18"/>
          <w:szCs w:val="18"/>
          <w:color w:val="auto"/>
        </w:rPr>
        <w:t>means the greater of (i) the Prime Rate or (ii) 2.50%. The CB Floating Rate is a variable rate and any change in the CB Floating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any change in the Prime Rate is effective from and including the effective date of such change in the Prime Rate.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"CB Floating Rate Advance" </w:t>
      </w:r>
      <w:r>
        <w:rPr>
          <w:rFonts w:ascii="Times New Roman" w:cs="Times New Roman" w:eastAsia="Times New Roman" w:hAnsi="Times New Roman"/>
          <w:sz w:val="18"/>
          <w:szCs w:val="18"/>
          <w:color w:val="auto"/>
        </w:rPr>
        <w:t>means any borrowing under this Note when and to the extent that its interest rate is determined by reference to the CB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Floating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"Federal Reserve Board" </w:t>
      </w:r>
      <w:r>
        <w:rPr>
          <w:rFonts w:ascii="Times New Roman" w:cs="Times New Roman" w:eastAsia="Times New Roman" w:hAnsi="Times New Roman"/>
          <w:sz w:val="18"/>
          <w:szCs w:val="18"/>
          <w:color w:val="auto"/>
        </w:rPr>
        <w:t>means the Board of Governors of the Federal Reserve System of the United States of America.</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Period" </w:t>
      </w:r>
      <w:r>
        <w:rPr>
          <w:rFonts w:ascii="Times New Roman" w:cs="Times New Roman" w:eastAsia="Times New Roman" w:hAnsi="Times New Roman"/>
          <w:sz w:val="18"/>
          <w:szCs w:val="18"/>
          <w:color w:val="auto"/>
        </w:rPr>
        <w:t>means, with respect to a SOFR Rate Advance, a period of one (1), three (3) or six (6) month(s) commencing on a Business Day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Borrower pursuant to this Note. Such Interest Period shall end on the day which corresponds numerically to such date one (1), three (3) or six (6) month(s) thereafter,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is no such numerically corresponding day in such first, third or sixth succeeding month(s), as applicable, such Interest Period shall end on the last Business Day of such first, third or sixth succeeding month(s), as applicable. If an Interest Period would otherwise end on a day which is not a Business Day, such Interest Period shall end on the next succeeding Business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said next succeeding Business Day falls in a new calendar month, such Interest Period shall end on the immediately preceding Business Day.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"NYFRB" </w:t>
      </w:r>
      <w:r>
        <w:rPr>
          <w:rFonts w:ascii="Times New Roman" w:cs="Times New Roman" w:eastAsia="Times New Roman" w:hAnsi="Times New Roman"/>
          <w:sz w:val="18"/>
          <w:szCs w:val="18"/>
          <w:color w:val="auto"/>
        </w:rPr>
        <w:t>means the Federal Reserve Bank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 Annum" </w:t>
      </w:r>
      <w:r>
        <w:rPr>
          <w:rFonts w:ascii="Times New Roman" w:cs="Times New Roman" w:eastAsia="Times New Roman" w:hAnsi="Times New Roman"/>
          <w:sz w:val="18"/>
          <w:szCs w:val="18"/>
          <w:color w:val="auto"/>
        </w:rPr>
        <w:t>means for a year deemed to be comprised of 360 days.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"Prime Rate" </w:t>
      </w:r>
      <w:r>
        <w:rPr>
          <w:rFonts w:ascii="Times New Roman" w:cs="Times New Roman" w:eastAsia="Times New Roman" w:hAnsi="Times New Roman"/>
          <w:sz w:val="18"/>
          <w:szCs w:val="18"/>
          <w:color w:val="auto"/>
        </w:rPr>
        <w:t>means the rate of interest last quoted by The Wall Street Journal as the "Prime Rate" in the U.S. or, if The Wall Street Journal ceases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Bank) or any similar release by the Federal Reserve Board (as determined by the Bank). Each change in the Prime Rate shall be effective from and including the date such change is publicly announced or quoted as being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Payment Date" </w:t>
      </w:r>
      <w:r>
        <w:rPr>
          <w:rFonts w:ascii="Times New Roman" w:cs="Times New Roman" w:eastAsia="Times New Roman" w:hAnsi="Times New Roman"/>
          <w:sz w:val="18"/>
          <w:szCs w:val="18"/>
          <w:color w:val="auto"/>
        </w:rPr>
        <w:t>is defined in the paragraph entitled "Principal Payments"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"SOFR" </w:t>
      </w:r>
      <w:r>
        <w:rPr>
          <w:rFonts w:ascii="Times New Roman" w:cs="Times New Roman" w:eastAsia="Times New Roman" w:hAnsi="Times New Roman"/>
          <w:sz w:val="18"/>
          <w:szCs w:val="18"/>
          <w:color w:val="auto"/>
        </w:rPr>
        <w:t>is defined in the "SOFR Rate"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"SOFR Administrator" </w:t>
      </w:r>
      <w:r>
        <w:rPr>
          <w:rFonts w:ascii="Times New Roman" w:cs="Times New Roman" w:eastAsia="Times New Roman" w:hAnsi="Times New Roman"/>
          <w:sz w:val="18"/>
          <w:szCs w:val="18"/>
          <w:color w:val="auto"/>
        </w:rPr>
        <w:t>means the CME Group Benchmark Administration Limited (or a successor administrator of SOFR).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"SOFR Administrator's Website" </w:t>
      </w:r>
      <w:r>
        <w:rPr>
          <w:rFonts w:ascii="Times New Roman" w:cs="Times New Roman" w:eastAsia="Times New Roman" w:hAnsi="Times New Roman"/>
          <w:sz w:val="18"/>
          <w:szCs w:val="18"/>
          <w:color w:val="auto"/>
        </w:rPr>
        <w:t>means the SOFR Administrator’s website, currently accessed through the website https://www.cmegroup.com,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source for SOFR identified as such by the SOFR Administrator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"SOFR Rate Advance" </w:t>
      </w:r>
      <w:r>
        <w:rPr>
          <w:rFonts w:ascii="Times New Roman" w:cs="Times New Roman" w:eastAsia="Times New Roman" w:hAnsi="Times New Roman"/>
          <w:sz w:val="18"/>
          <w:szCs w:val="18"/>
          <w:color w:val="auto"/>
        </w:rPr>
        <w:t>means any borrowing under this Note when and to the extent that its interest rate is determined by reference to the Adjusted SOFR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"SOFR Rate" </w:t>
      </w:r>
      <w:r>
        <w:rPr>
          <w:rFonts w:ascii="Times New Roman" w:cs="Times New Roman" w:eastAsia="Times New Roman" w:hAnsi="Times New Roman"/>
          <w:sz w:val="18"/>
          <w:szCs w:val="18"/>
          <w:color w:val="auto"/>
        </w:rPr>
        <w:t>means with respect to any SOFR Rate Advance for any Interest Period, a rate per annum equal to the forward-looking term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for a period equal in length to such Interest Period as published by the SOFR Administrator on the SOFR Administrator’s Website, or on the appropriate page of such other information service that publishes such rate from time to time as shall be selected by the Bank in its reasonable discretion (in each case, the "</w:t>
      </w:r>
      <w:r>
        <w:rPr>
          <w:rFonts w:ascii="Times New Roman" w:cs="Times New Roman" w:eastAsia="Times New Roman" w:hAnsi="Times New Roman"/>
          <w:sz w:val="18"/>
          <w:szCs w:val="18"/>
          <w:b w:val="1"/>
          <w:bCs w:val="1"/>
          <w:color w:val="auto"/>
        </w:rPr>
        <w:t>SOFR Screen Rate</w:t>
      </w:r>
      <w:r>
        <w:rPr>
          <w:rFonts w:ascii="Times New Roman" w:cs="Times New Roman" w:eastAsia="Times New Roman" w:hAnsi="Times New Roman"/>
          <w:sz w:val="18"/>
          <w:szCs w:val="18"/>
          <w:color w:val="auto"/>
        </w:rPr>
        <w:t xml:space="preserve">") at approximately 5:00 a.m., Chicago time, two (2) Business Days prior to the commencement of such Interest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any SOFR Screen Rate shall be less than zero, such rate shall be deemed to be zero for the purposes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"Unsecured to Secured Rate Adjustment" </w:t>
      </w:r>
      <w:r>
        <w:rPr>
          <w:rFonts w:ascii="Times New Roman" w:cs="Times New Roman" w:eastAsia="Times New Roman" w:hAnsi="Times New Roman"/>
          <w:sz w:val="18"/>
          <w:szCs w:val="18"/>
          <w:color w:val="auto"/>
        </w:rPr>
        <w:t>means, with respect to any SOFR Rate Advance, 0.10% Per Annum.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Interest Rates. </w:t>
      </w:r>
      <w:r>
        <w:rPr>
          <w:rFonts w:ascii="Times New Roman" w:cs="Times New Roman" w:eastAsia="Times New Roman" w:hAnsi="Times New Roman"/>
          <w:sz w:val="18"/>
          <w:szCs w:val="18"/>
          <w:color w:val="auto"/>
        </w:rPr>
        <w:t>The Advance(s) evidenced by this Note may be drawn down and remain outstanding as up to five (5) SOFR Rate Advances and/or a CB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Floating Rate Advance. The Borrower shall pay interest to the Bank on the outstanding and unpaid principal amount of each CB Floating Rate Advance at the CB Floating Rate plus the Applicable Margin and each SOFR Rate Advance at the Adjusted SOFR Rate plus the Applicable Margin. Interest shall be calculated on the basis of the actual number of days elapsed in a year of 360 days. In no event shall the interest rate applicable to any Advance exceed the maximum rate allowed by law. Any interest payment which would for any reason be deemed unlawful under applicable law shall be applied to principal.</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Benchmarks; No Liability. </w:t>
      </w:r>
      <w:r>
        <w:rPr>
          <w:rFonts w:ascii="Times New Roman" w:cs="Times New Roman" w:eastAsia="Times New Roman" w:hAnsi="Times New Roman"/>
          <w:sz w:val="18"/>
          <w:szCs w:val="18"/>
          <w:color w:val="auto"/>
        </w:rPr>
        <w:t>The interest rate on a SOFR Rate Advance may be derived from an interest rate benchmark that may be discontinued or 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 the future become, the subject of regulatory reform. Upon the occurrence of a Benchmark Transition Event, the section captioned "Alternate Rate of Interest" below provides a mechanism for determining an alternative rate of interest. The Bank does not warrant or accept any responsibility for, and shall not have any liability with respect to, the administration, submission, performance or any other matter related to any interest rate used in this Note,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Bank and its affiliates and/or other related entities may engage in transactions that affect the calculation of any interest rate used in this Note or any alternative, successor or alternative rate (including any Alternate Rate) and/or any relevant adjustments thereto, in each case, in a manner adverse to the Borrower. The Bank may select information sources or services in its reasonable discretion to ascertain any interest rate used in this Agreement, any component thereof, or rates referenced in the definition thereof, in each case pursuant to the terms of this Note,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Bank Records. </w:t>
      </w:r>
      <w:r>
        <w:rPr>
          <w:rFonts w:ascii="Times New Roman" w:cs="Times New Roman" w:eastAsia="Times New Roman" w:hAnsi="Times New Roman"/>
          <w:sz w:val="18"/>
          <w:szCs w:val="18"/>
          <w:color w:val="auto"/>
        </w:rPr>
        <w:t>The Bank shall, in the ordinary course of business, make notations in its records of the date, amount, interest rate and Interest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Advance hereunder, the amount of each payment on the Advances, and other information. Such records shall, in the absence of manifest error, be conclusive as to the outstanding principal balance of and interest rate or rates applicable to this Note.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and Manner of Electing Interest Rates on Advances. </w:t>
      </w:r>
      <w:r>
        <w:rPr>
          <w:rFonts w:ascii="Times New Roman" w:cs="Times New Roman" w:eastAsia="Times New Roman" w:hAnsi="Times New Roman"/>
          <w:sz w:val="18"/>
          <w:szCs w:val="18"/>
          <w:color w:val="auto"/>
        </w:rPr>
        <w:t>The Borrower shall give the Bank written notice in accordance with established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upon receipt) of the Borrower's intent to draw down an Advance under this Note no later than 2:00 p.m. Central time, on the date of disbursement, if the full amount of the drawn Advance is to be disbursed as a CB Floating Rate Advance and no later than 11:00 a.m. Central time three (3) Business Days before disbursement, if any part of such Advance is to be disbursed as a SOFR Rate Advance. The Borrower's notice must specify: (a) the disbursement date, (b) the amount of each Advance, (c) the type of each Advance (CB Floating Rate Advance or SOFR Rate Advance), and (d) for each SOFR Rate Advance, the duration of the applicable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 may not elect an Interest Period ending after the maturity date of this Note. Each SOFR Rate Advance shall be in a minimum amount of One Hundred Thousand and 00/100 Dollars ($100,000.00). All notices under this paragraph are irrevocable. By the Bank's close of business on the disbursement date and upon fulfillment of the conditions set forth herein and in any other of the Related Documents, the Bank shall disburse the requested Advances in immediately available funds by crediting the amount of such Advances to the Borrower's account with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Conversion and Renewals. </w:t>
      </w:r>
      <w:r>
        <w:rPr>
          <w:rFonts w:ascii="Times New Roman" w:cs="Times New Roman" w:eastAsia="Times New Roman" w:hAnsi="Times New Roman"/>
          <w:sz w:val="18"/>
          <w:szCs w:val="18"/>
          <w:color w:val="auto"/>
        </w:rPr>
        <w:t>The Borrower may elect from time to time to convert one type of Advance into another or to renew any Advance by giving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written notice no later than 2:00 p.m. Central time, on the date of the conversion into or renewal of a CB Floating Rate Advance and 11:00 a.m. Central time three (3) Business Days before conversion into or renewal of a SOFR Rate Advance, specifying: (a) the renewal or conversion date, (b) the amount of the Advance to be converted or renewed, (c) in the case of conversion, the type of Advance to be converted into (CB Floating Rate Advance or SOFR Rate Advance), and (d) in the case of renewals of or conversion into a SOFR Rate Advance, the applicable Interest Period, provided that (i) the minimum principal amount of each SOFR Rate Advance outstanding after a renewal or conversion shall be One Hundred Thousand and 00/100 Dollars ($100,000.00); (ii) a SOFR Rate Advance can only be converted on the last day of the Interest Period for the Advance; and (iii) the Borrower may not elect an Interest Period ending after the maturity date of this Note. All notices given under this paragraph are irrevocable. If the Borrower fails to give the Bank the notice specified above for the renewal or conversion of a SOFR Rate Advance by 11:00 a.m. Central time three (3) Business Days before the end of the Interest Period for that Advance, the Advance shall automatically be converted to a CB Floating Rate Advance on the last day of the Interest Period for the Advance.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Illegality/Temporary Unavailability. </w:t>
      </w:r>
      <w:r>
        <w:rPr>
          <w:rFonts w:ascii="Times New Roman" w:cs="Times New Roman" w:eastAsia="Times New Roman" w:hAnsi="Times New Roman"/>
          <w:sz w:val="18"/>
          <w:szCs w:val="18"/>
          <w:color w:val="auto"/>
        </w:rPr>
        <w:t>If:</w:t>
      </w:r>
    </w:p>
    <w:p>
      <w:pPr>
        <w:spacing w:after="0" w:line="229" w:lineRule="exact"/>
        <w:rPr>
          <w:sz w:val="20"/>
          <w:szCs w:val="20"/>
          <w:color w:val="auto"/>
        </w:rPr>
      </w:pPr>
    </w:p>
    <w:p>
      <w:pPr>
        <w:ind w:left="340" w:right="10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domestic or foreign law, treaty, rule or regulation now or later in effect (whether or not it now applies to the Bank) or the interpretation or administration thereof by a governmental authority charged with such interpretation or administration, or compliance by the Bank with any guideline, request or directive of such an authority (whether or not having the force of law), shall make it unlawful or impossible for the Bank to maintain or fund the SOFR Rate Advances, or</w:t>
      </w:r>
    </w:p>
    <w:p>
      <w:pPr>
        <w:spacing w:after="0" w:line="179" w:lineRule="exact"/>
        <w:rPr>
          <w:rFonts w:ascii="Times New Roman" w:cs="Times New Roman" w:eastAsia="Times New Roman" w:hAnsi="Times New Roman"/>
          <w:sz w:val="18"/>
          <w:szCs w:val="18"/>
          <w:color w:val="auto"/>
        </w:rPr>
      </w:pPr>
    </w:p>
    <w:p>
      <w:pPr>
        <w:ind w:left="340" w:right="120" w:hanging="332"/>
        <w:spacing w:after="0" w:line="312" w:lineRule="auto"/>
        <w:tabs>
          <w:tab w:leader="none" w:pos="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 determines (which determination shall be conclusive absent manifest error) that adequate and reasonable means do not exist for ascertaining the SOFR Rate (including because the SOFR Screen Rate is not available or published on a current basis), for the applicable Interest Period; or</w:t>
      </w:r>
    </w:p>
    <w:p>
      <w:pPr>
        <w:spacing w:after="0" w:line="139" w:lineRule="exact"/>
        <w:rPr>
          <w:rFonts w:ascii="Times New Roman" w:cs="Times New Roman" w:eastAsia="Times New Roman" w:hAnsi="Times New Roman"/>
          <w:sz w:val="17"/>
          <w:szCs w:val="17"/>
          <w:color w:val="auto"/>
        </w:rPr>
      </w:pPr>
    </w:p>
    <w:p>
      <w:pPr>
        <w:ind w:left="340" w:hanging="332"/>
        <w:spacing w:after="0" w:line="187" w:lineRule="auto"/>
        <w:tabs>
          <w:tab w:leader="none" w:pos="340" w:val="left"/>
        </w:tabs>
        <w:numPr>
          <w:ilvl w:val="0"/>
          <w:numId w:val="2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Bank determines the SOFR Rate will not adequately and fairly reflect the cost to the Bank of making or maintaining SOFR Rate Advances for such Interest Period;</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the Bank shall give notice thereof to the Borrower as promptly as practicable thereafter and, until the Bank notifies the Borrower that the circumstances giving rise to such notice no longer exist, (A) any Advance request that requests the conversion of any Advance, or continuation of any Advance as, a SOFR Rate Advance shall be ineffective and any such SOFR Rate Advance shall be repaid or converted into a CB Floating Rate Advance on the last day of the then current Interest Period applicable thereto, and (B) if any Advance request that requests a SOFR Rate Advance, such Advance shall, subject to the terms and conditions of this Note and the other Related Documents, be made as a CB Floating Rate Advance.</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Alternate Rate of Interest. </w:t>
      </w:r>
      <w:r>
        <w:rPr>
          <w:rFonts w:ascii="Times New Roman" w:cs="Times New Roman" w:eastAsia="Times New Roman" w:hAnsi="Times New Roman"/>
          <w:sz w:val="18"/>
          <w:szCs w:val="18"/>
          <w:color w:val="auto"/>
        </w:rPr>
        <w:t>If a Benchmark Transition Event occurs, Bank may, by notice to Borrower, amend this Note to establish an alternate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for SOFR that gives due consideration to the then-evolving or prevailing market convention for determining a rate of interest for commercial loans in US Dollars at such time (the "</w:t>
      </w: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Borrower acknowledges that the Alternate Rate may include a mathematical adjustment using any then-evolving or prevailing market convention or method for determining a spread adjustment for the replacement of SOFR (which may include, if SOFR already contains such a spread, adding that spread to the Alternate Rate). The Bank may further amend the Note by such notice to Borrower to make technical, administrative or operational changes (including, without limitation, changes to the definition of "CB Floating Rate", the definition of "Interest Period", timing and frequency of determining rates and making payments of interest) that the Bank decides in its reasonable discretion may be appropriate to reflect the adoption and implementation of the Alternate Rate. The Alternate Rate, together with all such technical, administrative and operational changes as specified in any notice, shall become effective at the later of (i) the fifth Business Day after the Bank has provided notice (including without limitation for this purpose, by electronic means) to the Borrower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and (ii) a date specified by the Bank in the notice, without any further action or consent of the Borrower, so long as Bank has not received, by 5:00 pm Eastern time on the Notice Date, written notice of objection to the Alternate Rate from the Borrower. If, on the date SOFR actually becomes permanently unavailable pursuant to a Benchmark Transition Event, an Alternate Rate has not been established in this manner, Advances will, until an Alternate Rate is so established, bear interest at the CB Floating Rate. In no event shall the Alternate Rate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both"/>
        <w:ind w:left="10"/>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a rate replacement described in the paragraph above, Bank may from time to time, upon written notice to Borrower, make any further technical, administrative or operational changes to this Note (including changes to the definition of "CB Floating Rate", the definition of "Business Day", the timing and frequency of determining rates and making payments of interest, the timing of prepayment or conversion notices, the length of lookback periods, the applicability of breakage provisions and other technical, administrative or operational matters) that Bank decides may be appropriate to reflect the adoption and implementation of such rate replacement and to permit the administration thereof by Bank.</w: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All determinations by Bank under this section shall be conclusive and binding absent manifest error.</w:t>
      </w:r>
    </w:p>
    <w:p>
      <w:pPr>
        <w:spacing w:after="0" w:line="221"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Payments. </w:t>
      </w:r>
      <w:r>
        <w:rPr>
          <w:rFonts w:ascii="Times New Roman" w:cs="Times New Roman" w:eastAsia="Times New Roman" w:hAnsi="Times New Roman"/>
          <w:sz w:val="18"/>
          <w:szCs w:val="18"/>
          <w:color w:val="auto"/>
        </w:rPr>
        <w:t>Interest on the Advances shall be paid on the last day of each month, beginning with the first month following disbursement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whether the Advance is a CB Floating Rate Advance or SOFR Rate Advance.</w:t>
      </w:r>
    </w:p>
    <w:p>
      <w:pPr>
        <w:spacing w:after="0" w:line="155"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Payments. </w:t>
      </w:r>
      <w:r>
        <w:rPr>
          <w:rFonts w:ascii="Times New Roman" w:cs="Times New Roman" w:eastAsia="Times New Roman" w:hAnsi="Times New Roman"/>
          <w:sz w:val="18"/>
          <w:szCs w:val="18"/>
          <w:color w:val="auto"/>
        </w:rPr>
        <w:t>All outstanding principal and interest is due and payable in full on January 6, 2025, which is defined herein as the "Principal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155"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Default Rate of Interest. </w:t>
      </w:r>
      <w:r>
        <w:rPr>
          <w:rFonts w:ascii="Times New Roman" w:cs="Times New Roman" w:eastAsia="Times New Roman" w:hAnsi="Times New Roman"/>
          <w:sz w:val="18"/>
          <w:szCs w:val="18"/>
          <w:color w:val="auto"/>
        </w:rPr>
        <w:t>After a default has occurred under this Note, whether or not the Bank elects to accelerate the maturity of this Note because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default, all Advances outstanding under this Note, shall bear interest at a Per Annum rate equal to the interest rate being charged on each such Advance plus three percent (3.00%) from the date the Bank elects to impose such rate. Imposition of this rate shall not affect any limitations contained in this Note on the Borrower's right to repay principal on any SOFR Rate Advance before the expiration of the Interest Period for each such Advance.</w:t>
      </w:r>
    </w:p>
    <w:p>
      <w:pPr>
        <w:spacing w:after="0" w:line="176"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Prepayment/Funding Loss Indemnification. </w:t>
      </w:r>
      <w:r>
        <w:rPr>
          <w:rFonts w:ascii="Times New Roman" w:cs="Times New Roman" w:eastAsia="Times New Roman" w:hAnsi="Times New Roman"/>
          <w:sz w:val="18"/>
          <w:szCs w:val="18"/>
          <w:color w:val="auto"/>
        </w:rPr>
        <w:t>The Borrower may prepay all or any part of any CB Floating Rate Advance at any time without premium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penalty.</w:t>
      </w:r>
    </w:p>
    <w:p>
      <w:pPr>
        <w:spacing w:after="0" w:line="159" w:lineRule="exact"/>
        <w:rPr>
          <w:sz w:val="20"/>
          <w:szCs w:val="20"/>
          <w:color w:val="auto"/>
        </w:rPr>
      </w:pPr>
    </w:p>
    <w:p>
      <w:pPr>
        <w:jc w:val="both"/>
        <w:ind w:left="10"/>
        <w:spacing w:after="0" w:line="282" w:lineRule="auto"/>
        <w:rPr>
          <w:sz w:val="20"/>
          <w:szCs w:val="20"/>
          <w:color w:val="auto"/>
        </w:rPr>
      </w:pPr>
      <w:r>
        <w:rPr>
          <w:rFonts w:ascii="Times New Roman" w:cs="Times New Roman" w:eastAsia="Times New Roman" w:hAnsi="Times New Roman"/>
          <w:sz w:val="18"/>
          <w:szCs w:val="18"/>
          <w:color w:val="auto"/>
        </w:rPr>
        <w:t>The Borrower shall pay the Bank amounts sufficient (in the Bank's reasonable opinion) to compensate the Bank for any loss, cost, or expense incurred as a result of:</w:t>
      </w:r>
    </w:p>
    <w:p>
      <w:pPr>
        <w:spacing w:after="0" w:line="162" w:lineRule="exact"/>
        <w:rPr>
          <w:sz w:val="20"/>
          <w:szCs w:val="20"/>
          <w:color w:val="auto"/>
        </w:rPr>
      </w:pPr>
    </w:p>
    <w:p>
      <w:pPr>
        <w:ind w:left="10" w:hanging="10"/>
        <w:spacing w:after="0" w:line="282" w:lineRule="auto"/>
        <w:tabs>
          <w:tab w:leader="none" w:pos="7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a SOFR Rate Advance on a date other than the last day of the Interest Period for the Advance, including, without limitation, acceleration of the Advances by the Bank pursuant to this Note or the other Related Documents; or</w:t>
      </w:r>
    </w:p>
    <w:p>
      <w:pPr>
        <w:spacing w:after="0" w:line="161" w:lineRule="exact"/>
        <w:rPr>
          <w:rFonts w:ascii="Times New Roman" w:cs="Times New Roman" w:eastAsia="Times New Roman" w:hAnsi="Times New Roman"/>
          <w:sz w:val="18"/>
          <w:szCs w:val="18"/>
          <w:color w:val="auto"/>
        </w:rPr>
      </w:pPr>
    </w:p>
    <w:p>
      <w:pPr>
        <w:ind w:left="570" w:hanging="570"/>
        <w:spacing w:after="0"/>
        <w:tabs>
          <w:tab w:leader="none" w:pos="5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to borrow or renew a SOFR Rate Advance on the date specified in the relevant notice from the Borrower to the Bank.</w:t>
      </w:r>
    </w:p>
    <w:p>
      <w:pPr>
        <w:spacing w:after="0" w:line="221"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Obligations Due on Non-Business Day. </w:t>
      </w:r>
      <w:r>
        <w:rPr>
          <w:rFonts w:ascii="Times New Roman" w:cs="Times New Roman" w:eastAsia="Times New Roman" w:hAnsi="Times New Roman"/>
          <w:sz w:val="18"/>
          <w:szCs w:val="18"/>
          <w:color w:val="auto"/>
        </w:rPr>
        <w:t>Whenever any payment under this Note becomes due and payable on a day that is not a Business Day, if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then exists under this Note, the maturity of the payment shall be extended to the next succeeding Business Day, except, in the case of a SOFR Rate Advance, if the result of the extension would be to extend the payment into another calendar month, the payment must be made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580" w:right="339" w:bottom="1440" w:gutter="0" w:footer="0" w:header="0"/>
        </w:sectPr>
      </w:pPr>
    </w:p>
    <w:bookmarkStart w:id="40" w:name="page41"/>
    <w:bookmarkEnd w:id="40"/>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Matters Regarding Payment. </w:t>
      </w:r>
      <w:r>
        <w:rPr>
          <w:rFonts w:ascii="Times New Roman" w:cs="Times New Roman" w:eastAsia="Times New Roman" w:hAnsi="Times New Roman"/>
          <w:sz w:val="18"/>
          <w:szCs w:val="18"/>
          <w:color w:val="auto"/>
        </w:rPr>
        <w:t>The Borrower will pay the Bank at the Bank's address shown above or at such other place as the Bank may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shall be allocated among principal, interest and fees at the discretion of the Bank unless otherwise agreed or required by applicable law. Acceptance by the Bank of any payment which is less than the payment due at the time shall not constitute a waiver of the Bank's right to receive payment in full at that time or any other time.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Authorization for Direct Payments (ACH Debits). </w:t>
      </w:r>
      <w:r>
        <w:rPr>
          <w:rFonts w:ascii="Times New Roman" w:cs="Times New Roman" w:eastAsia="Times New Roman" w:hAnsi="Times New Roman"/>
          <w:sz w:val="18"/>
          <w:szCs w:val="18"/>
          <w:color w:val="auto"/>
        </w:rPr>
        <w:t>To effectuate any payment due under this Note or under any other Related Documents,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the Bank to initiate debit entries to Account Number ______________________________ at the Bank and to debit the same to such</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 This authorization to initiate debit entries shall remain in full force and effect until the Bank has received written notification of its termination in such time and in such manner as to afford the Bank a reasonable opportunity to act on it. The Borrower represents that the Borrower is and will be the owner of all funds in such account. The Borrower acknowledges: (1) that such debit entries may cause an overdraft of such account which may result in the Bank's refusal to honor items drawn on such account until adequate deposits are made to such account; (2) that the Bank is under no duty or obligation to initiate any debit entry for any purpose; and (3) that if a debit is not made because the above-referenced account does not have a sufficient available balance, or otherwise, the payment may be late or past due.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Late Fee</w:t>
      </w:r>
      <w:r>
        <w:rPr>
          <w:rFonts w:ascii="Times New Roman" w:cs="Times New Roman" w:eastAsia="Times New Roman" w:hAnsi="Times New Roman"/>
          <w:sz w:val="18"/>
          <w:szCs w:val="18"/>
          <w:color w:val="auto"/>
        </w:rPr>
        <w:t>. Any principal or interest which is not paid within 10 days after its due date (whether as stated, by acceleration or otherwise) shall be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 payment charge of five percent (5.00%) of the total payment due, in addition to the payment of interest, up to the maximum amount of One Thousand Five Hundred and 00/100 Dollars ($1,500.00) per late charge. The Borrower agrees to pay and stipulates that five percent (5.00%) of the total payment due is a reasonable amount for a late payment charge. The Borrower shall pay the late payment charge upon demand by the Bank or, if billed, within the time specified.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Purpose of Loan. </w:t>
      </w:r>
      <w:r>
        <w:rPr>
          <w:rFonts w:ascii="Times New Roman" w:cs="Times New Roman" w:eastAsia="Times New Roman" w:hAnsi="Times New Roman"/>
          <w:sz w:val="18"/>
          <w:szCs w:val="18"/>
          <w:color w:val="auto"/>
        </w:rPr>
        <w:t>The Borrower acknowledges and agrees that this Note evidences a loan for a business, commercial, agricultural or similar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purpose, and that no advance shall be used for any personal, family or household purpose. The proceeds of the loan shall be used only for the Borrower's general corporate purposes.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The Bank has approved a credit facility to the Borrower in a principal amount not to exceed the face amount of this Note.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is in the form of advances made from time to time by the Bank to the Borrower. This Note evidences the Borrower's obligation to repay those advances. The aggregate principal amount of debt evidenced by this Note is the amount reflected from time to time in the records of the Bank. Until the earliest to occur of maturity, any default, event of default, or any event that would constitute a default or event of default but for the giving of notice, the lapse of time or both, the Borrower may borrow, pay down and reborrow under this Note subject to the terms of the Related Documents.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Renewal and Extension. </w:t>
      </w:r>
      <w:r>
        <w:rPr>
          <w:rFonts w:ascii="Times New Roman" w:cs="Times New Roman" w:eastAsia="Times New Roman" w:hAnsi="Times New Roman"/>
          <w:sz w:val="18"/>
          <w:szCs w:val="18"/>
          <w:color w:val="auto"/>
        </w:rPr>
        <w:t>This Note is given in replacement, renewal and/or extension of, but not in extinguishment of the indebtedness evidenced by,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of Credit Note dated December 19, 2022 executed by the Borrower in the original principal amount of Ten Million and 00/100 Dollars ($10,000,000.00), including previous renewals or modifications thereof, if any (the "Prior Note" and together with all loan agreements, credit agreements, reimbursement agreements, security agreements, mortgages, deeds of trust, pledge agreements, assignments, guaranties, and any other instrument or document executed in connection with the Prior Note, the "Prior Related Documents"), and is not a novation thereof. All interest evidenced by the Prior Note shall continue to be due and payable until paid. The Borrower fully, finally, and forever releases and discharges the Bank and its successors, assigns, directors, officers, employees, agents, and representatives (each a "Bank Party") from any and all causes of action, claims, debts, demands, and liabilities, of whatever kind or nature, in law or equity, of the Borrower, whether now known or unknown to the Borrower (i) in respect of the Liabilities evidenced by the Prior Note and the Prior Related Documents, or of the actions or omissions of any Bank Party in any manner related to the Liabilities evidenced by the Prior Note or the Prior Related Documents and (ii) arising from events occurring prior to the date of this Note. If applicable, all Collateral continues to secure the payment of this Note and the Liabilities. The provisions of this Note are effective on the date that this Note has been executed by all of the signers and delivered to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Note binds the Borrower and its successors, and benefits the Bank, its successors and assigns. Any reference to the Bank includes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this Note. This Note is subject to that certain Credit Agreement by and between the Borrower and the Bank, dated December 19, 2022, and all amendments, restatements and replacements thereof (the "Credit Agreement") to which reference is hereby made for a more complete statement of the terms and conditions under which the loan evidenced hereby is made and is to be repaid. The terms and provisions of the Credit Agreement are hereby incorporated and made a part hereof by this reference thereto with the same force and effect as if set forth at length herein. No reference to the Credit Agreement and no provisions of this Note or the Credit Agreement shall alter or impair the absolute and unconditional obligation of the Borrower to pay the principal and interest on this Note as herein prescribed. Capitalized terms not otherwise defined herein shall have the meanings assigned to such terms in the Credit Agreement. If any one or more of the obligations of the Borrower under this Note or any provision hereof is held to be invalid, illegal or unenforceable in any jurisdiction, the validity, legality and enforceability of the remaining obligations of the Borrower and the remaining provisions shall not in any way be affected or impaired; and the invalidity, illegality or unenforceability in one jurisdiction shall not affect the validity, legality or enforceability of such obligations or provisions in any other jurisdiction. Time is of the essence under this Note and in the performance of every term, covenant and obligation contained herein.</w:t>
      </w:r>
    </w:p>
    <w:p>
      <w:pPr>
        <w:spacing w:after="0" w:line="190"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NORTHERN</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TECHNOLOGIES</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INTERNATIONAL</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2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 c / M a t t h e w C . W o l</w:t>
      </w:r>
    </w:p>
    <w:p>
      <w:pPr>
        <w:spacing w:after="0" w:line="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u w:val="single" w:color="auto"/>
          <w:color w:val="auto"/>
        </w:rPr>
        <w:t>s f e l d</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u w:val="single" w:color="auto"/>
          <w:color w:val="auto"/>
        </w:rPr>
        <w:t>Matthew C. Wolsfeld, Chief</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u w:val="single" w:color="auto"/>
          <w:color w:val="auto"/>
        </w:rPr>
        <w:t>Financial Officer</w:t>
      </w:r>
    </w:p>
    <w:p>
      <w:pPr>
        <w:spacing w:after="0" w:line="9" w:lineRule="exact"/>
        <w:rPr>
          <w:sz w:val="20"/>
          <w:szCs w:val="20"/>
          <w:color w:val="auto"/>
        </w:rPr>
      </w:pPr>
    </w:p>
    <w:p>
      <w:pPr>
        <w:ind w:left="8940"/>
        <w:spacing w:after="0"/>
        <w:tabs>
          <w:tab w:leader="none" w:pos="1008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6"/>
          <w:szCs w:val="16"/>
          <w:color w:val="auto"/>
        </w:rPr>
        <w:t>Title</w:t>
      </w:r>
    </w:p>
    <w:p>
      <w:pPr>
        <w:spacing w:after="0" w:line="20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Date Signed:</w:t>
      </w:r>
    </w:p>
    <w:p>
      <w:pPr>
        <w:spacing w:after="0" w:line="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1/5/24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-19050</wp:posOffset>
            </wp:positionV>
            <wp:extent cx="1463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3040" cy="8890"/>
                    </a:xfrm>
                    <a:prstGeom prst="rect">
                      <a:avLst/>
                    </a:prstGeom>
                    <a:noFill/>
                  </pic:spPr>
                </pic:pic>
              </a:graphicData>
            </a:graphic>
          </wp:anchor>
        </w:drawing>
      </w:r>
    </w:p>
    <w:p>
      <w:pPr>
        <w:spacing w:after="0" w:line="39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3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0" w:lineRule="exact"/>
        <w:rPr>
          <w:sz w:val="20"/>
          <w:szCs w:val="20"/>
          <w:color w:val="auto"/>
        </w:rPr>
      </w:pPr>
    </w:p>
    <w:p>
      <w:pPr>
        <w:spacing w:after="0" w:line="22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 s / M a r t i n A. C h e r r</w:t>
      </w:r>
    </w:p>
    <w:p>
      <w:pPr>
        <w:spacing w:after="0" w:line="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u w:val="single" w:color="auto"/>
          <w:color w:val="auto"/>
        </w:rPr>
        <w:t>n e y</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u w:val="single" w:color="auto"/>
          <w:color w:val="auto"/>
        </w:rPr>
        <w:t>Martin A. Cherrney,</w:t>
      </w:r>
    </w:p>
    <w:p>
      <w:pPr>
        <w:spacing w:after="0" w:line="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u w:val="single" w:color="auto"/>
          <w:color w:val="auto"/>
        </w:rPr>
        <w:t>Authorized Officer</w:t>
      </w:r>
    </w:p>
    <w:p>
      <w:pPr>
        <w:spacing w:after="0" w:line="9" w:lineRule="exact"/>
        <w:rPr>
          <w:sz w:val="20"/>
          <w:szCs w:val="20"/>
          <w:color w:val="auto"/>
        </w:rPr>
      </w:pPr>
    </w:p>
    <w:p>
      <w:pPr>
        <w:ind w:left="8940"/>
        <w:spacing w:after="0"/>
        <w:tabs>
          <w:tab w:leader="none" w:pos="1008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6"/>
          <w:szCs w:val="16"/>
          <w:color w:val="auto"/>
        </w:rPr>
        <w:t>Title</w:t>
      </w:r>
    </w:p>
    <w:p>
      <w:pPr>
        <w:spacing w:after="0" w:line="20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Date Signed:</w:t>
      </w:r>
    </w:p>
    <w:p>
      <w:pPr>
        <w:spacing w:after="0" w:line="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color w:val="auto"/>
        </w:rPr>
        <w:t>1/5/24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-19050</wp:posOffset>
            </wp:positionV>
            <wp:extent cx="1463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304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2024</w:t>
            </w:r>
          </w:p>
        </w:tc>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218"/>
        </w:trPr>
        <w:tc>
          <w:tcPr>
            <w:tcW w:w="56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11, 2024</w:t>
            </w: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218"/>
        </w:trPr>
        <w:tc>
          <w:tcPr>
            <w:tcW w:w="56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6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11, 2024</w:t>
      </w:r>
    </w:p>
    <w:p>
      <w:pPr>
        <w:sectPr>
          <w:pgSz w:w="11900" w:h="16838" w:orient="portrait"/>
          <w:cols w:equalWidth="0" w:num="1">
            <w:col w:w="11240"/>
          </w:cols>
          <w:pgMar w:left="320" w:top="117" w:right="339" w:bottom="1440" w:gutter="0" w:footer="0" w:header="0"/>
        </w:sectPr>
      </w:pPr>
    </w:p>
    <w:bookmarkStart w:id="45" w:name="page46"/>
    <w:bookmarkEnd w:id="45"/>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2023,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11,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7"/>
    </w:lvl>
  </w:abstractNum>
  <w:abstractNum w:abstractNumId="6">
    <w:nsid w:val="4E6AFB66"/>
    <w:multiLevelType w:val="hybridMultilevel"/>
    <w:lvl w:ilvl="0">
      <w:lvlJc w:val="left"/>
      <w:lvlText w:val="%1."/>
      <w:numFmt w:val="decimal"/>
      <w:start w:val="8"/>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4"/>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Roman"/>
      <w:start w:val="5"/>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upp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2024-01-11T07:05:40Z</dcterms:created>
  <dcterms:modified xsi:type="dcterms:W3CDTF">2024-01-11T07:05:40Z</dcterms:modified>
</cp:coreProperties>
</file>