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 w:lineRule="exact"/>
        <w:rPr>
          <w:sz w:val="24"/>
          <w:szCs w:val="24"/>
          <w:color w:val="auto"/>
        </w:rPr>
      </w:pPr>
    </w:p>
    <w:p>
      <w:pPr>
        <w:ind w:left="3700" w:right="1440" w:hanging="3692"/>
        <w:spacing w:after="0" w:line="253" w:lineRule="auto"/>
        <w:tabs>
          <w:tab w:leader="none" w:pos="65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February 28, 2021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2880" w:right="1420" w:hanging="2872"/>
        <w:spacing w:after="0" w:line="266" w:lineRule="auto"/>
        <w:tabs>
          <w:tab w:leader="none" w:pos="64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________________ to __________________</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463" w:right="339" w:bottom="1440" w:gutter="0" w:footer="0" w:header="0"/>
        </w:sectPr>
      </w:pPr>
    </w:p>
    <w:p>
      <w:pPr>
        <w:spacing w:after="0" w:line="20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463"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tbl>
      <w:tblPr>
        <w:tblLayout w:type="fixed"/>
        <w:tblInd w:w="10" w:type="dxa"/>
        <w:tblCellMar>
          <w:top w:w="0" w:type="dxa"/>
          <w:left w:w="0" w:type="dxa"/>
          <w:bottom w:w="0" w:type="dxa"/>
          <w:right w:w="0" w:type="dxa"/>
        </w:tblCellMar>
      </w:tblPr>
      <w:tr>
        <w:trPr>
          <w:trHeight w:val="247"/>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120" w:type="dxa"/>
            <w:vAlign w:val="bottom"/>
            <w:tcBorders>
              <w:bottom w:val="single" w:sz="8" w:color="auto"/>
            </w:tcBorders>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r>
      <w:tr>
        <w:trPr>
          <w:trHeight w:val="210"/>
        </w:trPr>
        <w:tc>
          <w:tcPr>
            <w:tcW w:w="444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Title of each class</w:t>
            </w:r>
          </w:p>
        </w:tc>
        <w:tc>
          <w:tcPr>
            <w:tcW w:w="21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Trading Symbol(s)</w:t>
            </w:r>
          </w:p>
        </w:tc>
        <w:tc>
          <w:tcPr>
            <w:tcW w:w="46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44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Common stock, par value $0.02 per share</w:t>
            </w:r>
          </w:p>
        </w:tc>
        <w:tc>
          <w:tcPr>
            <w:tcW w:w="2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NTIC</w:t>
            </w:r>
          </w:p>
        </w:tc>
        <w:tc>
          <w:tcPr>
            <w:tcW w:w="46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Nasdaq Global Market</w:t>
            </w:r>
          </w:p>
        </w:tc>
      </w:tr>
    </w:tbl>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3" w:right="339" w:bottom="1440" w:gutter="0" w:footer="0" w:header="0"/>
          <w:type w:val="continuous"/>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463" w:right="339" w:bottom="1440" w:gutter="0" w:footer="0" w:header="0"/>
          <w:type w:val="continuous"/>
        </w:sectPr>
      </w:pPr>
    </w:p>
    <w:p>
      <w:pPr>
        <w:spacing w:after="0" w:line="32"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6, 2021, there were 9,104,636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20" w:type="dxa"/>
            <w:vAlign w:val="bottom"/>
            <w:gridSpan w:val="10"/>
          </w:tcPr>
          <w:p>
            <w:pPr>
              <w:ind w:left="58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1"/>
        </w:trPr>
        <w:tc>
          <w:tcPr>
            <w:tcW w:w="900" w:type="dxa"/>
            <w:vAlign w:val="bottom"/>
            <w:gridSpan w:val="4"/>
          </w:tcPr>
          <w:p>
            <w:pPr>
              <w:spacing w:after="0"/>
              <w:rPr>
                <w:sz w:val="20"/>
                <w:szCs w:val="20"/>
                <w:color w:val="auto"/>
              </w:rPr>
            </w:pPr>
            <w:r>
              <w:rPr>
                <w:rFonts w:ascii="Arial" w:cs="Arial" w:eastAsia="Arial" w:hAnsi="Arial"/>
                <w:sz w:val="18"/>
                <w:szCs w:val="18"/>
                <w:b w:val="1"/>
                <w:bCs w:val="1"/>
                <w:color w:val="auto"/>
                <w:w w:val="88"/>
              </w:rPr>
              <w:t>Description</w:t>
            </w:r>
          </w:p>
        </w:tc>
        <w:tc>
          <w:tcPr>
            <w:tcW w:w="8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Page</w:t>
            </w:r>
          </w:p>
        </w:tc>
      </w:tr>
      <w:tr>
        <w:trPr>
          <w:trHeight w:val="412"/>
        </w:trPr>
        <w:tc>
          <w:tcPr>
            <w:tcW w:w="640" w:type="dxa"/>
            <w:vAlign w:val="bottom"/>
            <w:tcBorders>
              <w:top w:val="single" w:sz="8" w:color="auto"/>
            </w:tcBorders>
            <w:gridSpan w:val="2"/>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260" w:type="dxa"/>
            <w:vAlign w:val="bottom"/>
            <w:tcBorders>
              <w:top w:val="single" w:sz="8" w:color="auto"/>
            </w:tcBorders>
            <w:gridSpan w:val="2"/>
          </w:tcPr>
          <w:p>
            <w:pPr>
              <w:spacing w:after="0"/>
              <w:rPr>
                <w:sz w:val="24"/>
                <w:szCs w:val="24"/>
                <w:color w:val="auto"/>
              </w:rPr>
            </w:pPr>
          </w:p>
        </w:tc>
        <w:tc>
          <w:tcPr>
            <w:tcW w:w="800" w:type="dxa"/>
            <w:vAlign w:val="bottom"/>
            <w:gridSpan w:val="2"/>
          </w:tcPr>
          <w:p>
            <w:pPr>
              <w:spacing w:after="0"/>
              <w:rPr>
                <w:sz w:val="24"/>
                <w:szCs w:val="24"/>
                <w:color w:val="auto"/>
              </w:rPr>
            </w:pPr>
          </w:p>
        </w:tc>
        <w:tc>
          <w:tcPr>
            <w:tcW w:w="8700" w:type="dxa"/>
            <w:vAlign w:val="bottom"/>
            <w:gridSpan w:val="1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20" w:type="dxa"/>
            <w:vAlign w:val="bottom"/>
            <w:tcBorders>
              <w:top w:val="single" w:sz="8" w:color="0000EE"/>
            </w:tcBorders>
          </w:tcPr>
          <w:p>
            <w:pPr>
              <w:spacing w:after="0"/>
              <w:rPr>
                <w:sz w:val="24"/>
                <w:szCs w:val="24"/>
                <w:color w:val="auto"/>
              </w:rPr>
            </w:pPr>
          </w:p>
        </w:tc>
        <w:tc>
          <w:tcPr>
            <w:tcW w:w="1060" w:type="dxa"/>
            <w:vAlign w:val="bottom"/>
            <w:gridSpan w:val="4"/>
          </w:tcPr>
          <w:p>
            <w:pPr>
              <w:spacing w:after="0"/>
              <w:rPr>
                <w:sz w:val="24"/>
                <w:szCs w:val="24"/>
                <w:color w:val="auto"/>
              </w:rPr>
            </w:pPr>
          </w:p>
        </w:tc>
        <w:tc>
          <w:tcPr>
            <w:tcW w:w="15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880" w:type="dxa"/>
            <w:vAlign w:val="bottom"/>
            <w:tcBorders>
              <w:top w:val="single" w:sz="8" w:color="0000EE"/>
            </w:tcBorders>
            <w:gridSpan w:val="4"/>
          </w:tcPr>
          <w:p>
            <w:pPr>
              <w:spacing w:after="0"/>
              <w:rPr>
                <w:sz w:val="24"/>
                <w:szCs w:val="24"/>
                <w:color w:val="auto"/>
              </w:rPr>
            </w:pPr>
          </w:p>
        </w:tc>
        <w:tc>
          <w:tcPr>
            <w:tcW w:w="632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February 28, 2021 (unaudited) and August 31, 2020</w:t>
              </w:r>
            </w:hyperlink>
          </w:p>
        </w:tc>
        <w:tc>
          <w:tcPr>
            <w:tcW w:w="840" w:type="dxa"/>
            <w:vAlign w:val="bottom"/>
            <w:gridSpan w:val="6"/>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(unaudited) for the Three and Six Months Ended February 28, 2021 and</w:t>
              </w:r>
            </w:hyperlink>
          </w:p>
        </w:tc>
        <w:tc>
          <w:tcPr>
            <w:tcW w:w="66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4"/>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February 29, 2020</w:t>
              </w:r>
            </w:hyperlink>
          </w:p>
        </w:tc>
        <w:tc>
          <w:tcPr>
            <w:tcW w:w="7380" w:type="dxa"/>
            <w:vAlign w:val="bottom"/>
            <w:gridSpan w:val="15"/>
          </w:tcPr>
          <w:p>
            <w:pPr>
              <w:spacing w:after="0"/>
              <w:rPr>
                <w:sz w:val="17"/>
                <w:szCs w:val="17"/>
                <w:color w:val="auto"/>
              </w:rPr>
            </w:pPr>
          </w:p>
        </w:tc>
        <w:tc>
          <w:tcPr>
            <w:tcW w:w="840" w:type="dxa"/>
            <w:vAlign w:val="bottom"/>
            <w:gridSpan w:val="6"/>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00" w:type="dxa"/>
            <w:vAlign w:val="bottom"/>
            <w:gridSpan w:val="19"/>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Consolidated Statements of Comprehensive Income (unaudited) for the Three and Six Months Ended February 28,</w:t>
              </w:r>
            </w:hyperlink>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top w:val="single" w:sz="8" w:color="0000EE"/>
            </w:tcBorders>
            <w:gridSpan w:val="7"/>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2021 and February 29, 2020</w:t>
              </w:r>
            </w:hyperlink>
          </w:p>
        </w:tc>
        <w:tc>
          <w:tcPr>
            <w:tcW w:w="6200" w:type="dxa"/>
            <w:vAlign w:val="bottom"/>
            <w:tcBorders>
              <w:top w:val="single" w:sz="8" w:color="0000EE"/>
            </w:tcBorders>
            <w:gridSpan w:val="10"/>
          </w:tcPr>
          <w:p>
            <w:pPr>
              <w:spacing w:after="0"/>
              <w:rPr>
                <w:sz w:val="17"/>
                <w:szCs w:val="17"/>
                <w:color w:val="auto"/>
              </w:rPr>
            </w:pPr>
          </w:p>
        </w:tc>
        <w:tc>
          <w:tcPr>
            <w:tcW w:w="460" w:type="dxa"/>
            <w:vAlign w:val="bottom"/>
            <w:gridSpan w:val="2"/>
          </w:tcPr>
          <w:p>
            <w:pPr>
              <w:spacing w:after="0"/>
              <w:rPr>
                <w:sz w:val="17"/>
                <w:szCs w:val="17"/>
                <w:color w:val="auto"/>
              </w:rPr>
            </w:pPr>
          </w:p>
        </w:tc>
        <w:tc>
          <w:tcPr>
            <w:tcW w:w="840" w:type="dxa"/>
            <w:vAlign w:val="bottom"/>
            <w:gridSpan w:val="6"/>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0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Equity (unaudited) for the Three and Six Months Ended February 28, 2021 and</w:t>
              </w:r>
            </w:hyperlink>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February 29, 2020</w:t>
              </w:r>
            </w:hyperlink>
          </w:p>
        </w:tc>
        <w:tc>
          <w:tcPr>
            <w:tcW w:w="6440" w:type="dxa"/>
            <w:vAlign w:val="bottom"/>
            <w:tcBorders>
              <w:top w:val="single" w:sz="8" w:color="0000EE"/>
            </w:tcBorders>
            <w:gridSpan w:val="11"/>
          </w:tcPr>
          <w:p>
            <w:pPr>
              <w:spacing w:after="0"/>
              <w:rPr>
                <w:sz w:val="17"/>
                <w:szCs w:val="17"/>
                <w:color w:val="auto"/>
              </w:rPr>
            </w:pPr>
          </w:p>
        </w:tc>
        <w:tc>
          <w:tcPr>
            <w:tcW w:w="940" w:type="dxa"/>
            <w:vAlign w:val="bottom"/>
            <w:gridSpan w:val="4"/>
          </w:tcPr>
          <w:p>
            <w:pPr>
              <w:spacing w:after="0"/>
              <w:rPr>
                <w:sz w:val="17"/>
                <w:szCs w:val="17"/>
                <w:color w:val="auto"/>
              </w:rPr>
            </w:pPr>
          </w:p>
        </w:tc>
        <w:tc>
          <w:tcPr>
            <w:tcW w:w="840" w:type="dxa"/>
            <w:vAlign w:val="bottom"/>
            <w:gridSpan w:val="6"/>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00" w:type="dxa"/>
            <w:vAlign w:val="bottom"/>
            <w:gridSpan w:val="19"/>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Consolidated Statements of Cash Flows (unaudited) for the Six Months Ended February 28, 2021 and February 29,</w:t>
              </w:r>
            </w:hyperlink>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tcBorders>
          </w:tcPr>
          <w:p>
            <w:pPr>
              <w:spacing w:after="0" w:line="196"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2020</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6"/>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0"/>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Consolidated Financial Statements (unaudited)</w:t>
              </w:r>
            </w:hyperlink>
          </w:p>
        </w:tc>
        <w:tc>
          <w:tcPr>
            <w:tcW w:w="4680" w:type="dxa"/>
            <w:vAlign w:val="bottom"/>
            <w:gridSpan w:val="9"/>
          </w:tcPr>
          <w:p>
            <w:pPr>
              <w:spacing w:after="0"/>
              <w:rPr>
                <w:sz w:val="24"/>
                <w:szCs w:val="24"/>
                <w:color w:val="auto"/>
              </w:rPr>
            </w:pPr>
          </w:p>
        </w:tc>
        <w:tc>
          <w:tcPr>
            <w:tcW w:w="840" w:type="dxa"/>
            <w:vAlign w:val="bottom"/>
            <w:gridSpan w:val="6"/>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6-17</w:t>
              </w:r>
            </w:hyperlink>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2.</w:t>
              </w:r>
            </w:hyperlink>
          </w:p>
        </w:tc>
        <w:tc>
          <w:tcPr>
            <w:tcW w:w="1180" w:type="dxa"/>
            <w:vAlign w:val="bottom"/>
            <w:gridSpan w:val="5"/>
          </w:tcPr>
          <w:p>
            <w:pPr>
              <w:spacing w:after="0"/>
              <w:rPr>
                <w:sz w:val="24"/>
                <w:szCs w:val="24"/>
                <w:color w:val="auto"/>
              </w:rPr>
            </w:pP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224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Borders>
              <w:bottom w:val="single" w:sz="8" w:color="0000EE"/>
            </w:tcBorders>
            <w:gridSpan w:val="5"/>
          </w:tcPr>
          <w:p>
            <w:pPr>
              <w:jc w:val="right"/>
              <w:spacing w:after="0"/>
              <w:rPr>
                <w:rFonts w:ascii="Arial" w:cs="Arial" w:eastAsia="Arial" w:hAnsi="Arial"/>
                <w:sz w:val="18"/>
                <w:szCs w:val="18"/>
                <w:color w:val="0000EE"/>
                <w:w w:val="86"/>
              </w:rPr>
            </w:pPr>
            <w:hyperlink w:anchor="page21">
              <w:r>
                <w:rPr>
                  <w:rFonts w:ascii="Arial" w:cs="Arial" w:eastAsia="Arial" w:hAnsi="Arial"/>
                  <w:sz w:val="18"/>
                  <w:szCs w:val="18"/>
                  <w:color w:val="0000EE"/>
                  <w:w w:val="86"/>
                </w:rPr>
                <w:t>18-35</w:t>
              </w:r>
            </w:hyperlink>
          </w:p>
        </w:tc>
      </w:tr>
      <w:tr>
        <w:trPr>
          <w:trHeight w:val="412"/>
        </w:trPr>
        <w:tc>
          <w:tcPr>
            <w:tcW w:w="520" w:type="dxa"/>
            <w:vAlign w:val="bottom"/>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3.</w:t>
              </w:r>
            </w:hyperlink>
          </w:p>
        </w:tc>
        <w:tc>
          <w:tcPr>
            <w:tcW w:w="1180" w:type="dxa"/>
            <w:vAlign w:val="bottom"/>
            <w:gridSpan w:val="5"/>
          </w:tcPr>
          <w:p>
            <w:pPr>
              <w:spacing w:after="0"/>
              <w:rPr>
                <w:sz w:val="24"/>
                <w:szCs w:val="24"/>
                <w:color w:val="auto"/>
              </w:rPr>
            </w:pPr>
          </w:p>
        </w:tc>
        <w:tc>
          <w:tcPr>
            <w:tcW w:w="870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840" w:type="dxa"/>
            <w:vAlign w:val="bottom"/>
            <w:gridSpan w:val="6"/>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4.</w:t>
              </w:r>
            </w:hyperlink>
          </w:p>
        </w:tc>
        <w:tc>
          <w:tcPr>
            <w:tcW w:w="1180" w:type="dxa"/>
            <w:vAlign w:val="bottom"/>
            <w:gridSpan w:val="5"/>
          </w:tcPr>
          <w:p>
            <w:pPr>
              <w:spacing w:after="0"/>
              <w:rPr>
                <w:sz w:val="24"/>
                <w:szCs w:val="24"/>
                <w:color w:val="auto"/>
              </w:rPr>
            </w:pPr>
          </w:p>
        </w:tc>
        <w:tc>
          <w:tcPr>
            <w:tcW w:w="4300" w:type="dxa"/>
            <w:vAlign w:val="bottom"/>
            <w:tcBorders>
              <w:top w:val="single" w:sz="8" w:color="0000EE"/>
            </w:tcBorders>
            <w:gridSpan w:val="1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4400" w:type="dxa"/>
            <w:vAlign w:val="bottom"/>
            <w:gridSpan w:val="8"/>
          </w:tcPr>
          <w:p>
            <w:pPr>
              <w:spacing w:after="0"/>
              <w:rPr>
                <w:sz w:val="24"/>
                <w:szCs w:val="24"/>
                <w:color w:val="auto"/>
              </w:rPr>
            </w:pPr>
          </w:p>
        </w:tc>
        <w:tc>
          <w:tcPr>
            <w:tcW w:w="660" w:type="dxa"/>
            <w:vAlign w:val="bottom"/>
            <w:gridSpan w:val="4"/>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36</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3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700" w:type="dxa"/>
            <w:vAlign w:val="bottom"/>
            <w:gridSpan w:val="6"/>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w:t>
              </w:r>
            </w:hyperlink>
          </w:p>
        </w:tc>
        <w:tc>
          <w:tcPr>
            <w:tcW w:w="8700" w:type="dxa"/>
            <w:vAlign w:val="bottom"/>
            <w:gridSpan w:val="19"/>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OTHER INFORMATION</w:t>
              </w:r>
            </w:hyperlink>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1.</w:t>
              </w:r>
            </w:hyperlink>
          </w:p>
        </w:tc>
        <w:tc>
          <w:tcPr>
            <w:tcW w:w="180" w:type="dxa"/>
            <w:vAlign w:val="bottom"/>
            <w:tcBorders>
              <w:top w:val="single" w:sz="8" w:color="0000EE"/>
            </w:tcBorders>
            <w:gridSpan w:val="2"/>
          </w:tcPr>
          <w:p>
            <w:pPr>
              <w:spacing w:after="0"/>
              <w:rPr>
                <w:sz w:val="24"/>
                <w:szCs w:val="24"/>
                <w:color w:val="auto"/>
              </w:rPr>
            </w:pPr>
          </w:p>
        </w:tc>
        <w:tc>
          <w:tcPr>
            <w:tcW w:w="1000" w:type="dxa"/>
            <w:vAlign w:val="bottom"/>
            <w:gridSpan w:val="3"/>
          </w:tcPr>
          <w:p>
            <w:pPr>
              <w:spacing w:after="0"/>
              <w:rPr>
                <w:sz w:val="24"/>
                <w:szCs w:val="24"/>
                <w:color w:val="auto"/>
              </w:rPr>
            </w:pPr>
          </w:p>
        </w:tc>
        <w:tc>
          <w:tcPr>
            <w:tcW w:w="2040" w:type="dxa"/>
            <w:vAlign w:val="bottom"/>
            <w:tcBorders>
              <w:top w:val="single" w:sz="8" w:color="0000EE"/>
            </w:tcBorders>
            <w:gridSpan w:val="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6660" w:type="dxa"/>
            <w:vAlign w:val="bottom"/>
            <w:gridSpan w:val="12"/>
          </w:tcPr>
          <w:p>
            <w:pPr>
              <w:spacing w:after="0"/>
              <w:rPr>
                <w:sz w:val="24"/>
                <w:szCs w:val="24"/>
                <w:color w:val="auto"/>
              </w:rPr>
            </w:pPr>
          </w:p>
        </w:tc>
        <w:tc>
          <w:tcPr>
            <w:tcW w:w="840" w:type="dxa"/>
            <w:vAlign w:val="bottom"/>
            <w:gridSpan w:val="6"/>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360" w:type="dxa"/>
            <w:vAlign w:val="bottom"/>
            <w:gridSpan w:val="7"/>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700" w:type="dxa"/>
            <w:vAlign w:val="bottom"/>
            <w:gridSpan w:val="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1A.</w:t>
              </w:r>
            </w:hyperlink>
          </w:p>
        </w:tc>
        <w:tc>
          <w:tcPr>
            <w:tcW w:w="870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840" w:type="dxa"/>
            <w:vAlign w:val="bottom"/>
            <w:gridSpan w:val="6"/>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360" w:type="dxa"/>
            <w:vAlign w:val="bottom"/>
            <w:gridSpan w:val="7"/>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1060" w:type="dxa"/>
            <w:vAlign w:val="bottom"/>
            <w:gridSpan w:val="4"/>
          </w:tcPr>
          <w:p>
            <w:pPr>
              <w:spacing w:after="0"/>
              <w:rPr>
                <w:sz w:val="24"/>
                <w:szCs w:val="24"/>
                <w:color w:val="auto"/>
              </w:rPr>
            </w:pPr>
          </w:p>
        </w:tc>
        <w:tc>
          <w:tcPr>
            <w:tcW w:w="870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840" w:type="dxa"/>
            <w:vAlign w:val="bottom"/>
            <w:gridSpan w:val="6"/>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3.</w:t>
              </w:r>
            </w:hyperlink>
          </w:p>
        </w:tc>
        <w:tc>
          <w:tcPr>
            <w:tcW w:w="1180" w:type="dxa"/>
            <w:vAlign w:val="bottom"/>
            <w:gridSpan w:val="5"/>
          </w:tcPr>
          <w:p>
            <w:pPr>
              <w:spacing w:after="0"/>
              <w:rPr>
                <w:sz w:val="24"/>
                <w:szCs w:val="24"/>
                <w:color w:val="auto"/>
              </w:rPr>
            </w:pP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24"/>
                <w:szCs w:val="24"/>
                <w:color w:val="auto"/>
              </w:rPr>
            </w:pPr>
          </w:p>
        </w:tc>
        <w:tc>
          <w:tcPr>
            <w:tcW w:w="4360" w:type="dxa"/>
            <w:vAlign w:val="bottom"/>
            <w:gridSpan w:val="7"/>
          </w:tcPr>
          <w:p>
            <w:pPr>
              <w:spacing w:after="0"/>
              <w:rPr>
                <w:sz w:val="24"/>
                <w:szCs w:val="24"/>
                <w:color w:val="auto"/>
              </w:rPr>
            </w:pPr>
          </w:p>
        </w:tc>
        <w:tc>
          <w:tcPr>
            <w:tcW w:w="66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37</w:t>
              </w:r>
            </w:hyperlink>
          </w:p>
        </w:tc>
      </w:tr>
      <w:tr>
        <w:trPr>
          <w:trHeight w:val="412"/>
        </w:trPr>
        <w:tc>
          <w:tcPr>
            <w:tcW w:w="520" w:type="dxa"/>
            <w:vAlign w:val="bottom"/>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4.</w:t>
              </w:r>
            </w:hyperlink>
          </w:p>
        </w:tc>
        <w:tc>
          <w:tcPr>
            <w:tcW w:w="1180" w:type="dxa"/>
            <w:vAlign w:val="bottom"/>
            <w:gridSpan w:val="5"/>
          </w:tcPr>
          <w:p>
            <w:pPr>
              <w:spacing w:after="0"/>
              <w:rPr>
                <w:sz w:val="24"/>
                <w:szCs w:val="24"/>
                <w:color w:val="auto"/>
              </w:rPr>
            </w:pPr>
          </w:p>
        </w:tc>
        <w:tc>
          <w:tcPr>
            <w:tcW w:w="870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840" w:type="dxa"/>
            <w:vAlign w:val="bottom"/>
            <w:gridSpan w:val="6"/>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5.</w:t>
              </w:r>
            </w:hyperlink>
          </w:p>
        </w:tc>
        <w:tc>
          <w:tcPr>
            <w:tcW w:w="1180" w:type="dxa"/>
            <w:vAlign w:val="bottom"/>
            <w:gridSpan w:val="5"/>
          </w:tcPr>
          <w:p>
            <w:pPr>
              <w:spacing w:after="0"/>
              <w:rPr>
                <w:sz w:val="24"/>
                <w:szCs w:val="24"/>
                <w:color w:val="auto"/>
              </w:rPr>
            </w:pP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6940" w:type="dxa"/>
            <w:vAlign w:val="bottom"/>
            <w:gridSpan w:val="13"/>
          </w:tcPr>
          <w:p>
            <w:pPr>
              <w:spacing w:after="0"/>
              <w:rPr>
                <w:sz w:val="24"/>
                <w:szCs w:val="24"/>
                <w:color w:val="auto"/>
              </w:rPr>
            </w:pPr>
          </w:p>
        </w:tc>
        <w:tc>
          <w:tcPr>
            <w:tcW w:w="660" w:type="dxa"/>
            <w:vAlign w:val="bottom"/>
            <w:gridSpan w:val="4"/>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38</w:t>
              </w:r>
            </w:hyperlink>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6.</w:t>
              </w:r>
            </w:hyperlink>
          </w:p>
        </w:tc>
        <w:tc>
          <w:tcPr>
            <w:tcW w:w="1180" w:type="dxa"/>
            <w:vAlign w:val="bottom"/>
            <w:gridSpan w:val="5"/>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Exhibits</w:t>
              </w:r>
            </w:hyperlink>
          </w:p>
        </w:tc>
        <w:tc>
          <w:tcPr>
            <w:tcW w:w="720" w:type="dxa"/>
            <w:vAlign w:val="bottom"/>
            <w:tcBorders>
              <w:top w:val="single" w:sz="8" w:color="0000EE"/>
            </w:tcBorders>
            <w:gridSpan w:val="2"/>
          </w:tcPr>
          <w:p>
            <w:pPr>
              <w:spacing w:after="0"/>
              <w:rPr>
                <w:sz w:val="24"/>
                <w:szCs w:val="24"/>
                <w:color w:val="auto"/>
              </w:rPr>
            </w:pPr>
          </w:p>
        </w:tc>
        <w:tc>
          <w:tcPr>
            <w:tcW w:w="7380" w:type="dxa"/>
            <w:vAlign w:val="bottom"/>
            <w:gridSpan w:val="15"/>
          </w:tcPr>
          <w:p>
            <w:pPr>
              <w:spacing w:after="0"/>
              <w:rPr>
                <w:sz w:val="24"/>
                <w:szCs w:val="24"/>
                <w:color w:val="auto"/>
              </w:rPr>
            </w:pPr>
          </w:p>
        </w:tc>
        <w:tc>
          <w:tcPr>
            <w:tcW w:w="66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38</w:t>
              </w:r>
            </w:hyperlink>
          </w:p>
        </w:tc>
      </w:tr>
      <w:tr>
        <w:trPr>
          <w:trHeight w:val="412"/>
        </w:trPr>
        <w:tc>
          <w:tcPr>
            <w:tcW w:w="1700" w:type="dxa"/>
            <w:vAlign w:val="bottom"/>
            <w:gridSpan w:val="6"/>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SIGNATURE PAGE</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gridSpan w:val="6"/>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260" w:type="dxa"/>
            <w:vAlign w:val="bottom"/>
            <w:gridSpan w:val="13"/>
          </w:tcPr>
          <w:p>
            <w:pPr>
              <w:ind w:left="3160"/>
              <w:spacing w:after="0"/>
              <w:rPr>
                <w:sz w:val="20"/>
                <w:szCs w:val="20"/>
                <w:color w:val="auto"/>
              </w:rPr>
            </w:pPr>
            <w:r>
              <w:rPr>
                <w:rFonts w:ascii="Arial" w:cs="Arial" w:eastAsia="Arial" w:hAnsi="Arial"/>
                <w:sz w:val="18"/>
                <w:szCs w:val="18"/>
                <w:color w:val="auto"/>
              </w:rPr>
              <w:t>_________________</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 w:name="page3"/>
    <w:bookmarkEnd w:id="2"/>
    <w:p>
      <w:pPr>
        <w:ind w:right="80"/>
        <w:spacing w:after="0" w:line="259" w:lineRule="auto"/>
        <w:rPr>
          <w:sz w:val="20"/>
          <w:szCs w:val="20"/>
          <w:color w:val="auto"/>
        </w:rPr>
      </w:pPr>
      <w:r>
        <w:rPr>
          <w:rFonts w:ascii="Arial" w:cs="Arial" w:eastAsia="Arial" w:hAnsi="Arial"/>
          <w:sz w:val="18"/>
          <w:szCs w:val="18"/>
          <w:i w:val="1"/>
          <w:iCs w:val="1"/>
          <w:color w:val="auto"/>
        </w:rPr>
        <w:t xml:space="preserve">This quarterly report on Form 10-Q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w:t>
      </w:r>
      <w:r>
        <w:rPr>
          <w:rFonts w:ascii="Arial" w:cs="Arial" w:eastAsia="Arial" w:hAnsi="Arial"/>
          <w:sz w:val="18"/>
          <w:szCs w:val="18"/>
          <w:color w:val="auto"/>
        </w:rPr>
        <w:t>“</w:t>
      </w:r>
      <w:r>
        <w:rPr>
          <w:rFonts w:ascii="Arial" w:cs="Arial" w:eastAsia="Arial" w:hAnsi="Arial"/>
          <w:sz w:val="18"/>
          <w:szCs w:val="18"/>
          <w:i w:val="1"/>
          <w:iCs w:val="1"/>
          <w:color w:val="auto"/>
        </w:rPr>
        <w:t xml:space="preserve">Part I. Financial Information </w:t>
      </w:r>
      <w:r>
        <w:rPr>
          <w:rFonts w:ascii="Arial" w:cs="Arial" w:eastAsia="Arial" w:hAnsi="Arial"/>
          <w:sz w:val="18"/>
          <w:szCs w:val="18"/>
          <w:color w:val="auto"/>
        </w:rPr>
        <w:t>–</w:t>
      </w:r>
      <w:r>
        <w:rPr>
          <w:rFonts w:ascii="Arial" w:cs="Arial" w:eastAsia="Arial" w:hAnsi="Arial"/>
          <w:sz w:val="18"/>
          <w:szCs w:val="18"/>
          <w:i w:val="1"/>
          <w:iCs w:val="1"/>
          <w:color w:val="auto"/>
        </w:rPr>
        <w:t xml:space="preserve"> Item 2. Management</w:t>
      </w:r>
      <w:r>
        <w:rPr>
          <w:rFonts w:ascii="Arial" w:cs="Arial" w:eastAsia="Arial" w:hAnsi="Arial"/>
          <w:sz w:val="18"/>
          <w:szCs w:val="18"/>
          <w:color w:val="auto"/>
        </w:rPr>
        <w:t>’</w:t>
      </w:r>
      <w:r>
        <w:rPr>
          <w:rFonts w:ascii="Arial" w:cs="Arial" w:eastAsia="Arial" w:hAnsi="Arial"/>
          <w:sz w:val="18"/>
          <w:szCs w:val="18"/>
          <w:i w:val="1"/>
          <w:iCs w:val="1"/>
          <w:color w:val="auto"/>
        </w:rPr>
        <w:t xml:space="preserve">s Discussion and Analysis of Financial Condition and Results of Operations </w:t>
      </w:r>
      <w:r>
        <w:rPr>
          <w:rFonts w:ascii="Arial" w:cs="Arial" w:eastAsia="Arial" w:hAnsi="Arial"/>
          <w:sz w:val="18"/>
          <w:szCs w:val="18"/>
          <w:color w:val="auto"/>
        </w:rPr>
        <w:t>–</w:t>
      </w:r>
      <w:r>
        <w:rPr>
          <w:rFonts w:ascii="Arial" w:cs="Arial" w:eastAsia="Arial" w:hAnsi="Arial"/>
          <w:sz w:val="18"/>
          <w:szCs w:val="18"/>
          <w:i w:val="1"/>
          <w:iCs w:val="1"/>
          <w:color w:val="auto"/>
        </w:rPr>
        <w:t xml:space="preserve"> Forward-Looking Statements.</w:t>
      </w:r>
      <w:r>
        <w:rPr>
          <w:rFonts w:ascii="Arial" w:cs="Arial" w:eastAsia="Arial" w:hAnsi="Arial"/>
          <w:sz w:val="18"/>
          <w:szCs w:val="18"/>
          <w:color w:val="auto"/>
        </w:rPr>
        <w:t>”</w:t>
      </w:r>
    </w:p>
    <w:p>
      <w:pPr>
        <w:spacing w:after="0" w:line="18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 xml:space="preserve">As used in this report, references to </w:t>
      </w:r>
      <w:r>
        <w:rPr>
          <w:rFonts w:ascii="Arial" w:cs="Arial" w:eastAsia="Arial" w:hAnsi="Arial"/>
          <w:sz w:val="18"/>
          <w:szCs w:val="18"/>
          <w:color w:val="auto"/>
        </w:rPr>
        <w:t>“</w:t>
      </w:r>
      <w:r>
        <w:rPr>
          <w:rFonts w:ascii="Arial" w:cs="Arial" w:eastAsia="Arial" w:hAnsi="Arial"/>
          <w:sz w:val="18"/>
          <w:szCs w:val="18"/>
          <w:i w:val="1"/>
          <w:iCs w:val="1"/>
          <w:color w:val="auto"/>
        </w:rPr>
        <w:t>NTIC,</w:t>
      </w:r>
      <w:r>
        <w:rPr>
          <w:rFonts w:ascii="Arial" w:cs="Arial" w:eastAsia="Arial" w:hAnsi="Arial"/>
          <w:sz w:val="18"/>
          <w:szCs w:val="18"/>
          <w:color w:val="auto"/>
        </w:rPr>
        <w:t>”</w:t>
      </w:r>
      <w:r>
        <w:rPr>
          <w:rFonts w:ascii="Arial" w:cs="Arial" w:eastAsia="Arial" w:hAnsi="Arial"/>
          <w:sz w:val="18"/>
          <w:szCs w:val="18"/>
          <w:i w:val="1"/>
          <w:iCs w:val="1"/>
          <w:color w:val="auto"/>
        </w:rPr>
        <w:t xml:space="preserve"> the </w:t>
      </w: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w:t>
      </w:r>
      <w:r>
        <w:rPr>
          <w:rFonts w:ascii="Arial" w:cs="Arial" w:eastAsia="Arial" w:hAnsi="Arial"/>
          <w:sz w:val="18"/>
          <w:szCs w:val="18"/>
          <w:i w:val="1"/>
          <w:iCs w:val="1"/>
          <w:color w:val="auto"/>
        </w:rPr>
        <w:t xml:space="preserve"> or </w:t>
      </w:r>
      <w:r>
        <w:rPr>
          <w:rFonts w:ascii="Arial" w:cs="Arial" w:eastAsia="Arial" w:hAnsi="Arial"/>
          <w:sz w:val="18"/>
          <w:szCs w:val="18"/>
          <w:color w:val="auto"/>
        </w:rPr>
        <w:t>“</w:t>
      </w:r>
      <w:r>
        <w:rPr>
          <w:rFonts w:ascii="Arial" w:cs="Arial" w:eastAsia="Arial" w:hAnsi="Arial"/>
          <w:sz w:val="18"/>
          <w:szCs w:val="18"/>
          <w:i w:val="1"/>
          <w:iCs w:val="1"/>
          <w:color w:val="auto"/>
        </w:rPr>
        <w:t>us,</w:t>
      </w:r>
      <w:r>
        <w:rPr>
          <w:rFonts w:ascii="Arial" w:cs="Arial" w:eastAsia="Arial" w:hAnsi="Arial"/>
          <w:sz w:val="18"/>
          <w:szCs w:val="18"/>
          <w:color w:val="auto"/>
        </w:rPr>
        <w:t>”</w:t>
      </w:r>
      <w:r>
        <w:rPr>
          <w:rFonts w:ascii="Arial" w:cs="Arial" w:eastAsia="Arial" w:hAnsi="Arial"/>
          <w:sz w:val="18"/>
          <w:szCs w:val="18"/>
          <w:i w:val="1"/>
          <w:iCs w:val="1"/>
          <w:color w:val="auto"/>
        </w:rPr>
        <w:t xml:space="preserve"> unless the context otherwise requires, refer to Northern Technologies International Corporation and its wholly-owned and majority-owned subsidiaries, all of which are consolidated on NTIC</w:t>
      </w:r>
      <w:r>
        <w:rPr>
          <w:rFonts w:ascii="Arial" w:cs="Arial" w:eastAsia="Arial" w:hAnsi="Arial"/>
          <w:sz w:val="18"/>
          <w:szCs w:val="18"/>
          <w:color w:val="auto"/>
        </w:rPr>
        <w:t>’</w:t>
      </w:r>
      <w:r>
        <w:rPr>
          <w:rFonts w:ascii="Arial" w:cs="Arial" w:eastAsia="Arial" w:hAnsi="Arial"/>
          <w:sz w:val="18"/>
          <w:szCs w:val="18"/>
          <w:i w:val="1"/>
          <w:iCs w:val="1"/>
          <w:color w:val="auto"/>
        </w:rPr>
        <w:t>s consolidated financial statements.</w:t>
      </w:r>
    </w:p>
    <w:p>
      <w:pPr>
        <w:spacing w:after="0" w:line="18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i w:val="1"/>
          <w:iCs w:val="1"/>
          <w:color w:val="auto"/>
        </w:rPr>
        <w:t xml:space="preserve">As used in this report, references to: (1) </w:t>
      </w:r>
      <w:r>
        <w:rPr>
          <w:rFonts w:ascii="Arial" w:cs="Arial" w:eastAsia="Arial" w:hAnsi="Arial"/>
          <w:sz w:val="17"/>
          <w:szCs w:val="17"/>
          <w:color w:val="auto"/>
        </w:rPr>
        <w:t>“</w:t>
      </w:r>
      <w:r>
        <w:rPr>
          <w:rFonts w:ascii="Arial" w:cs="Arial" w:eastAsia="Arial" w:hAnsi="Arial"/>
          <w:sz w:val="17"/>
          <w:szCs w:val="17"/>
          <w:i w:val="1"/>
          <w:iCs w:val="1"/>
          <w:color w:val="auto"/>
        </w:rPr>
        <w:t>NTIC China</w:t>
      </w:r>
      <w:r>
        <w:rPr>
          <w:rFonts w:ascii="Arial" w:cs="Arial" w:eastAsia="Arial" w:hAnsi="Arial"/>
          <w:sz w:val="17"/>
          <w:szCs w:val="17"/>
          <w:color w:val="auto"/>
        </w:rPr>
        <w:t>”</w:t>
      </w:r>
      <w:r>
        <w:rPr>
          <w:rFonts w:ascii="Arial" w:cs="Arial" w:eastAsia="Arial" w:hAnsi="Arial"/>
          <w:sz w:val="17"/>
          <w:szCs w:val="17"/>
          <w:i w:val="1"/>
          <w:iCs w:val="1"/>
          <w:color w:val="auto"/>
        </w:rPr>
        <w:t xml:space="preserve"> refer to NTIC</w:t>
      </w:r>
      <w:r>
        <w:rPr>
          <w:rFonts w:ascii="Arial" w:cs="Arial" w:eastAsia="Arial" w:hAnsi="Arial"/>
          <w:sz w:val="17"/>
          <w:szCs w:val="17"/>
          <w:color w:val="auto"/>
        </w:rPr>
        <w:t>’</w:t>
      </w:r>
      <w:r>
        <w:rPr>
          <w:rFonts w:ascii="Arial" w:cs="Arial" w:eastAsia="Arial" w:hAnsi="Arial"/>
          <w:sz w:val="17"/>
          <w:szCs w:val="17"/>
          <w:i w:val="1"/>
          <w:iCs w:val="1"/>
          <w:color w:val="auto"/>
        </w:rPr>
        <w:t xml:space="preserve">s wholly-owned subsidiary in China, NTIC (Shanghai) Co., Ltd.; (2) </w:t>
      </w:r>
      <w:r>
        <w:rPr>
          <w:rFonts w:ascii="Arial" w:cs="Arial" w:eastAsia="Arial" w:hAnsi="Arial"/>
          <w:sz w:val="17"/>
          <w:szCs w:val="17"/>
          <w:color w:val="auto"/>
        </w:rPr>
        <w:t>“</w:t>
      </w:r>
      <w:r>
        <w:rPr>
          <w:rFonts w:ascii="Arial" w:cs="Arial" w:eastAsia="Arial" w:hAnsi="Arial"/>
          <w:sz w:val="17"/>
          <w:szCs w:val="17"/>
          <w:i w:val="1"/>
          <w:iCs w:val="1"/>
          <w:color w:val="auto"/>
        </w:rPr>
        <w:t>NTI Europe</w:t>
      </w:r>
      <w:r>
        <w:rPr>
          <w:rFonts w:ascii="Arial" w:cs="Arial" w:eastAsia="Arial" w:hAnsi="Arial"/>
          <w:sz w:val="17"/>
          <w:szCs w:val="17"/>
          <w:color w:val="auto"/>
        </w:rPr>
        <w:t>”</w:t>
      </w:r>
      <w:r>
        <w:rPr>
          <w:rFonts w:ascii="Arial" w:cs="Arial" w:eastAsia="Arial" w:hAnsi="Arial"/>
          <w:sz w:val="17"/>
          <w:szCs w:val="17"/>
          <w:i w:val="1"/>
          <w:iCs w:val="1"/>
          <w:color w:val="auto"/>
        </w:rPr>
        <w:t xml:space="preserve"> refer to NTIC</w:t>
      </w:r>
      <w:r>
        <w:rPr>
          <w:rFonts w:ascii="Arial" w:cs="Arial" w:eastAsia="Arial" w:hAnsi="Arial"/>
          <w:sz w:val="17"/>
          <w:szCs w:val="17"/>
          <w:color w:val="auto"/>
        </w:rPr>
        <w:t>’</w:t>
      </w:r>
      <w:r>
        <w:rPr>
          <w:rFonts w:ascii="Arial" w:cs="Arial" w:eastAsia="Arial" w:hAnsi="Arial"/>
          <w:sz w:val="17"/>
          <w:szCs w:val="17"/>
          <w:i w:val="1"/>
          <w:iCs w:val="1"/>
          <w:color w:val="auto"/>
        </w:rPr>
        <w:t xml:space="preserve">s wholly-owned subsidiary in Germany, NTIC Europe GmbH; (3) </w:t>
      </w:r>
      <w:r>
        <w:rPr>
          <w:rFonts w:ascii="Arial" w:cs="Arial" w:eastAsia="Arial" w:hAnsi="Arial"/>
          <w:sz w:val="17"/>
          <w:szCs w:val="17"/>
          <w:color w:val="auto"/>
        </w:rPr>
        <w:t>“</w:t>
      </w:r>
      <w:r>
        <w:rPr>
          <w:rFonts w:ascii="Arial" w:cs="Arial" w:eastAsia="Arial" w:hAnsi="Arial"/>
          <w:sz w:val="17"/>
          <w:szCs w:val="17"/>
          <w:i w:val="1"/>
          <w:iCs w:val="1"/>
          <w:color w:val="auto"/>
        </w:rPr>
        <w:t>Zerust Mexico</w:t>
      </w:r>
      <w:r>
        <w:rPr>
          <w:rFonts w:ascii="Arial" w:cs="Arial" w:eastAsia="Arial" w:hAnsi="Arial"/>
          <w:sz w:val="17"/>
          <w:szCs w:val="17"/>
          <w:color w:val="auto"/>
        </w:rPr>
        <w:t>”</w:t>
      </w:r>
      <w:r>
        <w:rPr>
          <w:rFonts w:ascii="Arial" w:cs="Arial" w:eastAsia="Arial" w:hAnsi="Arial"/>
          <w:sz w:val="17"/>
          <w:szCs w:val="17"/>
          <w:i w:val="1"/>
          <w:iCs w:val="1"/>
          <w:color w:val="auto"/>
        </w:rPr>
        <w:t xml:space="preserve"> refer to NTIC</w:t>
      </w:r>
      <w:r>
        <w:rPr>
          <w:rFonts w:ascii="Arial" w:cs="Arial" w:eastAsia="Arial" w:hAnsi="Arial"/>
          <w:sz w:val="17"/>
          <w:szCs w:val="17"/>
          <w:color w:val="auto"/>
        </w:rPr>
        <w:t>’</w:t>
      </w:r>
      <w:r>
        <w:rPr>
          <w:rFonts w:ascii="Arial" w:cs="Arial" w:eastAsia="Arial" w:hAnsi="Arial"/>
          <w:sz w:val="17"/>
          <w:szCs w:val="17"/>
          <w:i w:val="1"/>
          <w:iCs w:val="1"/>
          <w:color w:val="auto"/>
        </w:rPr>
        <w:t>s wholly-owned subsidiary in Mexico, ZERUST-EXCOR MEXICO, S. de R.L. de C.V; and (4)</w:t>
      </w:r>
      <w:r>
        <w:rPr>
          <w:rFonts w:ascii="Arial" w:cs="Arial" w:eastAsia="Arial" w:hAnsi="Arial"/>
          <w:sz w:val="17"/>
          <w:szCs w:val="17"/>
          <w:color w:val="auto"/>
        </w:rPr>
        <w:t>“</w:t>
      </w:r>
      <w:r>
        <w:rPr>
          <w:rFonts w:ascii="Arial" w:cs="Arial" w:eastAsia="Arial" w:hAnsi="Arial"/>
          <w:sz w:val="17"/>
          <w:szCs w:val="17"/>
          <w:i w:val="1"/>
          <w:iCs w:val="1"/>
          <w:color w:val="auto"/>
        </w:rPr>
        <w:t>NTI Asean</w:t>
      </w:r>
      <w:r>
        <w:rPr>
          <w:rFonts w:ascii="Arial" w:cs="Arial" w:eastAsia="Arial" w:hAnsi="Arial"/>
          <w:sz w:val="17"/>
          <w:szCs w:val="17"/>
          <w:color w:val="auto"/>
        </w:rPr>
        <w:t>”</w:t>
      </w:r>
      <w:r>
        <w:rPr>
          <w:rFonts w:ascii="Arial" w:cs="Arial" w:eastAsia="Arial" w:hAnsi="Arial"/>
          <w:sz w:val="17"/>
          <w:szCs w:val="17"/>
          <w:i w:val="1"/>
          <w:iCs w:val="1"/>
          <w:color w:val="auto"/>
        </w:rPr>
        <w:t xml:space="preserve"> refer to NTIC</w:t>
      </w:r>
      <w:r>
        <w:rPr>
          <w:rFonts w:ascii="Arial" w:cs="Arial" w:eastAsia="Arial" w:hAnsi="Arial"/>
          <w:sz w:val="17"/>
          <w:szCs w:val="17"/>
          <w:color w:val="auto"/>
        </w:rPr>
        <w:t>’</w:t>
      </w:r>
      <w:r>
        <w:rPr>
          <w:rFonts w:ascii="Arial" w:cs="Arial" w:eastAsia="Arial" w:hAnsi="Arial"/>
          <w:sz w:val="17"/>
          <w:szCs w:val="17"/>
          <w:i w:val="1"/>
          <w:iCs w:val="1"/>
          <w:color w:val="auto"/>
        </w:rPr>
        <w:t>s majority-owned holding company subsidiary, NTI Asean LLC, which holds investments in certain entities that operate in the Association of Southeast Asian Nations (ASEAN) region, including the following countries: Indonesia, South Korea, Malaysia, Philippines, Singapore, Taiwan, Thailand and Vietnam.</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NTIC</w:t>
      </w:r>
      <w:r>
        <w:rPr>
          <w:rFonts w:ascii="Arial" w:cs="Arial" w:eastAsia="Arial" w:hAnsi="Arial"/>
          <w:sz w:val="18"/>
          <w:szCs w:val="18"/>
          <w:color w:val="auto"/>
        </w:rPr>
        <w:t>’</w:t>
      </w:r>
      <w:r>
        <w:rPr>
          <w:rFonts w:ascii="Arial" w:cs="Arial" w:eastAsia="Arial" w:hAnsi="Arial"/>
          <w:sz w:val="18"/>
          <w:szCs w:val="18"/>
          <w:i w:val="1"/>
          <w:iCs w:val="1"/>
          <w:color w:val="auto"/>
        </w:rPr>
        <w:t>s consolidated financial statements do not include the accounts of any of its joint ventures. Except as otherwise indicated, references in this report to NTIC</w:t>
      </w:r>
      <w:r>
        <w:rPr>
          <w:rFonts w:ascii="Arial" w:cs="Arial" w:eastAsia="Arial" w:hAnsi="Arial"/>
          <w:sz w:val="18"/>
          <w:szCs w:val="18"/>
          <w:color w:val="auto"/>
        </w:rPr>
        <w:t>’</w:t>
      </w:r>
      <w:r>
        <w:rPr>
          <w:rFonts w:ascii="Arial" w:cs="Arial" w:eastAsia="Arial" w:hAnsi="Arial"/>
          <w:sz w:val="18"/>
          <w:szCs w:val="18"/>
          <w:i w:val="1"/>
          <w:iCs w:val="1"/>
          <w:color w:val="auto"/>
        </w:rPr>
        <w:t>s joint ventures do not include any of NTIC</w:t>
      </w:r>
      <w:r>
        <w:rPr>
          <w:rFonts w:ascii="Arial" w:cs="Arial" w:eastAsia="Arial" w:hAnsi="Arial"/>
          <w:sz w:val="18"/>
          <w:szCs w:val="18"/>
          <w:color w:val="auto"/>
        </w:rPr>
        <w:t>’</w:t>
      </w:r>
      <w:r>
        <w:rPr>
          <w:rFonts w:ascii="Arial" w:cs="Arial" w:eastAsia="Arial" w:hAnsi="Arial"/>
          <w:sz w:val="18"/>
          <w:szCs w:val="18"/>
          <w:i w:val="1"/>
          <w:iCs w:val="1"/>
          <w:color w:val="auto"/>
        </w:rPr>
        <w:t>s wholly-owned or majority-owned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As used in this report, references to </w:t>
      </w:r>
      <w:r>
        <w:rPr>
          <w:rFonts w:ascii="Arial" w:cs="Arial" w:eastAsia="Arial" w:hAnsi="Arial"/>
          <w:sz w:val="16"/>
          <w:szCs w:val="16"/>
          <w:color w:val="auto"/>
        </w:rPr>
        <w:t>“</w:t>
      </w:r>
      <w:r>
        <w:rPr>
          <w:rFonts w:ascii="Arial" w:cs="Arial" w:eastAsia="Arial" w:hAnsi="Arial"/>
          <w:sz w:val="16"/>
          <w:szCs w:val="16"/>
          <w:i w:val="1"/>
          <w:iCs w:val="1"/>
          <w:color w:val="auto"/>
        </w:rPr>
        <w:t>EXCOR</w:t>
      </w:r>
      <w:r>
        <w:rPr>
          <w:rFonts w:ascii="Arial" w:cs="Arial" w:eastAsia="Arial" w:hAnsi="Arial"/>
          <w:sz w:val="16"/>
          <w:szCs w:val="16"/>
          <w:color w:val="auto"/>
        </w:rPr>
        <w:t>”</w:t>
      </w:r>
      <w:r>
        <w:rPr>
          <w:rFonts w:ascii="Arial" w:cs="Arial" w:eastAsia="Arial" w:hAnsi="Arial"/>
          <w:sz w:val="16"/>
          <w:szCs w:val="16"/>
          <w:i w:val="1"/>
          <w:iCs w:val="1"/>
          <w:color w:val="auto"/>
        </w:rPr>
        <w:t xml:space="preserve"> refer to NTIC</w:t>
      </w:r>
      <w:r>
        <w:rPr>
          <w:rFonts w:ascii="Arial" w:cs="Arial" w:eastAsia="Arial" w:hAnsi="Arial"/>
          <w:sz w:val="16"/>
          <w:szCs w:val="16"/>
          <w:color w:val="auto"/>
        </w:rPr>
        <w:t>’</w:t>
      </w:r>
      <w:r>
        <w:rPr>
          <w:rFonts w:ascii="Arial" w:cs="Arial" w:eastAsia="Arial" w:hAnsi="Arial"/>
          <w:sz w:val="16"/>
          <w:szCs w:val="16"/>
          <w:i w:val="1"/>
          <w:iCs w:val="1"/>
          <w:color w:val="auto"/>
        </w:rPr>
        <w:t xml:space="preserve">s joint venture in Germany, Excor Korrosionsschutz </w:t>
      </w:r>
      <w:r>
        <w:rPr>
          <w:rFonts w:ascii="Arial" w:cs="Arial" w:eastAsia="Arial" w:hAnsi="Arial"/>
          <w:sz w:val="16"/>
          <w:szCs w:val="16"/>
          <w:color w:val="auto"/>
        </w:rPr>
        <w:t>–</w:t>
      </w:r>
      <w:r>
        <w:rPr>
          <w:rFonts w:ascii="Arial" w:cs="Arial" w:eastAsia="Arial" w:hAnsi="Arial"/>
          <w:sz w:val="16"/>
          <w:szCs w:val="16"/>
          <w:i w:val="1"/>
          <w:iCs w:val="1"/>
          <w:color w:val="auto"/>
        </w:rPr>
        <w:t xml:space="preserve"> Technologien und Produkte GmbH.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As used in this report, references to </w:t>
      </w:r>
      <w:r>
        <w:rPr>
          <w:rFonts w:ascii="Arial" w:cs="Arial" w:eastAsia="Arial" w:hAnsi="Arial"/>
          <w:sz w:val="18"/>
          <w:szCs w:val="18"/>
          <w:color w:val="auto"/>
        </w:rPr>
        <w:t>“</w:t>
      </w:r>
      <w:r>
        <w:rPr>
          <w:rFonts w:ascii="Arial" w:cs="Arial" w:eastAsia="Arial" w:hAnsi="Arial"/>
          <w:sz w:val="18"/>
          <w:szCs w:val="18"/>
          <w:i w:val="1"/>
          <w:iCs w:val="1"/>
          <w:color w:val="auto"/>
        </w:rPr>
        <w:t>Tianjin Zerust</w:t>
      </w:r>
      <w:r>
        <w:rPr>
          <w:rFonts w:ascii="Arial" w:cs="Arial" w:eastAsia="Arial" w:hAnsi="Arial"/>
          <w:sz w:val="18"/>
          <w:szCs w:val="18"/>
          <w:color w:val="auto"/>
        </w:rPr>
        <w:t>”</w:t>
      </w:r>
      <w:r>
        <w:rPr>
          <w:rFonts w:ascii="Arial" w:cs="Arial" w:eastAsia="Arial" w:hAnsi="Arial"/>
          <w:sz w:val="18"/>
          <w:szCs w:val="18"/>
          <w:i w:val="1"/>
          <w:iCs w:val="1"/>
          <w:color w:val="auto"/>
        </w:rPr>
        <w:t xml:space="preserve"> refer to NTIC</w:t>
      </w:r>
      <w:r>
        <w:rPr>
          <w:rFonts w:ascii="Arial" w:cs="Arial" w:eastAsia="Arial" w:hAnsi="Arial"/>
          <w:sz w:val="18"/>
          <w:szCs w:val="18"/>
          <w:color w:val="auto"/>
        </w:rPr>
        <w:t>’</w:t>
      </w:r>
      <w:r>
        <w:rPr>
          <w:rFonts w:ascii="Arial" w:cs="Arial" w:eastAsia="Arial" w:hAnsi="Arial"/>
          <w:sz w:val="18"/>
          <w:szCs w:val="18"/>
          <w:i w:val="1"/>
          <w:iCs w:val="1"/>
          <w:color w:val="auto"/>
        </w:rPr>
        <w:t>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43"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57"/>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 AS OF FEBRUARY 28, 2021 (UNAUDITED)</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AND AUGUST 31, 2020 (AUDITED)</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54"/>
        </w:trPr>
        <w:tc>
          <w:tcPr>
            <w:tcW w:w="128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480"/>
        </w:trPr>
        <w:tc>
          <w:tcPr>
            <w:tcW w:w="12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February 28, 2021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8"/>
              </w:rPr>
              <w:t>August 31, 2020</w:t>
            </w:r>
          </w:p>
        </w:tc>
      </w:tr>
      <w:tr>
        <w:trPr>
          <w:trHeight w:val="20"/>
        </w:trPr>
        <w:tc>
          <w:tcPr>
            <w:tcW w:w="1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1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6,788,535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6,403,032</w:t>
            </w:r>
          </w:p>
        </w:tc>
      </w:tr>
      <w:tr>
        <w:trPr>
          <w:trHeight w:val="216"/>
        </w:trPr>
        <w:tc>
          <w:tcPr>
            <w:tcW w:w="7680" w:type="dxa"/>
            <w:vAlign w:val="bottom"/>
            <w:gridSpan w:val="2"/>
          </w:tcPr>
          <w:p>
            <w:pPr>
              <w:ind w:left="340"/>
              <w:spacing w:after="0"/>
              <w:rPr>
                <w:sz w:val="20"/>
                <w:szCs w:val="20"/>
                <w:color w:val="auto"/>
              </w:rPr>
            </w:pPr>
            <w:r>
              <w:rPr>
                <w:rFonts w:ascii="Arial" w:cs="Arial" w:eastAsia="Arial" w:hAnsi="Arial"/>
                <w:sz w:val="18"/>
                <w:szCs w:val="18"/>
                <w:color w:val="auto"/>
              </w:rPr>
              <w:t>Available for sale securities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5,913,480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5,544,722</w:t>
            </w:r>
          </w:p>
        </w:tc>
      </w:tr>
      <w:tr>
        <w:trPr>
          <w:trHeight w:val="216"/>
        </w:trPr>
        <w:tc>
          <w:tcPr>
            <w:tcW w:w="1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Receivables:</w:t>
            </w:r>
          </w:p>
        </w:tc>
        <w:tc>
          <w:tcPr>
            <w:tcW w:w="6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02"/>
        </w:trPr>
        <w:tc>
          <w:tcPr>
            <w:tcW w:w="7680" w:type="dxa"/>
            <w:vAlign w:val="bottom"/>
            <w:gridSpan w:val="2"/>
          </w:tcPr>
          <w:p>
            <w:pPr>
              <w:ind w:left="500"/>
              <w:spacing w:after="0" w:line="201" w:lineRule="exact"/>
              <w:rPr>
                <w:sz w:val="20"/>
                <w:szCs w:val="20"/>
                <w:color w:val="auto"/>
              </w:rPr>
            </w:pPr>
            <w:r>
              <w:rPr>
                <w:rFonts w:ascii="Arial" w:cs="Arial" w:eastAsia="Arial" w:hAnsi="Arial"/>
                <w:sz w:val="18"/>
                <w:szCs w:val="18"/>
                <w:color w:val="auto"/>
                <w:w w:val="93"/>
              </w:rPr>
              <w:t>Trade excluding joint ventures, less allowance for doubtful accounts of $100,000 at February 28,</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2021 and $90,000 at August 31, 2020</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10,286,535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8,072,212</w:t>
            </w:r>
          </w:p>
        </w:tc>
      </w:tr>
      <w:tr>
        <w:trPr>
          <w:trHeight w:val="216"/>
        </w:trPr>
        <w:tc>
          <w:tcPr>
            <w:tcW w:w="7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Trade joint ventures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448,021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475,900</w:t>
            </w:r>
          </w:p>
        </w:tc>
      </w:tr>
      <w:tr>
        <w:trPr>
          <w:trHeight w:val="216"/>
        </w:trPr>
        <w:tc>
          <w:tcPr>
            <w:tcW w:w="7680" w:type="dxa"/>
            <w:vAlign w:val="bottom"/>
            <w:gridSpan w:val="2"/>
          </w:tcPr>
          <w:p>
            <w:pPr>
              <w:ind w:left="500"/>
              <w:spacing w:after="0"/>
              <w:rPr>
                <w:sz w:val="20"/>
                <w:szCs w:val="20"/>
                <w:color w:val="auto"/>
              </w:rPr>
            </w:pPr>
            <w:r>
              <w:rPr>
                <w:rFonts w:ascii="Arial" w:cs="Arial" w:eastAsia="Arial" w:hAnsi="Arial"/>
                <w:sz w:val="18"/>
                <w:szCs w:val="18"/>
                <w:color w:val="auto"/>
              </w:rPr>
              <w:t>Fees for services provided to joint ventures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1,315,876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927,286</w:t>
            </w:r>
          </w:p>
        </w:tc>
      </w:tr>
      <w:tr>
        <w:trPr>
          <w:trHeight w:val="216"/>
        </w:trPr>
        <w:tc>
          <w:tcPr>
            <w:tcW w:w="7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289,104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19,907</w:t>
            </w: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11,210,584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10,961,796</w:t>
            </w:r>
          </w:p>
        </w:tc>
      </w:tr>
      <w:tr>
        <w:trPr>
          <w:trHeight w:val="216"/>
        </w:trPr>
        <w:tc>
          <w:tcPr>
            <w:tcW w:w="7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1,270,453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797,495</w:t>
            </w:r>
          </w:p>
        </w:tc>
      </w:tr>
      <w:tr>
        <w:trPr>
          <w:trHeight w:val="210"/>
        </w:trPr>
        <w:tc>
          <w:tcPr>
            <w:tcW w:w="7680" w:type="dxa"/>
            <w:vAlign w:val="bottom"/>
            <w:gridSpan w:val="2"/>
          </w:tcPr>
          <w:p>
            <w:pPr>
              <w:ind w:left="8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37,522,588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33,202,350</w:t>
            </w:r>
          </w:p>
        </w:tc>
      </w:tr>
      <w:tr>
        <w:trPr>
          <w:trHeight w:val="236"/>
        </w:trPr>
        <w:tc>
          <w:tcPr>
            <w:tcW w:w="7680" w:type="dxa"/>
            <w:vAlign w:val="bottom"/>
            <w:gridSpan w:val="2"/>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16"/>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7,144,909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7,110,789</w:t>
            </w:r>
          </w:p>
        </w:tc>
      </w:tr>
      <w:tr>
        <w:trPr>
          <w:trHeight w:val="236"/>
        </w:trPr>
        <w:tc>
          <w:tcPr>
            <w:tcW w:w="1280" w:type="dxa"/>
            <w:vAlign w:val="bottom"/>
            <w:shd w:val="clear" w:color="auto" w:fill="CCEEFF"/>
          </w:tcPr>
          <w:p>
            <w:pPr>
              <w:spacing w:after="0"/>
              <w:rPr>
                <w:sz w:val="20"/>
                <w:szCs w:val="20"/>
                <w:color w:val="auto"/>
              </w:rPr>
            </w:pPr>
          </w:p>
        </w:tc>
        <w:tc>
          <w:tcPr>
            <w:tcW w:w="6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607" w:right="339" w:bottom="1037" w:gutter="0" w:footer="0" w:header="0"/>
        </w:sectPr>
      </w:pPr>
    </w:p>
    <w:p>
      <w:pPr>
        <w:ind w:left="180"/>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Investments in joint ventures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income taxes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Patents and trademarks, net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Operating lease right of use asset</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other assets</w:t>
      </w:r>
    </w:p>
    <w:p>
      <w:pPr>
        <w:spacing w:after="0" w:line="4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24,860,148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24,090,826</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215,184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209,729</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776,405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802,006</w:t>
            </w:r>
          </w:p>
        </w:tc>
      </w:tr>
      <w:tr>
        <w:trPr>
          <w:trHeight w:val="230"/>
        </w:trPr>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596,935</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658,788</w:t>
            </w:r>
          </w:p>
        </w:tc>
      </w:tr>
      <w:tr>
        <w:trPr>
          <w:trHeight w:val="209"/>
        </w:trPr>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26,448,672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25,761,349</w:t>
            </w:r>
          </w:p>
        </w:tc>
      </w:tr>
      <w:tr>
        <w:trPr>
          <w:trHeight w:val="210"/>
        </w:trPr>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71,116,169</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66,074,488</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-4998085</wp:posOffset>
            </wp:positionH>
            <wp:positionV relativeFrom="paragraph">
              <wp:posOffset>-864870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-590550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-307975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160" w:space="720"/>
            <w:col w:w="3360"/>
          </w:cols>
          <w:pgMar w:left="320" w:top="607" w:right="339" w:bottom="1037"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8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4,394,539</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3,205,241</w:t>
            </w:r>
          </w:p>
        </w:tc>
      </w:tr>
      <w:tr>
        <w:trPr>
          <w:trHeight w:val="216"/>
        </w:trPr>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623,960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310,922</w:t>
            </w:r>
          </w:p>
        </w:tc>
      </w:tr>
      <w:tr>
        <w:trPr>
          <w:trHeight w:val="216"/>
        </w:trPr>
        <w:tc>
          <w:tcPr>
            <w:tcW w:w="78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Payroll and related benefits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1,829,991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1,314,978</w:t>
            </w:r>
          </w:p>
        </w:tc>
      </w:tr>
      <w:tr>
        <w:trPr>
          <w:trHeight w:val="216"/>
        </w:trPr>
        <w:tc>
          <w:tcPr>
            <w:tcW w:w="7880" w:type="dxa"/>
            <w:vAlign w:val="bottom"/>
          </w:tcPr>
          <w:p>
            <w:pPr>
              <w:ind w:left="50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975,780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880,118</w:t>
            </w:r>
          </w:p>
        </w:tc>
      </w:tr>
      <w:tr>
        <w:trPr>
          <w:trHeight w:val="216"/>
        </w:trPr>
        <w:tc>
          <w:tcPr>
            <w:tcW w:w="7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portion of operating lease</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226,979</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386,345</w:t>
            </w:r>
          </w:p>
        </w:tc>
      </w:tr>
      <w:tr>
        <w:trPr>
          <w:trHeight w:val="210"/>
        </w:trPr>
        <w:tc>
          <w:tcPr>
            <w:tcW w:w="7880" w:type="dxa"/>
            <w:vAlign w:val="bottom"/>
          </w:tcPr>
          <w:p>
            <w:pPr>
              <w:ind w:left="98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8,051,249</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6,097,604</w:t>
            </w:r>
          </w:p>
        </w:tc>
      </w:tr>
      <w:tr>
        <w:trPr>
          <w:trHeight w:val="21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LIABILITIES: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880" w:type="dxa"/>
            <w:vAlign w:val="bottom"/>
          </w:tcPr>
          <w:p>
            <w:pPr>
              <w:ind w:left="340"/>
              <w:spacing w:after="0"/>
              <w:rPr>
                <w:sz w:val="20"/>
                <w:szCs w:val="20"/>
                <w:color w:val="auto"/>
              </w:rPr>
            </w:pPr>
            <w:r>
              <w:rPr>
                <w:rFonts w:ascii="Arial" w:cs="Arial" w:eastAsia="Arial" w:hAnsi="Arial"/>
                <w:sz w:val="18"/>
                <w:szCs w:val="18"/>
                <w:color w:val="auto"/>
              </w:rPr>
              <w:t>Operating lease, less current portion</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369,956</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272,443</w:t>
            </w:r>
          </w:p>
        </w:tc>
      </w:tr>
      <w:tr>
        <w:trPr>
          <w:trHeight w:val="210"/>
        </w:trPr>
        <w:tc>
          <w:tcPr>
            <w:tcW w:w="78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Total long-term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369,956</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272,443</w:t>
            </w:r>
          </w:p>
        </w:tc>
      </w:tr>
      <w:tr>
        <w:trPr>
          <w:trHeight w:val="237"/>
        </w:trPr>
        <w:tc>
          <w:tcPr>
            <w:tcW w:w="7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COMMITMENTS AND CONTINGENCIES (Note 12)</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3"/>
        </w:trPr>
        <w:tc>
          <w:tcPr>
            <w:tcW w:w="7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880" w:type="dxa"/>
            <w:vAlign w:val="bottom"/>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02"/>
        </w:trPr>
        <w:tc>
          <w:tcPr>
            <w:tcW w:w="78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Common stock, $0.02 par value per share; authorized 15,000,000 shares as of February 28, 2021 and</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7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August 31, 2020; issued and outstanding 9,104,636 and 9,099,990, respectively</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182,093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182,000</w:t>
            </w:r>
          </w:p>
        </w:tc>
      </w:tr>
      <w:tr>
        <w:trPr>
          <w:trHeight w:val="216"/>
        </w:trPr>
        <w:tc>
          <w:tcPr>
            <w:tcW w:w="78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17,793,646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17,415,043</w:t>
            </w:r>
          </w:p>
        </w:tc>
      </w:tr>
      <w:tr>
        <w:trPr>
          <w:trHeight w:val="216"/>
        </w:trPr>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44,455,982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42,472,810</w:t>
            </w:r>
          </w:p>
        </w:tc>
      </w:tr>
      <w:tr>
        <w:trPr>
          <w:trHeight w:val="216"/>
        </w:trPr>
        <w:tc>
          <w:tcPr>
            <w:tcW w:w="788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(2,969,563)</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(3,410,438)</w:t>
            </w:r>
          </w:p>
        </w:tc>
      </w:tr>
      <w:tr>
        <w:trPr>
          <w:trHeight w:val="210"/>
        </w:trPr>
        <w:tc>
          <w:tcPr>
            <w:tcW w:w="78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59,462,158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56,659,415</w:t>
            </w:r>
          </w:p>
        </w:tc>
      </w:tr>
      <w:tr>
        <w:trPr>
          <w:trHeight w:val="216"/>
        </w:trPr>
        <w:tc>
          <w:tcPr>
            <w:tcW w:w="78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3,232,806</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3,045,026</w:t>
            </w:r>
          </w:p>
        </w:tc>
      </w:tr>
      <w:tr>
        <w:trPr>
          <w:trHeight w:val="210"/>
        </w:trPr>
        <w:tc>
          <w:tcPr>
            <w:tcW w:w="78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62,694,964</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59,704,441</w:t>
            </w:r>
          </w:p>
        </w:tc>
      </w:tr>
      <w:tr>
        <w:trPr>
          <w:trHeight w:val="209"/>
        </w:trPr>
        <w:tc>
          <w:tcPr>
            <w:tcW w:w="788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71,116,169</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66,074,488</w:t>
            </w:r>
          </w:p>
        </w:tc>
      </w:tr>
      <w:tr>
        <w:trPr>
          <w:trHeight w:val="20"/>
        </w:trPr>
        <w:tc>
          <w:tcPr>
            <w:tcW w:w="7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037"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FEBRUARY 28, 2021 AND FEBRUARY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5980" w:type="dxa"/>
            <w:vAlign w:val="bottom"/>
          </w:tcPr>
          <w:p>
            <w:pPr>
              <w:spacing w:after="0"/>
              <w:rPr>
                <w:sz w:val="16"/>
                <w:szCs w:val="16"/>
                <w:color w:val="auto"/>
              </w:rPr>
            </w:pPr>
          </w:p>
        </w:tc>
        <w:tc>
          <w:tcPr>
            <w:tcW w:w="1260" w:type="dxa"/>
            <w:vAlign w:val="bottom"/>
            <w:gridSpan w:val="2"/>
          </w:tcPr>
          <w:p>
            <w:pPr>
              <w:jc w:val="right"/>
              <w:ind w:right="11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20" w:type="dxa"/>
            <w:vAlign w:val="bottom"/>
          </w:tcPr>
          <w:p>
            <w:pPr>
              <w:spacing w:after="0"/>
              <w:rPr>
                <w:sz w:val="16"/>
                <w:szCs w:val="16"/>
                <w:color w:val="auto"/>
              </w:rPr>
            </w:pPr>
          </w:p>
        </w:tc>
        <w:tc>
          <w:tcPr>
            <w:tcW w:w="1240" w:type="dxa"/>
            <w:vAlign w:val="bottom"/>
            <w:gridSpan w:val="2"/>
          </w:tcPr>
          <w:p>
            <w:pPr>
              <w:jc w:val="right"/>
              <w:ind w:right="90"/>
              <w:spacing w:after="0" w:line="191" w:lineRule="exact"/>
              <w:rPr>
                <w:sz w:val="20"/>
                <w:szCs w:val="20"/>
                <w:color w:val="auto"/>
              </w:rPr>
            </w:pPr>
            <w:r>
              <w:rPr>
                <w:rFonts w:ascii="Arial" w:cs="Arial" w:eastAsia="Arial" w:hAnsi="Arial"/>
                <w:sz w:val="18"/>
                <w:szCs w:val="18"/>
                <w:b w:val="1"/>
                <w:bCs w:val="1"/>
                <w:color w:val="auto"/>
                <w:w w:val="97"/>
              </w:rPr>
              <w:t>February 29,</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February 29,</w:t>
            </w:r>
          </w:p>
        </w:tc>
      </w:t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Net sales, excluding joint ventures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9"/>
              </w:rPr>
              <w:t>12,255,941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12,988,153</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24,454,749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27,033,937</w:t>
            </w: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sales, to joint ventures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526,941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245,630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1,107,245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831,246</w:t>
            </w:r>
          </w:p>
        </w:tc>
      </w:tr>
      <w:tr>
        <w:trPr>
          <w:trHeight w:val="210"/>
        </w:trPr>
        <w:tc>
          <w:tcPr>
            <w:tcW w:w="5980" w:type="dxa"/>
            <w:vAlign w:val="bottom"/>
          </w:tcPr>
          <w:p>
            <w:pPr>
              <w:ind w:left="660"/>
              <w:spacing w:after="0"/>
              <w:rPr>
                <w:sz w:val="20"/>
                <w:szCs w:val="20"/>
                <w:color w:val="auto"/>
              </w:rPr>
            </w:pPr>
            <w:r>
              <w:rPr>
                <w:rFonts w:ascii="Arial" w:cs="Arial" w:eastAsia="Arial" w:hAnsi="Arial"/>
                <w:sz w:val="18"/>
                <w:szCs w:val="18"/>
                <w:color w:val="auto"/>
              </w:rPr>
              <w:t>Total net sales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9"/>
              </w:rPr>
              <w:t>12,782,882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13,233,783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25,561,994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27,865,183</w:t>
            </w:r>
          </w:p>
        </w:tc>
      </w:tr>
      <w:tr>
        <w:trPr>
          <w:trHeight w:val="243"/>
        </w:trPr>
        <w:tc>
          <w:tcPr>
            <w:tcW w:w="5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8,531,679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8,687,301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16,845,000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18,492,385</w:t>
            </w:r>
          </w:p>
        </w:tc>
      </w:tr>
      <w:tr>
        <w:trPr>
          <w:trHeight w:val="210"/>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4,251,203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4,546,482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8,716,994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9,372,798</w:t>
            </w:r>
          </w:p>
        </w:tc>
      </w:tr>
      <w:tr>
        <w:trPr>
          <w:trHeight w:val="243"/>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Equity in income from joint ventures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1,920,012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1,360,804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3,745,724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2,654,794</w:t>
            </w: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Fees for services provided to joint ventures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1,462,684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1,256,213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2,799,245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2,614,538</w:t>
            </w:r>
          </w:p>
        </w:tc>
      </w:tr>
      <w:tr>
        <w:trPr>
          <w:trHeight w:val="209"/>
        </w:trPr>
        <w:tc>
          <w:tcPr>
            <w:tcW w:w="5980" w:type="dxa"/>
            <w:vAlign w:val="bottom"/>
          </w:tcPr>
          <w:p>
            <w:pPr>
              <w:ind w:left="660"/>
              <w:spacing w:after="0"/>
              <w:rPr>
                <w:sz w:val="20"/>
                <w:szCs w:val="20"/>
                <w:color w:val="auto"/>
              </w:rPr>
            </w:pPr>
            <w:r>
              <w:rPr>
                <w:rFonts w:ascii="Arial" w:cs="Arial" w:eastAsia="Arial" w:hAnsi="Arial"/>
                <w:sz w:val="18"/>
                <w:szCs w:val="18"/>
                <w:color w:val="auto"/>
              </w:rPr>
              <w:t>Total joint venture operations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3,382,696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2,617,017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6,544,969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5,269,332</w:t>
            </w:r>
          </w:p>
        </w:tc>
      </w:tr>
      <w:tr>
        <w:trPr>
          <w:trHeight w:val="243"/>
        </w:trPr>
        <w:tc>
          <w:tcPr>
            <w:tcW w:w="5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2,832,008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3,110,240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5,573,776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5,997,532</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1,958,974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2,345,113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4,052,956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4,394,800</w:t>
            </w: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1,075,180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1,006,395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2,150,917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1,968,036</w:t>
            </w:r>
          </w:p>
        </w:tc>
      </w:tr>
      <w:tr>
        <w:trPr>
          <w:trHeight w:val="210"/>
        </w:trPr>
        <w:tc>
          <w:tcPr>
            <w:tcW w:w="5980" w:type="dxa"/>
            <w:vAlign w:val="bottom"/>
          </w:tcPr>
          <w:p>
            <w:pPr>
              <w:ind w:left="66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5,866,162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6,461,748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11,777,649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12,360,368</w:t>
            </w:r>
          </w:p>
        </w:tc>
      </w:tr>
      <w:tr>
        <w:trPr>
          <w:trHeight w:val="243"/>
        </w:trPr>
        <w:tc>
          <w:tcPr>
            <w:tcW w:w="5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1,767,737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701,751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3,484,314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2,281,762</w:t>
            </w:r>
          </w:p>
        </w:tc>
      </w:tr>
      <w:tr>
        <w:trPr>
          <w:trHeight w:val="243"/>
        </w:trPr>
        <w:tc>
          <w:tcPr>
            <w:tcW w:w="5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15,638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55,042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85,176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104,080</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(14,821)</w:t>
            </w:r>
          </w:p>
        </w:tc>
      </w:tr>
      <w:tr>
        <w:trPr>
          <w:trHeight w:val="237"/>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1,778,126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747,416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3,561,873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2,371,021</w:t>
            </w:r>
          </w:p>
        </w:tc>
      </w:tr>
      <w:tr>
        <w:trPr>
          <w:trHeight w:val="243"/>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274,660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463,594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653,250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727,660</w:t>
            </w:r>
          </w:p>
        </w:tc>
      </w:tr>
      <w:tr>
        <w:trPr>
          <w:trHeight w:val="237"/>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1,503,466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283,822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2,908,623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1,643,361</w:t>
            </w:r>
          </w:p>
        </w:tc>
      </w:tr>
      <w:tr>
        <w:trPr>
          <w:trHeight w:val="243"/>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190,891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103,988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333,649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250,977</w:t>
            </w:r>
          </w:p>
        </w:tc>
      </w:tr>
      <w:tr>
        <w:trPr>
          <w:trHeight w:val="236"/>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1,312,575</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179,834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2,574,974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1,392,384</w:t>
            </w:r>
          </w:p>
        </w:tc>
      </w:tr>
      <w:tr>
        <w:trPr>
          <w:trHeight w:val="223"/>
        </w:trPr>
        <w:tc>
          <w:tcPr>
            <w:tcW w:w="598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 PER COMMON SHARE: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0.14</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0.28</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0.15</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598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0.13</w:t>
            </w:r>
          </w:p>
        </w:tc>
        <w:tc>
          <w:tcPr>
            <w:tcW w:w="32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0.02</w:t>
            </w:r>
          </w:p>
        </w:tc>
        <w:tc>
          <w:tcPr>
            <w:tcW w:w="30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0.26</w:t>
            </w:r>
          </w:p>
        </w:tc>
        <w:tc>
          <w:tcPr>
            <w:tcW w:w="30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0.15</w:t>
            </w:r>
          </w:p>
        </w:tc>
      </w:tr>
      <w:tr>
        <w:trPr>
          <w:trHeight w:val="224"/>
        </w:trPr>
        <w:tc>
          <w:tcPr>
            <w:tcW w:w="598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ASSUMED OUTSTANDING:</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9,104,636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9,097,236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9,104,623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9,095,604</w:t>
            </w: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6"/>
        </w:trPr>
        <w:tc>
          <w:tcPr>
            <w:tcW w:w="598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9,867,918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9,461,727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9,756,268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9,383,867</w:t>
            </w: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CASH DIVIDENDS DECLARED PER COMMON SHARE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0.065</w:t>
            </w:r>
          </w:p>
        </w:tc>
        <w:tc>
          <w:tcPr>
            <w:tcW w:w="3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0.065</w:t>
            </w:r>
          </w:p>
        </w:tc>
        <w:tc>
          <w:tcPr>
            <w:tcW w:w="3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0.065</w:t>
            </w:r>
          </w:p>
        </w:tc>
        <w:tc>
          <w:tcPr>
            <w:tcW w:w="3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0.13</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FEBRUARY 28, 2021 AND FEBRUARY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260" w:type="dxa"/>
            <w:vAlign w:val="bottom"/>
            <w:gridSpan w:val="2"/>
          </w:tcPr>
          <w:p>
            <w:pPr>
              <w:jc w:val="right"/>
              <w:ind w:right="11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20" w:type="dxa"/>
            <w:vAlign w:val="bottom"/>
          </w:tcPr>
          <w:p>
            <w:pPr>
              <w:spacing w:after="0"/>
              <w:rPr>
                <w:sz w:val="16"/>
                <w:szCs w:val="16"/>
                <w:color w:val="auto"/>
              </w:rPr>
            </w:pPr>
          </w:p>
        </w:tc>
        <w:tc>
          <w:tcPr>
            <w:tcW w:w="1240" w:type="dxa"/>
            <w:vAlign w:val="bottom"/>
            <w:gridSpan w:val="2"/>
          </w:tcPr>
          <w:p>
            <w:pPr>
              <w:jc w:val="right"/>
              <w:ind w:right="90"/>
              <w:spacing w:after="0" w:line="191" w:lineRule="exact"/>
              <w:rPr>
                <w:sz w:val="20"/>
                <w:szCs w:val="20"/>
                <w:color w:val="auto"/>
              </w:rPr>
            </w:pPr>
            <w:r>
              <w:rPr>
                <w:rFonts w:ascii="Arial" w:cs="Arial" w:eastAsia="Arial" w:hAnsi="Arial"/>
                <w:sz w:val="18"/>
                <w:szCs w:val="18"/>
                <w:b w:val="1"/>
                <w:bCs w:val="1"/>
                <w:color w:val="auto"/>
                <w:w w:val="97"/>
              </w:rPr>
              <w:t>February 29,</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February 29,</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1,503,466</w:t>
            </w:r>
          </w:p>
        </w:tc>
        <w:tc>
          <w:tcPr>
            <w:tcW w:w="36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283,822</w:t>
            </w:r>
          </w:p>
        </w:tc>
        <w:tc>
          <w:tcPr>
            <w:tcW w:w="340" w:type="dxa"/>
            <w:vAlign w:val="bottom"/>
            <w:gridSpan w:val="2"/>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2,908,623</w:t>
            </w:r>
          </w:p>
        </w:tc>
        <w:tc>
          <w:tcPr>
            <w:tcW w:w="340" w:type="dxa"/>
            <w:vAlign w:val="bottom"/>
            <w:gridSpan w:val="2"/>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1,643,361</w:t>
            </w: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OTHER COMPREHENSIVE INCOME (LOSS) – FOREIGN CURRENCY</w:t>
            </w:r>
          </w:p>
        </w:tc>
        <w:tc>
          <w:tcPr>
            <w:tcW w:w="240" w:type="dxa"/>
            <w:vAlign w:val="bottom"/>
          </w:tcPr>
          <w:p>
            <w:pPr>
              <w:spacing w:after="0"/>
              <w:rPr>
                <w:sz w:val="17"/>
                <w:szCs w:val="17"/>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196,341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(158,343)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495,006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(32,667)</w:t>
            </w:r>
          </w:p>
        </w:tc>
        <w:tc>
          <w:tcPr>
            <w:tcW w:w="0" w:type="dxa"/>
            <w:vAlign w:val="bottom"/>
          </w:tcPr>
          <w:p>
            <w:pPr>
              <w:spacing w:after="0"/>
              <w:rPr>
                <w:sz w:val="1"/>
                <w:szCs w:val="1"/>
                <w:color w:val="auto"/>
              </w:rPr>
            </w:pPr>
          </w:p>
        </w:tc>
      </w:tr>
      <w:tr>
        <w:trPr>
          <w:trHeight w:val="217"/>
        </w:trPr>
        <w:tc>
          <w:tcPr>
            <w:tcW w:w="5980" w:type="dxa"/>
            <w:vAlign w:val="bottom"/>
          </w:tcPr>
          <w:p>
            <w:pPr>
              <w:ind w:left="180"/>
              <w:spacing w:after="0"/>
              <w:rPr>
                <w:sz w:val="20"/>
                <w:szCs w:val="20"/>
                <w:color w:val="auto"/>
              </w:rPr>
            </w:pPr>
            <w:r>
              <w:rPr>
                <w:rFonts w:ascii="Arial" w:cs="Arial" w:eastAsia="Arial" w:hAnsi="Arial"/>
                <w:sz w:val="18"/>
                <w:szCs w:val="18"/>
                <w:color w:val="auto"/>
              </w:rPr>
              <w:t>TRANSLATION ADJUSTMENT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1,699,807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125,479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3,403,629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1,610,694</w:t>
            </w: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COMPREHENSIVE INCOME ATTRIBUTABLE TO NON-</w:t>
            </w:r>
          </w:p>
        </w:tc>
        <w:tc>
          <w:tcPr>
            <w:tcW w:w="2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177,117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57,630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387,780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227,481</w:t>
            </w:r>
          </w:p>
        </w:tc>
        <w:tc>
          <w:tcPr>
            <w:tcW w:w="0" w:type="dxa"/>
            <w:vAlign w:val="bottom"/>
          </w:tcPr>
          <w:p>
            <w:pPr>
              <w:spacing w:after="0"/>
              <w:rPr>
                <w:sz w:val="1"/>
                <w:szCs w:val="1"/>
                <w:color w:val="auto"/>
              </w:rPr>
            </w:pPr>
          </w:p>
        </w:tc>
      </w:tr>
      <w:tr>
        <w:trPr>
          <w:trHeight w:val="217"/>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COMPREHENSIVE INCOME ATTRIBUTABLE TO NTIC</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1,522,690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67,849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3,015,849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1,383,213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FEBRUARY 28, 2021 AND FEBRUARY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5760" w:type="dxa"/>
            <w:vAlign w:val="bottom"/>
            <w:gridSpan w:val="7"/>
          </w:tcPr>
          <w:p>
            <w:pPr>
              <w:jc w:val="center"/>
              <w:ind w:right="30"/>
              <w:spacing w:after="0"/>
              <w:rPr>
                <w:sz w:val="20"/>
                <w:szCs w:val="20"/>
                <w:color w:val="auto"/>
              </w:rPr>
            </w:pPr>
            <w:r>
              <w:rPr>
                <w:rFonts w:ascii="Arial" w:cs="Arial" w:eastAsia="Arial" w:hAnsi="Arial"/>
                <w:sz w:val="18"/>
                <w:szCs w:val="18"/>
                <w:b w:val="1"/>
                <w:bCs w:val="1"/>
                <w:color w:val="auto"/>
              </w:rPr>
              <w:t>STOCKHOLDERS’ EQUITY – THREE MONTHS ENDED</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5"/>
              </w:rPr>
              <w:t>FEBRUARY 28, 2021 AND FEBRUARY 29, 2020</w:t>
            </w:r>
          </w:p>
        </w:tc>
        <w:tc>
          <w:tcPr>
            <w:tcW w:w="98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2080" w:type="dxa"/>
            <w:vAlign w:val="bottom"/>
            <w:gridSpan w:val="3"/>
            <w:vMerge w:val="restart"/>
          </w:tcPr>
          <w:p>
            <w:pPr>
              <w:jc w:val="right"/>
              <w:ind w:right="410"/>
              <w:spacing w:after="0"/>
              <w:rPr>
                <w:sz w:val="20"/>
                <w:szCs w:val="20"/>
                <w:color w:val="auto"/>
              </w:rPr>
            </w:pPr>
            <w:r>
              <w:rPr>
                <w:rFonts w:ascii="Arial" w:cs="Arial" w:eastAsia="Arial" w:hAnsi="Arial"/>
                <w:sz w:val="18"/>
                <w:szCs w:val="18"/>
                <w:b w:val="1"/>
                <w:bCs w:val="1"/>
                <w:color w:val="auto"/>
              </w:rPr>
              <w:t>Common Stock</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center"/>
              <w:ind w:right="350"/>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40" w:type="dxa"/>
            <w:vAlign w:val="bottom"/>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Paid-in</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Retained</w:t>
            </w: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Comprehensive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Controlling</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Amount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Earnings</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9,104,636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182,093</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$ 17,632,811</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5"/>
              </w:rPr>
              <w:t>$43,735,209</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(3,179,678)</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$ 3,255,689</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$61,626,124</w:t>
            </w:r>
          </w:p>
        </w:tc>
        <w:tc>
          <w:tcPr>
            <w:tcW w:w="0" w:type="dxa"/>
            <w:vAlign w:val="bottom"/>
          </w:tcPr>
          <w:p>
            <w:pPr>
              <w:spacing w:after="0"/>
              <w:rPr>
                <w:sz w:val="1"/>
                <w:szCs w:val="1"/>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w w:val="95"/>
              </w:rPr>
              <w:t>Stock issued for employee stock purchase</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plan</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160,835</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160,835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(591,802)</w:t>
            </w:r>
          </w:p>
        </w:tc>
        <w:tc>
          <w:tcPr>
            <w:tcW w:w="4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(591,802)</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 received by non-controlling</w:t>
            </w: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1,312,575</w:t>
            </w:r>
          </w:p>
        </w:tc>
        <w:tc>
          <w:tcPr>
            <w:tcW w:w="4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190,891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1,503,466</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210,115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(13,774)</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196,341</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BALANCE AT FEBRUARY 28,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9,104,636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182,093</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$17,793,646</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$44,455,982</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(2,969,563)</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$ 3,232,806</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$62,694,964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BALANCE AT NOVEMBER 30, 2019</w:t>
            </w:r>
          </w:p>
        </w:tc>
        <w:tc>
          <w:tcPr>
            <w:tcW w:w="900" w:type="dxa"/>
            <w:vAlign w:val="bottom"/>
          </w:tcPr>
          <w:p>
            <w:pPr>
              <w:jc w:val="right"/>
              <w:spacing w:after="0"/>
              <w:rPr>
                <w:sz w:val="20"/>
                <w:szCs w:val="20"/>
                <w:color w:val="auto"/>
              </w:rPr>
            </w:pPr>
            <w:r>
              <w:rPr>
                <w:rFonts w:ascii="Arial" w:cs="Arial" w:eastAsia="Arial" w:hAnsi="Arial"/>
                <w:sz w:val="18"/>
                <w:szCs w:val="18"/>
                <w:color w:val="auto"/>
              </w:rPr>
              <w:t>9,097,236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181,945</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$16,367,555</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w w:val="95"/>
              </w:rPr>
              <w:t>$45,614,389</w:t>
            </w: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(4,490,364)</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$ 3,244,530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w w:val="97"/>
              </w:rPr>
              <w:t>$60,918,055</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Stock issued for employee stock purchase</w:t>
            </w: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 option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339,652</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339,652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stockholders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(591,320)</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(591,320)</w:t>
            </w:r>
          </w:p>
        </w:tc>
        <w:tc>
          <w:tcPr>
            <w:tcW w:w="0" w:type="dxa"/>
            <w:vAlign w:val="bottom"/>
          </w:tcPr>
          <w:p>
            <w:pPr>
              <w:spacing w:after="0"/>
              <w:rPr>
                <w:sz w:val="1"/>
                <w:szCs w:val="1"/>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Dividend received by non-controlling</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interest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179,834</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103,988</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283,822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(111,985)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(46,358)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(158,343)</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FEBRUARY 29, 2020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9,097,236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181,945</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$16,707,207</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5"/>
              </w:rPr>
              <w:t>$45,202,903</w:t>
            </w:r>
          </w:p>
        </w:tc>
        <w:tc>
          <w:tcPr>
            <w:tcW w:w="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(4,602,349)</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$ 3,302,160</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$60,791,866</w:t>
            </w:r>
          </w:p>
        </w:tc>
        <w:tc>
          <w:tcPr>
            <w:tcW w:w="0" w:type="dxa"/>
            <w:vAlign w:val="bottom"/>
          </w:tcPr>
          <w:p>
            <w:pPr>
              <w:spacing w:after="0"/>
              <w:rPr>
                <w:sz w:val="1"/>
                <w:szCs w:val="1"/>
                <w:color w:val="auto"/>
              </w:rPr>
            </w:pPr>
          </w:p>
        </w:tc>
      </w:tr>
      <w:tr>
        <w:trPr>
          <w:trHeight w:val="610"/>
        </w:trPr>
        <w:tc>
          <w:tcPr>
            <w:tcW w:w="3240" w:type="dxa"/>
            <w:vAlign w:val="bottom"/>
          </w:tcPr>
          <w:p>
            <w:pPr>
              <w:spacing w:after="0"/>
              <w:rPr>
                <w:sz w:val="24"/>
                <w:szCs w:val="24"/>
                <w:color w:val="auto"/>
              </w:rPr>
            </w:pPr>
          </w:p>
        </w:tc>
        <w:tc>
          <w:tcPr>
            <w:tcW w:w="5760" w:type="dxa"/>
            <w:vAlign w:val="bottom"/>
            <w:gridSpan w:val="7"/>
          </w:tcPr>
          <w:p>
            <w:pPr>
              <w:jc w:val="center"/>
              <w:ind w:right="30"/>
              <w:spacing w:after="0"/>
              <w:rPr>
                <w:sz w:val="20"/>
                <w:szCs w:val="20"/>
                <w:color w:val="auto"/>
              </w:rPr>
            </w:pPr>
            <w:r>
              <w:rPr>
                <w:rFonts w:ascii="Arial" w:cs="Arial" w:eastAsia="Arial" w:hAnsi="Arial"/>
                <w:sz w:val="18"/>
                <w:szCs w:val="18"/>
                <w:b w:val="1"/>
                <w:bCs w:val="1"/>
                <w:color w:val="auto"/>
              </w:rPr>
              <w:t>STOCKHOLDERS’ EQUITY – SIX MONTHS ENDED FEBRUARY 28,</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5"/>
              </w:rPr>
              <w:t>2021 AND FEBRUARY 29, 2020</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gridSpan w:val="3"/>
            <w:vMerge w:val="restart"/>
          </w:tcPr>
          <w:p>
            <w:pPr>
              <w:jc w:val="right"/>
              <w:ind w:right="410"/>
              <w:spacing w:after="0"/>
              <w:rPr>
                <w:sz w:val="20"/>
                <w:szCs w:val="20"/>
                <w:color w:val="auto"/>
              </w:rPr>
            </w:pPr>
            <w:r>
              <w:rPr>
                <w:rFonts w:ascii="Arial" w:cs="Arial" w:eastAsia="Arial" w:hAnsi="Arial"/>
                <w:sz w:val="18"/>
                <w:szCs w:val="18"/>
                <w:b w:val="1"/>
                <w:bCs w:val="1"/>
                <w:color w:val="auto"/>
              </w:rPr>
              <w:t>Common Stock</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center"/>
              <w:ind w:right="350"/>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40" w:type="dxa"/>
            <w:vAlign w:val="bottom"/>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Paid-in</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Retained</w:t>
            </w: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Comprehensive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Controlling</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Amount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Earnings</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9,099,990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182,000</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$17,415,043</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5"/>
              </w:rPr>
              <w:t>$42,472,810</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(3,410,438)</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$ 3,045,026</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$59,704,441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Stock issued for employee stock purchase</w:t>
            </w: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36,099</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36,192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 option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342,504</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342,504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stockholders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(591,802)</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(591,802)</w:t>
            </w:r>
          </w:p>
        </w:tc>
        <w:tc>
          <w:tcPr>
            <w:tcW w:w="0" w:type="dxa"/>
            <w:vAlign w:val="bottom"/>
          </w:tcPr>
          <w:p>
            <w:pPr>
              <w:spacing w:after="0"/>
              <w:rPr>
                <w:sz w:val="1"/>
                <w:szCs w:val="1"/>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Dividend received by non-controlling</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interest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110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2,574,974</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333,649</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2,908,623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440,875</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54,131</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495,006</w:t>
            </w:r>
          </w:p>
        </w:tc>
        <w:tc>
          <w:tcPr>
            <w:tcW w:w="0" w:type="dxa"/>
            <w:vAlign w:val="bottom"/>
          </w:tcPr>
          <w:p>
            <w:pPr>
              <w:spacing w:after="0"/>
              <w:rPr>
                <w:sz w:val="1"/>
                <w:szCs w:val="1"/>
                <w:color w:val="auto"/>
              </w:rPr>
            </w:pPr>
          </w:p>
        </w:tc>
      </w:tr>
      <w:tr>
        <w:trPr>
          <w:trHeight w:val="249"/>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FEBRUARY 28, 2021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9,104,636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182,093</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$17,793,646</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5"/>
              </w:rPr>
              <w:t>$44,455,982</w:t>
            </w:r>
          </w:p>
        </w:tc>
        <w:tc>
          <w:tcPr>
            <w:tcW w:w="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(2,969,563)</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$ 3,232,806</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$62,694,964</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9,086,816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181,736</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$16,013,338</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5"/>
              </w:rPr>
              <w:t>$44,992,718</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(4,593,178)</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$ 3,074,679</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$59,669,293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900" w:type="dxa"/>
            <w:vAlign w:val="bottom"/>
          </w:tcPr>
          <w:p>
            <w:pPr>
              <w:jc w:val="right"/>
              <w:spacing w:after="0"/>
              <w:rPr>
                <w:sz w:val="20"/>
                <w:szCs w:val="20"/>
                <w:color w:val="auto"/>
              </w:rPr>
            </w:pPr>
            <w:r>
              <w:rPr>
                <w:rFonts w:ascii="Arial" w:cs="Arial" w:eastAsia="Arial" w:hAnsi="Arial"/>
                <w:sz w:val="18"/>
                <w:szCs w:val="18"/>
                <w:color w:val="auto"/>
              </w:rPr>
              <w:t>6,823</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180" w:type="dxa"/>
            <w:vAlign w:val="bottom"/>
          </w:tcPr>
          <w:p>
            <w:pPr>
              <w:jc w:val="right"/>
              <w:spacing w:after="0"/>
              <w:rPr>
                <w:sz w:val="20"/>
                <w:szCs w:val="20"/>
                <w:color w:val="auto"/>
              </w:rPr>
            </w:pPr>
            <w:r>
              <w:rPr>
                <w:rFonts w:ascii="Arial" w:cs="Arial" w:eastAsia="Arial" w:hAnsi="Arial"/>
                <w:sz w:val="18"/>
                <w:szCs w:val="18"/>
                <w:color w:val="auto"/>
              </w:rPr>
              <w:t>(137)</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Stock issued for employee stock purchase</w:t>
            </w: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35,536</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35,608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 option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658,470</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658,470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stockholders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(1,182,199)</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(1,182,199)</w:t>
            </w:r>
          </w:p>
        </w:tc>
        <w:tc>
          <w:tcPr>
            <w:tcW w:w="0" w:type="dxa"/>
            <w:vAlign w:val="bottom"/>
          </w:tcPr>
          <w:p>
            <w:pPr>
              <w:spacing w:after="0"/>
              <w:rPr>
                <w:sz w:val="1"/>
                <w:szCs w:val="1"/>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Dividend received by non-controlling</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interest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1,392,384</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250,977</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1,643,361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(32,667)</w:t>
            </w:r>
          </w:p>
        </w:tc>
        <w:tc>
          <w:tcPr>
            <w:tcW w:w="0" w:type="dxa"/>
            <w:vAlign w:val="bottom"/>
          </w:tcPr>
          <w:p>
            <w:pPr>
              <w:spacing w:after="0"/>
              <w:rPr>
                <w:sz w:val="1"/>
                <w:szCs w:val="1"/>
                <w:color w:val="auto"/>
              </w:rPr>
            </w:pPr>
          </w:p>
        </w:tc>
      </w:tr>
      <w:tr>
        <w:trPr>
          <w:trHeight w:val="249"/>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FEBRUARY 29, 2020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9,097,236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181,945</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$16,707,207</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5"/>
              </w:rPr>
              <w:t>$45,202,903</w:t>
            </w:r>
          </w:p>
        </w:tc>
        <w:tc>
          <w:tcPr>
            <w:tcW w:w="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(4,602,349)</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$ 3,302,160</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$60,791,866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511"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FEBRUARY 28, 2021 AND FEBRUARY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w w:val="98"/>
              </w:rPr>
              <w:t>February 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February 29,</w:t>
            </w:r>
          </w:p>
        </w:tc>
      </w:tr>
      <w:tr>
        <w:trPr>
          <w:trHeight w:val="234"/>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09"/>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2,908,623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1,643,361</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75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342,504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658,470</w:t>
            </w:r>
          </w:p>
        </w:tc>
      </w:tr>
      <w:tr>
        <w:trPr>
          <w:trHeight w:val="216"/>
        </w:trPr>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expense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451,498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428,711</w:t>
            </w:r>
          </w:p>
        </w:tc>
      </w:tr>
      <w:tr>
        <w:trPr>
          <w:trHeight w:val="216"/>
        </w:trPr>
        <w:tc>
          <w:tcPr>
            <w:tcW w:w="7540" w:type="dxa"/>
            <w:vAlign w:val="bottom"/>
          </w:tcPr>
          <w:p>
            <w:pPr>
              <w:ind w:left="340"/>
              <w:spacing w:after="0"/>
              <w:rPr>
                <w:sz w:val="20"/>
                <w:szCs w:val="20"/>
                <w:color w:val="auto"/>
              </w:rPr>
            </w:pPr>
            <w:r>
              <w:rPr>
                <w:rFonts w:ascii="Arial" w:cs="Arial" w:eastAsia="Arial" w:hAnsi="Arial"/>
                <w:sz w:val="18"/>
                <w:szCs w:val="18"/>
                <w:color w:val="auto"/>
              </w:rPr>
              <w:t>Amortization expense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100,821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118,171</w:t>
            </w:r>
          </w:p>
        </w:tc>
      </w:tr>
      <w:tr>
        <w:trPr>
          <w:trHeight w:val="216"/>
        </w:trPr>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allowance for doubtful accounts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tcPr>
          <w:p>
            <w:pPr>
              <w:ind w:left="340"/>
              <w:spacing w:after="0"/>
              <w:rPr>
                <w:sz w:val="20"/>
                <w:szCs w:val="20"/>
                <w:color w:val="auto"/>
              </w:rPr>
            </w:pPr>
            <w:r>
              <w:rPr>
                <w:rFonts w:ascii="Arial" w:cs="Arial" w:eastAsia="Arial" w:hAnsi="Arial"/>
                <w:sz w:val="18"/>
                <w:szCs w:val="18"/>
                <w:color w:val="auto"/>
              </w:rPr>
              <w:t>Equity in income from joint ventures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(3,745,724)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(2,654,794)</w:t>
            </w:r>
          </w:p>
        </w:tc>
      </w:tr>
      <w:tr>
        <w:trPr>
          <w:trHeight w:val="216"/>
        </w:trPr>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received from joint ventures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3,323,503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5,558,926</w:t>
            </w:r>
          </w:p>
        </w:tc>
      </w:tr>
      <w:tr>
        <w:trPr>
          <w:trHeight w:val="216"/>
        </w:trPr>
        <w:tc>
          <w:tcPr>
            <w:tcW w:w="75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111,768</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7540" w:type="dxa"/>
            <w:vAlign w:val="bottom"/>
          </w:tcPr>
          <w:p>
            <w:pPr>
              <w:ind w:left="50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Trade, excluding joint ventures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(10,778)</w:t>
            </w:r>
          </w:p>
        </w:tc>
      </w:tr>
      <w:tr>
        <w:trPr>
          <w:trHeight w:val="216"/>
        </w:trPr>
        <w:tc>
          <w:tcPr>
            <w:tcW w:w="7540" w:type="dxa"/>
            <w:vAlign w:val="bottom"/>
          </w:tcPr>
          <w:p>
            <w:pPr>
              <w:ind w:left="660"/>
              <w:spacing w:after="0"/>
              <w:rPr>
                <w:sz w:val="20"/>
                <w:szCs w:val="20"/>
                <w:color w:val="auto"/>
              </w:rPr>
            </w:pPr>
            <w:r>
              <w:rPr>
                <w:rFonts w:ascii="Arial" w:cs="Arial" w:eastAsia="Arial" w:hAnsi="Arial"/>
                <w:sz w:val="18"/>
                <w:szCs w:val="18"/>
                <w:color w:val="auto"/>
              </w:rPr>
              <w:t>Trade, joint ventures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27,879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285,298</w:t>
            </w:r>
          </w:p>
        </w:tc>
      </w:tr>
      <w:tr>
        <w:trPr>
          <w:trHeight w:val="216"/>
        </w:trPr>
        <w:tc>
          <w:tcPr>
            <w:tcW w:w="7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Fees for services provided to joint ventures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72,781</w:t>
            </w:r>
          </w:p>
        </w:tc>
      </w:tr>
      <w:tr>
        <w:trPr>
          <w:trHeight w:val="216"/>
        </w:trPr>
        <w:tc>
          <w:tcPr>
            <w:tcW w:w="7540" w:type="dxa"/>
            <w:vAlign w:val="bottom"/>
          </w:tcPr>
          <w:p>
            <w:pPr>
              <w:ind w:left="660"/>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(270,867)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221,211</w:t>
            </w:r>
          </w:p>
        </w:tc>
      </w:tr>
      <w:tr>
        <w:trPr>
          <w:trHeight w:val="216"/>
        </w:trPr>
        <w:tc>
          <w:tcPr>
            <w:tcW w:w="7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(908,423)</w:t>
            </w:r>
          </w:p>
        </w:tc>
      </w:tr>
      <w:tr>
        <w:trPr>
          <w:trHeight w:val="216"/>
        </w:trPr>
        <w:tc>
          <w:tcPr>
            <w:tcW w:w="7540" w:type="dxa"/>
            <w:vAlign w:val="bottom"/>
          </w:tcPr>
          <w:p>
            <w:pPr>
              <w:ind w:left="50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(450,263)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122,676</w:t>
            </w:r>
          </w:p>
        </w:tc>
      </w:tr>
      <w:tr>
        <w:trPr>
          <w:trHeight w:val="216"/>
        </w:trPr>
        <w:tc>
          <w:tcPr>
            <w:tcW w:w="7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1,036,818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850,534</w:t>
            </w:r>
          </w:p>
        </w:tc>
      </w:tr>
      <w:tr>
        <w:trPr>
          <w:trHeight w:val="216"/>
        </w:trPr>
        <w:tc>
          <w:tcPr>
            <w:tcW w:w="7540" w:type="dxa"/>
            <w:vAlign w:val="bottom"/>
          </w:tcPr>
          <w:p>
            <w:pPr>
              <w:ind w:left="500"/>
              <w:spacing w:after="0"/>
              <w:rPr>
                <w:sz w:val="20"/>
                <w:szCs w:val="20"/>
                <w:color w:val="auto"/>
              </w:rPr>
            </w:pPr>
            <w:r>
              <w:rPr>
                <w:rFonts w:ascii="Arial" w:cs="Arial" w:eastAsia="Arial" w:hAnsi="Arial"/>
                <w:sz w:val="18"/>
                <w:szCs w:val="18"/>
                <w:color w:val="auto"/>
              </w:rPr>
              <w:t>Income tax payable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290,252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(10,833)</w:t>
            </w:r>
          </w:p>
        </w:tc>
      </w:tr>
      <w:tr>
        <w:trPr>
          <w:trHeight w:val="216"/>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413,157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(2,284,150)</w:t>
            </w:r>
          </w:p>
        </w:tc>
      </w:tr>
      <w:tr>
        <w:trPr>
          <w:trHeight w:val="210"/>
        </w:trPr>
        <w:tc>
          <w:tcPr>
            <w:tcW w:w="7540" w:type="dxa"/>
            <w:vAlign w:val="bottom"/>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1,959,249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4,207,710</w:t>
            </w:r>
          </w:p>
        </w:tc>
      </w:tr>
      <w:tr>
        <w:trPr>
          <w:trHeight w:val="210"/>
        </w:trPr>
        <w:tc>
          <w:tcPr>
            <w:tcW w:w="7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available for sale securities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(6,946,908)</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Proceeds from the sale of available for sale securities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4,000,000</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(296,786)</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Investments in patents</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(75,220)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(45,414)</w:t>
            </w:r>
          </w:p>
        </w:tc>
      </w:tr>
      <w:tr>
        <w:trPr>
          <w:trHeight w:val="210"/>
        </w:trPr>
        <w:tc>
          <w:tcPr>
            <w:tcW w:w="75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(910,550)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(3,289,108)</w:t>
            </w:r>
          </w:p>
        </w:tc>
      </w:t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Dividends paid on NTIC common stock</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(591,802)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(1,182,199)</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received by non-controlling interests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Proceeds from employee stock purchase plan</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36,192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35,608</w:t>
            </w:r>
          </w:p>
        </w:tc>
      </w:tr>
      <w:tr>
        <w:trPr>
          <w:trHeight w:val="210"/>
        </w:trPr>
        <w:tc>
          <w:tcPr>
            <w:tcW w:w="75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(755,610)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(1,146,591)</w:t>
            </w:r>
          </w:p>
        </w:tc>
      </w:t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92,414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w:t>
            </w:r>
          </w:p>
        </w:tc>
      </w:t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385,503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(230,348)</w:t>
            </w:r>
          </w:p>
        </w:tc>
      </w:tr>
      <w:tr>
        <w:trPr>
          <w:trHeight w:val="216"/>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6,403,032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5,856,758</w:t>
            </w:r>
          </w:p>
        </w:tc>
      </w:t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5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6,788,535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5,626,410</w:t>
            </w:r>
          </w:p>
        </w:tc>
      </w:tr>
      <w:tr>
        <w:trPr>
          <w:trHeight w:val="412"/>
        </w:trPr>
        <w:tc>
          <w:tcPr>
            <w:tcW w:w="7540" w:type="dxa"/>
            <w:vAlign w:val="bottom"/>
            <w:tcBorders>
              <w:top w:val="single" w:sz="8" w:color="CCEEFF"/>
            </w:tcBorders>
          </w:tcPr>
          <w:p>
            <w:pPr>
              <w:ind w:left="3960"/>
              <w:spacing w:after="0"/>
              <w:rPr>
                <w:sz w:val="20"/>
                <w:szCs w:val="20"/>
                <w:color w:val="auto"/>
              </w:rPr>
            </w:pPr>
            <w:r>
              <w:rPr>
                <w:rFonts w:ascii="Arial" w:cs="Arial" w:eastAsia="Arial" w:hAnsi="Arial"/>
                <w:sz w:val="18"/>
                <w:szCs w:val="18"/>
                <w:color w:val="auto"/>
                <w:w w:val="94"/>
              </w:rPr>
              <w:t>See notes to consolidated financial statements.</w:t>
            </w:r>
          </w:p>
        </w:tc>
        <w:tc>
          <w:tcPr>
            <w:tcW w:w="2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432"/>
        </w:trPr>
        <w:tc>
          <w:tcPr>
            <w:tcW w:w="7540" w:type="dxa"/>
            <w:vAlign w:val="bottom"/>
          </w:tcPr>
          <w:p>
            <w:pPr>
              <w:ind w:left="55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5"/>
        </w:trPr>
        <w:tc>
          <w:tcPr>
            <w:tcW w:w="7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8" w:name="page9"/>
    <w:bookmarkEnd w:id="8"/>
    <w:p>
      <w:pPr>
        <w:ind w:right="394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February 28, 2021 and August 31, 2020, the results of the Company’s operations for the three and six months ended February 28, 2021 and February 29, 2020, the changes in stockholders’ equity for the three and six months ended February 28, 2021 and February 29, 2020, and the Company’s cash flows for the six months ended February 28, 2021 and February 29, 2020, in conformity with accounting principles generally accepted in the United States of America (U.S. GAAP).</w:t>
      </w:r>
    </w:p>
    <w:p>
      <w:pPr>
        <w:spacing w:after="0" w:line="192" w:lineRule="exact"/>
        <w:rPr>
          <w:sz w:val="20"/>
          <w:szCs w:val="20"/>
          <w:color w:val="auto"/>
        </w:rPr>
      </w:pPr>
    </w:p>
    <w:p>
      <w:pPr>
        <w:ind w:right="660"/>
        <w:spacing w:after="0" w:line="311" w:lineRule="auto"/>
        <w:rPr>
          <w:sz w:val="20"/>
          <w:szCs w:val="20"/>
          <w:color w:val="auto"/>
        </w:rPr>
      </w:pPr>
      <w:r>
        <w:rPr>
          <w:rFonts w:ascii="Arial" w:cs="Arial" w:eastAsia="Arial" w:hAnsi="Arial"/>
          <w:sz w:val="16"/>
          <w:szCs w:val="16"/>
          <w:color w:val="auto"/>
        </w:rPr>
        <w:t>These consolidated financial statements should be read in conjunction with the consolidated financial statements and related notes contained in the Company’s annual report on Form 10-K for the fiscal year ended August 31, 2020. These consolidated financial statements also should be read in conjunction with the “</w:t>
      </w:r>
      <w:r>
        <w:rPr>
          <w:rFonts w:ascii="Arial" w:cs="Arial" w:eastAsia="Arial" w:hAnsi="Arial"/>
          <w:sz w:val="16"/>
          <w:szCs w:val="16"/>
          <w:i w:val="1"/>
          <w:iCs w:val="1"/>
          <w:color w:val="auto"/>
        </w:rPr>
        <w:t>Management</w:t>
      </w:r>
      <w:r>
        <w:rPr>
          <w:rFonts w:ascii="Arial" w:cs="Arial" w:eastAsia="Arial" w:hAnsi="Arial"/>
          <w:sz w:val="16"/>
          <w:szCs w:val="16"/>
          <w:color w:val="auto"/>
        </w:rPr>
        <w:t>’</w:t>
      </w:r>
      <w:r>
        <w:rPr>
          <w:rFonts w:ascii="Arial" w:cs="Arial" w:eastAsia="Arial" w:hAnsi="Arial"/>
          <w:sz w:val="16"/>
          <w:szCs w:val="16"/>
          <w:i w:val="1"/>
          <w:iCs w:val="1"/>
          <w:color w:val="auto"/>
        </w:rPr>
        <w:t>s Discussion and Analysis of Financial Condition and Results of Operations</w:t>
      </w:r>
      <w:r>
        <w:rPr>
          <w:rFonts w:ascii="Arial" w:cs="Arial" w:eastAsia="Arial" w:hAnsi="Arial"/>
          <w:sz w:val="16"/>
          <w:szCs w:val="16"/>
          <w:color w:val="auto"/>
        </w:rPr>
        <w:t>” section appearing in this report.</w:t>
      </w:r>
    </w:p>
    <w:p>
      <w:pPr>
        <w:spacing w:after="0" w:line="1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results for the three and six months ended February 28, 2021 are not necessarily indicative of the results that may be expected for the full fiscal year ending August 31, 2021.</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Pandemic</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March 2020, the World Health Organization declared the novel coronavirus (COVID-19) outbreak a global pandemic. As a result of the COVID-19 pandemic and related government mandated restrictions on the Company’s business as well as the businesses of its joint ventures, customers and suppliers, disruption to the Company’s business and the manufacture and sale of its products and services has occurred in the first six months of fiscal 2021 and is expected to continue during the remainder of fiscal 2021 and possibly beyond.</w:t>
      </w: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June 2016, the Financial Accounting Standards Board (FASB) issued Accounting Standards Update (ASU) No. 2016-13, Measurement of Credit Losses on Financial Instruments, which revises guidance for the accounting for credit losses on financial instruments within its scope, and in November 2018, issued ASU No. 2018-19 and in April 2019, issued ASU No. 2019-04 and in May 2019, issued ASU No. 2019-05, and in November 2019, issued ASU No. 2019-11, which amended the standard. The new standard introduces an approach, based on expected losses, to estimate credit losses on certain types of financial instruments and modifies the impairment model for available-for-sale debt securities.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leases and off-balance-sheet credit exposures. This ASU is effective for fiscal years beginning after December 15, 2022, including interim periods within those fiscal years, with early adoption permitted. Entities are required to apply the standard’s provisions as a cumulative-effect adjustment to retained earnings as of the beginning of the first reporting period in which the guidance is adopted. The Company is still evaluating the impact of this ASU.</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 w:name="page10"/>
    <w:bookmarkEnd w:id="9"/>
    <w:p>
      <w:pPr>
        <w:ind w:right="140"/>
        <w:spacing w:after="0" w:line="263"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3"/>
              </w:rPr>
              <w:t>February 28, 2021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August 31, 2020</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3,896,245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3,866,791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7,314,339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7,095,005</w:t>
            </w:r>
          </w:p>
        </w:tc>
      </w:tr>
      <w:tr>
        <w:trPr>
          <w:trHeight w:val="249"/>
        </w:trPr>
        <w:tc>
          <w:tcPr>
            <w:tcW w:w="8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11,210,584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10,961,796</w:t>
            </w: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4.</w:t>
            </w:r>
          </w:p>
        </w:tc>
        <w:tc>
          <w:tcPr>
            <w:tcW w:w="7860" w:type="dxa"/>
            <w:vAlign w:val="bottom"/>
            <w:gridSpan w:val="2"/>
          </w:tcPr>
          <w:p>
            <w:pPr>
              <w:jc w:val="right"/>
              <w:ind w:right="4610"/>
              <w:spacing w:after="0"/>
              <w:rPr>
                <w:sz w:val="20"/>
                <w:szCs w:val="20"/>
                <w:color w:val="auto"/>
              </w:rPr>
            </w:pPr>
            <w:r>
              <w:rPr>
                <w:rFonts w:ascii="Arial" w:cs="Arial" w:eastAsia="Arial" w:hAnsi="Arial"/>
                <w:sz w:val="18"/>
                <w:szCs w:val="18"/>
                <w:b w:val="1"/>
                <w:bCs w:val="1"/>
                <w:color w:val="auto"/>
              </w:rPr>
              <w:t>PROPERTY AND EQUIPMENT, NET</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8380" w:type="dxa"/>
            <w:vAlign w:val="bottom"/>
            <w:gridSpan w:val="3"/>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3"/>
              </w:rPr>
              <w:t>February 28, 2021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August 31, 2020</w:t>
            </w:r>
          </w:p>
        </w:tc>
      </w:tr>
      <w:tr>
        <w:trPr>
          <w:trHeight w:val="210"/>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78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r>
      <w:tr>
        <w:trPr>
          <w:trHeight w:val="216"/>
        </w:trPr>
        <w:tc>
          <w:tcPr>
            <w:tcW w:w="838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8,335,825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8,167,783</w:t>
            </w:r>
          </w:p>
        </w:tc>
      </w:tr>
      <w:tr>
        <w:trPr>
          <w:trHeight w:val="216"/>
        </w:trPr>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5,166,444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4,940,912</w:t>
            </w:r>
          </w:p>
        </w:tc>
      </w:tr>
      <w:tr>
        <w:trPr>
          <w:trHeight w:val="209"/>
        </w:trPr>
        <w:tc>
          <w:tcPr>
            <w:tcW w:w="520" w:type="dxa"/>
            <w:vAlign w:val="bottom"/>
            <w:tcBorders>
              <w:top w:val="single" w:sz="8" w:color="CCEEFF"/>
            </w:tcBorders>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13,812,634</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13,419,060</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(6,667,725)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(6,308,271)</w:t>
            </w:r>
          </w:p>
        </w:tc>
      </w:tr>
      <w:tr>
        <w:trPr>
          <w:trHeight w:val="210"/>
        </w:trPr>
        <w:tc>
          <w:tcPr>
            <w:tcW w:w="520" w:type="dxa"/>
            <w:vAlign w:val="bottom"/>
          </w:tcPr>
          <w:p>
            <w:pPr>
              <w:spacing w:after="0"/>
              <w:rPr>
                <w:sz w:val="18"/>
                <w:szCs w:val="18"/>
                <w:color w:val="auto"/>
              </w:rPr>
            </w:pPr>
          </w:p>
        </w:tc>
        <w:tc>
          <w:tcPr>
            <w:tcW w:w="78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7,144,909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7,110,789</w:t>
            </w:r>
          </w:p>
        </w:tc>
      </w:tr>
      <w:tr>
        <w:trPr>
          <w:trHeight w:val="20"/>
        </w:trPr>
        <w:tc>
          <w:tcPr>
            <w:tcW w:w="5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5.</w:t>
            </w:r>
          </w:p>
        </w:tc>
        <w:tc>
          <w:tcPr>
            <w:tcW w:w="7600" w:type="dxa"/>
            <w:vAlign w:val="bottom"/>
          </w:tcPr>
          <w:p>
            <w:pPr>
              <w:ind w:left="260"/>
              <w:spacing w:after="0"/>
              <w:rPr>
                <w:sz w:val="20"/>
                <w:szCs w:val="20"/>
                <w:color w:val="auto"/>
              </w:rPr>
            </w:pPr>
            <w:r>
              <w:rPr>
                <w:rFonts w:ascii="Arial" w:cs="Arial" w:eastAsia="Arial" w:hAnsi="Arial"/>
                <w:sz w:val="18"/>
                <w:szCs w:val="18"/>
                <w:b w:val="1"/>
                <w:bCs w:val="1"/>
                <w:color w:val="auto"/>
              </w:rPr>
              <w:t>PATENTS AND TRADEMARKS, NET</w:t>
            </w: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3"/>
              </w:rPr>
              <w:t>February 28, 2021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August 31, 2020</w:t>
            </w: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2,983,072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2,907,852</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(2,206,667)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(2,105,846)</w:t>
            </w: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776,405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802,006</w:t>
            </w:r>
          </w:p>
        </w:tc>
      </w:tr>
    </w:tbl>
    <w:p>
      <w:pPr>
        <w:spacing w:after="0" w:line="20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be $200,000 in each of the next four fiscal years.</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Technologien und Produkte GmbH (EXCOR), and all the Company’s other joint ventures are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1"/>
              </w:rPr>
              <w:t>As of February 28, 2021</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10"/>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EXCOR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All Other</w:t>
            </w: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61,766,682</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27,772,018</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33,994,664</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65,973,432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30,256,723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35,716,709</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15,175,228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3,268,087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11,907,141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332,479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332,479</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50,465,725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26,988,636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23,477,089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w w:val="95"/>
              </w:rPr>
              <w:t>Northern Technologies International Corporation’s share of joint ventures’ equity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24,860,148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13,494,320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11,365,828</w:t>
            </w: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 ventures’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earnings</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22,625,070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13,463,415</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9,161,655</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890"/>
              <w:spacing w:after="0"/>
              <w:rPr>
                <w:sz w:val="20"/>
                <w:szCs w:val="20"/>
                <w:color w:val="auto"/>
              </w:rPr>
            </w:pPr>
            <w:r>
              <w:rPr>
                <w:rFonts w:ascii="Arial" w:cs="Arial" w:eastAsia="Arial" w:hAnsi="Arial"/>
                <w:sz w:val="18"/>
                <w:szCs w:val="18"/>
                <w:b w:val="1"/>
                <w:bCs w:val="1"/>
                <w:color w:val="auto"/>
              </w:rPr>
              <w:t>Three Months Ended February 28, 2021</w:t>
            </w: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All Other</w:t>
            </w: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29,058,402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10,542,097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18,516,306</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13,079,478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6,099,187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6,980,291</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3,838,007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2,262,321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1,575,686</w:t>
            </w: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1,920,012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1,132,578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787,434</w:t>
            </w:r>
          </w:p>
        </w:tc>
      </w:tr>
      <w:tr>
        <w:trPr>
          <w:trHeight w:val="202"/>
        </w:trPr>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2,198,142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1,809,900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388,242</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990"/>
              <w:spacing w:after="0"/>
              <w:rPr>
                <w:sz w:val="20"/>
                <w:szCs w:val="20"/>
                <w:color w:val="auto"/>
              </w:rPr>
            </w:pPr>
            <w:r>
              <w:rPr>
                <w:rFonts w:ascii="Arial" w:cs="Arial" w:eastAsia="Arial" w:hAnsi="Arial"/>
                <w:sz w:val="18"/>
                <w:szCs w:val="18"/>
                <w:b w:val="1"/>
                <w:bCs w:val="1"/>
                <w:color w:val="auto"/>
              </w:rPr>
              <w:t>Six Months Ended February 28, 2021</w:t>
            </w: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55,835,745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20,093,580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35,742,165</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25,521,239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11,798,194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13,723,045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7,489,431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4,283,395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3,206,036</w:t>
            </w: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3,745,724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2,143,115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1,602,609</w:t>
            </w:r>
          </w:p>
        </w:tc>
      </w:tr>
      <w:tr>
        <w:trPr>
          <w:trHeight w:val="202"/>
        </w:trPr>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3,323,503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1,809,900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1,513,603</w:t>
            </w:r>
          </w:p>
        </w:tc>
      </w:tr>
      <w:tr>
        <w:trPr>
          <w:trHeight w:val="432"/>
        </w:trPr>
        <w:tc>
          <w:tcPr>
            <w:tcW w:w="6120" w:type="dxa"/>
            <w:vAlign w:val="bottom"/>
          </w:tcPr>
          <w:p>
            <w:pPr>
              <w:ind w:left="55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6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As of August 31, 2020</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09"/>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All Other</w:t>
            </w: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55,825,418</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25,742,619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30,082,799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60,295,587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28,449,772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31,845,815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11,002,867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2,424,565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8,578,302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365,274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365,274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48,927,446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26,025,207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22,902,239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w w:val="95"/>
              </w:rPr>
              <w:t>Northern Technologies International Corporation’s share of joint ventures’ equity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24,090,826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13,012,606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11,078,220</w:t>
            </w: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 ventures’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earnings</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21,855,747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12,981,701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8,874,046</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890"/>
              <w:spacing w:after="0"/>
              <w:rPr>
                <w:sz w:val="20"/>
                <w:szCs w:val="20"/>
                <w:color w:val="auto"/>
              </w:rPr>
            </w:pPr>
            <w:r>
              <w:rPr>
                <w:rFonts w:ascii="Arial" w:cs="Arial" w:eastAsia="Arial" w:hAnsi="Arial"/>
                <w:sz w:val="18"/>
                <w:szCs w:val="18"/>
                <w:b w:val="1"/>
                <w:bCs w:val="1"/>
                <w:color w:val="auto"/>
              </w:rPr>
              <w:t>Three Months Ended February 29, 2020</w:t>
            </w: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24,289,370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8,980,176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15,309,194</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11,102,573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5,262,082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5,840,491</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2,721,542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1,778,027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943,516</w:t>
            </w: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1,360,804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889,226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471,578</w:t>
            </w:r>
          </w:p>
        </w:tc>
      </w:tr>
      <w:tr>
        <w:trPr>
          <w:trHeight w:val="202"/>
        </w:trPr>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5,353,552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4,675,850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677,702</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990"/>
              <w:spacing w:after="0"/>
              <w:rPr>
                <w:sz w:val="20"/>
                <w:szCs w:val="20"/>
                <w:color w:val="auto"/>
              </w:rPr>
            </w:pPr>
            <w:r>
              <w:rPr>
                <w:rFonts w:ascii="Arial" w:cs="Arial" w:eastAsia="Arial" w:hAnsi="Arial"/>
                <w:sz w:val="18"/>
                <w:szCs w:val="18"/>
                <w:b w:val="1"/>
                <w:bCs w:val="1"/>
                <w:color w:val="auto"/>
              </w:rPr>
              <w:t>Six Months Ended February 29, 2020</w:t>
            </w:r>
          </w:p>
        </w:tc>
      </w:tr>
      <w:tr>
        <w:trPr>
          <w:trHeight w:val="210"/>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All Other</w:t>
            </w: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49,749,664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18,348,415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31,401,249</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22,459,707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10,587,570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11,872,137</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5,309,523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3,420,354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1,889,169</w:t>
            </w: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2,654,794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1,710,390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944,404</w:t>
            </w:r>
          </w:p>
        </w:tc>
      </w:tr>
      <w:tr>
        <w:trPr>
          <w:trHeight w:val="202"/>
        </w:trPr>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5,558,926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4,675,850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883,133</w:t>
            </w:r>
          </w:p>
        </w:tc>
      </w:tr>
    </w:tbl>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Company has a revolving line of credit with PNC Bank, National Association (PNC Bank) of $3,000,000. No amounts were outstanding under the line of credit as of February 28, 2021 or the prior line of credit as of August 31, 2020. Outstanding advances under the line of credit bear interest at (i) (A) a per annum rate equal to the “London Interbank Offered Rate” for a one month period determined and applied each business day until the next business date, or if greater (B) 0.75%, plus (ii) 3.25%. The maturity date of the line of credit was extended to January 7, 2022.</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of February 28, 2021 and August 31, 2020, the Company did not have any letters of credit outstanding with respect to the letter of credit sub-facility available under the revolving line of credit with PNC Bank. As of February 28, 2021 and August 31, 2020, the Company had $104,363 of letters of credit with JP Morgan Chase Bank that are performance based and set to expire in 2021 and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 w:name="page13"/>
    <w:bookmarkEnd w:id="12"/>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On April 23, 2020, the Company announced the temporary suspension of its quarterly cash dividend pending clarity on the financial impact of COVID-19 on the Company. On January 15, 2021, the Company announced the reinstatement of its quarterly cash dividend and the Board of Directors declared a cash dividend of $0.065 per share of the Company’s common stock, payable on February 17, 2021 to shareholders of record at the close of business on February 3, 2021.</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six months ended February 29, 2020, the Company’s Board of Directors declared cash dividends on the following dates in the following amounts to the following holders of the Company’s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Declaration Date</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09"/>
        </w:trPr>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22, 2019</w:t>
            </w:r>
          </w:p>
        </w:tc>
        <w:tc>
          <w:tcPr>
            <w:tcW w:w="2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$0.065</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6, 2019</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20, 2019</w:t>
            </w:r>
          </w:p>
        </w:tc>
      </w:tr>
      <w:tr>
        <w:trPr>
          <w:trHeight w:val="230"/>
        </w:trPr>
        <w:tc>
          <w:tcPr>
            <w:tcW w:w="2820" w:type="dxa"/>
            <w:vAlign w:val="bottom"/>
          </w:tcPr>
          <w:p>
            <w:pPr>
              <w:jc w:val="center"/>
              <w:spacing w:after="0"/>
              <w:rPr>
                <w:sz w:val="20"/>
                <w:szCs w:val="20"/>
                <w:color w:val="auto"/>
              </w:rPr>
            </w:pPr>
            <w:r>
              <w:rPr>
                <w:rFonts w:ascii="Arial" w:cs="Arial" w:eastAsia="Arial" w:hAnsi="Arial"/>
                <w:sz w:val="18"/>
                <w:szCs w:val="18"/>
                <w:color w:val="auto"/>
                <w:w w:val="89"/>
              </w:rPr>
              <w:t>January 22, 2020</w:t>
            </w:r>
          </w:p>
        </w:tc>
        <w:tc>
          <w:tcPr>
            <w:tcW w:w="284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$0.065</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February 5, 2020</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February 19, 2020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February 28, 2021 and February 29, 2020, the Company repurchased no shares of its common stock.</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six months ended February 28, 2021, the Company granted stock options under the Northern Technologies International Corporation 2019 Stock Incentive Plan (as amended, the 2019 Plan) to purchase an aggregate of 419,874 shares of its common stock to various employees and directors. The weighted average per share exercise price of the stock options is $8.24. The exercise price of the stock options is equal to the fair market value of the Company’s common stock on the date of grant. During the six months ended February 28, 2021, no stock options to purchase common stock were exercised.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February 29, 2020, the Company granted stock options under the 2019 Plan to purchase an aggregate of 300,770 shares of its common stock to various employees and directors. The weighted average per share exercise price of the stock options is $10.87, which was equal to the fair market value of the Company’s common stock on the date of grant. During the six months ended February 29, 2020, no stock options to purchase common stock were exercised.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issued 4,646 and 3,597 shares of common stock on September 1, 2020 and 2019, respectively, under the Northern Technologies International Corporation Employee Stock Purchase Plan.</w:t>
      </w:r>
    </w:p>
    <w:p>
      <w:pPr>
        <w:spacing w:after="0" w:line="200" w:lineRule="exact"/>
        <w:rPr>
          <w:sz w:val="20"/>
          <w:szCs w:val="20"/>
          <w:color w:val="auto"/>
        </w:rPr>
      </w:pPr>
    </w:p>
    <w:p>
      <w:pPr>
        <w:spacing w:after="0" w:line="20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net income per share computation for the three and six months ended February 28, 2021 and February 29,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gridSpan w:val="2"/>
          </w:tcPr>
          <w:p>
            <w:pPr>
              <w:jc w:val="right"/>
              <w:ind w:right="11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20" w:type="dxa"/>
            <w:vAlign w:val="bottom"/>
          </w:tcPr>
          <w:p>
            <w:pPr>
              <w:spacing w:after="0"/>
              <w:rPr>
                <w:sz w:val="16"/>
                <w:szCs w:val="16"/>
                <w:color w:val="auto"/>
              </w:rPr>
            </w:pPr>
          </w:p>
        </w:tc>
        <w:tc>
          <w:tcPr>
            <w:tcW w:w="1240" w:type="dxa"/>
            <w:vAlign w:val="bottom"/>
            <w:gridSpan w:val="2"/>
          </w:tcPr>
          <w:p>
            <w:pPr>
              <w:jc w:val="right"/>
              <w:ind w:right="90"/>
              <w:spacing w:after="0" w:line="191" w:lineRule="exact"/>
              <w:rPr>
                <w:sz w:val="20"/>
                <w:szCs w:val="20"/>
                <w:color w:val="auto"/>
              </w:rPr>
            </w:pPr>
            <w:r>
              <w:rPr>
                <w:rFonts w:ascii="Arial" w:cs="Arial" w:eastAsia="Arial" w:hAnsi="Arial"/>
                <w:sz w:val="18"/>
                <w:szCs w:val="18"/>
                <w:b w:val="1"/>
                <w:bCs w:val="1"/>
                <w:color w:val="auto"/>
                <w:w w:val="97"/>
              </w:rPr>
              <w:t>February 29,</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February 29,</w:t>
            </w:r>
          </w:p>
        </w:tc>
      </w:t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1,312,575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179,834</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2,574,974</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1,392,384</w:t>
            </w:r>
          </w:p>
        </w:tc>
      </w:tr>
      <w:tr>
        <w:trPr>
          <w:trHeight w:val="216"/>
        </w:trPr>
        <w:tc>
          <w:tcPr>
            <w:tcW w:w="482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Basic – weighted shares outstanding</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9,104,636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9,097,236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9,104,623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9,095,604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1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763,282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364,491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651,645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288,263</w:t>
            </w: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Diluted – weighted shares outstanding</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9,867,918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9,461,727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9,756,268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9,383,867</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0.14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0.28</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0.15</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0.26</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r>
      <w:tr>
        <w:trPr>
          <w:trHeight w:val="432"/>
        </w:trPr>
        <w:tc>
          <w:tcPr>
            <w:tcW w:w="4820" w:type="dxa"/>
            <w:vAlign w:val="bottom"/>
          </w:tcPr>
          <w:p>
            <w:pPr>
              <w:spacing w:after="0"/>
              <w:rPr>
                <w:sz w:val="24"/>
                <w:szCs w:val="24"/>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48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13" w:name="page14"/>
    <w:bookmarkEnd w:id="13"/>
    <w:p>
      <w:pPr>
        <w:ind w:right="80"/>
        <w:spacing w:after="0" w:line="293" w:lineRule="auto"/>
        <w:rPr>
          <w:sz w:val="20"/>
          <w:szCs w:val="20"/>
          <w:color w:val="auto"/>
        </w:rPr>
      </w:pPr>
      <w:r>
        <w:rPr>
          <w:rFonts w:ascii="Arial" w:cs="Arial" w:eastAsia="Arial" w:hAnsi="Arial"/>
          <w:sz w:val="16"/>
          <w:szCs w:val="16"/>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basic net income per share. When dilutive, stock options are included as equivalents using the treasury stock market method when computing the diluted net income per share. Excluded from the computation of diluted net income per share for the three and six months ended February 28, 2021 were options outstanding to purchase 136,221 shares of common stock. Excluded from the computation of diluted net income per share for the three and six months ended February 29, 2020, were options outstanding to purchase 141,768 shares of common stock.</w:t>
      </w:r>
    </w:p>
    <w:p>
      <w:pPr>
        <w:spacing w:after="0" w:line="200" w:lineRule="exact"/>
        <w:rPr>
          <w:sz w:val="20"/>
          <w:szCs w:val="20"/>
          <w:color w:val="auto"/>
        </w:rPr>
      </w:pPr>
    </w:p>
    <w:p>
      <w:pPr>
        <w:spacing w:after="0" w:line="20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 has three stock-based compensation plans under which stock options or other stock-based awards have been granted: the Northern Technologies International Corporation Amended and Restated 2019 Stock Incentive Plan, the Northern Technologies International Corporation Amended and Restated 2007 Stock Incentive Plan (the 2007 Plan) and the Northern Technologies International Corporation Employee Stock Purchase Plan (the ESPP). The 2019 Plan replaced the 2007 Plan with respect to future grants; and, therefore, no further awards may be made under the 2007 Plan. The Compensation Committee of the Board of Directors and the Board of Directors administer these plans.</w:t>
      </w:r>
    </w:p>
    <w:p>
      <w:pPr>
        <w:spacing w:after="0" w:line="1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2019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On January 15, 2021, the Company’s stockholders approved certain amendments to the 2019 Plan, including an increase in the number of shares of common stock available for issuance under the plan by an additional 800,000 shares. Subject to adjustment as provided in the 2019 Plan, up to a maximum of 1,600,000 shares of the Company’s common stock are issuable under the 2019 Plan.</w:t>
      </w:r>
    </w:p>
    <w:p>
      <w:pPr>
        <w:spacing w:after="0" w:line="17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Options granted generally have a term of ten years and become exercisable over a one- or three- year period beginning on the one-year anniversary of the date of grant. Options are granted at per share exercise prices equal to the market value of the Company’s common stock on the date of grant. The Company issues new shares upon the exercise of options. As of February 28, 2021, options to purchase an aggregate of 720,644 shares of the Company’s common stock were outstanding under the 2019 Plan and 879,356 shares of the Company’s common stock remain available for grant under the 2019 Plan.</w:t>
      </w:r>
    </w:p>
    <w:p>
      <w:pPr>
        <w:spacing w:after="0" w:line="15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maximum number of shares of common stock of the Company available for issuance under the ESPP is 200,000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 As of February 28, 2021, 80,047 shares of common stock remained available for sale under the ESPP.</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The Company granted options to purchase an aggregate of 419,874 and 300,770 shares of its common stock during the six months ended February 28, 2021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February 29, 2020, respectively. The fair value of option grants is determined at the date of grant using the Black-Scholes option pricing model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listed below. The Company recognized compensation expense of $342,504 and $658,470 during the six months ended February 28, 2021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February 29, 2020, respectively, related to the options that vested during such time period. As of February 28, 2021, the total compensation cost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non-vested options not yet recognized in the Company’s consolidated statements of operations was $988,337. Stock-based compensation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$321,670 is expected through the remainder of fiscal year 2021 and $333,333 is expected to be recognized during fiscal 2022 and fiscal 2023,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outstanding options as of February 28, 2021. Future option grants will impact the compensation expense recognized. Stock-based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is included in general and administrative expense on the consolidated statements of operations.</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 pricing model with the following assumptions and results for the grants:</w:t>
      </w:r>
    </w:p>
    <w:p>
      <w:pPr>
        <w:spacing w:after="0" w:line="166" w:lineRule="exact"/>
        <w:rPr>
          <w:sz w:val="20"/>
          <w:szCs w:val="20"/>
          <w:color w:val="auto"/>
        </w:rPr>
      </w:pPr>
    </w:p>
    <w:tbl>
      <w:tblPr>
        <w:tblLayout w:type="fixed"/>
        <w:tblInd w:w="15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98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rPr>
              <w:t>Three and Six Months Ended</w:t>
            </w:r>
          </w:p>
        </w:tc>
      </w:tr>
      <w:tr>
        <w:trPr>
          <w:trHeight w:val="209"/>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February 28, 2021</w:t>
            </w:r>
          </w:p>
        </w:tc>
        <w:tc>
          <w:tcPr>
            <w:tcW w:w="320" w:type="dxa"/>
            <w:vAlign w:val="bottom"/>
          </w:tcPr>
          <w:p>
            <w:pPr>
              <w:spacing w:after="0"/>
              <w:rPr>
                <w:sz w:val="18"/>
                <w:szCs w:val="18"/>
                <w:color w:val="auto"/>
              </w:rPr>
            </w:pPr>
          </w:p>
        </w:tc>
        <w:tc>
          <w:tcPr>
            <w:tcW w:w="18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February 29, 2020</w:t>
            </w: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2.37%</w:t>
            </w:r>
          </w:p>
        </w:tc>
        <w:tc>
          <w:tcPr>
            <w:tcW w:w="21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2.15%</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Expected volatility</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45.6%</w:t>
            </w:r>
          </w:p>
        </w:tc>
        <w:tc>
          <w:tcPr>
            <w:tcW w:w="214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45.2%</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1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10</w:t>
            </w: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0.28%</w:t>
            </w:r>
          </w:p>
        </w:tc>
        <w:tc>
          <w:tcPr>
            <w:tcW w:w="214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1.57%</w:t>
            </w:r>
          </w:p>
        </w:tc>
      </w:tr>
    </w:tbl>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weighted average per share fair value of options granted during the six months ended February 28, 2021 and February 29, 2020 was $3.12 and $4.30, respectively. The weighted average remaining contractual life of the options outstanding as of February 28, 2021 and February 29, 2020 was 6.65 years and 6.53 years, respectively.</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chief operating decision maker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compostable (fully biodegradable) polymer resins and finished products under the Natur-Tec® brand.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Company’s net sales for the three and six months ended February 28, 2021 and February 29, 2020 by segment: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60" w:type="dxa"/>
            <w:vAlign w:val="bottom"/>
            <w:gridSpan w:val="2"/>
          </w:tcPr>
          <w:p>
            <w:pPr>
              <w:jc w:val="right"/>
              <w:ind w:right="11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20" w:type="dxa"/>
            <w:vAlign w:val="bottom"/>
          </w:tcPr>
          <w:p>
            <w:pPr>
              <w:spacing w:after="0"/>
              <w:rPr>
                <w:sz w:val="16"/>
                <w:szCs w:val="16"/>
                <w:color w:val="auto"/>
              </w:rPr>
            </w:pPr>
          </w:p>
        </w:tc>
        <w:tc>
          <w:tcPr>
            <w:tcW w:w="1240" w:type="dxa"/>
            <w:vAlign w:val="bottom"/>
            <w:gridSpan w:val="2"/>
          </w:tcPr>
          <w:p>
            <w:pPr>
              <w:jc w:val="right"/>
              <w:ind w:right="90"/>
              <w:spacing w:after="0" w:line="191" w:lineRule="exact"/>
              <w:rPr>
                <w:sz w:val="20"/>
                <w:szCs w:val="20"/>
                <w:color w:val="auto"/>
              </w:rPr>
            </w:pPr>
            <w:r>
              <w:rPr>
                <w:rFonts w:ascii="Arial" w:cs="Arial" w:eastAsia="Arial" w:hAnsi="Arial"/>
                <w:sz w:val="18"/>
                <w:szCs w:val="18"/>
                <w:b w:val="1"/>
                <w:bCs w:val="1"/>
                <w:color w:val="auto"/>
                <w:w w:val="97"/>
              </w:rPr>
              <w:t>February 29,</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February 29,</w:t>
            </w:r>
          </w:p>
        </w:tc>
      </w:tr>
      <w:tr>
        <w:trPr>
          <w:trHeight w:val="234"/>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ZERUST® net sales</w:t>
            </w:r>
          </w:p>
        </w:tc>
        <w:tc>
          <w:tcPr>
            <w:tcW w:w="2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10,284,116</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9,016,222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20,504,667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18,965,734</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Natur-Tec® net sales</w:t>
            </w:r>
          </w:p>
        </w:tc>
        <w:tc>
          <w:tcPr>
            <w:tcW w:w="2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2,498,766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4,217,561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5,057,327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8,899,449</w:t>
            </w:r>
          </w:p>
        </w:tc>
      </w:tr>
      <w:tr>
        <w:trPr>
          <w:trHeight w:val="21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sales</w:t>
            </w:r>
          </w:p>
        </w:tc>
        <w:tc>
          <w:tcPr>
            <w:tcW w:w="2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12,782,882</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13,233,783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25,561,994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27,865,183</w:t>
            </w:r>
          </w:p>
        </w:tc>
      </w:tr>
      <w:tr>
        <w:trPr>
          <w:trHeight w:val="432"/>
        </w:trPr>
        <w:tc>
          <w:tcPr>
            <w:tcW w:w="3540" w:type="dxa"/>
            <w:vAlign w:val="bottom"/>
          </w:tcPr>
          <w:p>
            <w:pPr>
              <w:spacing w:after="0"/>
              <w:rPr>
                <w:sz w:val="24"/>
                <w:szCs w:val="24"/>
                <w:color w:val="auto"/>
              </w:rPr>
            </w:pPr>
          </w:p>
        </w:tc>
        <w:tc>
          <w:tcPr>
            <w:tcW w:w="244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354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The following table sets forth the Company’s cost of goods sold for the three and six months ended February 28, 2021 and February 29, 2020 by segment: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91"/>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 of</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February</w:t>
            </w:r>
          </w:p>
        </w:tc>
        <w:tc>
          <w:tcPr>
            <w:tcW w:w="10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18"/>
                <w:szCs w:val="18"/>
                <w:color w:val="auto"/>
              </w:rPr>
            </w:pPr>
          </w:p>
        </w:tc>
        <w:tc>
          <w:tcPr>
            <w:tcW w:w="10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February</w:t>
            </w: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February</w:t>
            </w:r>
          </w:p>
        </w:tc>
        <w:tc>
          <w:tcPr>
            <w:tcW w:w="12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February</w:t>
            </w:r>
          </w:p>
        </w:tc>
        <w:tc>
          <w:tcPr>
            <w:tcW w:w="10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Segment</w:t>
            </w:r>
          </w:p>
        </w:tc>
      </w:tr>
      <w:tr>
        <w:trPr>
          <w:trHeight w:val="234"/>
        </w:trPr>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28, 2021</w:t>
            </w:r>
          </w:p>
        </w:tc>
        <w:tc>
          <w:tcPr>
            <w:tcW w:w="10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Sales*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29, 2020</w:t>
            </w:r>
          </w:p>
        </w:tc>
        <w:tc>
          <w:tcPr>
            <w:tcW w:w="12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Sales*</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28, 2021</w:t>
            </w:r>
          </w:p>
        </w:tc>
        <w:tc>
          <w:tcPr>
            <w:tcW w:w="12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Sales*</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29, 2020</w:t>
            </w:r>
          </w:p>
        </w:tc>
        <w:tc>
          <w:tcPr>
            <w:tcW w:w="10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Sales*</w:t>
            </w:r>
          </w:p>
        </w:tc>
      </w:tr>
      <w:tr>
        <w:trPr>
          <w:trHeight w:val="209"/>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Direct cost of goods sold</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6"/>
        </w:trPr>
        <w:tc>
          <w:tcPr>
            <w:tcW w:w="2120" w:type="dxa"/>
            <w:vAlign w:val="bottom"/>
          </w:tcPr>
          <w:p>
            <w:pPr>
              <w:ind w:left="180"/>
              <w:spacing w:after="0"/>
              <w:rPr>
                <w:sz w:val="20"/>
                <w:szCs w:val="20"/>
                <w:color w:val="auto"/>
              </w:rPr>
            </w:pPr>
            <w:r>
              <w:rPr>
                <w:rFonts w:ascii="Arial" w:cs="Arial" w:eastAsia="Arial" w:hAnsi="Arial"/>
                <w:sz w:val="18"/>
                <w:szCs w:val="18"/>
                <w:color w:val="auto"/>
              </w:rPr>
              <w:t>ZERUST®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6,065,963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4,638,514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51.4%</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$ 11,837,052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$10,081,686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Natur-Tec®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1,684,180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3,276,058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3,451,810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6,890,477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Indirect cost of goods sold</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781,536</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772,729</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1,556,138</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1,420,040</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09"/>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w w:val="95"/>
              </w:rPr>
              <w:t>Total net cost of goods sold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8,531,679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8,687,301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$16,845,000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$18,492,385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8"/>
        </w:trPr>
        <w:tc>
          <w:tcPr>
            <w:tcW w:w="2120" w:type="dxa"/>
            <w:vAlign w:val="bottom"/>
          </w:tcPr>
          <w:p>
            <w:pPr>
              <w:spacing w:after="0"/>
              <w:rPr>
                <w:sz w:val="20"/>
                <w:szCs w:val="20"/>
                <w:color w:val="auto"/>
              </w:rPr>
            </w:pPr>
            <w:r>
              <w:rPr>
                <w:rFonts w:ascii="Arial" w:cs="Arial" w:eastAsia="Arial" w:hAnsi="Arial"/>
                <w:sz w:val="18"/>
                <w:szCs w:val="18"/>
                <w:color w:val="auto"/>
                <w:w w:val="95"/>
              </w:rPr>
              <w:t>______________________</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ind w:left="660" w:right="120" w:hanging="652"/>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for the three and six months ended February 28, 2021 and February 29, 2020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5980" w:type="dxa"/>
            <w:vAlign w:val="bottom"/>
          </w:tcPr>
          <w:p>
            <w:pPr>
              <w:spacing w:after="0"/>
              <w:rPr>
                <w:sz w:val="16"/>
                <w:szCs w:val="16"/>
                <w:color w:val="auto"/>
              </w:rPr>
            </w:pPr>
          </w:p>
        </w:tc>
        <w:tc>
          <w:tcPr>
            <w:tcW w:w="1260" w:type="dxa"/>
            <w:vAlign w:val="bottom"/>
            <w:gridSpan w:val="2"/>
          </w:tcPr>
          <w:p>
            <w:pPr>
              <w:jc w:val="right"/>
              <w:ind w:right="11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20" w:type="dxa"/>
            <w:vAlign w:val="bottom"/>
          </w:tcPr>
          <w:p>
            <w:pPr>
              <w:spacing w:after="0"/>
              <w:rPr>
                <w:sz w:val="16"/>
                <w:szCs w:val="16"/>
                <w:color w:val="auto"/>
              </w:rPr>
            </w:pPr>
          </w:p>
        </w:tc>
        <w:tc>
          <w:tcPr>
            <w:tcW w:w="124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7"/>
              </w:rPr>
              <w:t>February 29,</w:t>
            </w:r>
          </w:p>
        </w:tc>
        <w:tc>
          <w:tcPr>
            <w:tcW w:w="100" w:type="dxa"/>
            <w:vAlign w:val="bottom"/>
          </w:tcPr>
          <w:p>
            <w:pPr>
              <w:spacing w:after="0"/>
              <w:rPr>
                <w:sz w:val="16"/>
                <w:szCs w:val="16"/>
                <w:color w:val="auto"/>
              </w:rPr>
            </w:pPr>
          </w:p>
        </w:tc>
        <w:tc>
          <w:tcPr>
            <w:tcW w:w="122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00" w:type="dxa"/>
            <w:vAlign w:val="bottom"/>
          </w:tcPr>
          <w:p>
            <w:pPr>
              <w:spacing w:after="0"/>
              <w:rPr>
                <w:sz w:val="16"/>
                <w:szCs w:val="16"/>
                <w:color w:val="auto"/>
              </w:rPr>
            </w:pPr>
          </w:p>
        </w:tc>
        <w:tc>
          <w:tcPr>
            <w:tcW w:w="122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February 29,</w:t>
            </w:r>
          </w:p>
        </w:tc>
      </w:t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4,619,130</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6,359,506</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9,480,485</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12,506,592</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Outside the U.S.A. to:</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Joint ventures in which the Company is a shareholder directly and indirectly</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526,942</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245,630</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1,107,246</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831,246</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Unaffiliated customers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7,636,810</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6,628,647</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14,974,262</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14,527,345</w:t>
            </w:r>
          </w:p>
        </w:tc>
      </w:tr>
      <w:tr>
        <w:trPr>
          <w:trHeight w:val="210"/>
        </w:trPr>
        <w:tc>
          <w:tcPr>
            <w:tcW w:w="6180" w:type="dxa"/>
            <w:vAlign w:val="bottom"/>
            <w:gridSpan w:val="2"/>
            <w:shd w:val="clear" w:color="auto" w:fill="CCEEFF"/>
          </w:tcPr>
          <w:p>
            <w:pPr>
              <w:ind w:left="59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12,782,882</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13,233,783</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25,561,994</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27,865,183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6" w:name="page17"/>
    <w:bookmarkEnd w:id="16"/>
    <w:p>
      <w:pPr>
        <w:ind w:right="12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and six months ended February 28, 2021 and 2020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9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70"/>
              <w:spacing w:after="0" w:line="191" w:lineRule="exact"/>
              <w:rPr>
                <w:sz w:val="20"/>
                <w:szCs w:val="20"/>
                <w:color w:val="auto"/>
              </w:rPr>
            </w:pPr>
            <w:r>
              <w:rPr>
                <w:rFonts w:ascii="Arial" w:cs="Arial" w:eastAsia="Arial" w:hAnsi="Arial"/>
                <w:sz w:val="18"/>
                <w:szCs w:val="18"/>
                <w:b w:val="1"/>
                <w:bCs w:val="1"/>
                <w:color w:val="auto"/>
                <w:w w:val="95"/>
              </w:rPr>
              <w:t>% of Total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5"/>
              </w:rPr>
              <w:t>% of Total</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8"/>
              </w:rPr>
              <w:t>Fees 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Fees for</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86"/>
              </w:rPr>
              <w:t>Services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Services</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0"/>
              </w:rPr>
              <w:t>Provided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Provided to</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3"/>
              </w:rPr>
              <w:t>February 28,</w:t>
            </w:r>
          </w:p>
        </w:tc>
        <w:tc>
          <w:tcPr>
            <w:tcW w:w="1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2"/>
              </w:rPr>
              <w:t>Joint</w:t>
            </w:r>
          </w:p>
        </w:tc>
        <w:tc>
          <w:tcPr>
            <w:tcW w:w="100" w:type="dxa"/>
            <w:vAlign w:val="bottom"/>
          </w:tcPr>
          <w:p>
            <w:pPr>
              <w:spacing w:after="0"/>
              <w:rPr>
                <w:sz w:val="18"/>
                <w:szCs w:val="18"/>
                <w:color w:val="auto"/>
              </w:rPr>
            </w:pPr>
          </w:p>
        </w:tc>
        <w:tc>
          <w:tcPr>
            <w:tcW w:w="1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February 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Joint</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b w:val="1"/>
                <w:bCs w:val="1"/>
                <w:color w:val="auto"/>
                <w:w w:val="88"/>
              </w:rPr>
              <w:t>Ventures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Ventures</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2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231,917</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208,128</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Poland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210,943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170,916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181,493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150,150</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France</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97,638</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85,709</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146,896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98,398</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Thailand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107,377</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90,878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95,484</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80,024</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South Korea</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78,220</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75,289</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71,496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74,001</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Czech Republic</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89,538</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80,200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71,759</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64,279</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79,923</w:t>
            </w: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78,241</w:t>
            </w: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1,462,684</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1,256,213</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9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70"/>
              <w:spacing w:after="0" w:line="191" w:lineRule="exact"/>
              <w:rPr>
                <w:sz w:val="20"/>
                <w:szCs w:val="20"/>
                <w:color w:val="auto"/>
              </w:rPr>
            </w:pPr>
            <w:r>
              <w:rPr>
                <w:rFonts w:ascii="Arial" w:cs="Arial" w:eastAsia="Arial" w:hAnsi="Arial"/>
                <w:sz w:val="18"/>
                <w:szCs w:val="18"/>
                <w:b w:val="1"/>
                <w:bCs w:val="1"/>
                <w:color w:val="auto"/>
                <w:w w:val="95"/>
              </w:rPr>
              <w:t>% of Total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5"/>
              </w:rPr>
              <w:t>% of Total</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8"/>
              </w:rPr>
              <w:t>Fees 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Fees for</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86"/>
              </w:rPr>
              <w:t>Services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Services</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0"/>
              </w:rPr>
              <w:t>Provided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Provided to</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3"/>
              </w:rPr>
              <w:t>February 28,</w:t>
            </w:r>
          </w:p>
        </w:tc>
        <w:tc>
          <w:tcPr>
            <w:tcW w:w="1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2"/>
              </w:rPr>
              <w:t>Joint</w:t>
            </w:r>
          </w:p>
        </w:tc>
        <w:tc>
          <w:tcPr>
            <w:tcW w:w="100" w:type="dxa"/>
            <w:vAlign w:val="bottom"/>
          </w:tcPr>
          <w:p>
            <w:pPr>
              <w:spacing w:after="0"/>
              <w:rPr>
                <w:sz w:val="18"/>
                <w:szCs w:val="18"/>
                <w:color w:val="auto"/>
              </w:rPr>
            </w:pPr>
          </w:p>
        </w:tc>
        <w:tc>
          <w:tcPr>
            <w:tcW w:w="1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February 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Joint</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b w:val="1"/>
                <w:bCs w:val="1"/>
                <w:color w:val="auto"/>
                <w:w w:val="88"/>
              </w:rPr>
              <w:t>Ventures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Ventures</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2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460,744</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420,229</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Poland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400,353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365,894</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361,455</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314,079</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France</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203,545</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179,340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237,385</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207,904</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Thailand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197,309</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193,212</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183,692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162,984</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South Korea</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163,298</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151,321</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147,779</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141,942</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Czech Republic</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158,891</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169,214</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133,674</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149,758</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151,120</w:t>
            </w: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158,661</w:t>
            </w: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2,799,245</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2,614,538</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32"/>
        </w:trPr>
        <w:tc>
          <w:tcPr>
            <w:tcW w:w="7160" w:type="dxa"/>
            <w:vAlign w:val="bottom"/>
            <w:gridSpan w:val="4"/>
          </w:tcPr>
          <w:p>
            <w:pPr>
              <w:spacing w:after="0"/>
              <w:rPr>
                <w:sz w:val="20"/>
                <w:szCs w:val="20"/>
                <w:color w:val="auto"/>
              </w:rPr>
            </w:pPr>
            <w:r>
              <w:rPr>
                <w:rFonts w:ascii="Arial" w:cs="Arial" w:eastAsia="Arial" w:hAnsi="Arial"/>
                <w:sz w:val="18"/>
                <w:szCs w:val="18"/>
                <w:color w:val="auto"/>
              </w:rPr>
              <w:t>The geographical distribution of total property and equipment and net sales is as follows: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gridSpan w:val="3"/>
          </w:tcPr>
          <w:p>
            <w:pPr>
              <w:ind w:left="100"/>
              <w:spacing w:after="0"/>
              <w:rPr>
                <w:sz w:val="20"/>
                <w:szCs w:val="20"/>
                <w:color w:val="auto"/>
              </w:rPr>
            </w:pPr>
            <w:r>
              <w:rPr>
                <w:rFonts w:ascii="Arial" w:cs="Arial" w:eastAsia="Arial" w:hAnsi="Arial"/>
                <w:sz w:val="18"/>
                <w:szCs w:val="18"/>
                <w:b w:val="1"/>
                <w:bCs w:val="1"/>
                <w:color w:val="auto"/>
              </w:rPr>
              <w:t>At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ind w:right="310"/>
              <w:spacing w:after="0"/>
              <w:rPr>
                <w:sz w:val="20"/>
                <w:szCs w:val="20"/>
                <w:color w:val="auto"/>
              </w:rPr>
            </w:pPr>
            <w:r>
              <w:rPr>
                <w:rFonts w:ascii="Arial" w:cs="Arial" w:eastAsia="Arial" w:hAnsi="Arial"/>
                <w:sz w:val="18"/>
                <w:szCs w:val="18"/>
                <w:b w:val="1"/>
                <w:bCs w:val="1"/>
                <w:color w:val="auto"/>
                <w:w w:val="94"/>
              </w:rPr>
              <w:t>At</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3"/>
              </w:rPr>
              <w:t>February 28, 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8"/>
                <w:szCs w:val="18"/>
                <w:b w:val="1"/>
                <w:bCs w:val="1"/>
                <w:color w:val="auto"/>
                <w:w w:val="88"/>
              </w:rPr>
              <w:t>August 31, 2020</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374,648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376,088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428,677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8"/>
                <w:szCs w:val="18"/>
                <w:color w:val="auto"/>
              </w:rPr>
              <w:t>172,833</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6,341,584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6,561,868</w:t>
            </w:r>
          </w:p>
        </w:tc>
        <w:tc>
          <w:tcPr>
            <w:tcW w:w="0" w:type="dxa"/>
            <w:vAlign w:val="bottom"/>
          </w:tcPr>
          <w:p>
            <w:pPr>
              <w:spacing w:after="0"/>
              <w:rPr>
                <w:sz w:val="1"/>
                <w:szCs w:val="1"/>
                <w:color w:val="auto"/>
              </w:rPr>
            </w:pPr>
          </w:p>
        </w:tc>
      </w:tr>
      <w:tr>
        <w:trPr>
          <w:trHeight w:val="209"/>
        </w:trPr>
        <w:tc>
          <w:tcPr>
            <w:tcW w:w="392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7,144,909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7,110,789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77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3"/>
              </w:rPr>
              <w:t>February 28, 2021</w:t>
            </w:r>
          </w:p>
        </w:tc>
        <w:tc>
          <w:tcPr>
            <w:tcW w:w="100" w:type="dxa"/>
            <w:vAlign w:val="bottom"/>
          </w:tcPr>
          <w:p>
            <w:pPr>
              <w:spacing w:after="0"/>
              <w:rPr>
                <w:sz w:val="18"/>
                <w:szCs w:val="18"/>
                <w:color w:val="auto"/>
              </w:rPr>
            </w:pPr>
          </w:p>
        </w:tc>
        <w:tc>
          <w:tcPr>
            <w:tcW w:w="1560" w:type="dxa"/>
            <w:vAlign w:val="bottom"/>
            <w:tcBorders>
              <w:bottom w:val="single" w:sz="8" w:color="auto"/>
            </w:tcBorders>
            <w:gridSpan w:val="4"/>
          </w:tcPr>
          <w:p>
            <w:pPr>
              <w:jc w:val="center"/>
              <w:ind w:right="10"/>
              <w:spacing w:after="0"/>
              <w:rPr>
                <w:sz w:val="20"/>
                <w:szCs w:val="20"/>
                <w:color w:val="auto"/>
              </w:rPr>
            </w:pPr>
            <w:r>
              <w:rPr>
                <w:rFonts w:ascii="Arial" w:cs="Arial" w:eastAsia="Arial" w:hAnsi="Arial"/>
                <w:sz w:val="18"/>
                <w:szCs w:val="18"/>
                <w:b w:val="1"/>
                <w:bCs w:val="1"/>
                <w:color w:val="auto"/>
                <w:w w:val="93"/>
              </w:rPr>
              <w:t>February 29, 2020</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4,443,656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3,024,384</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Brazil</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804,569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8"/>
                <w:szCs w:val="18"/>
                <w:color w:val="auto"/>
              </w:rPr>
              <w:t>823,218</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1,295,006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2,059,564</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1,620,521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8"/>
                <w:szCs w:val="18"/>
                <w:color w:val="auto"/>
              </w:rPr>
              <w:t>967,111</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4,619,130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6,359,506</w:t>
            </w:r>
          </w:p>
        </w:tc>
        <w:tc>
          <w:tcPr>
            <w:tcW w:w="0" w:type="dxa"/>
            <w:vAlign w:val="bottom"/>
          </w:tcPr>
          <w:p>
            <w:pPr>
              <w:spacing w:after="0"/>
              <w:rPr>
                <w:sz w:val="1"/>
                <w:szCs w:val="1"/>
                <w:color w:val="auto"/>
              </w:rPr>
            </w:pPr>
          </w:p>
        </w:tc>
      </w:tr>
      <w:tr>
        <w:trPr>
          <w:trHeight w:val="210"/>
        </w:trPr>
        <w:tc>
          <w:tcPr>
            <w:tcW w:w="3920" w:type="dxa"/>
            <w:vAlign w:val="bottom"/>
          </w:tcPr>
          <w:p>
            <w:pPr>
              <w:ind w:left="180"/>
              <w:spacing w:after="0"/>
              <w:rPr>
                <w:sz w:val="20"/>
                <w:szCs w:val="20"/>
                <w:color w:val="auto"/>
              </w:rPr>
            </w:pPr>
            <w:r>
              <w:rPr>
                <w:rFonts w:ascii="Arial" w:cs="Arial" w:eastAsia="Arial" w:hAnsi="Arial"/>
                <w:sz w:val="18"/>
                <w:szCs w:val="18"/>
                <w:color w:val="auto"/>
              </w:rPr>
              <w:t>Total net sales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12,782,882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
              <w:spacing w:after="0"/>
              <w:rPr>
                <w:sz w:val="20"/>
                <w:szCs w:val="20"/>
                <w:color w:val="auto"/>
              </w:rPr>
            </w:pPr>
            <w:r>
              <w:rPr>
                <w:rFonts w:ascii="Arial" w:cs="Arial" w:eastAsia="Arial" w:hAnsi="Arial"/>
                <w:sz w:val="18"/>
                <w:szCs w:val="18"/>
                <w:color w:val="auto"/>
              </w:rPr>
              <w:t>13,233,783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20" w:type="dxa"/>
            <w:vAlign w:val="bottom"/>
            <w:vMerge w:val="restart"/>
          </w:tcPr>
          <w:p>
            <w:pPr>
              <w:jc w:val="right"/>
              <w:ind w:right="13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90"/>
              </w:rPr>
              <w:t>Six Months Ended</w:t>
            </w:r>
          </w:p>
        </w:tc>
        <w:tc>
          <w:tcPr>
            <w:tcW w:w="94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3"/>
              </w:rPr>
              <w:t>February 28, 2021</w:t>
            </w:r>
          </w:p>
        </w:tc>
        <w:tc>
          <w:tcPr>
            <w:tcW w:w="100" w:type="dxa"/>
            <w:vAlign w:val="bottom"/>
          </w:tcPr>
          <w:p>
            <w:pPr>
              <w:spacing w:after="0"/>
              <w:rPr>
                <w:sz w:val="18"/>
                <w:szCs w:val="18"/>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February 29, 2020</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8,987,634</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6,885,956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Brazil</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1,518,422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1,715,196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2,495,474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4,095,774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3,079,978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2,661,665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9,480,486</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12,506,592</w:t>
            </w:r>
          </w:p>
        </w:tc>
      </w:tr>
      <w:tr>
        <w:trPr>
          <w:trHeight w:val="209"/>
        </w:trPr>
        <w:tc>
          <w:tcPr>
            <w:tcW w:w="8000" w:type="dxa"/>
            <w:vAlign w:val="bottom"/>
          </w:tcPr>
          <w:p>
            <w:pPr>
              <w:ind w:left="180"/>
              <w:spacing w:after="0"/>
              <w:rPr>
                <w:sz w:val="20"/>
                <w:szCs w:val="20"/>
                <w:color w:val="auto"/>
              </w:rPr>
            </w:pPr>
            <w:r>
              <w:rPr>
                <w:rFonts w:ascii="Arial" w:cs="Arial" w:eastAsia="Arial" w:hAnsi="Arial"/>
                <w:sz w:val="18"/>
                <w:szCs w:val="18"/>
                <w:color w:val="auto"/>
              </w:rPr>
              <w:t>Total net sales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25,561,994</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27,865,183</w:t>
            </w:r>
          </w:p>
        </w:tc>
      </w:tr>
      <w:tr>
        <w:trPr>
          <w:trHeight w:val="20"/>
        </w:trPr>
        <w:tc>
          <w:tcPr>
            <w:tcW w:w="80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Long-lived assets located in China and other locations outside of the United States consist of property and equipment. These assets are periodically reviewed to assure the net realizable value from the estimated future production based on forecasted sales exceeds the carrying value of the assets.</w:t>
      </w:r>
    </w:p>
    <w:p>
      <w:pPr>
        <w:spacing w:after="0" w:line="12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All joint venture operations, including equity in income, fees for services and related dividends, are primarily related to ZERUST® products and services.</w:t>
      </w:r>
    </w:p>
    <w:p>
      <w:pPr>
        <w:spacing w:after="0" w:line="200" w:lineRule="exact"/>
        <w:rPr>
          <w:sz w:val="20"/>
          <w:szCs w:val="20"/>
          <w:color w:val="auto"/>
        </w:rPr>
      </w:pPr>
    </w:p>
    <w:p>
      <w:pPr>
        <w:spacing w:after="0" w:line="28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 Plan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August 27, 2020, the Compensation Committee of the Board of Directors of the Company approved the material terms of an annual bonus plan for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Company’s executive officers as well as certain officers and employees for the fiscal year ending August 31, 2021. For fiscal 2021, as in past years,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total amount available under the bonus plan for all plan participants, including executive officers, is dependent upon the Company’s earnings before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interest, taxes, and other income, as adjusted to take into account amounts to be paid under the bonus plan and certain other adjustments (Adjusted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EBITOI). Each plan participant’s percentage of the overall bonus pool is based upon the number of plan participants, the individual’s annual base salary,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individual’s position and level of responsibility within the Company. In the case of each of the Company’s executive officer participants, 75%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amount of their individual bonus payout will be determined based upon the Company’s actual EBITOI for fiscal 2021 compared to a pre-established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target EBITOI for fiscal 2021, and 25% of the payout will be determined based upon such executive officer’s achievement of certain pre-established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individual performance objectives. The payment of bonuses under the plan is discretionary, and bonuses may be paid to executive officer participants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both cash and shares of NTIC common stock, the exact amount and percentages of which are determined by the Company’s Board of Directors,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recommendation of the Compensation Committee, after the completion of the Company’s consolidated financial statements for fiscal 2021. There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$1,033,334 recognized for management bonuses for the six months ended February 28, 2021, compared to $800,000 recognized for management bonuses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February 29,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Concentrations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Three joint ventures (consisting of the Company’s joint ventures in India, USA and Thailand) accounted for 72.1% of the Company’s trade joint venture receivables at February 28, 2021, and two joint ventures (consisting of the Company’s joint ventures in South Korea and Thailand) accounted for 55.8% of the Company’s trade joint venture receivables at February 29,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February 28, 2021, the amount of liability, if any, with respect to these matters, individually or in the aggregate, will not materially affect the Company’s consolidated results of operations, financial position or cash flows.</w:t>
      </w:r>
    </w:p>
    <w:p>
      <w:pPr>
        <w:spacing w:after="0" w:line="200" w:lineRule="exact"/>
        <w:rPr>
          <w:sz w:val="20"/>
          <w:szCs w:val="20"/>
          <w:color w:val="auto"/>
        </w:rPr>
      </w:pPr>
    </w:p>
    <w:p>
      <w:pPr>
        <w:spacing w:after="0" w:line="20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 and the Company estimates that market value approximates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1"/>
              </w:rPr>
              <w:t>Fair Value Measurements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38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auto"/>
                <w:w w:val="91"/>
              </w:rPr>
              <w:t>Fair value as</w:t>
            </w: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89"/>
              </w:rPr>
              <w:t>Using Inputs Considered as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of</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February 28,</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5,913,480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5,913,480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1"/>
              </w:rPr>
              <w:t>Fair Value Measurements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38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auto"/>
                <w:w w:val="91"/>
              </w:rPr>
              <w:t>Fair value as</w:t>
            </w: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89"/>
              </w:rPr>
              <w:t>Using Inputs Considered as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of</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August 31,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5,544,722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5,544,722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between Level 1, Level 2, or Level 3 during the three and six months ended February 28, 2021 and February 29, 2020.</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9" w:name="page20"/>
    <w:bookmarkEnd w:id="19"/>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Supplemental disclosures of cash flow information consisted of:</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5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5980" w:type="dxa"/>
            <w:vAlign w:val="bottom"/>
          </w:tcPr>
          <w:p>
            <w:pPr>
              <w:spacing w:after="0"/>
              <w:rPr>
                <w:sz w:val="16"/>
                <w:szCs w:val="16"/>
                <w:color w:val="auto"/>
              </w:rPr>
            </w:pPr>
          </w:p>
        </w:tc>
        <w:tc>
          <w:tcPr>
            <w:tcW w:w="1260" w:type="dxa"/>
            <w:vAlign w:val="bottom"/>
            <w:gridSpan w:val="2"/>
          </w:tcPr>
          <w:p>
            <w:pPr>
              <w:jc w:val="center"/>
              <w:ind w:right="5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20" w:type="dxa"/>
            <w:vAlign w:val="bottom"/>
          </w:tcPr>
          <w:p>
            <w:pPr>
              <w:spacing w:after="0"/>
              <w:rPr>
                <w:sz w:val="16"/>
                <w:szCs w:val="16"/>
                <w:color w:val="auto"/>
              </w:rPr>
            </w:pPr>
          </w:p>
        </w:tc>
        <w:tc>
          <w:tcPr>
            <w:tcW w:w="1240" w:type="dxa"/>
            <w:vAlign w:val="bottom"/>
            <w:gridSpan w:val="2"/>
          </w:tcPr>
          <w:p>
            <w:pPr>
              <w:jc w:val="center"/>
              <w:ind w:right="30"/>
              <w:spacing w:after="0" w:line="191" w:lineRule="exact"/>
              <w:rPr>
                <w:sz w:val="20"/>
                <w:szCs w:val="20"/>
                <w:color w:val="auto"/>
              </w:rPr>
            </w:pPr>
            <w:r>
              <w:rPr>
                <w:rFonts w:ascii="Arial" w:cs="Arial" w:eastAsia="Arial" w:hAnsi="Arial"/>
                <w:sz w:val="18"/>
                <w:szCs w:val="18"/>
                <w:b w:val="1"/>
                <w:bCs w:val="1"/>
                <w:color w:val="auto"/>
                <w:w w:val="93"/>
              </w:rPr>
              <w:t>February 29,</w:t>
            </w:r>
          </w:p>
        </w:tc>
        <w:tc>
          <w:tcPr>
            <w:tcW w:w="100" w:type="dxa"/>
            <w:vAlign w:val="bottom"/>
          </w:tcPr>
          <w:p>
            <w:pPr>
              <w:spacing w:after="0"/>
              <w:rPr>
                <w:sz w:val="16"/>
                <w:szCs w:val="16"/>
                <w:color w:val="auto"/>
              </w:rPr>
            </w:pPr>
          </w:p>
        </w:tc>
        <w:tc>
          <w:tcPr>
            <w:tcW w:w="1220" w:type="dxa"/>
            <w:vAlign w:val="bottom"/>
            <w:gridSpan w:val="2"/>
          </w:tcPr>
          <w:p>
            <w:pPr>
              <w:jc w:val="center"/>
              <w:ind w:right="1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00" w:type="dxa"/>
            <w:vAlign w:val="bottom"/>
          </w:tcPr>
          <w:p>
            <w:pPr>
              <w:spacing w:after="0"/>
              <w:rPr>
                <w:sz w:val="16"/>
                <w:szCs w:val="16"/>
                <w:color w:val="auto"/>
              </w:rPr>
            </w:pPr>
          </w:p>
        </w:tc>
        <w:tc>
          <w:tcPr>
            <w:tcW w:w="1220" w:type="dxa"/>
            <w:vAlign w:val="bottom"/>
            <w:gridSpan w:val="2"/>
          </w:tcPr>
          <w:p>
            <w:pPr>
              <w:jc w:val="center"/>
              <w:ind w:right="10"/>
              <w:spacing w:after="0" w:line="191" w:lineRule="exact"/>
              <w:rPr>
                <w:sz w:val="20"/>
                <w:szCs w:val="20"/>
                <w:color w:val="auto"/>
              </w:rPr>
            </w:pPr>
            <w:r>
              <w:rPr>
                <w:rFonts w:ascii="Arial" w:cs="Arial" w:eastAsia="Arial" w:hAnsi="Arial"/>
                <w:sz w:val="18"/>
                <w:szCs w:val="18"/>
                <w:b w:val="1"/>
                <w:bCs w:val="1"/>
                <w:color w:val="auto"/>
                <w:w w:val="93"/>
              </w:rPr>
              <w:t>February 29,</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5,249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9,377</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7,617</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14,821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Income tax expense for the three and six months ended February 28, 2021 was $274,660 and $653,250, respectively, compared to $463,594 and $727,660, respectively, for the three and six months ended February 29, 2020. The expense was largely due to foreign operations. The Company has federal and state tax credit carry forwards, net operating loss carry forwards and foreign tax carry forwards. The Company has recorded a full valuation allowance against the US deferred tax assets as of February 28, 2021 and August 31,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0" w:name="page21"/>
    <w:bookmarkEnd w:id="20"/>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Arial" w:cs="Arial" w:eastAsia="Arial" w:hAnsi="Arial"/>
          <w:sz w:val="17"/>
          <w:szCs w:val="17"/>
          <w:i w:val="1"/>
          <w:iCs w:val="1"/>
          <w:color w:val="auto"/>
        </w:rPr>
        <w:t>Part I. Item 2. Management</w:t>
      </w:r>
      <w:r>
        <w:rPr>
          <w:rFonts w:ascii="Arial" w:cs="Arial" w:eastAsia="Arial" w:hAnsi="Arial"/>
          <w:sz w:val="17"/>
          <w:szCs w:val="17"/>
          <w:color w:val="auto"/>
        </w:rPr>
        <w:t>’</w:t>
      </w:r>
      <w:r>
        <w:rPr>
          <w:rFonts w:ascii="Arial" w:cs="Arial" w:eastAsia="Arial" w:hAnsi="Arial"/>
          <w:sz w:val="17"/>
          <w:szCs w:val="17"/>
          <w:i w:val="1"/>
          <w:iCs w:val="1"/>
          <w:color w:val="auto"/>
        </w:rPr>
        <w:t>s Discussion and Analysis of Financial Condition and Results of Operations</w:t>
      </w:r>
      <w:r>
        <w:rPr>
          <w:rFonts w:ascii="Arial" w:cs="Arial" w:eastAsia="Arial" w:hAnsi="Arial"/>
          <w:sz w:val="17"/>
          <w:szCs w:val="17"/>
          <w:color w:val="auto"/>
        </w:rPr>
        <w:t>—</w:t>
      </w:r>
      <w:r>
        <w:rPr>
          <w:rFonts w:ascii="Arial" w:cs="Arial" w:eastAsia="Arial" w:hAnsi="Arial"/>
          <w:sz w:val="17"/>
          <w:szCs w:val="17"/>
          <w:i w:val="1"/>
          <w:iCs w:val="1"/>
          <w:color w:val="auto"/>
        </w:rPr>
        <w:t>Forward-Looking</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w:t>
      </w:r>
      <w:r>
        <w:rPr>
          <w:rFonts w:ascii="Arial" w:cs="Arial" w:eastAsia="Arial" w:hAnsi="Arial"/>
          <w:sz w:val="17"/>
          <w:szCs w:val="17"/>
          <w:color w:val="auto"/>
        </w:rPr>
        <w:t>” in this report and under “</w:t>
      </w:r>
      <w:r>
        <w:rPr>
          <w:rFonts w:ascii="Arial" w:cs="Arial" w:eastAsia="Arial" w:hAnsi="Arial"/>
          <w:sz w:val="17"/>
          <w:szCs w:val="17"/>
          <w:i w:val="1"/>
          <w:iCs w:val="1"/>
          <w:color w:val="auto"/>
        </w:rPr>
        <w:t>Part 1. Item 1A. Risk Factors</w:t>
      </w:r>
      <w:r>
        <w:rPr>
          <w:rFonts w:ascii="Arial" w:cs="Arial" w:eastAsia="Arial" w:hAnsi="Arial"/>
          <w:sz w:val="17"/>
          <w:szCs w:val="17"/>
          <w:color w:val="auto"/>
        </w:rPr>
        <w:t>” in our annual report on Form 10-K for the fiscal year ended August 31, 2020.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discussion of the results of the operations and financial condition of NTIC should be read in conjunction with NTIC’s consolidated financial statements and the related notes thereto included under the heading “</w:t>
      </w:r>
      <w:r>
        <w:rPr>
          <w:rFonts w:ascii="Arial" w:cs="Arial" w:eastAsia="Arial" w:hAnsi="Arial"/>
          <w:sz w:val="17"/>
          <w:szCs w:val="17"/>
          <w:i w:val="1"/>
          <w:iCs w:val="1"/>
          <w:color w:val="auto"/>
        </w:rPr>
        <w:t>Part I. Item 1. Financial Statements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NTIC develops and markets proprietary, environmentally-beneficial products and services in over 60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40 years and, in recent years, has targeted and expanded into the oil and gas industry. NTIC also markets and sells a portfolio of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6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NTIC’s ZERUST®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performance requirements. In North America, NTIC sells its ZERUST® corrosion prevention solutions through a network of independent distributors and agents supported by a direct sales force. Internationally, NTIC sells its ZERUST® corrosion prevention solutions through its wholly-owned subsidiary in China, NTIC (Shanghai) Co., Ltd. (NTIC China), its majority-owned joint venture holding company for NTIC’s joint venture investments in the Association of Southeast Asian Nations (ASEAN) region, NTI Asean LLC (NTI Asean), certain majority-owned and wholly-owned subsidiaries, and joint venture arrangements in North America, Europe, and Asia. NTIC also sells products directly to its joint venture partners through its wholly-owned subsidiary in Germany, NTIC Europe GmbH (NTI Europe).</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NTIC markets and sells its ZERUST® rust and corrosion prevention solutions to customers in the oil and gas industry across several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1" w:name="page22"/>
    <w:bookmarkEnd w:id="21"/>
    <w:p>
      <w:pPr>
        <w:ind w:right="20"/>
        <w:spacing w:after="0" w:line="290" w:lineRule="auto"/>
        <w:rPr>
          <w:sz w:val="20"/>
          <w:szCs w:val="20"/>
          <w:color w:val="auto"/>
        </w:rPr>
      </w:pPr>
      <w:r>
        <w:rPr>
          <w:rFonts w:ascii="Arial" w:cs="Arial" w:eastAsia="Arial" w:hAnsi="Arial"/>
          <w:sz w:val="16"/>
          <w:szCs w:val="16"/>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w:t>
      </w:r>
    </w:p>
    <w:p>
      <w:pPr>
        <w:spacing w:after="0" w:line="1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Internationally, NTIC sells its Natur-Tec® resin compounds and finished products both directly and through its wholly-owned subsidiary in China and majority-owned subsidiaries in India and Sri Lanka, and through distributors and certain joint ventures.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w:t>
      </w:r>
      <w:r>
        <w:rPr>
          <w:rFonts w:ascii="Arial" w:cs="Arial" w:eastAsia="Arial" w:hAnsi="Arial"/>
          <w:sz w:val="18"/>
          <w:szCs w:val="18"/>
          <w:color w:val="auto"/>
        </w:rPr>
        <w:t>’</w:t>
      </w:r>
      <w:r>
        <w:rPr>
          <w:rFonts w:ascii="Arial" w:cs="Arial" w:eastAsia="Arial" w:hAnsi="Arial"/>
          <w:sz w:val="18"/>
          <w:szCs w:val="18"/>
          <w:b w:val="1"/>
          <w:bCs w:val="1"/>
          <w:color w:val="auto"/>
        </w:rPr>
        <w:t>s Subsidiaries and Joint Venture Network</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NTIC has ownership interests in nine operating subsidiaries in North America, South America, Europe, and Asia. The following table sets forth a list of NTIC’s operating subsidiaries as of February 28, 2021, the country in which the subsidiary is organized, and NTIC’s ownership percentage in each subsidiary: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jc w:val="right"/>
              <w:ind w:right="1090"/>
              <w:spacing w:after="0"/>
              <w:rPr>
                <w:sz w:val="20"/>
                <w:szCs w:val="20"/>
                <w:color w:val="auto"/>
              </w:rPr>
            </w:pPr>
            <w:r>
              <w:rPr>
                <w:rFonts w:ascii="Arial" w:cs="Arial" w:eastAsia="Arial" w:hAnsi="Arial"/>
                <w:sz w:val="18"/>
                <w:szCs w:val="18"/>
                <w:b w:val="1"/>
                <w:bCs w:val="1"/>
                <w:color w:val="auto"/>
              </w:rPr>
              <w:t>NTIC</w:t>
            </w:r>
          </w:p>
        </w:tc>
      </w:tr>
      <w:tr>
        <w:trPr>
          <w:trHeight w:val="234"/>
        </w:trPr>
        <w:tc>
          <w:tcPr>
            <w:tcW w:w="5400" w:type="dxa"/>
            <w:vAlign w:val="bottom"/>
            <w:tcBorders>
              <w:bottom w:val="single" w:sz="8" w:color="auto"/>
            </w:tcBorders>
          </w:tcPr>
          <w:p>
            <w:pPr>
              <w:ind w:left="2040"/>
              <w:spacing w:after="0"/>
              <w:rPr>
                <w:sz w:val="20"/>
                <w:szCs w:val="20"/>
                <w:color w:val="auto"/>
              </w:rPr>
            </w:pPr>
            <w:r>
              <w:rPr>
                <w:rFonts w:ascii="Arial" w:cs="Arial" w:eastAsia="Arial" w:hAnsi="Arial"/>
                <w:sz w:val="18"/>
                <w:szCs w:val="18"/>
                <w:b w:val="1"/>
                <w:bCs w:val="1"/>
                <w:color w:val="auto"/>
              </w:rPr>
              <w:t>Subsidiary Name</w:t>
            </w:r>
          </w:p>
        </w:tc>
        <w:tc>
          <w:tcPr>
            <w:tcW w:w="120" w:type="dxa"/>
            <w:vAlign w:val="bottom"/>
          </w:tcPr>
          <w:p>
            <w:pPr>
              <w:spacing w:after="0"/>
              <w:rPr>
                <w:sz w:val="20"/>
                <w:szCs w:val="20"/>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Country</w:t>
            </w:r>
          </w:p>
        </w:tc>
        <w:tc>
          <w:tcPr>
            <w:tcW w:w="100" w:type="dxa"/>
            <w:vAlign w:val="bottom"/>
          </w:tcPr>
          <w:p>
            <w:pPr>
              <w:spacing w:after="0"/>
              <w:rPr>
                <w:sz w:val="20"/>
                <w:szCs w:val="20"/>
                <w:color w:val="auto"/>
              </w:rPr>
            </w:pPr>
          </w:p>
        </w:tc>
        <w:tc>
          <w:tcPr>
            <w:tcW w:w="2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Percent (%) Ownership</w:t>
            </w:r>
          </w:p>
        </w:tc>
      </w:tr>
      <w:tr>
        <w:trPr>
          <w:trHeight w:val="20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NTIC (Shanghai) Co., Ltd</w:t>
            </w: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c>
          <w:tcPr>
            <w:tcW w:w="2900" w:type="dxa"/>
            <w:vAlign w:val="bottom"/>
            <w:gridSpan w:val="2"/>
            <w:shd w:val="clear" w:color="auto" w:fill="CCEEFF"/>
          </w:tcPr>
          <w:p>
            <w:pPr>
              <w:jc w:val="right"/>
              <w:ind w:right="1250"/>
              <w:spacing w:after="0"/>
              <w:rPr>
                <w:sz w:val="20"/>
                <w:szCs w:val="20"/>
                <w:color w:val="auto"/>
              </w:rPr>
            </w:pPr>
            <w:r>
              <w:rPr>
                <w:rFonts w:ascii="Arial" w:cs="Arial" w:eastAsia="Arial" w:hAnsi="Arial"/>
                <w:sz w:val="18"/>
                <w:szCs w:val="18"/>
                <w:color w:val="auto"/>
              </w:rPr>
              <w:t>100%</w:t>
            </w: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NTI Asean LLC</w:t>
            </w:r>
          </w:p>
        </w:tc>
        <w:tc>
          <w:tcPr>
            <w:tcW w:w="12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2900" w:type="dxa"/>
            <w:vAlign w:val="bottom"/>
            <w:gridSpan w:val="2"/>
          </w:tcPr>
          <w:p>
            <w:pPr>
              <w:jc w:val="right"/>
              <w:ind w:right="1250"/>
              <w:spacing w:after="0"/>
              <w:rPr>
                <w:sz w:val="20"/>
                <w:szCs w:val="20"/>
                <w:color w:val="auto"/>
              </w:rPr>
            </w:pPr>
            <w:r>
              <w:rPr>
                <w:rFonts w:ascii="Arial" w:cs="Arial" w:eastAsia="Arial" w:hAnsi="Arial"/>
                <w:sz w:val="18"/>
                <w:szCs w:val="18"/>
                <w:color w:val="auto"/>
              </w:rPr>
              <w:t>60%</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Zerust Prevenção de Corrosão S.A.</w:t>
            </w: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c>
          <w:tcPr>
            <w:tcW w:w="2900" w:type="dxa"/>
            <w:vAlign w:val="bottom"/>
            <w:gridSpan w:val="2"/>
            <w:shd w:val="clear" w:color="auto" w:fill="CCEEFF"/>
          </w:tcPr>
          <w:p>
            <w:pPr>
              <w:jc w:val="right"/>
              <w:ind w:right="1250"/>
              <w:spacing w:after="0"/>
              <w:rPr>
                <w:sz w:val="20"/>
                <w:szCs w:val="20"/>
                <w:color w:val="auto"/>
              </w:rPr>
            </w:pPr>
            <w:r>
              <w:rPr>
                <w:rFonts w:ascii="Arial" w:cs="Arial" w:eastAsia="Arial" w:hAnsi="Arial"/>
                <w:sz w:val="18"/>
                <w:szCs w:val="18"/>
                <w:color w:val="auto"/>
              </w:rPr>
              <w:t>85%</w:t>
            </w: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ZERUST-EXCOR MEXICO, S. de R.L. de C.V</w:t>
            </w:r>
          </w:p>
        </w:tc>
        <w:tc>
          <w:tcPr>
            <w:tcW w:w="12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2900" w:type="dxa"/>
            <w:vAlign w:val="bottom"/>
            <w:gridSpan w:val="2"/>
          </w:tcPr>
          <w:p>
            <w:pPr>
              <w:jc w:val="right"/>
              <w:ind w:right="1250"/>
              <w:spacing w:after="0"/>
              <w:rPr>
                <w:sz w:val="20"/>
                <w:szCs w:val="20"/>
                <w:color w:val="auto"/>
              </w:rPr>
            </w:pPr>
            <w:r>
              <w:rPr>
                <w:rFonts w:ascii="Arial" w:cs="Arial" w:eastAsia="Arial" w:hAnsi="Arial"/>
                <w:sz w:val="18"/>
                <w:szCs w:val="18"/>
                <w:color w:val="auto"/>
              </w:rPr>
              <w:t>100%</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Natur-Tec India Private Limited</w:t>
            </w: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India</w:t>
            </w:r>
          </w:p>
        </w:tc>
        <w:tc>
          <w:tcPr>
            <w:tcW w:w="2900" w:type="dxa"/>
            <w:vAlign w:val="bottom"/>
            <w:gridSpan w:val="2"/>
            <w:shd w:val="clear" w:color="auto" w:fill="CCEEFF"/>
          </w:tcPr>
          <w:p>
            <w:pPr>
              <w:jc w:val="right"/>
              <w:ind w:right="1250"/>
              <w:spacing w:after="0"/>
              <w:rPr>
                <w:sz w:val="20"/>
                <w:szCs w:val="20"/>
                <w:color w:val="auto"/>
              </w:rPr>
            </w:pPr>
            <w:r>
              <w:rPr>
                <w:rFonts w:ascii="Arial" w:cs="Arial" w:eastAsia="Arial" w:hAnsi="Arial"/>
                <w:sz w:val="18"/>
                <w:szCs w:val="18"/>
                <w:color w:val="auto"/>
              </w:rPr>
              <w:t>75%</w:t>
            </w: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Natur Tec Lanka (Pvt) Ltd</w:t>
            </w:r>
          </w:p>
        </w:tc>
        <w:tc>
          <w:tcPr>
            <w:tcW w:w="120" w:type="dxa"/>
            <w:vAlign w:val="bottom"/>
          </w:tcPr>
          <w:p>
            <w:pPr>
              <w:spacing w:after="0"/>
              <w:rPr>
                <w:sz w:val="18"/>
                <w:szCs w:val="18"/>
                <w:color w:val="auto"/>
              </w:rPr>
            </w:pPr>
          </w:p>
        </w:tc>
        <w:tc>
          <w:tcPr>
            <w:tcW w:w="2820" w:type="dxa"/>
            <w:vAlign w:val="bottom"/>
          </w:tcPr>
          <w:p>
            <w:pPr>
              <w:jc w:val="center"/>
              <w:spacing w:after="0" w:line="216" w:lineRule="exact"/>
              <w:rPr>
                <w:sz w:val="20"/>
                <w:szCs w:val="20"/>
                <w:color w:val="auto"/>
              </w:rPr>
            </w:pPr>
            <w:r>
              <w:rPr>
                <w:rFonts w:ascii="Arial" w:cs="Arial" w:eastAsia="Arial" w:hAnsi="Arial"/>
                <w:sz w:val="16"/>
                <w:szCs w:val="16"/>
                <w:color w:val="auto"/>
                <w:w w:val="99"/>
              </w:rPr>
              <w:t>Sri Lanka</w:t>
            </w:r>
            <w:r>
              <w:rPr>
                <w:rFonts w:ascii="Arial" w:cs="Arial" w:eastAsia="Arial" w:hAnsi="Arial"/>
                <w:sz w:val="25"/>
                <w:szCs w:val="25"/>
                <w:color w:val="auto"/>
                <w:w w:val="99"/>
                <w:vertAlign w:val="superscript"/>
              </w:rPr>
              <w:t>(1)</w:t>
            </w:r>
          </w:p>
        </w:tc>
        <w:tc>
          <w:tcPr>
            <w:tcW w:w="2900" w:type="dxa"/>
            <w:vAlign w:val="bottom"/>
            <w:gridSpan w:val="2"/>
          </w:tcPr>
          <w:p>
            <w:pPr>
              <w:jc w:val="right"/>
              <w:ind w:right="1250"/>
              <w:spacing w:after="0"/>
              <w:rPr>
                <w:sz w:val="20"/>
                <w:szCs w:val="20"/>
                <w:color w:val="auto"/>
              </w:rPr>
            </w:pPr>
            <w:r>
              <w:rPr>
                <w:rFonts w:ascii="Arial" w:cs="Arial" w:eastAsia="Arial" w:hAnsi="Arial"/>
                <w:sz w:val="18"/>
                <w:szCs w:val="18"/>
                <w:color w:val="auto"/>
              </w:rPr>
              <w:t>75%</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NTIC Europe GmbH</w:t>
            </w: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c>
          <w:tcPr>
            <w:tcW w:w="2900" w:type="dxa"/>
            <w:vAlign w:val="bottom"/>
            <w:gridSpan w:val="2"/>
            <w:shd w:val="clear" w:color="auto" w:fill="CCEEFF"/>
          </w:tcPr>
          <w:p>
            <w:pPr>
              <w:jc w:val="right"/>
              <w:ind w:right="1250"/>
              <w:spacing w:after="0"/>
              <w:rPr>
                <w:sz w:val="20"/>
                <w:szCs w:val="20"/>
                <w:color w:val="auto"/>
              </w:rPr>
            </w:pPr>
            <w:r>
              <w:rPr>
                <w:rFonts w:ascii="Arial" w:cs="Arial" w:eastAsia="Arial" w:hAnsi="Arial"/>
                <w:sz w:val="18"/>
                <w:szCs w:val="18"/>
                <w:color w:val="auto"/>
              </w:rPr>
              <w:t>100%</w:t>
            </w: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Zerust Singapore Pte Ltd</w:t>
            </w:r>
          </w:p>
        </w:tc>
        <w:tc>
          <w:tcPr>
            <w:tcW w:w="120" w:type="dxa"/>
            <w:vAlign w:val="bottom"/>
          </w:tcPr>
          <w:p>
            <w:pPr>
              <w:spacing w:after="0"/>
              <w:rPr>
                <w:sz w:val="18"/>
                <w:szCs w:val="18"/>
                <w:color w:val="auto"/>
              </w:rPr>
            </w:pPr>
          </w:p>
        </w:tc>
        <w:tc>
          <w:tcPr>
            <w:tcW w:w="2820" w:type="dxa"/>
            <w:vAlign w:val="bottom"/>
          </w:tcPr>
          <w:p>
            <w:pPr>
              <w:jc w:val="center"/>
              <w:spacing w:after="0" w:line="216" w:lineRule="exact"/>
              <w:rPr>
                <w:sz w:val="20"/>
                <w:szCs w:val="20"/>
                <w:color w:val="auto"/>
              </w:rPr>
            </w:pPr>
            <w:r>
              <w:rPr>
                <w:rFonts w:ascii="Arial" w:cs="Arial" w:eastAsia="Arial" w:hAnsi="Arial"/>
                <w:sz w:val="16"/>
                <w:szCs w:val="16"/>
                <w:color w:val="auto"/>
                <w:w w:val="96"/>
              </w:rPr>
              <w:t>Singapore</w:t>
            </w:r>
            <w:r>
              <w:rPr>
                <w:rFonts w:ascii="Arial" w:cs="Arial" w:eastAsia="Arial" w:hAnsi="Arial"/>
                <w:sz w:val="25"/>
                <w:szCs w:val="25"/>
                <w:color w:val="auto"/>
                <w:w w:val="96"/>
                <w:vertAlign w:val="superscript"/>
              </w:rPr>
              <w:t>(2)</w:t>
            </w:r>
          </w:p>
        </w:tc>
        <w:tc>
          <w:tcPr>
            <w:tcW w:w="2900" w:type="dxa"/>
            <w:vAlign w:val="bottom"/>
            <w:gridSpan w:val="2"/>
          </w:tcPr>
          <w:p>
            <w:pPr>
              <w:jc w:val="right"/>
              <w:ind w:right="1250"/>
              <w:spacing w:after="0"/>
              <w:rPr>
                <w:sz w:val="20"/>
                <w:szCs w:val="20"/>
                <w:color w:val="auto"/>
              </w:rPr>
            </w:pPr>
            <w:r>
              <w:rPr>
                <w:rFonts w:ascii="Arial" w:cs="Arial" w:eastAsia="Arial" w:hAnsi="Arial"/>
                <w:sz w:val="18"/>
                <w:szCs w:val="18"/>
                <w:color w:val="auto"/>
              </w:rPr>
              <w:t>60%</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Zerust Vietnam Co. Ltd</w:t>
            </w: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8"/>
              </w:rPr>
              <w:t>Vietnam</w:t>
            </w:r>
            <w:r>
              <w:rPr>
                <w:rFonts w:ascii="Arial" w:cs="Arial" w:eastAsia="Arial" w:hAnsi="Arial"/>
                <w:sz w:val="25"/>
                <w:szCs w:val="25"/>
                <w:color w:val="auto"/>
                <w:w w:val="98"/>
                <w:vertAlign w:val="superscript"/>
              </w:rPr>
              <w:t>(2)</w:t>
            </w:r>
          </w:p>
        </w:tc>
        <w:tc>
          <w:tcPr>
            <w:tcW w:w="2900" w:type="dxa"/>
            <w:vAlign w:val="bottom"/>
            <w:gridSpan w:val="2"/>
            <w:shd w:val="clear" w:color="auto" w:fill="CCEEFF"/>
          </w:tcPr>
          <w:p>
            <w:pPr>
              <w:jc w:val="right"/>
              <w:ind w:right="1250"/>
              <w:spacing w:after="0"/>
              <w:rPr>
                <w:sz w:val="20"/>
                <w:szCs w:val="20"/>
                <w:color w:val="auto"/>
              </w:rPr>
            </w:pPr>
            <w:r>
              <w:rPr>
                <w:rFonts w:ascii="Arial" w:cs="Arial" w:eastAsia="Arial" w:hAnsi="Arial"/>
                <w:sz w:val="18"/>
                <w:szCs w:val="18"/>
                <w:color w:val="auto"/>
              </w:rPr>
              <w:t>60%</w:t>
            </w:r>
          </w:p>
        </w:tc>
      </w:tr>
    </w:tbl>
    <w:p>
      <w:pPr>
        <w:spacing w:after="0" w:line="20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 Tec Lanka (Pvt) Ltd. is 100% owned by Natur-Tec India Private Limited and, therefore, indirectly owned by NTIC.</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Zerust Singapore Pte Ltd and Zerust Vietnam Co. Ltd are 100% owned by NTI Asean LLC and, therefore, indirectly owned by NTIC.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subsidiaries are fully consolidated in NTIC’s consolidated financial statements.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 participates in 19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The following table sets forth a list of NTIC’s operating joint ventures as of February 28, 2021, the country in which the joint venture is organized,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NTIC’s ownership percentage in each joint venture: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c>
          <w:tcPr>
            <w:tcW w:w="0" w:type="dxa"/>
            <w:vAlign w:val="bottom"/>
          </w:tcPr>
          <w:p>
            <w:pPr>
              <w:spacing w:after="0"/>
              <w:rPr>
                <w:sz w:val="1"/>
                <w:szCs w:val="1"/>
                <w:color w:val="auto"/>
              </w:rPr>
            </w:pPr>
          </w:p>
        </w:tc>
      </w:tr>
      <w:tr>
        <w:trPr>
          <w:trHeight w:val="234"/>
        </w:trPr>
        <w:tc>
          <w:tcPr>
            <w:tcW w:w="44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Joint Venture Name</w:t>
            </w:r>
          </w:p>
        </w:tc>
        <w:tc>
          <w:tcPr>
            <w:tcW w:w="1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Country</w:t>
            </w:r>
          </w:p>
        </w:tc>
        <w:tc>
          <w:tcPr>
            <w:tcW w:w="1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Percent (%) Ownership</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TAIYONIC LTD.</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Japan</w:t>
            </w:r>
          </w:p>
        </w:tc>
        <w:tc>
          <w:tcPr>
            <w:tcW w:w="29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ACOBAL SAS</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5"/>
              </w:rPr>
              <w:t>France</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02"/>
        </w:trPr>
        <w:tc>
          <w:tcPr>
            <w:tcW w:w="54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EXCOR KORROSIONSSCHUTZ – TECHNOLOGIEN UND</w:t>
            </w:r>
          </w:p>
        </w:tc>
        <w:tc>
          <w:tcPr>
            <w:tcW w:w="120" w:type="dxa"/>
            <w:vAlign w:val="bottom"/>
            <w:shd w:val="clear" w:color="auto" w:fill="CCEEFF"/>
          </w:tcPr>
          <w:p>
            <w:pPr>
              <w:spacing w:after="0"/>
              <w:rPr>
                <w:sz w:val="17"/>
                <w:szCs w:val="17"/>
                <w:color w:val="auto"/>
              </w:rPr>
            </w:pPr>
          </w:p>
        </w:tc>
        <w:tc>
          <w:tcPr>
            <w:tcW w:w="2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Germany</w:t>
            </w:r>
          </w:p>
        </w:tc>
        <w:tc>
          <w:tcPr>
            <w:tcW w:w="2920" w:type="dxa"/>
            <w:vAlign w:val="bottom"/>
            <w:gridSpan w:val="2"/>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122"/>
        </w:trPr>
        <w:tc>
          <w:tcPr>
            <w:tcW w:w="5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PRODUKTE GMBH</w:t>
            </w:r>
          </w:p>
        </w:tc>
        <w:tc>
          <w:tcPr>
            <w:tcW w:w="120" w:type="dxa"/>
            <w:vAlign w:val="bottom"/>
            <w:shd w:val="clear" w:color="auto" w:fill="CCEEFF"/>
          </w:tcPr>
          <w:p>
            <w:pPr>
              <w:spacing w:after="0"/>
              <w:rPr>
                <w:sz w:val="10"/>
                <w:szCs w:val="10"/>
                <w:color w:val="auto"/>
              </w:rPr>
            </w:pPr>
          </w:p>
        </w:tc>
        <w:tc>
          <w:tcPr>
            <w:tcW w:w="2800" w:type="dxa"/>
            <w:vAlign w:val="bottom"/>
            <w:vMerge w:val="continue"/>
            <w:shd w:val="clear" w:color="auto" w:fill="CCEEFF"/>
          </w:tcPr>
          <w:p>
            <w:pPr>
              <w:spacing w:after="0"/>
              <w:rPr>
                <w:sz w:val="10"/>
                <w:szCs w:val="10"/>
                <w:color w:val="auto"/>
              </w:rPr>
            </w:pPr>
          </w:p>
        </w:tc>
        <w:tc>
          <w:tcPr>
            <w:tcW w:w="29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ZERUST AB</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6"/>
              </w:rPr>
              <w:t>Sweden</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MOSTNIC-ZERUST</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Russia</w:t>
            </w:r>
          </w:p>
        </w:tc>
        <w:tc>
          <w:tcPr>
            <w:tcW w:w="29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ZERUST OY</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4"/>
              </w:rPr>
              <w:t>Finland</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HARITA-NTI LTD</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India</w:t>
            </w:r>
          </w:p>
        </w:tc>
        <w:tc>
          <w:tcPr>
            <w:tcW w:w="29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ZERUST (U.K.) LTD.</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EXCOR-ZERUST S.R.O.</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Czech Republic</w:t>
            </w:r>
          </w:p>
        </w:tc>
        <w:tc>
          <w:tcPr>
            <w:tcW w:w="29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EXCOR SP. Z.O.O.</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5"/>
              </w:rPr>
              <w:t>Poland</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ZERUST A.Ş.</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Turkey</w:t>
            </w:r>
          </w:p>
        </w:tc>
        <w:tc>
          <w:tcPr>
            <w:tcW w:w="29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ZERUST CONSUMER PRODUCTS, LLC</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ZERUST – DNEPR</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Ukraine</w:t>
            </w:r>
          </w:p>
        </w:tc>
        <w:tc>
          <w:tcPr>
            <w:tcW w:w="29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KOREA ZERUST CO., LTD.</w:t>
            </w:r>
          </w:p>
        </w:tc>
        <w:tc>
          <w:tcPr>
            <w:tcW w:w="120" w:type="dxa"/>
            <w:vAlign w:val="bottom"/>
          </w:tcPr>
          <w:p>
            <w:pPr>
              <w:spacing w:after="0"/>
              <w:rPr>
                <w:sz w:val="18"/>
                <w:szCs w:val="18"/>
                <w:color w:val="auto"/>
              </w:rPr>
            </w:pPr>
          </w:p>
        </w:tc>
        <w:tc>
          <w:tcPr>
            <w:tcW w:w="2800" w:type="dxa"/>
            <w:vAlign w:val="bottom"/>
          </w:tcPr>
          <w:p>
            <w:pPr>
              <w:jc w:val="center"/>
              <w:spacing w:after="0" w:line="216" w:lineRule="exact"/>
              <w:rPr>
                <w:sz w:val="20"/>
                <w:szCs w:val="20"/>
                <w:color w:val="auto"/>
              </w:rPr>
            </w:pPr>
            <w:r>
              <w:rPr>
                <w:rFonts w:ascii="Arial" w:cs="Arial" w:eastAsia="Arial" w:hAnsi="Arial"/>
                <w:sz w:val="16"/>
                <w:szCs w:val="16"/>
                <w:color w:val="auto"/>
                <w:w w:val="98"/>
              </w:rPr>
              <w:t>South Korea</w:t>
            </w:r>
            <w:r>
              <w:rPr>
                <w:rFonts w:ascii="Arial" w:cs="Arial" w:eastAsia="Arial" w:hAnsi="Arial"/>
                <w:sz w:val="25"/>
                <w:szCs w:val="25"/>
                <w:color w:val="auto"/>
                <w:w w:val="98"/>
                <w:vertAlign w:val="superscript"/>
              </w:rPr>
              <w:t>(1)</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ZERUST-NIC (TAIWAN) CORP.</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rPr>
              <w:t>Taiwan</w:t>
            </w:r>
            <w:r>
              <w:rPr>
                <w:rFonts w:ascii="Arial" w:cs="Arial" w:eastAsia="Arial" w:hAnsi="Arial"/>
                <w:sz w:val="25"/>
                <w:szCs w:val="25"/>
                <w:color w:val="auto"/>
                <w:vertAlign w:val="superscript"/>
              </w:rPr>
              <w:t>(1)</w:t>
            </w:r>
          </w:p>
        </w:tc>
        <w:tc>
          <w:tcPr>
            <w:tcW w:w="29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PT. CHEMINDO – NTIA</w:t>
            </w:r>
          </w:p>
        </w:tc>
        <w:tc>
          <w:tcPr>
            <w:tcW w:w="120" w:type="dxa"/>
            <w:vAlign w:val="bottom"/>
          </w:tcPr>
          <w:p>
            <w:pPr>
              <w:spacing w:after="0"/>
              <w:rPr>
                <w:sz w:val="18"/>
                <w:szCs w:val="18"/>
                <w:color w:val="auto"/>
              </w:rPr>
            </w:pPr>
          </w:p>
        </w:tc>
        <w:tc>
          <w:tcPr>
            <w:tcW w:w="2800" w:type="dxa"/>
            <w:vAlign w:val="bottom"/>
          </w:tcPr>
          <w:p>
            <w:pPr>
              <w:jc w:val="center"/>
              <w:spacing w:after="0" w:line="216" w:lineRule="exact"/>
              <w:rPr>
                <w:sz w:val="20"/>
                <w:szCs w:val="20"/>
                <w:color w:val="auto"/>
              </w:rPr>
            </w:pPr>
            <w:r>
              <w:rPr>
                <w:rFonts w:ascii="Arial" w:cs="Arial" w:eastAsia="Arial" w:hAnsi="Arial"/>
                <w:sz w:val="16"/>
                <w:szCs w:val="16"/>
                <w:color w:val="auto"/>
                <w:w w:val="98"/>
              </w:rPr>
              <w:t>Indonesia</w:t>
            </w:r>
            <w:r>
              <w:rPr>
                <w:rFonts w:ascii="Arial" w:cs="Arial" w:eastAsia="Arial" w:hAnsi="Arial"/>
                <w:sz w:val="25"/>
                <w:szCs w:val="25"/>
                <w:color w:val="auto"/>
                <w:w w:val="98"/>
                <w:vertAlign w:val="superscript"/>
              </w:rPr>
              <w:t>(1)</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ZERUST SPECIALTY TECH CO. LTD.</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7"/>
              </w:rPr>
              <w:t>Thailand</w:t>
            </w:r>
            <w:r>
              <w:rPr>
                <w:rFonts w:ascii="Arial" w:cs="Arial" w:eastAsia="Arial" w:hAnsi="Arial"/>
                <w:sz w:val="25"/>
                <w:szCs w:val="25"/>
                <w:color w:val="auto"/>
                <w:w w:val="97"/>
                <w:vertAlign w:val="superscript"/>
              </w:rPr>
              <w:t>(1)</w:t>
            </w:r>
          </w:p>
        </w:tc>
        <w:tc>
          <w:tcPr>
            <w:tcW w:w="29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CHONG WAH-NTIA SDN. BHD.</w:t>
            </w:r>
          </w:p>
        </w:tc>
        <w:tc>
          <w:tcPr>
            <w:tcW w:w="120" w:type="dxa"/>
            <w:vAlign w:val="bottom"/>
          </w:tcPr>
          <w:p>
            <w:pPr>
              <w:spacing w:after="0"/>
              <w:rPr>
                <w:sz w:val="18"/>
                <w:szCs w:val="18"/>
                <w:color w:val="auto"/>
              </w:rPr>
            </w:pPr>
          </w:p>
        </w:tc>
        <w:tc>
          <w:tcPr>
            <w:tcW w:w="2800" w:type="dxa"/>
            <w:vAlign w:val="bottom"/>
          </w:tcPr>
          <w:p>
            <w:pPr>
              <w:jc w:val="center"/>
              <w:spacing w:after="0" w:line="216" w:lineRule="exact"/>
              <w:rPr>
                <w:sz w:val="20"/>
                <w:szCs w:val="20"/>
                <w:color w:val="auto"/>
              </w:rPr>
            </w:pPr>
            <w:r>
              <w:rPr>
                <w:rFonts w:ascii="Arial" w:cs="Arial" w:eastAsia="Arial" w:hAnsi="Arial"/>
                <w:sz w:val="16"/>
                <w:szCs w:val="16"/>
                <w:color w:val="auto"/>
              </w:rPr>
              <w:t>Malaysia</w:t>
            </w:r>
            <w:r>
              <w:rPr>
                <w:rFonts w:ascii="Arial" w:cs="Arial" w:eastAsia="Arial" w:hAnsi="Arial"/>
                <w:sz w:val="25"/>
                <w:szCs w:val="25"/>
                <w:color w:val="auto"/>
                <w:vertAlign w:val="superscript"/>
              </w:rPr>
              <w:t>(1)</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NTIA ZERUST PHILIPPINES, INC.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rPr>
              <w:t>Philippines</w:t>
            </w:r>
            <w:r>
              <w:rPr>
                <w:rFonts w:ascii="Arial" w:cs="Arial" w:eastAsia="Arial" w:hAnsi="Arial"/>
                <w:sz w:val="25"/>
                <w:szCs w:val="25"/>
                <w:color w:val="auto"/>
                <w:vertAlign w:val="superscript"/>
              </w:rPr>
              <w:t>(1)</w:t>
            </w:r>
          </w:p>
        </w:tc>
        <w:tc>
          <w:tcPr>
            <w:tcW w:w="29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02"/>
        </w:trPr>
        <w:tc>
          <w:tcPr>
            <w:tcW w:w="5400" w:type="dxa"/>
            <w:vAlign w:val="bottom"/>
            <w:gridSpan w:val="2"/>
          </w:tcPr>
          <w:p>
            <w:pPr>
              <w:spacing w:after="0" w:line="201" w:lineRule="exact"/>
              <w:rPr>
                <w:sz w:val="20"/>
                <w:szCs w:val="20"/>
                <w:color w:val="auto"/>
              </w:rPr>
            </w:pPr>
            <w:r>
              <w:rPr>
                <w:rFonts w:ascii="Arial" w:cs="Arial" w:eastAsia="Arial" w:hAnsi="Arial"/>
                <w:sz w:val="18"/>
                <w:szCs w:val="18"/>
                <w:color w:val="auto"/>
              </w:rPr>
              <w:t>______________________</w:t>
            </w: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(1)</w:t>
            </w:r>
          </w:p>
        </w:tc>
        <w:tc>
          <w:tcPr>
            <w:tcW w:w="4960" w:type="dxa"/>
            <w:vAlign w:val="bottom"/>
          </w:tcPr>
          <w:p>
            <w:pPr>
              <w:ind w:left="220"/>
              <w:spacing w:after="0"/>
              <w:rPr>
                <w:sz w:val="20"/>
                <w:szCs w:val="20"/>
                <w:color w:val="auto"/>
              </w:rPr>
            </w:pPr>
            <w:r>
              <w:rPr>
                <w:rFonts w:ascii="Arial" w:cs="Arial" w:eastAsia="Arial" w:hAnsi="Arial"/>
                <w:sz w:val="18"/>
                <w:szCs w:val="18"/>
                <w:color w:val="auto"/>
              </w:rPr>
              <w:t>Indirect ownership interest through NTI Asean.</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NTIC receives funds from its joint ventures as fees received for services that NTIC provides to its joint ventures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what amount is paid in a given year. The payment of a dividend by an entity is determined by a joint vote of the owners and is not at the sole discretion of NTIC.</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NTIC accounts for the investments and financial results of its joint ventures in its financial statements utilizing the equity method of accounting.</w:t>
      </w:r>
    </w:p>
    <w:p>
      <w:pPr>
        <w:spacing w:after="0" w:line="2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NTIC considers EXCOR to be individually significant to NTIC’s consolidated assets and income. Therefore, NTIC provides certain additional information regarding EXCOR in the notes to NTIC’s consolidated financial statements and in this section of this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March 2020, the World Health Organization declared the novel coronavirus (COVID-19) outbreak a global pandemic. The COVID-19 pandemic has negatively impacted the global economy, disrupted global supply chains, created significant volatility in financial markets and has resulted in an economic recession. The outbreak and continuing rapid spread of COVID-19 has resulted in a substantial curtailment of business activities worldwide and has caused weakened economic conditions, both in the United States and abroad.</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part of efforts to contain the spread of COVID-19, federal, state, local and foreign governments imposed various restrictions on the conduct of business and travel, some of which remain in place in whole or in part and some of which have been or may be reinstated. Government restrictions, such as stay-at-home orders, quarantines and worker absenteeism as a result of COVID-19, have led to a significant number of business closures and slowdowns. These business closures and slowdowns have adversely impacted and will likely continue to adversely impact NTIC directly and have caused some of NTIC’s customers and suppliers to operate at a fraction of their capacities or wholly lock down, which has disrupted and may continue to disrupt NTIC’s sales and production.</w:t>
      </w:r>
    </w:p>
    <w:p>
      <w:pPr>
        <w:spacing w:after="0" w:line="19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the events surrounding the COVID-19 pandemic unfolded, NTIC’s primary focus was, and continues to be, the health, safety and wellbeing of its employees, customers and suppliers. In order to continue its operations, as permitted by respective state, local and foreign governments, NTIC has adopted numerous safety measures in accordance with U.S. Centers for Disease Control and Prevention, World Health Organization, and federal, state, local and foreign guidance in order to protect its employees, customers and suppliers. These safety measures include, but are not limited to, adhering to social distancing protocols, enabling the majority of its employees to work from home, suspending non-essential travel, disinfecting facilities and workspaces extensively and frequently, suspending all non-essential visitors and requiring employees who must be present at NTIC’s facilities to wear face coverings. NTIC expects to continue such safety measures for the foreseeable future and may take further actions, or adapt these existing policies, as government authorities may require or recommend or as it may determine to be in the best interests of its employees, customers and suppliers.</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NTIC has been balancing its safety-focused approach with the needs of its customers. Government mandated measures resulting in the substantial curtailment of business activities generally have excluded certain essential businesses and services, including certain manufacturing. With the exception of the temporary closures of NTIC’s facilities in China and India during the second and third fiscal quarters of 2020, NTIC’s manufacturing activities are generally considered part of the “critical sector” with respect to state and local government orders. This has allowed NTIC to continue to receive orders and provide uninterrupted order fulfillment to its customers. However, its facilities have been operating at a reduced capacity in order to abide by local government requirements and recommendations, such as social distancing practices, and in response to reduced demand. During the first six months of fiscal 2021, certain of NTIC’s facilities were impacted by reduced levels of production, manufacturing inefficiencies due to the reconfiguration of certain of its manufacturing processes in order to implement social distancing protocols and reduced demand. NTIC has engaged and continues to engage in communications with its suppliers in an attempt to identify and mitigate supply chain risks and proactively manage inventory levels in order to align production with demand. While domestic and international governmental measures may be modified or extended, NTIC currently expects that its global facilities will remain operational, although operating at reduced production capacity at certain of its facilities. However, such expectation is dependent upon future governmental actions and demand for NTIC’s products, the stability of its global supply chain and the ability of carriers to transport supplies to its facilities and products to its customers.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spacing w:after="0" w:line="270" w:lineRule="auto"/>
        <w:rPr>
          <w:sz w:val="20"/>
          <w:szCs w:val="20"/>
          <w:color w:val="auto"/>
        </w:rPr>
      </w:pPr>
      <w:r>
        <w:rPr>
          <w:rFonts w:ascii="Arial" w:cs="Arial" w:eastAsia="Arial" w:hAnsi="Arial"/>
          <w:sz w:val="17"/>
          <w:szCs w:val="17"/>
          <w:color w:val="auto"/>
        </w:rPr>
        <w:t>As a result of the global economic slowdown caused by the COVID-19 pandemic, NTIC continued to experience softened demand in various regions and markets during the first half of fiscal 2021, which had an adverse effect on NTIC’s operating results and financial condition. NTIC anticipates continued softened global demand for its products and services during the remainder of fiscal 2021 and possibly beyond. Due to the international reach of COVID-19, NTIC’s international joint ventures have also been adversely impacted, which has had and may continue to have a material adverse effect on NTIC’s joint venture operations and equity in income from joint ventures. It is currently not possible to predict the precise potential impact, as well as the extent of any future impact, of the COVID-19 pandemic on NTIC’s business and on the global economy as a whole. It is also currently not possible to predict how long the pandemic will last or the time that it will take for economic activity to return to prior levels. A prolonged situation could have a significant adverse effect on economies and financial markets globally, potentially leading to a significant worldwide economic downturn, which could have a significant adverse effect on NTIC’s business, operating results and financial condition.</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extent to which the COVID-19 pandemic will continue to impact NTIC’s business will likely depend on numerous evolving factors that NTIC may not be able to accurately predict, including:</w:t>
      </w:r>
    </w:p>
    <w:p>
      <w:pPr>
        <w:spacing w:after="0" w:line="17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duration and scope of the pandemic and the availability and effectiveness of vaccines;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governmental, business and individuals’ actions that have been and continue to be taken in response to the pandemic;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the pandemic on economic activity and actions taken in response;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on NTIC’s customers and demand for its products and services;</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ability to continue to manufacture and sell its products and services, including as a result of travel restrictions and people working from home;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NTIC’s customers to pay for its products and services;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closures of NTIC’s facilities and the facilities of its customers and suppliers.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of these events could materially adversely affect NTIC’s business, operating results and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NTIC’s consolidated net sales decreased 3.4% and 8.3% during the three and six months ended February 28, 2021, respectively, compared to the three and six months ended February 29, 2020. NTIC’s consolidated net sales for the three and six months ended February 28, 2021 were adversely affected by reduced demand globally as a result of the COVID-19 pandemic. NTIC anticipates that the COVID-19 pandemic will continue to significantly adversely affect NTIC’s consolidated net sales, including sales of its ZERUST® products and services and Natur-Tec® products, and earnings during the remainder of fiscal 2021 and possibly beyond.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5" w:name="page26"/>
    <w:bookmarkEnd w:id="25"/>
    <w:p>
      <w:pPr>
        <w:ind w:right="140"/>
        <w:spacing w:after="0" w:line="288" w:lineRule="auto"/>
        <w:rPr>
          <w:sz w:val="20"/>
          <w:szCs w:val="20"/>
          <w:color w:val="auto"/>
        </w:rPr>
      </w:pPr>
      <w:r>
        <w:rPr>
          <w:rFonts w:ascii="Arial" w:cs="Arial" w:eastAsia="Arial" w:hAnsi="Arial"/>
          <w:sz w:val="16"/>
          <w:szCs w:val="16"/>
          <w:color w:val="auto"/>
        </w:rPr>
        <w:t>During both the three and six months ended February 28, 2021, 80.5% and 80.2% of NTIC’s consolidated net sales, respectively, were derived from sales of ZERUST® products and services, which increased 14.1% and 8.1% to $10,284,116 and $20,504,667, respectively, compared to $9,016,222 and $18,965,734 during the three and six months ended February 29, 2020, respectively. These increases were due to increased sales to new and existing customers in China, partially offset by a slight decrease in North American sales as a result of decreased demand, primarily as a result of the continued impact of the COVID-19 pandemic. NTIC has focused its sales efforts of ZERUST® products and services by strategically targeting customers with specific corrosion issues in new market areas and other industrial sectors that offer sizable growth opportunities. NTIC’s consolidated net sales for the six months ended February 28, 2021 included $923,763 of sales made to customers in the oil and gas industry compared to $1,587,862 for the six months ended February 29, 2020. Overall demand for ZERUST® products and services depends heavily on the overall health of the markets in which NTIC sells its products, including the automotive, oil and gas, agriculture, and mining markets in particular. NTIC’s sales of ZERUST® products and services for the three and six months ended February 28, 2021 were adversely affected by reduced demand globally as a result of the COVID-19 pandemic.</w:t>
      </w:r>
    </w:p>
    <w:p>
      <w:pPr>
        <w:spacing w:after="0" w:line="168"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During the three and six months ended February 28, 2021, 19.5% and 19.8% of NTIC’s consolidated net sales were derived from sales of Natur-Tec® products, respectively, compared to 31.9% during both the three and six months ended February 29, 2020, respectively. Net sales of Natur-Tec® products decreased 40.8% and 43.2% during the three and six months ended February 28, 2021, respectively, compared to the three and six months ended February 29, 2020 primarily due to a decrease in finished product sales in North America and finished product sales at NTIC’s majority-owned subsidiary in India, Natur-Tec India Private Limited (Natur-Tec India) and reduced demand globally as a result of the COVID-19 pandemic. The COVID-19 pandemic continues to have a material impact on demand from many large users of bioplastics, including college campuses, stadiums, arenas, restaurants, and corporate office complexes. These are expected to be some of the last businesses to re-open, and many of these institutions have still not announced re-opening plans. Furthermore, production across the apparel industry has declined sharply, further decreasing demand for our Natur-Tec bioplastic bags, which have become an important part of the sustainability initiatives within this industry.</w:t>
      </w:r>
    </w:p>
    <w:p>
      <w:pPr>
        <w:spacing w:after="0" w:line="16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Cost of goods sold as a percentage of net sales increased to 66.7% during the three months ended February 28, 2021, compared to 65.6% during the three months ended February 29, 2020, and decreased to 65.9% during the six months ended February 28, 2021, compared to 66.4% during the prior fiscal year period primarily as a result of a decreased percentage of product sales from Natur-Tec® products, which have lower gross margins than NTIC’s traditional ZERUST® industrial products and services or its oil and gas products.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NTIC’s equity in income from joint ventures increased 41.1% during both the three and six months ended February 28, 2021 to $1,920,012 and $3,745,724, respectively, compared to $1,360,804 and $2,654,794 during the three and six months ended February 29, 2020, respectively. These increases were primarily due to corresponding increases in net sales at the joint ventures, which increased 19.6% and 12.2% to $29,058,402 and $55,835,745 during the three and six months ended February 28, 2021, respectively, compared to $24,289,370 and $49,749,664 during the three and six months ended February 29, 2020, respectively. These increases in the net sales of NTIC’s joint ventures were due primarily to increased sales to existing customers as a result of increased demand for existing products.</w:t>
      </w:r>
    </w:p>
    <w:p>
      <w:pPr>
        <w:spacing w:after="0" w:line="19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NTIC’s total operating expenses decreased 9.2% and 4.7% to $5,866,162 and $11,777,649 during the three and six months ended February 28, 2021, respectively, compared to $6,461,748 and $12,360,368 for the three and six months ended February 29, 2020. These decreases were primarily due to decreased expenses due to the suspension of travel and work from home initiatives as a result of the COVID-19 pandemic during fiscal 2020, partially offset by increased research and development expenses.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jc w:val="both"/>
        <w:ind w:right="20"/>
        <w:spacing w:after="0" w:line="263" w:lineRule="auto"/>
        <w:rPr>
          <w:sz w:val="20"/>
          <w:szCs w:val="20"/>
          <w:color w:val="auto"/>
        </w:rPr>
      </w:pPr>
      <w:r>
        <w:rPr>
          <w:rFonts w:ascii="Arial" w:cs="Arial" w:eastAsia="Arial" w:hAnsi="Arial"/>
          <w:sz w:val="18"/>
          <w:szCs w:val="18"/>
          <w:color w:val="auto"/>
        </w:rPr>
        <w:t>NTIC spent $1,075,180 and $2,150,917 during the three and six months ended February 28, 2021, compared to $1,006,395 and $1,968,036 during the three and six months ended February 29, 2020, respectively, in connection with its research and development activities. NTIC anticipates that it will spend a total of between $3,900,000 and $4,100,000 in fiscal 2021 on research and development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NTIC increased to $1,312,575, or $0.13 per diluted common share, for the three months ended February 28, 2021,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$179,834, or $0.02 per diluted common share, for the three months ended February 29, 2020, an increase of $1,132,741 or $0.11 per diluted share. Net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attributable to NTIC increased to $2,574,974, or $0.26 per diluted common share, for the six months ended February 28, 2021,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$1,392,384, or $0.15 per diluted common share, for the six months ended February 29, 2020, an increase of $1,182,590, or $0.11 per diluted share.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increases were primarily the result of increased income from joint venture operations and decreased operating expenses during the current fiscal 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periods compared to the prior fiscal year periods, partially offset by a slight decrease in gross profit for the three and six month comparison. NTIC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anticipates that its earnings will continue to be subject to volatility due to the COVID-19 pandemic during the remainder of fiscal 2021 and possibly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beyond. NTIC also anticipates that its quarterly net income will continue to remain subject to significant volatility primarily due to the financial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performance of its subsidiaries and joint ventures, sales of its ZERUST® products and services into the oil and gas industry, and sales of its Natur-Tec®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bioplastics products, which sales fluctuate more on a quarterly basis than the traditional ZERUST® business.</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NTIC’s working capital, defined as current assets less current liabilities, was $29,471,339 at February 28, 2021, including $6,788,535 in cash and cash equivalents and $5,913,480 in available for sale securities, compared to $27,104,746 at August 31, 2020, including $6,403,032 in cash and cash equivalents and $5,544,722 in available for sale securities.</w:t>
      </w:r>
    </w:p>
    <w:p>
      <w:pPr>
        <w:spacing w:after="0" w:line="18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On January 15, 2021, the Company announced the reinstatement of its quarterly cash dividend and the Company’s Board of Directors declared a cash dividend of $0.065 per share of NTIC’s common stock, payable on February 17, 2021 to stockholders of record on February 3,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the three and six months ended February 28, 2021 and February 29,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1"/>
        </w:trPr>
        <w:tc>
          <w:tcPr>
            <w:tcW w:w="3200" w:type="dxa"/>
            <w:vAlign w:val="bottom"/>
          </w:tcPr>
          <w:p>
            <w:pPr>
              <w:spacing w:after="0"/>
              <w:rPr>
                <w:sz w:val="16"/>
                <w:szCs w:val="16"/>
                <w:color w:val="auto"/>
              </w:rPr>
            </w:pPr>
          </w:p>
        </w:tc>
        <w:tc>
          <w:tcPr>
            <w:tcW w:w="120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20" w:type="dxa"/>
            <w:vAlign w:val="bottom"/>
          </w:tcPr>
          <w:p>
            <w:pPr>
              <w:spacing w:after="0"/>
              <w:rPr>
                <w:sz w:val="16"/>
                <w:szCs w:val="16"/>
                <w:color w:val="auto"/>
              </w:rPr>
            </w:pPr>
          </w:p>
        </w:tc>
        <w:tc>
          <w:tcPr>
            <w:tcW w:w="126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20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5"/>
              </w:rPr>
              <w:t>February 29,</w:t>
            </w:r>
          </w:p>
        </w:tc>
        <w:tc>
          <w:tcPr>
            <w:tcW w:w="120" w:type="dxa"/>
            <w:vAlign w:val="bottom"/>
          </w:tcPr>
          <w:p>
            <w:pPr>
              <w:spacing w:after="0"/>
              <w:rPr>
                <w:sz w:val="16"/>
                <w:szCs w:val="16"/>
                <w:color w:val="auto"/>
              </w:rPr>
            </w:pPr>
          </w:p>
        </w:tc>
        <w:tc>
          <w:tcPr>
            <w:tcW w:w="126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510"/>
              <w:spacing w:after="0" w:line="191" w:lineRule="exact"/>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59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3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12,255,941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12,988,153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(732,212)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526,941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245,630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281,311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114.5%</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8,531,679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8,687,301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(155,622)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1,920,012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1,360,804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559,208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41.1%</w:t>
            </w: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Fees for services provided to joint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ventures</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1,462,684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1,256,213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206,471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Selling expenses</w:t>
            </w: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2,832,008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3,110,240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(278,232)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1,958,974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2,345,113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(386,139)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1,075,180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1,006,395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68,785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418"/>
        </w:trPr>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3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1"/>
        </w:trPr>
        <w:tc>
          <w:tcPr>
            <w:tcW w:w="3200" w:type="dxa"/>
            <w:vAlign w:val="bottom"/>
          </w:tcPr>
          <w:p>
            <w:pPr>
              <w:spacing w:after="0"/>
              <w:rPr>
                <w:sz w:val="16"/>
                <w:szCs w:val="16"/>
                <w:color w:val="auto"/>
              </w:rPr>
            </w:pPr>
          </w:p>
        </w:tc>
        <w:tc>
          <w:tcPr>
            <w:tcW w:w="120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20" w:type="dxa"/>
            <w:vAlign w:val="bottom"/>
          </w:tcPr>
          <w:p>
            <w:pPr>
              <w:spacing w:after="0"/>
              <w:rPr>
                <w:sz w:val="16"/>
                <w:szCs w:val="16"/>
                <w:color w:val="auto"/>
              </w:rPr>
            </w:pPr>
          </w:p>
        </w:tc>
        <w:tc>
          <w:tcPr>
            <w:tcW w:w="126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20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5"/>
              </w:rPr>
              <w:t>February 29,</w:t>
            </w:r>
          </w:p>
        </w:tc>
        <w:tc>
          <w:tcPr>
            <w:tcW w:w="120" w:type="dxa"/>
            <w:vAlign w:val="bottom"/>
          </w:tcPr>
          <w:p>
            <w:pPr>
              <w:spacing w:after="0"/>
              <w:rPr>
                <w:sz w:val="16"/>
                <w:szCs w:val="16"/>
                <w:color w:val="auto"/>
              </w:rPr>
            </w:pPr>
          </w:p>
        </w:tc>
        <w:tc>
          <w:tcPr>
            <w:tcW w:w="126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510"/>
              <w:spacing w:after="0" w:line="191" w:lineRule="exact"/>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59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3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24,454,749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27,033,937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(2,579,188)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1,107,245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831,246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275,999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16,845,000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18,492,385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(1,647,385)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3,745,724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2,654,794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1,090,930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41.1%</w:t>
            </w: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Fees for services provided to joint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ventures</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2,799,245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2,614,538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184,707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Selling expenses</w:t>
            </w: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5,573,776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5,997,532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(423,756)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4,052,956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4,394,800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(341,844)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2,150,917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1,968,036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182,881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9.3%</w:t>
            </w:r>
          </w:p>
        </w:tc>
      </w:tr>
    </w:tbl>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decreased 3.4% and 8.3% to $12,782,882 and $25,561,994 during the three and six months ended February 28,</w:t>
      </w:r>
      <w:r>
        <w:rPr>
          <w:rFonts w:ascii="Arial" w:cs="Arial" w:eastAsia="Arial" w:hAnsi="Arial"/>
          <w:sz w:val="16"/>
          <w:szCs w:val="16"/>
          <w:i w:val="1"/>
          <w:iCs w:val="1"/>
          <w:color w:val="auto"/>
        </w:rPr>
        <w:t xml:space="preserve"> </w:t>
      </w:r>
      <w:r>
        <w:rPr>
          <w:rFonts w:ascii="Arial" w:cs="Arial" w:eastAsia="Arial" w:hAnsi="Arial"/>
          <w:sz w:val="16"/>
          <w:szCs w:val="16"/>
          <w:color w:val="auto"/>
        </w:rPr>
        <w:t>2021, respectively, compared to the three and six months ended February 29, 2020. NTIC’s consolidated net sales to unaffiliated customers excluding NTIC’s joint ventures decreased 5.6% and 9.5% to $12,255,941 and $24,454,749 during the three and six months ended February 28, 2021, respectively, compared to the same respective periods in fiscal 2020. These decreases were primarily a result of reduced demand globally as a result of the COVID-19 pandemic. NTIC anticipates that the COVID-19 pandemic will continue to adversely affect NTIC’s consolidated net sales, including sales of its ZERUST® products and services and Natur-Tec® products, during the remainder of fiscal 2021 and possibly beyond.</w:t>
      </w:r>
    </w:p>
    <w:p>
      <w:pPr>
        <w:spacing w:after="0" w:line="16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sets forth NTIC’s net sales by product segment for the three and six months ended February 28, 2021 and February 29, 2020 by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5980" w:type="dxa"/>
            <w:vAlign w:val="bottom"/>
          </w:tcPr>
          <w:p>
            <w:pPr>
              <w:spacing w:after="0"/>
              <w:rPr>
                <w:sz w:val="16"/>
                <w:szCs w:val="16"/>
                <w:color w:val="auto"/>
              </w:rPr>
            </w:pPr>
          </w:p>
        </w:tc>
        <w:tc>
          <w:tcPr>
            <w:tcW w:w="1260" w:type="dxa"/>
            <w:vAlign w:val="bottom"/>
            <w:gridSpan w:val="2"/>
          </w:tcPr>
          <w:p>
            <w:pPr>
              <w:jc w:val="right"/>
              <w:ind w:right="11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20" w:type="dxa"/>
            <w:vAlign w:val="bottom"/>
          </w:tcPr>
          <w:p>
            <w:pPr>
              <w:spacing w:after="0"/>
              <w:rPr>
                <w:sz w:val="16"/>
                <w:szCs w:val="16"/>
                <w:color w:val="auto"/>
              </w:rPr>
            </w:pPr>
          </w:p>
        </w:tc>
        <w:tc>
          <w:tcPr>
            <w:tcW w:w="1240" w:type="dxa"/>
            <w:vAlign w:val="bottom"/>
            <w:gridSpan w:val="2"/>
          </w:tcPr>
          <w:p>
            <w:pPr>
              <w:jc w:val="right"/>
              <w:ind w:right="90"/>
              <w:spacing w:after="0" w:line="191" w:lineRule="exact"/>
              <w:rPr>
                <w:sz w:val="20"/>
                <w:szCs w:val="20"/>
                <w:color w:val="auto"/>
              </w:rPr>
            </w:pPr>
            <w:r>
              <w:rPr>
                <w:rFonts w:ascii="Arial" w:cs="Arial" w:eastAsia="Arial" w:hAnsi="Arial"/>
                <w:sz w:val="18"/>
                <w:szCs w:val="18"/>
                <w:b w:val="1"/>
                <w:bCs w:val="1"/>
                <w:color w:val="auto"/>
                <w:w w:val="97"/>
              </w:rPr>
              <w:t>February 29,</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February 29,</w:t>
            </w:r>
          </w:p>
        </w:tc>
      </w:t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ZERUST® sales</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10,284,116</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9,016,222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20,504,667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18,965,734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Natur-Tec® sales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2,498,766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4,217,561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5,057,327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8,899,449</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12,782,882</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13,233,783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25,561,994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27,865,183</w:t>
            </w:r>
          </w:p>
        </w:tc>
      </w:tr>
    </w:tbl>
    <w:p>
      <w:pPr>
        <w:spacing w:after="0" w:line="20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During the three and six months ended February 28, 2021, 80.5% and 80.2% of NTIC’s consolidated net sales, respectively, were derived from sales of ZERUST® products and services, which increased 14.1% and 8.1% to $10,248,116 and $20,504,327 during the three and six months ended February 28, 2021, respectively, compared to $9,106,222 and $18,965,734 during the three and six months ended February 29, 2020, respectively. These increases were primarily a result of increased demand in China, partially offset by slightly decreased demand in North America as a result of the COVID-19 pandemic.</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The following table sets forth NTIC’s net sales of ZERUST® products for the three and six months ended February 28, 2021 and February 29,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9"/>
              </w:rPr>
              <w:t>Three Months Ended</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12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20" w:type="dxa"/>
            <w:vAlign w:val="bottom"/>
          </w:tcPr>
          <w:p>
            <w:pPr>
              <w:spacing w:after="0"/>
              <w:rPr>
                <w:sz w:val="16"/>
                <w:szCs w:val="16"/>
                <w:color w:val="auto"/>
              </w:rPr>
            </w:pPr>
          </w:p>
        </w:tc>
        <w:tc>
          <w:tcPr>
            <w:tcW w:w="120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5"/>
              </w:rPr>
              <w:t>February 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510"/>
              <w:spacing w:after="0" w:line="191" w:lineRule="exact"/>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59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5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9,396,105</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7,703,575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1,692,530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526,941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245,629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281,312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114.5%</w:t>
            </w:r>
          </w:p>
        </w:tc>
      </w:tr>
      <w:tr>
        <w:trPr>
          <w:trHeight w:val="216"/>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361,070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1,067,018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(705,948)</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24"/>
        </w:trPr>
        <w:tc>
          <w:tcPr>
            <w:tcW w:w="5940" w:type="dxa"/>
            <w:vAlign w:val="bottom"/>
          </w:tcPr>
          <w:p>
            <w:pPr>
              <w:ind w:left="180"/>
              <w:spacing w:after="0"/>
              <w:rPr>
                <w:sz w:val="20"/>
                <w:szCs w:val="20"/>
                <w:color w:val="auto"/>
              </w:rPr>
            </w:pPr>
            <w:r>
              <w:rPr>
                <w:rFonts w:ascii="Arial" w:cs="Arial" w:eastAsia="Arial" w:hAnsi="Arial"/>
                <w:sz w:val="18"/>
                <w:szCs w:val="18"/>
                <w:color w:val="auto"/>
              </w:rPr>
              <w:t>Total ZERUST® net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10,284,116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9,016,222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1,267,894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14.1%</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12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20" w:type="dxa"/>
            <w:vAlign w:val="bottom"/>
          </w:tcPr>
          <w:p>
            <w:pPr>
              <w:spacing w:after="0"/>
              <w:rPr>
                <w:sz w:val="16"/>
                <w:szCs w:val="16"/>
                <w:color w:val="auto"/>
              </w:rPr>
            </w:pPr>
          </w:p>
        </w:tc>
        <w:tc>
          <w:tcPr>
            <w:tcW w:w="120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5"/>
              </w:rPr>
              <w:t>February 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510"/>
              <w:spacing w:after="0" w:line="191" w:lineRule="exact"/>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59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5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18,473,659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16,546,627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1,927,032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1,107,245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831,245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276,000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923,763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1,587,862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(664,099)</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24"/>
        </w:trPr>
        <w:tc>
          <w:tcPr>
            <w:tcW w:w="5940" w:type="dxa"/>
            <w:vAlign w:val="bottom"/>
          </w:tcPr>
          <w:p>
            <w:pPr>
              <w:ind w:left="180"/>
              <w:spacing w:after="0"/>
              <w:rPr>
                <w:sz w:val="20"/>
                <w:szCs w:val="20"/>
                <w:color w:val="auto"/>
              </w:rPr>
            </w:pPr>
            <w:r>
              <w:rPr>
                <w:rFonts w:ascii="Arial" w:cs="Arial" w:eastAsia="Arial" w:hAnsi="Arial"/>
                <w:sz w:val="18"/>
                <w:szCs w:val="18"/>
                <w:color w:val="auto"/>
              </w:rPr>
              <w:t>Total ZERUST® net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20,504,667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18,965,734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1,538,933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8.1%</w:t>
            </w:r>
          </w:p>
        </w:tc>
      </w:tr>
    </w:tbl>
    <w:p>
      <w:pPr>
        <w:spacing w:after="0" w:line="18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NTIC’s total ZERUST® net sales increased during the three and six months ended February 28, 2021, compared to the prior fiscal year periods, primarily due to an overall increased demand for ZERUST® industrial products and services in China, partially offset by decreased demand for ZERUST® oil and gas products and services.</w:t>
      </w:r>
    </w:p>
    <w:p>
      <w:pPr>
        <w:spacing w:after="0" w:line="18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ZERUST® oil and gas net sales decreased 66.2% and 41.8% during the three and six months ended February 28, 2021 compared to the same period last fiscal year primarily as a result of decreased demand and volatility of sales orders. NTIC anticipates that its sales of ZERUST® products and services into the oil and gas industry will continue to remain subject to significant volatility from quarter to quarter as sales are recognized, specifically due to the volatility of oil prices.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7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During the three and six months ended February 28, 2021, 19.5% and 19.8% of NTIC’s consolidated net sales, respectively, were derived from sales of Natur-Tec® products, which decreased 40.8% and 43.2% to $2,498,766 and $5,057,327 during the three and six months ended February 28, 2021, respectively, compared to the three and six months ended February 29, 2020. These decreases were primarily due to a decrease in finished product sales in North America and at NTIC’s majority-owned subsidiary in India, and decreased demand globally as a result of the COVID-19 pandemic. The COVID pandemic has adversely impacted demand from across the apparel industry, as well as many large users of bioplastics, including college campuses, stadiums, arenas, restaurants, and corporate office complexes. NTIC currently expects these customers will be some of the last businesses to re-open, and accordingly, anticipates that the COVID-19 pandemic will continue to significantly adversely affect sales of Natur-Tec® products during the remainder of fiscal 2021 and possibly beyond.</w:t>
      </w:r>
    </w:p>
    <w:p>
      <w:pPr>
        <w:spacing w:after="0" w:line="192"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Cost of Goods Sold</w:t>
      </w:r>
      <w:r>
        <w:rPr>
          <w:rFonts w:ascii="Arial" w:cs="Arial" w:eastAsia="Arial" w:hAnsi="Arial"/>
          <w:sz w:val="16"/>
          <w:szCs w:val="16"/>
          <w:color w:val="auto"/>
        </w:rPr>
        <w:t>. Cost of goods sold decreased 1.8% and 8.9% for the three and six months ended February 28, 2021, respectively,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and six months ended February 29, 2020. Cost of goods sold as a percentage of net sales increased to 66.7% during the three months ended February 28, 2021, compared to 65.6% during the three months ended February 29, 2020, and decreased to 65.9% during the six months ended February 28, 2021, compared to 66.4% during the six months ended February 29, 2020. These changes were due primarily to changes in product mix. Sales from Natur-Tec® products have lower gross margins than NTIC’s traditional ZERUST® industrial products and services or its ZERUST® oil and gas products.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9" w:name="page30"/>
    <w:bookmarkEnd w:id="29"/>
    <w:p>
      <w:pPr>
        <w:ind w:right="20"/>
        <w:spacing w:after="0" w:line="293" w:lineRule="auto"/>
        <w:rPr>
          <w:sz w:val="20"/>
          <w:szCs w:val="20"/>
          <w:color w:val="auto"/>
        </w:rPr>
      </w:pPr>
      <w:r>
        <w:rPr>
          <w:rFonts w:ascii="Arial" w:cs="Arial" w:eastAsia="Arial" w:hAnsi="Arial"/>
          <w:sz w:val="16"/>
          <w:szCs w:val="16"/>
          <w:i w:val="1"/>
          <w:iCs w:val="1"/>
          <w:color w:val="auto"/>
        </w:rPr>
        <w:t xml:space="preserve">Equity in Income from Joint Ventures. </w:t>
      </w:r>
      <w:r>
        <w:rPr>
          <w:rFonts w:ascii="Arial" w:cs="Arial" w:eastAsia="Arial" w:hAnsi="Arial"/>
          <w:sz w:val="16"/>
          <w:szCs w:val="16"/>
          <w:color w:val="auto"/>
        </w:rPr>
        <w:t>NTIC’s equity in income from joint ventures increased 41.1% to $1,920,012 and 41.1% to $3,745,724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and six months ended February 28, 2021, respectively, compared to $1,360,804 and $2,654,794 during the three and six months ended February 29, 2020, respectively. These increases were primarily a result of increased profitability of the joint ventures, which fluctuates based on net sales, during the respective periods. Of the total equity in income from joint ventures, NTIC had equity in income from joint ventures of $2,143,115 attributable to EXCOR during the six months ended February 28, 2021, compared to $1,710,390 during the six months ended February 29, 2020. NTIC had equity in income of all other joint ventures of $1,602,609 during the six months ended February 28, 2021, compared to $944,404 during the six months ended February 29, 2020.</w:t>
      </w:r>
    </w:p>
    <w:p>
      <w:pPr>
        <w:spacing w:after="0" w:line="16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Fees for Services Provided to Joint Ventures</w:t>
      </w:r>
      <w:r>
        <w:rPr>
          <w:rFonts w:ascii="Arial" w:cs="Arial" w:eastAsia="Arial" w:hAnsi="Arial"/>
          <w:sz w:val="17"/>
          <w:szCs w:val="17"/>
          <w:color w:val="auto"/>
        </w:rPr>
        <w:t>. NTIC recognized fee income for services provided to joint ventures of $1,462,684 and $2,799,245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and six months ended February 28, 2021, respectively, compared to $1,256,213 and $2,614,538 during the three and six months ended February 29, 2020, respectively, representing increases of 16.4% and 7.1%, respectively. Fee income for services provided to joint ventures is traditionally a function of the sales made by NTIC’s joint ventures; however, at various joint ventures, the fee income for services is a fixed amount that does not fluctuate with the increases in sales which was experienced by certain joint ventures during the three and six months ended February 28, 2021. Total net sales of NTIC’s joint ventures increased to $29,058,402 and $55,835,745 during the three and six months ended February 28, 2021, respectively, compared to $24,289,370 and $49,749,664 during the three and six months ended February 29, 2020, respectively, representing increases of 19.6% and 12.2%, respectively. Net sales of NTIC’s joint ventures are not included in NTIC’s consolidated financial statements. Of the total fee income for services provided to joint ventures, fees of $460,744 were attributable to EXCOR during the six months ended February 28, 2021, compared to $420,229 attributable to EXCOR during the six months ended February 29, 2020.</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decreased 8.9% and 7.1% for the three and six months ended February 28, 2021, respectively,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respective periods in fiscal 2020 due primarily to decreased travel expenses and other expenses due to work from home arrangements necessitated by the COVID-19 pandemic. Selling expenses as a percentage of net sales decreased to 22.2% and increased to 21.8% for the three and six months ended February 28, 2021, respectively, from 23.5% and 21.5% for the three and six months ended February 29, 2020, respectively, primarily due to the fluctuations in net sales and selling expenses, as previously described.</w:t>
      </w:r>
    </w:p>
    <w:p>
      <w:pPr>
        <w:spacing w:after="0" w:line="188"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NTIC’s general and administrative expenses decreased 16.5% and 7.8% for the three and six months ended February</w:t>
      </w:r>
      <w:r>
        <w:rPr>
          <w:rFonts w:ascii="Arial" w:cs="Arial" w:eastAsia="Arial" w:hAnsi="Arial"/>
          <w:sz w:val="16"/>
          <w:szCs w:val="16"/>
          <w:i w:val="1"/>
          <w:iCs w:val="1"/>
          <w:color w:val="auto"/>
        </w:rPr>
        <w:t xml:space="preserve"> </w:t>
      </w:r>
      <w:r>
        <w:rPr>
          <w:rFonts w:ascii="Arial" w:cs="Arial" w:eastAsia="Arial" w:hAnsi="Arial"/>
          <w:sz w:val="16"/>
          <w:szCs w:val="16"/>
          <w:color w:val="auto"/>
        </w:rPr>
        <w:t>28, 2021, respectively, compared to the same respective periods in fiscal 2020 primarily due to decreased travel expenses and other expenses due to work from home arrangements necessitated by the COVID-19 pandemic. As a percentage of net sales, general and administrative expenses were 15.3% and 15.9% for the three and six months ended February 28, 2021, respectively, from 17.7% and 15.8% for the same respective periods in fiscal 2020, respectively, primarily due to the decrease in general and administrative expenses, partially offset by the decrease in net sales, as previously described.</w:t>
      </w:r>
    </w:p>
    <w:p>
      <w:pPr>
        <w:spacing w:after="0" w:line="161"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NTIC’s research and development expenses increased 6.8% and 9.3% for the three and six months ended February</w:t>
      </w:r>
      <w:r>
        <w:rPr>
          <w:rFonts w:ascii="Arial" w:cs="Arial" w:eastAsia="Arial" w:hAnsi="Arial"/>
          <w:sz w:val="17"/>
          <w:szCs w:val="17"/>
          <w:i w:val="1"/>
          <w:iCs w:val="1"/>
          <w:color w:val="auto"/>
        </w:rPr>
        <w:t xml:space="preserve"> </w:t>
      </w:r>
      <w:r>
        <w:rPr>
          <w:rFonts w:ascii="Arial" w:cs="Arial" w:eastAsia="Arial" w:hAnsi="Arial"/>
          <w:sz w:val="17"/>
          <w:szCs w:val="17"/>
          <w:color w:val="auto"/>
        </w:rPr>
        <w:t>28, 2021, respectively, compared to the same respective periods in fiscal 2020 primarily due to increased personnel and development efforts, partially offset by decreased travel expenses due to work from home arrangements necessitated by the COVID-19 pandemic.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0" w:name="page31"/>
    <w:bookmarkEnd w:id="30"/>
    <w:p>
      <w:pPr>
        <w:ind w:right="240"/>
        <w:spacing w:after="0" w:line="263"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$15,638 and $85,176 during the three and six months ended February 28, 2021,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$55,042 and $104,080 during the three and six months ended February 29, 2020, respectively, primarily due to decreased levels of invested capital and the return achieved on the invested capital.</w:t>
      </w:r>
    </w:p>
    <w:p>
      <w:pPr>
        <w:spacing w:after="0" w:line="18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$5,249 and $7,617 during the three and six months ended February 28, 2021,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$9,377 and $14,821 during the three and six months ended February 29, 2020, respectively.</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i w:val="1"/>
          <w:iCs w:val="1"/>
          <w:color w:val="auto"/>
        </w:rPr>
        <w:t>Income Before Income Tax Expense</w:t>
      </w:r>
      <w:r>
        <w:rPr>
          <w:rFonts w:ascii="Arial" w:cs="Arial" w:eastAsia="Arial" w:hAnsi="Arial"/>
          <w:sz w:val="16"/>
          <w:szCs w:val="16"/>
          <w:color w:val="auto"/>
        </w:rPr>
        <w:t>. NTIC incurred income before income tax expense equal to $1,778,126 and $3,561,873 for the three and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February 28, 2021, respectively, compared to $747,416 and $2,371,021 for the three and six months ended February 29, 2020, respectively.</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was $274,660 and $653,250 for the three and six months ended February 28, 2021, respectively,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of $463,594 and $727,660 during the three and six months ended February 29, 2020, respectively. Income tax expense was calculated based on management’s estimate of NTIC’s annual effective income tax rate.</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bases of estimates that NTIC’s future domestic cash generation will be sufficient to meet future domestic cash needs. As a result, U.S. income and foreign withholding taxes have not been recognized on the cumulative undistributed earnings of $22,625,070 and $21,855,747 at February 28, 2021, and August 31, 2020, respectively. To the extent undistributed earnings of NTIC’s joint ventures are distributed in the future, they are not expected to result in any material additional income tax liability after the application of foreign tax credits.</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Net Income Attributable to NTIC</w:t>
      </w:r>
      <w:r>
        <w:rPr>
          <w:rFonts w:ascii="Arial" w:cs="Arial" w:eastAsia="Arial" w:hAnsi="Arial"/>
          <w:sz w:val="17"/>
          <w:szCs w:val="17"/>
          <w:color w:val="auto"/>
        </w:rPr>
        <w:t>. Net income attributable to NTIC increased to $1,312,575, or $0.13 per diluted common share,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28, 2021, compared to $179,834, or $0.02 per diluted common share, for the three months ended February 29, 2020, an increase of $1,132,741 or $0.11 per diluted common share. Net income attributable to NTIC increased to $2,574,974, or $0.26 per diluted common share, for the six months ended February 28, 2021, compared to $1,392,384, or $0.15 per diluted common share, for the six months ended February 29, 2020, an increase of $1,182,590 or $0.11 per diluted common share. These increases were primarily the result of increased income from joint venture operations and decreased operating expenses during the three and six months ended February 28, 2021 compared to the prior fiscal year periods.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NTIC anticipates that its earnings will continue to be adversely affected by the COVID-19 pandemic in the third quarter of fiscal 2021 and beyond and that its quarterly net income will continue to remain subject to significant volatility primarily due to the financial performance of its subsidiaries and joint ventures, sales of its ZERUST® products and services into the oil and gas industry, and sales of its Natur-Tec® bioplastics products, which fluctuate more on a quarterly basis than the traditional ZERUST® business.</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Other Comprehensive Income - Foreign Currency Translations Adjustment. </w:t>
      </w:r>
      <w:r>
        <w:rPr>
          <w:rFonts w:ascii="Arial" w:cs="Arial" w:eastAsia="Arial" w:hAnsi="Arial"/>
          <w:sz w:val="18"/>
          <w:szCs w:val="18"/>
          <w:color w:val="auto"/>
        </w:rPr>
        <w:t>The changes in the foreign currency translations adjustment were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of the U.S. dollar compared to the Euro and other foreign currencies during the three and six months ended February 28, 2021 compared to the same periods in fiscal 2020.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NTIC’s working capital, defined as current assets less current liabilities, was $29,471,339 at February 28, 2021,</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$6,778,535 in cash and cash equivalents and $5,913,480 in available for sale securities, compared to $27,104,746 at August 31, 2020, including $6,403,032 in cash and cash equivalents and $5,544,722 in available for sale securities.</w:t>
      </w:r>
    </w:p>
    <w:p>
      <w:pPr>
        <w:spacing w:after="0" w:line="1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NTIC has a revolving line of credit with PNC Bank of $3,000,000. No amounts were outstanding under the line of credit as of February 28, 2021 or the prior line of credit as of August 31, 2020. Outstanding advances under the line of credit bear interest at (i) (A) a per annum rate equal to the “London Interbank Offered Rate” for a one-month period determined and applied each business day until the next business date, or if greater (B) 0.75%, plus (ii) 3.25%.</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February 28, 2021, the Company was in compliance with all debt covenants.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December 21, 2020, the Company and PNC Bank amended the loan agreement relating to the revolving line of credit and amended and restated the promissory note issued by the Company relating to the revolving line of credit. Pursuant to these amendments:</w:t>
      </w:r>
    </w:p>
    <w:p>
      <w:pPr>
        <w:spacing w:after="0" w:line="170" w:lineRule="exact"/>
        <w:rPr>
          <w:sz w:val="20"/>
          <w:szCs w:val="20"/>
          <w:color w:val="auto"/>
        </w:rPr>
      </w:pPr>
    </w:p>
    <w:p>
      <w:pPr>
        <w:ind w:left="1300" w:right="220" w:hanging="644"/>
        <w:spacing w:after="0" w:line="263"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at which amounts outstanding under the line of credit bear interest was revised to equal (i) (A) a per annum rate equal to the “London Interbank Offered Rate” for a one-month period determined and applied each business day until the next business date, or if greater (B) 75 basis points (0.75%), plus (ii) 325 basis points (3.25%);</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provision was added that added a mechanism for determining an alternative rate of interest in the event the “London Interbank Offered Rate” is no longer available or in certain other circumstances which are determined to make using an alternative rate desirable;</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maturity date of the line of credit was extended to January 7, 2022;</w:t>
      </w:r>
    </w:p>
    <w:p>
      <w:pPr>
        <w:spacing w:after="0" w:line="252" w:lineRule="exact"/>
        <w:rPr>
          <w:rFonts w:ascii="Arial" w:cs="Arial" w:eastAsia="Arial" w:hAnsi="Arial"/>
          <w:sz w:val="18"/>
          <w:szCs w:val="18"/>
          <w:color w:val="auto"/>
        </w:rPr>
      </w:pPr>
    </w:p>
    <w:p>
      <w:pPr>
        <w:ind w:left="1300" w:right="20" w:hanging="644"/>
        <w:spacing w:after="0" w:line="275"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fixed charge coverage ratio financial covenant was revised to be required to be maintained only as of the end of each fiscal year at a ratio of 1.10:1.0, the same ratio as previously in effect. The definition of “Fixed Charge Coverage Ratio” was amended to delete the effects of changes to paid-in capital on stockholders’ equity and delete references to payments under all capital leases. The related definition of “EBITDA” was amended to delete the effect of non-cash reductions or increases in net income and the related definition of “Current Maturities” was amended to delete the reference to the phrase “as current maturities”; and</w:t>
      </w:r>
    </w:p>
    <w:p>
      <w:pPr>
        <w:spacing w:after="0" w:line="176" w:lineRule="exact"/>
        <w:rPr>
          <w:rFonts w:ascii="Arial" w:cs="Arial" w:eastAsia="Arial" w:hAnsi="Arial"/>
          <w:sz w:val="17"/>
          <w:szCs w:val="17"/>
          <w:color w:val="auto"/>
        </w:rPr>
      </w:pPr>
    </w:p>
    <w:p>
      <w:pPr>
        <w:ind w:left="1300" w:right="64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automatic sweep by PNC Bank of the Company’s checking account and the automatic advance from the line of credit to the Company’s checking account were terminated.</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Except as described above, the other material terms of the revolving line of credit and loan agreement with PNC Bank and other related documents were not affected by the foregoing described amendments.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32" w:name="page33"/>
    <w:bookmarkEnd w:id="32"/>
    <w:p>
      <w:pPr>
        <w:ind w:right="320"/>
        <w:spacing w:after="0" w:line="277" w:lineRule="auto"/>
        <w:rPr>
          <w:sz w:val="20"/>
          <w:szCs w:val="20"/>
          <w:color w:val="auto"/>
        </w:rPr>
      </w:pPr>
      <w:r>
        <w:rPr>
          <w:rFonts w:ascii="Arial" w:cs="Arial" w:eastAsia="Arial" w:hAnsi="Arial"/>
          <w:sz w:val="18"/>
          <w:szCs w:val="18"/>
          <w:color w:val="auto"/>
        </w:rPr>
        <w:t>As of February 28, 2021 and August 31, 2020, the Company did not have any letters of credit outstanding with respect to the letter of credit sub-facility available under the revolving line of credit with PNC Bank.</w:t>
      </w:r>
    </w:p>
    <w:p>
      <w:pPr>
        <w:spacing w:after="0" w:line="1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2021, NTIC expects to continue to invest directly and through its use of working capital in NTIC China, Zerust Mexico, NTI Europe, research and development, marketing efforts, resources for the application of its corrosion prevention technology in the oil and gas industry, and its Natur-Tec® bio-plastics business, although the amounts of these various investments are not known at this time.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6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Uses of Cash and Cash Flows</w:t>
      </w:r>
      <w:r>
        <w:rPr>
          <w:rFonts w:ascii="Arial" w:cs="Arial" w:eastAsia="Arial" w:hAnsi="Arial"/>
          <w:sz w:val="18"/>
          <w:szCs w:val="18"/>
          <w:color w:val="auto"/>
        </w:rPr>
        <w:t>. Net cash provided by operating activities during the six months ended February 28, 2021 was $1,959,249, which resulted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from NTIC’s net income, dividends received from joint ventures, stock based compensation, depreciation, amortization, and an increase in accounts payable and accrued liabilities, partially offset by NTIC’s equity in income from joint ventures, an increase in accounts receivable, inventories and a decrease in prepaid expenses and other. Net cash provided by operating activities during the six months ended February 29, 2020 was $4,207,710, which resulted principally from NTIC’s net income, dividends received from joint ventures, stock based compensation, depreciation, amortization, and an increase in accounts payable and accounts receivable, partially offset by NTIC’s equity in income from joint ventures, an increase in inventories and a decrease in accrued liabilities.</w:t>
      </w:r>
    </w:p>
    <w:p>
      <w:pPr>
        <w:spacing w:after="0" w:line="19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spacing w:after="0" w:line="342" w:lineRule="auto"/>
        <w:rPr>
          <w:sz w:val="20"/>
          <w:szCs w:val="20"/>
          <w:color w:val="auto"/>
        </w:rPr>
      </w:pPr>
      <w:r>
        <w:rPr>
          <w:rFonts w:ascii="Arial" w:cs="Arial" w:eastAsia="Arial" w:hAnsi="Arial"/>
          <w:sz w:val="16"/>
          <w:szCs w:val="16"/>
          <w:color w:val="auto"/>
        </w:rPr>
        <w:t>NTIC experienced an increase in trade receivables as of February 28, 2021, compared to August 31, 2020. Trade receivables, excluding joint ventures, as of February 28, 2021, increased $2,214,323 compared to August 31, 2020, primarily related to the timing of collections and the increase in sales.</w:t>
      </w:r>
    </w:p>
    <w:p>
      <w:pPr>
        <w:spacing w:after="0" w:line="12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Outstanding trade receivables, excluding joint ventures balances as of February 28, 2021 increased 10 days to an average of 75 days from balances outstanding from these customers as of August 31, 2020.</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Outstanding trade receivables from joint ventures as of February 28, 2021 decreased $27,879 compared to August 31, 2020, primarily due to the timing of payments. Outstanding balances from trade receivables from joint ventures decreased an average of 11 days to an average of 77 days from balances outstanding from these customers compared to August 31, 2020. The average days outstanding of trade receivables from joint ventures as of February 28, 2021 were primarily due to the receivables balances at NTIC’s joint ventures in the United States, Thailand and India.</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Outstanding receivables for services provided to joint ventures as of February 29, 2021 increased $388,590 compared to August 31, 2020, and the average days to pay increased an average of 5 days to an average of 81 days compared to August 31, 2020.</w:t>
      </w:r>
    </w:p>
    <w:p>
      <w:pPr>
        <w:spacing w:after="0" w:line="170"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Net cash used in investing activities for the six months ended February 28, 2021 was $910,550, which was primarily the result of purchase of available for sale securities, additions to property and equipment, and additions to patents, partially offset by the proceeds from the sales of available for sale securities. Net cash used in investing activities for the six months ended February 29, 2020 was $3,289,108, which was primarily the result of purchases of the sale of available for sale securities, additions to property and equipment, and additions to patents, partially offset by the proceeds from available for sale securities.</w:t>
      </w:r>
    </w:p>
    <w:p>
      <w:pPr>
        <w:spacing w:after="0" w:line="15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Net cash used in financing activities for the six months ended February 28, 2021 was $755,610, which resulted from dividends paid on NTIC common stock and dividends received by non-controlling interest, partially offset by proceeds from NTIC’s employee stock purchase plan. Net cash used in financing activities for the six months ended February 29, 2020 was $1,146,591, which resulted from dividends paid on NTIC common stock, partially offset by proceeds from NTIC’s employee stock purchase plan.</w:t>
      </w:r>
    </w:p>
    <w:p>
      <w:pPr>
        <w:spacing w:after="0" w:line="18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Share Repurchase Plan</w:t>
      </w:r>
      <w:r>
        <w:rPr>
          <w:rFonts w:ascii="Arial" w:cs="Arial" w:eastAsia="Arial" w:hAnsi="Arial"/>
          <w:sz w:val="17"/>
          <w:szCs w:val="17"/>
          <w:color w:val="auto"/>
        </w:rPr>
        <w:t>. On January 15, 2015, NTIC’s Board of Directors authorized the repurchase of up to $3,000,000 in shares of NTIC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open market purchases or unsolicited or solicited privately negotiated transactions. This program has no expiration date but may be terminated by NTIC’s Board of Directors at any time. No repurchases occurred during the six months ended February 28, 2021. As of February 28, 2021, up to $2,640,548 in shares of NTIC common stock remained available for repurchase under NTIC’s stock repurchase program.</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Cash Dividends</w:t>
      </w:r>
      <w:r>
        <w:rPr>
          <w:rFonts w:ascii="Arial" w:cs="Arial" w:eastAsia="Arial" w:hAnsi="Arial"/>
          <w:sz w:val="18"/>
          <w:szCs w:val="18"/>
          <w:color w:val="auto"/>
        </w:rPr>
        <w:t>. On January 15, 2021, the Company’s Board of Directors declared a cash dividend of $0.065 per share of NTIC’s common stock,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on February 17, 2021 to stockholders of record on February 3, 2021. On April 23, 2020, the Company announced the temporary suspension of its quarterly cash dividend pending clarity on the financial impact of COVID-19 on the Company. Therefore, the Company did not declare a cash dividend during the three months ended November 30, 2020. During fiscal 2020, and prior to the temporary suspension of the quarterly cash dividend, the Company’s Board of Directors declared two quarterly cash dividends of $0.065 per share each.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its business, operating results and financial condition.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ind w:right="100"/>
        <w:spacing w:after="0" w:line="263"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$466,572 on capital expenditures during the six months ended February 29, 2021, which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the purchase of new equipment and facility improvements. NTIC expects to spend an aggregate of approximately $800,000 to $1,000,000 on capital expenditures during fiscal 2021, which it expects will relate primarily to the purchase of new equipment.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There has been no material change to NTIC’s contractual obligations as provided in “</w:t>
      </w:r>
      <w:r>
        <w:rPr>
          <w:rFonts w:ascii="Arial" w:cs="Arial" w:eastAsia="Arial" w:hAnsi="Arial"/>
          <w:sz w:val="18"/>
          <w:szCs w:val="18"/>
          <w:i w:val="1"/>
          <w:iCs w:val="1"/>
          <w:color w:val="auto"/>
        </w:rPr>
        <w:t>Part II. Item 7,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Contractual Obligations</w:t>
      </w:r>
      <w:r>
        <w:rPr>
          <w:rFonts w:ascii="Arial" w:cs="Arial" w:eastAsia="Arial" w:hAnsi="Arial"/>
          <w:sz w:val="18"/>
          <w:szCs w:val="18"/>
          <w:color w:val="auto"/>
        </w:rPr>
        <w:t>,” included in NTIC’s annual report on Form 10-K for the fiscal year ended August 31,</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are established for the purpose of facilitating off-balance sheet financial arrangements. As such, NTIC is not materially exposed to any financing, liquidity, market or credit risk that could arise if NTIC had engaged in such arrangements.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Inflation in the United States and abroad historically has had little effect on NTIC. Although NTIC’s business historically has not been seasonal, NTIC believes there is some seasonality in its business. NTIC believes its net sales in the second fiscal quarter were adversely affected by the long Chinese New Year, the North American holiday season and overall less corrosion taking place at lower winter temperatures worldwide.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35" w:name="page36"/>
    <w:bookmarkEnd w:id="35"/>
    <w:p>
      <w:pPr>
        <w:ind w:right="46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Any outstanding advances under NTIC’s $3,000,000 amended and restated revolving line of credit with PNC Bank bear interest at an annual rate based on LIBOR plus 3.25% for the applicable LIBOR interest period selected by the Company with a minimum rate of 0.75%. As of February 29, 2021, NTIC had no borrowings under the prior line of credit that existed as of that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w:t>
      </w:r>
      <w:r>
        <w:rPr>
          <w:rFonts w:ascii="Arial" w:cs="Arial" w:eastAsia="Arial" w:hAnsi="Arial"/>
          <w:sz w:val="18"/>
          <w:szCs w:val="18"/>
          <w:i w:val="1"/>
          <w:iCs w:val="1"/>
          <w:color w:val="auto"/>
        </w:rPr>
        <w:t>Part II. Item 7, Management</w:t>
      </w: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Critical Accounting Policies</w:t>
      </w:r>
      <w:r>
        <w:rPr>
          <w:rFonts w:ascii="Arial" w:cs="Arial" w:eastAsia="Arial" w:hAnsi="Arial"/>
          <w:sz w:val="18"/>
          <w:szCs w:val="18"/>
          <w:color w:val="auto"/>
        </w:rPr>
        <w:t>” included in NTIC’s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August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quarterly report on Form 10-Q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anticipated effect of COVID-19 on NTIC’s business, operating results and financial condition, the outcome of contingencies, such as legal proceedings and the effect of the liquidation of Tianjin Zerust, and the operations of NTIC China.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6" w:name="page37"/>
    <w:bookmarkEnd w:id="36"/>
    <w:p>
      <w:pPr>
        <w:ind w:right="4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980" w:right="14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COVID-19 on NTIC’s business, operating results and financial condition, including disruption to our customers, suppliers and subcontractors, as well as the global economy and financial markets;</w:t>
      </w:r>
    </w:p>
    <w:p>
      <w:pPr>
        <w:spacing w:after="0" w:line="170"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and any turmoil and disruption in the global credit and financial markets on NTIC’s business;</w:t>
      </w:r>
    </w:p>
    <w:p>
      <w:pPr>
        <w:spacing w:after="0" w:line="170" w:lineRule="exact"/>
        <w:rPr>
          <w:rFonts w:ascii="Arial" w:cs="Arial" w:eastAsia="Arial" w:hAnsi="Arial"/>
          <w:sz w:val="18"/>
          <w:szCs w:val="18"/>
          <w:color w:val="auto"/>
        </w:rPr>
      </w:pPr>
    </w:p>
    <w:p>
      <w:pPr>
        <w:ind w:left="980" w:right="280" w:hanging="324"/>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Variability in NTIC’s sales of ZERUST® products and services to the oil and gas industry and Natur-Tec® products and NTIC’s equity income of joint ventures, which variability in sales and equity in income from joint ventures, in turn, subject NTIC’s earnings to quarterly fluctuations;</w:t>
      </w:r>
    </w:p>
    <w:p>
      <w:pPr>
        <w:spacing w:after="0" w:line="183"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import duties, taxes, and tariffs;</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the United Kingdom’s process to exit the European Union on NTIC’s operating results, including, in particular, future net sales of NTIC’s European and other joint ventures;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the health of the U.S. automotive industry on NTIC’s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25"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980" w:right="80" w:hanging="324"/>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to the oil and gas industry and Natur-Tec® products and the often lengthy and extensive sales process involved in selling such products and services;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Maturation of certain existing markets for NTIC’s ZERUST® products and services and NTIC’s ability to grow market share and succeed in penetrating other existing and new markets;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competition, especially with respect to NTIC’s ZERUST® products and services, and the effect of such competition on NTIC’s and its joint ventures’ pricing, net sales, and margins;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Oil prices, which may affect sales of NTIC’s ZERUST® products and services to the oil and gas industry;</w:t>
      </w:r>
    </w:p>
    <w:p>
      <w:pPr>
        <w:spacing w:after="0" w:line="225" w:lineRule="exact"/>
        <w:rPr>
          <w:rFonts w:ascii="Arial" w:cs="Arial" w:eastAsia="Arial" w:hAnsi="Arial"/>
          <w:sz w:val="18"/>
          <w:szCs w:val="18"/>
          <w:color w:val="auto"/>
        </w:rPr>
      </w:pPr>
    </w:p>
    <w:p>
      <w:pPr>
        <w:ind w:left="980" w:right="180" w:hanging="324"/>
        <w:spacing w:after="0" w:line="308"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NTIC’s operations in China, and the risks associated therewith, the termination of the joint venture agreements with Tianjin Zerust, and the anticipated liquidation of Tianjin Zerust and the effect of all these events on NTIC’s business and future operating results;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7" w:name="page38"/>
    <w:bookmarkEnd w:id="37"/>
    <w:p>
      <w:pPr>
        <w:ind w:left="980" w:right="10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joint venture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NTIC’s effective tax rate, including from the Tax Cuts and Jobs 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extreme weather conditions on NTIC’s operating results;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2020 under the heading “</w:t>
      </w:r>
      <w:r>
        <w:rPr>
          <w:rFonts w:ascii="Arial" w:cs="Arial" w:eastAsia="Arial" w:hAnsi="Arial"/>
          <w:sz w:val="17"/>
          <w:szCs w:val="17"/>
          <w:i w:val="1"/>
          <w:iCs w:val="1"/>
          <w:color w:val="auto"/>
        </w:rPr>
        <w:t>Part I. Item 1A. Risk Factors</w:t>
      </w:r>
      <w:r>
        <w:rPr>
          <w:rFonts w:ascii="Arial" w:cs="Arial" w:eastAsia="Arial" w:hAnsi="Arial"/>
          <w:sz w:val="17"/>
          <w:szCs w:val="17"/>
          <w:color w:val="auto"/>
        </w:rPr>
        <w:t>.”</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Securities and Exchange Commission.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8" w:name="page39"/>
    <w:bookmarkEnd w:id="38"/>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Any outstanding advances under NTIC’s $3,000,000 amended and restated revolving line of credit with PNC Bank bear interest at an annual rate based on LIBOR plus 3.25% for the applicable LIBOR interest period selected by the Company with a minimum rate of 0.75%. As of February 28, 2021, NTIC had no borrowings under the prior line of credit that existed as of that date.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February 28, 2021 that has materially affected or is reasonably likely to materially affect NTIC’s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to NTIC’s consolidated financial statements in </w:t>
      </w:r>
      <w:r>
        <w:rPr>
          <w:rFonts w:ascii="Arial" w:cs="Arial" w:eastAsia="Arial" w:hAnsi="Arial"/>
          <w:sz w:val="18"/>
          <w:szCs w:val="18"/>
          <w:i w:val="1"/>
          <w:iCs w:val="1"/>
          <w:color w:val="auto"/>
        </w:rPr>
        <w:t>Part I. Item 1. Financial Statements</w:t>
      </w:r>
      <w:r>
        <w:rPr>
          <w:rFonts w:ascii="Arial" w:cs="Arial" w:eastAsia="Arial" w:hAnsi="Arial"/>
          <w:sz w:val="18"/>
          <w:szCs w:val="18"/>
          <w:color w:val="auto"/>
        </w:rPr>
        <w:t xml:space="preserve"> of this report.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three months ended February 28, 2021, NTIC did not issue any shares of its common stock or other equity securities of NTIC that were not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NTIC’s second quarter of fiscal 2021 stock repurchase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of Shares (or</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Units)</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w:t>
            </w:r>
          </w:p>
        </w:tc>
      </w:t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Units) that</w:t>
            </w:r>
          </w:p>
        </w:tc>
      </w:t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Part of</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Average Price</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Paid Per</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Under the</w:t>
            </w:r>
          </w:p>
        </w:tc>
      </w:t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(or Units)</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Share (or</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Plans or</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r>
      <w:tr>
        <w:trPr>
          <w:trHeight w:val="234"/>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Unit)</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December 1, 2020, through December 31, 2020</w:t>
            </w:r>
          </w:p>
        </w:tc>
        <w:tc>
          <w:tcPr>
            <w:tcW w:w="12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0</w:t>
            </w:r>
          </w:p>
        </w:tc>
        <w:tc>
          <w:tcPr>
            <w:tcW w:w="12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$0</w:t>
            </w:r>
          </w:p>
        </w:tc>
        <w:tc>
          <w:tcPr>
            <w:tcW w:w="12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0</w:t>
            </w:r>
          </w:p>
        </w:tc>
        <w:tc>
          <w:tcPr>
            <w:tcW w:w="12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January 1, 2021, through January 31, 2021</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February 1, 2021, through February 28, 2021</w:t>
            </w:r>
          </w:p>
        </w:tc>
        <w:tc>
          <w:tcPr>
            <w:tcW w:w="12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0</w:t>
            </w:r>
          </w:p>
        </w:tc>
        <w:tc>
          <w:tcPr>
            <w:tcW w:w="12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$0</w:t>
            </w:r>
          </w:p>
        </w:tc>
        <w:tc>
          <w:tcPr>
            <w:tcW w:w="12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0</w:t>
            </w:r>
          </w:p>
        </w:tc>
        <w:tc>
          <w:tcPr>
            <w:tcW w:w="12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w:t>
            </w:r>
          </w:p>
        </w:tc>
      </w:tr>
      <w:tr>
        <w:trPr>
          <w:trHeight w:val="202"/>
        </w:trPr>
        <w:tc>
          <w:tcPr>
            <w:tcW w:w="6300" w:type="dxa"/>
            <w:vAlign w:val="bottom"/>
          </w:tcPr>
          <w:p>
            <w:pPr>
              <w:spacing w:after="0" w:line="201" w:lineRule="exact"/>
              <w:rPr>
                <w:sz w:val="20"/>
                <w:szCs w:val="20"/>
                <w:color w:val="auto"/>
              </w:rPr>
            </w:pPr>
            <w:r>
              <w:rPr>
                <w:rFonts w:ascii="Arial" w:cs="Arial" w:eastAsia="Arial" w:hAnsi="Arial"/>
                <w:sz w:val="18"/>
                <w:szCs w:val="18"/>
                <w:color w:val="auto"/>
              </w:rPr>
              <w:t>Total</w:t>
            </w:r>
          </w:p>
        </w:tc>
        <w:tc>
          <w:tcPr>
            <w:tcW w:w="1260" w:type="dxa"/>
            <w:vAlign w:val="bottom"/>
            <w:gridSpan w:val="2"/>
          </w:tcPr>
          <w:p>
            <w:pPr>
              <w:jc w:val="center"/>
              <w:ind w:left="30"/>
              <w:spacing w:after="0" w:line="201" w:lineRule="exact"/>
              <w:rPr>
                <w:sz w:val="20"/>
                <w:szCs w:val="20"/>
                <w:color w:val="auto"/>
              </w:rPr>
            </w:pPr>
            <w:r>
              <w:rPr>
                <w:rFonts w:ascii="Arial" w:cs="Arial" w:eastAsia="Arial" w:hAnsi="Arial"/>
                <w:sz w:val="18"/>
                <w:szCs w:val="18"/>
                <w:color w:val="auto"/>
                <w:w w:val="99"/>
              </w:rPr>
              <w:t>0</w:t>
            </w:r>
          </w:p>
        </w:tc>
        <w:tc>
          <w:tcPr>
            <w:tcW w:w="1220" w:type="dxa"/>
            <w:vAlign w:val="bottom"/>
            <w:gridSpan w:val="2"/>
          </w:tcPr>
          <w:p>
            <w:pPr>
              <w:jc w:val="center"/>
              <w:ind w:left="30"/>
              <w:spacing w:after="0" w:line="201" w:lineRule="exact"/>
              <w:rPr>
                <w:sz w:val="20"/>
                <w:szCs w:val="20"/>
                <w:color w:val="auto"/>
              </w:rPr>
            </w:pPr>
            <w:r>
              <w:rPr>
                <w:rFonts w:ascii="Arial" w:cs="Arial" w:eastAsia="Arial" w:hAnsi="Arial"/>
                <w:sz w:val="18"/>
                <w:szCs w:val="18"/>
                <w:color w:val="auto"/>
                <w:w w:val="89"/>
              </w:rPr>
              <w:t>$0</w:t>
            </w:r>
          </w:p>
        </w:tc>
        <w:tc>
          <w:tcPr>
            <w:tcW w:w="1240" w:type="dxa"/>
            <w:vAlign w:val="bottom"/>
            <w:gridSpan w:val="2"/>
          </w:tcPr>
          <w:p>
            <w:pPr>
              <w:jc w:val="center"/>
              <w:ind w:left="10"/>
              <w:spacing w:after="0" w:line="201" w:lineRule="exact"/>
              <w:rPr>
                <w:sz w:val="20"/>
                <w:szCs w:val="20"/>
                <w:color w:val="auto"/>
              </w:rPr>
            </w:pPr>
            <w:r>
              <w:rPr>
                <w:rFonts w:ascii="Arial" w:cs="Arial" w:eastAsia="Arial" w:hAnsi="Arial"/>
                <w:sz w:val="18"/>
                <w:szCs w:val="18"/>
                <w:color w:val="auto"/>
                <w:w w:val="99"/>
              </w:rPr>
              <w:t>0</w:t>
            </w:r>
          </w:p>
        </w:tc>
        <w:tc>
          <w:tcPr>
            <w:tcW w:w="122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5"/>
              </w:rPr>
              <w:t>(1)(2)</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______________________</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ind w:left="660" w:right="280" w:hanging="652"/>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89" w:lineRule="exact"/>
        <w:rPr>
          <w:rFonts w:ascii="Arial" w:cs="Arial" w:eastAsia="Arial" w:hAnsi="Arial"/>
          <w:sz w:val="18"/>
          <w:szCs w:val="18"/>
          <w:color w:val="auto"/>
        </w:rPr>
      </w:pPr>
    </w:p>
    <w:p>
      <w:pPr>
        <w:ind w:left="660" w:right="30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February 28, 2021, up to $2,640,548 in shares of NTIC common stock remained available for repurchase under NTIC’s stock repurchase program.</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ind w:left="1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40" w:type="dxa"/>
            <w:vAlign w:val="bottom"/>
            <w:gridSpan w:val="13"/>
          </w:tcPr>
          <w:p>
            <w:pPr>
              <w:ind w:left="360"/>
              <w:spacing w:after="0"/>
              <w:rPr>
                <w:sz w:val="20"/>
                <w:szCs w:val="20"/>
                <w:color w:val="auto"/>
              </w:rPr>
            </w:pPr>
            <w:r>
              <w:rPr>
                <w:rFonts w:ascii="Arial" w:cs="Arial" w:eastAsia="Arial" w:hAnsi="Arial"/>
                <w:sz w:val="18"/>
                <w:szCs w:val="18"/>
                <w:b w:val="1"/>
                <w:bCs w:val="1"/>
                <w:color w:val="auto"/>
              </w:rPr>
              <w:t>Description</w:t>
            </w: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2"/>
              </w:rPr>
              <w:t>Method of Filing</w:t>
            </w:r>
          </w:p>
        </w:tc>
      </w:tr>
      <w:tr>
        <w:trPr>
          <w:trHeight w:val="392"/>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1"/>
              </w:rPr>
              <w:t>10.1</w:t>
            </w:r>
          </w:p>
        </w:tc>
        <w:tc>
          <w:tcPr>
            <w:tcW w:w="5440" w:type="dxa"/>
            <w:vAlign w:val="bottom"/>
            <w:gridSpan w:val="18"/>
          </w:tcPr>
          <w:p>
            <w:pPr>
              <w:spacing w:after="0"/>
              <w:rPr>
                <w:rFonts w:ascii="Arial" w:cs="Arial" w:eastAsia="Arial" w:hAnsi="Arial"/>
                <w:sz w:val="18"/>
                <w:szCs w:val="18"/>
                <w:color w:val="0000EE"/>
                <w:w w:val="93"/>
              </w:rPr>
            </w:pPr>
            <w:hyperlink r:id="rId50">
              <w:r>
                <w:rPr>
                  <w:rFonts w:ascii="Arial" w:cs="Arial" w:eastAsia="Arial" w:hAnsi="Arial"/>
                  <w:sz w:val="18"/>
                  <w:szCs w:val="18"/>
                  <w:color w:val="0000EE"/>
                  <w:w w:val="93"/>
                </w:rPr>
                <w:t>Northern Technologies International Corporation Amended and Restated</w:t>
              </w:r>
            </w:hyperlink>
          </w:p>
        </w:tc>
        <w:tc>
          <w:tcPr>
            <w:tcW w:w="454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 Current</w:t>
            </w:r>
          </w:p>
        </w:tc>
      </w:tr>
      <w:tr>
        <w:trPr>
          <w:trHeight w:val="196"/>
        </w:trPr>
        <w:tc>
          <w:tcPr>
            <w:tcW w:w="1260" w:type="dxa"/>
            <w:vAlign w:val="bottom"/>
          </w:tcPr>
          <w:p>
            <w:pPr>
              <w:spacing w:after="0"/>
              <w:rPr>
                <w:sz w:val="17"/>
                <w:szCs w:val="17"/>
                <w:color w:val="auto"/>
              </w:rPr>
            </w:pPr>
          </w:p>
        </w:tc>
        <w:tc>
          <w:tcPr>
            <w:tcW w:w="52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2019 Stock Incentive Plan</w:t>
              </w:r>
            </w:hyperlink>
          </w:p>
        </w:tc>
        <w:tc>
          <w:tcPr>
            <w:tcW w:w="200" w:type="dxa"/>
            <w:vAlign w:val="bottom"/>
            <w:gridSpan w:val="4"/>
          </w:tcPr>
          <w:p>
            <w:pPr>
              <w:spacing w:after="0"/>
              <w:rPr>
                <w:sz w:val="17"/>
                <w:szCs w:val="17"/>
                <w:color w:val="auto"/>
              </w:rPr>
            </w:pPr>
          </w:p>
        </w:tc>
        <w:tc>
          <w:tcPr>
            <w:tcW w:w="4540" w:type="dxa"/>
            <w:vAlign w:val="bottom"/>
          </w:tcPr>
          <w:p>
            <w:pPr>
              <w:jc w:val="center"/>
              <w:spacing w:after="0" w:line="196" w:lineRule="exact"/>
              <w:rPr>
                <w:sz w:val="20"/>
                <w:szCs w:val="20"/>
                <w:color w:val="auto"/>
              </w:rPr>
            </w:pPr>
            <w:r>
              <w:rPr>
                <w:rFonts w:ascii="Arial" w:cs="Arial" w:eastAsia="Arial" w:hAnsi="Arial"/>
                <w:sz w:val="18"/>
                <w:szCs w:val="18"/>
                <w:color w:val="auto"/>
                <w:w w:val="91"/>
              </w:rPr>
              <w:t>Report on Form 8-K as filed with the Securities and</w:t>
            </w:r>
          </w:p>
        </w:tc>
      </w:tr>
      <w:tr>
        <w:trPr>
          <w:trHeight w:val="222"/>
        </w:trPr>
        <w:tc>
          <w:tcPr>
            <w:tcW w:w="126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Arial" w:cs="Arial" w:eastAsia="Arial" w:hAnsi="Arial"/>
                <w:sz w:val="18"/>
                <w:szCs w:val="18"/>
                <w:color w:val="auto"/>
                <w:w w:val="90"/>
              </w:rPr>
              <w:t>Exchange Commission on January 15, 2021 (File No. 001-</w:t>
            </w: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jc w:val="center"/>
              <w:spacing w:after="0"/>
              <w:rPr>
                <w:sz w:val="20"/>
                <w:szCs w:val="20"/>
                <w:color w:val="auto"/>
              </w:rPr>
            </w:pPr>
            <w:r>
              <w:rPr>
                <w:rFonts w:ascii="Arial" w:cs="Arial" w:eastAsia="Arial" w:hAnsi="Arial"/>
                <w:sz w:val="18"/>
                <w:szCs w:val="18"/>
                <w:color w:val="auto"/>
                <w:w w:val="92"/>
              </w:rPr>
              <w:t>11038)</w:t>
            </w:r>
          </w:p>
        </w:tc>
      </w:tr>
      <w:tr>
        <w:trPr>
          <w:trHeight w:val="391"/>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1"/>
              </w:rPr>
              <w:t>10.2</w:t>
            </w:r>
          </w:p>
        </w:tc>
        <w:tc>
          <w:tcPr>
            <w:tcW w:w="5180" w:type="dxa"/>
            <w:vAlign w:val="bottom"/>
            <w:tcBorders>
              <w:bottom w:val="single" w:sz="8" w:color="0000EE"/>
            </w:tcBorders>
            <w:gridSpan w:val="12"/>
          </w:tcPr>
          <w:p>
            <w:pPr>
              <w:spacing w:after="0"/>
              <w:rPr>
                <w:rFonts w:ascii="Arial" w:cs="Arial" w:eastAsia="Arial" w:hAnsi="Arial"/>
                <w:sz w:val="18"/>
                <w:szCs w:val="18"/>
                <w:color w:val="0000EE"/>
                <w:w w:val="89"/>
              </w:rPr>
            </w:pPr>
            <w:hyperlink r:id="rId51">
              <w:r>
                <w:rPr>
                  <w:rFonts w:ascii="Arial" w:cs="Arial" w:eastAsia="Arial" w:hAnsi="Arial"/>
                  <w:sz w:val="18"/>
                  <w:szCs w:val="18"/>
                  <w:color w:val="0000EE"/>
                  <w:w w:val="89"/>
                </w:rPr>
                <w:t>Amendment to Loan Documents dated as of December 21, 2020 by and</w:t>
              </w:r>
            </w:hyperlink>
          </w:p>
        </w:tc>
        <w:tc>
          <w:tcPr>
            <w:tcW w:w="260" w:type="dxa"/>
            <w:vAlign w:val="bottom"/>
            <w:gridSpan w:val="6"/>
          </w:tcPr>
          <w:p>
            <w:pPr>
              <w:spacing w:after="0"/>
              <w:rPr>
                <w:sz w:val="24"/>
                <w:szCs w:val="24"/>
                <w:color w:val="auto"/>
              </w:rPr>
            </w:pPr>
          </w:p>
        </w:tc>
        <w:tc>
          <w:tcPr>
            <w:tcW w:w="454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 Current</w:t>
            </w:r>
          </w:p>
        </w:tc>
      </w:tr>
      <w:tr>
        <w:trPr>
          <w:trHeight w:val="196"/>
        </w:trPr>
        <w:tc>
          <w:tcPr>
            <w:tcW w:w="1260" w:type="dxa"/>
            <w:vAlign w:val="bottom"/>
          </w:tcPr>
          <w:p>
            <w:pPr>
              <w:spacing w:after="0"/>
              <w:rPr>
                <w:sz w:val="17"/>
                <w:szCs w:val="17"/>
                <w:color w:val="auto"/>
              </w:rPr>
            </w:pPr>
          </w:p>
        </w:tc>
        <w:tc>
          <w:tcPr>
            <w:tcW w:w="53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between Northern Technologies International Corporation and PNC Bank,</w:t>
              </w:r>
            </w:hyperlink>
          </w:p>
        </w:tc>
        <w:tc>
          <w:tcPr>
            <w:tcW w:w="80" w:type="dxa"/>
            <w:vAlign w:val="bottom"/>
          </w:tcPr>
          <w:p>
            <w:pPr>
              <w:spacing w:after="0"/>
              <w:rPr>
                <w:sz w:val="17"/>
                <w:szCs w:val="17"/>
                <w:color w:val="auto"/>
              </w:rPr>
            </w:pPr>
          </w:p>
        </w:tc>
        <w:tc>
          <w:tcPr>
            <w:tcW w:w="4540" w:type="dxa"/>
            <w:vAlign w:val="bottom"/>
          </w:tcPr>
          <w:p>
            <w:pPr>
              <w:jc w:val="center"/>
              <w:spacing w:after="0" w:line="196" w:lineRule="exact"/>
              <w:rPr>
                <w:sz w:val="20"/>
                <w:szCs w:val="20"/>
                <w:color w:val="auto"/>
              </w:rPr>
            </w:pPr>
            <w:r>
              <w:rPr>
                <w:rFonts w:ascii="Arial" w:cs="Arial" w:eastAsia="Arial" w:hAnsi="Arial"/>
                <w:sz w:val="18"/>
                <w:szCs w:val="18"/>
                <w:color w:val="auto"/>
                <w:w w:val="91"/>
              </w:rPr>
              <w:t>Report on Form 8-K as filed with the Securities and</w:t>
            </w:r>
          </w:p>
        </w:tc>
      </w:tr>
      <w:tr>
        <w:trPr>
          <w:trHeight w:val="196"/>
        </w:trPr>
        <w:tc>
          <w:tcPr>
            <w:tcW w:w="1260" w:type="dxa"/>
            <w:vAlign w:val="bottom"/>
          </w:tcPr>
          <w:p>
            <w:pPr>
              <w:spacing w:after="0"/>
              <w:rPr>
                <w:sz w:val="17"/>
                <w:szCs w:val="17"/>
                <w:color w:val="auto"/>
              </w:rPr>
            </w:pPr>
          </w:p>
        </w:tc>
        <w:tc>
          <w:tcPr>
            <w:tcW w:w="5440" w:type="dxa"/>
            <w:vAlign w:val="bottom"/>
            <w:gridSpan w:val="18"/>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National Association</w:t>
              </w:r>
            </w:hyperlink>
          </w:p>
        </w:tc>
        <w:tc>
          <w:tcPr>
            <w:tcW w:w="4540" w:type="dxa"/>
            <w:vAlign w:val="bottom"/>
          </w:tcPr>
          <w:p>
            <w:pPr>
              <w:jc w:val="center"/>
              <w:spacing w:after="0" w:line="196" w:lineRule="exact"/>
              <w:rPr>
                <w:sz w:val="20"/>
                <w:szCs w:val="20"/>
                <w:color w:val="auto"/>
              </w:rPr>
            </w:pPr>
            <w:r>
              <w:rPr>
                <w:rFonts w:ascii="Arial" w:cs="Arial" w:eastAsia="Arial" w:hAnsi="Arial"/>
                <w:sz w:val="18"/>
                <w:szCs w:val="18"/>
                <w:color w:val="auto"/>
                <w:w w:val="90"/>
              </w:rPr>
              <w:t>Exchange Commission on December 29, 2020 (File No. 001-</w:t>
            </w:r>
          </w:p>
        </w:tc>
      </w:tr>
      <w:tr>
        <w:trPr>
          <w:trHeight w:val="237"/>
        </w:trPr>
        <w:tc>
          <w:tcPr>
            <w:tcW w:w="126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jc w:val="center"/>
              <w:spacing w:after="0"/>
              <w:rPr>
                <w:sz w:val="20"/>
                <w:szCs w:val="20"/>
                <w:color w:val="auto"/>
              </w:rPr>
            </w:pPr>
            <w:r>
              <w:rPr>
                <w:rFonts w:ascii="Arial" w:cs="Arial" w:eastAsia="Arial" w:hAnsi="Arial"/>
                <w:sz w:val="18"/>
                <w:szCs w:val="18"/>
                <w:color w:val="auto"/>
                <w:w w:val="92"/>
              </w:rPr>
              <w:t>11038)</w:t>
            </w:r>
          </w:p>
        </w:tc>
      </w:tr>
      <w:tr>
        <w:trPr>
          <w:trHeight w:val="391"/>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1"/>
              </w:rPr>
              <w:t>10.3</w:t>
            </w:r>
          </w:p>
        </w:tc>
        <w:tc>
          <w:tcPr>
            <w:tcW w:w="4760" w:type="dxa"/>
            <w:vAlign w:val="bottom"/>
            <w:tcBorders>
              <w:bottom w:val="single" w:sz="8" w:color="0000EE"/>
            </w:tcBorders>
            <w:gridSpan w:val="7"/>
          </w:tcPr>
          <w:p>
            <w:pPr>
              <w:spacing w:after="0"/>
              <w:rPr>
                <w:rFonts w:ascii="Arial" w:cs="Arial" w:eastAsia="Arial" w:hAnsi="Arial"/>
                <w:sz w:val="18"/>
                <w:szCs w:val="18"/>
                <w:color w:val="0000EE"/>
                <w:w w:val="90"/>
              </w:rPr>
            </w:pPr>
            <w:hyperlink r:id="rId52">
              <w:r>
                <w:rPr>
                  <w:rFonts w:ascii="Arial" w:cs="Arial" w:eastAsia="Arial" w:hAnsi="Arial"/>
                  <w:sz w:val="18"/>
                  <w:szCs w:val="18"/>
                  <w:color w:val="0000EE"/>
                  <w:w w:val="90"/>
                </w:rPr>
                <w:t>Amended and Restated Revolving Line of Credit Note dated as of</w:t>
              </w:r>
            </w:hyperlink>
          </w:p>
        </w:tc>
        <w:tc>
          <w:tcPr>
            <w:tcW w:w="680" w:type="dxa"/>
            <w:vAlign w:val="bottom"/>
            <w:gridSpan w:val="11"/>
          </w:tcPr>
          <w:p>
            <w:pPr>
              <w:spacing w:after="0"/>
              <w:rPr>
                <w:sz w:val="24"/>
                <w:szCs w:val="24"/>
                <w:color w:val="auto"/>
              </w:rPr>
            </w:pPr>
          </w:p>
        </w:tc>
        <w:tc>
          <w:tcPr>
            <w:tcW w:w="454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 Current</w:t>
            </w:r>
          </w:p>
        </w:tc>
      </w:tr>
      <w:tr>
        <w:trPr>
          <w:trHeight w:val="196"/>
        </w:trPr>
        <w:tc>
          <w:tcPr>
            <w:tcW w:w="1260" w:type="dxa"/>
            <w:vAlign w:val="bottom"/>
          </w:tcPr>
          <w:p>
            <w:pPr>
              <w:spacing w:after="0"/>
              <w:rPr>
                <w:sz w:val="17"/>
                <w:szCs w:val="17"/>
                <w:color w:val="auto"/>
              </w:rPr>
            </w:pPr>
          </w:p>
        </w:tc>
        <w:tc>
          <w:tcPr>
            <w:tcW w:w="48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52">
              <w:r>
                <w:rPr>
                  <w:rFonts w:ascii="Arial" w:cs="Arial" w:eastAsia="Arial" w:hAnsi="Arial"/>
                  <w:sz w:val="18"/>
                  <w:szCs w:val="18"/>
                  <w:color w:val="0000EE"/>
                  <w:w w:val="90"/>
                </w:rPr>
                <w:t>December 21, 2020 issued by Northern Technologies International</w:t>
              </w:r>
            </w:hyperlink>
          </w:p>
        </w:tc>
        <w:tc>
          <w:tcPr>
            <w:tcW w:w="640" w:type="dxa"/>
            <w:vAlign w:val="bottom"/>
            <w:gridSpan w:val="10"/>
          </w:tcPr>
          <w:p>
            <w:pPr>
              <w:spacing w:after="0"/>
              <w:rPr>
                <w:sz w:val="17"/>
                <w:szCs w:val="17"/>
                <w:color w:val="auto"/>
              </w:rPr>
            </w:pPr>
          </w:p>
        </w:tc>
        <w:tc>
          <w:tcPr>
            <w:tcW w:w="4540" w:type="dxa"/>
            <w:vAlign w:val="bottom"/>
          </w:tcPr>
          <w:p>
            <w:pPr>
              <w:jc w:val="center"/>
              <w:spacing w:after="0" w:line="196" w:lineRule="exact"/>
              <w:rPr>
                <w:sz w:val="20"/>
                <w:szCs w:val="20"/>
                <w:color w:val="auto"/>
              </w:rPr>
            </w:pPr>
            <w:r>
              <w:rPr>
                <w:rFonts w:ascii="Arial" w:cs="Arial" w:eastAsia="Arial" w:hAnsi="Arial"/>
                <w:sz w:val="18"/>
                <w:szCs w:val="18"/>
                <w:color w:val="auto"/>
                <w:w w:val="91"/>
              </w:rPr>
              <w:t>Report on Form 8-K as filed with the Securities and</w:t>
            </w:r>
          </w:p>
        </w:tc>
      </w:tr>
      <w:tr>
        <w:trPr>
          <w:trHeight w:val="196"/>
        </w:trPr>
        <w:tc>
          <w:tcPr>
            <w:tcW w:w="1260" w:type="dxa"/>
            <w:vAlign w:val="bottom"/>
          </w:tcPr>
          <w:p>
            <w:pPr>
              <w:spacing w:after="0"/>
              <w:rPr>
                <w:sz w:val="17"/>
                <w:szCs w:val="17"/>
                <w:color w:val="auto"/>
              </w:rPr>
            </w:pPr>
          </w:p>
        </w:tc>
        <w:tc>
          <w:tcPr>
            <w:tcW w:w="5440" w:type="dxa"/>
            <w:vAlign w:val="bottom"/>
            <w:gridSpan w:val="18"/>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Corporation to PNC Bank, National Association</w:t>
              </w:r>
            </w:hyperlink>
          </w:p>
        </w:tc>
        <w:tc>
          <w:tcPr>
            <w:tcW w:w="4540" w:type="dxa"/>
            <w:vAlign w:val="bottom"/>
          </w:tcPr>
          <w:p>
            <w:pPr>
              <w:jc w:val="center"/>
              <w:spacing w:after="0" w:line="196" w:lineRule="exact"/>
              <w:rPr>
                <w:sz w:val="20"/>
                <w:szCs w:val="20"/>
                <w:color w:val="auto"/>
              </w:rPr>
            </w:pPr>
            <w:r>
              <w:rPr>
                <w:rFonts w:ascii="Arial" w:cs="Arial" w:eastAsia="Arial" w:hAnsi="Arial"/>
                <w:sz w:val="18"/>
                <w:szCs w:val="18"/>
                <w:color w:val="auto"/>
                <w:w w:val="90"/>
              </w:rPr>
              <w:t>Exchange Commission on December 29, 2020 (File No. 001-</w:t>
            </w:r>
          </w:p>
        </w:tc>
      </w:tr>
      <w:tr>
        <w:trPr>
          <w:trHeight w:val="237"/>
        </w:trPr>
        <w:tc>
          <w:tcPr>
            <w:tcW w:w="126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580" w:type="dxa"/>
            <w:vAlign w:val="bottom"/>
            <w:tcBorders>
              <w:top w:val="single" w:sz="8" w:color="0000EE"/>
            </w:tcBorders>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jc w:val="center"/>
              <w:spacing w:after="0"/>
              <w:rPr>
                <w:sz w:val="20"/>
                <w:szCs w:val="20"/>
                <w:color w:val="auto"/>
              </w:rPr>
            </w:pPr>
            <w:r>
              <w:rPr>
                <w:rFonts w:ascii="Arial" w:cs="Arial" w:eastAsia="Arial" w:hAnsi="Arial"/>
                <w:sz w:val="18"/>
                <w:szCs w:val="18"/>
                <w:color w:val="auto"/>
                <w:w w:val="92"/>
              </w:rPr>
              <w:t>11038)</w:t>
            </w:r>
          </w:p>
        </w:tc>
      </w:tr>
      <w:tr>
        <w:trPr>
          <w:trHeight w:val="391"/>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1"/>
              </w:rPr>
              <w:t>31.1</w:t>
            </w:r>
          </w:p>
        </w:tc>
        <w:tc>
          <w:tcPr>
            <w:tcW w:w="5440" w:type="dxa"/>
            <w:vAlign w:val="bottom"/>
            <w:gridSpan w:val="18"/>
          </w:tcPr>
          <w:p>
            <w:pPr>
              <w:spacing w:after="0"/>
              <w:rPr>
                <w:rFonts w:ascii="Arial" w:cs="Arial" w:eastAsia="Arial" w:hAnsi="Arial"/>
                <w:sz w:val="18"/>
                <w:szCs w:val="18"/>
                <w:color w:val="0000EE"/>
                <w:w w:val="97"/>
              </w:rPr>
            </w:pPr>
            <w:hyperlink w:anchor="page43">
              <w:r>
                <w:rPr>
                  <w:rFonts w:ascii="Arial" w:cs="Arial" w:eastAsia="Arial" w:hAnsi="Arial"/>
                  <w:sz w:val="18"/>
                  <w:szCs w:val="18"/>
                  <w:color w:val="0000EE"/>
                  <w:w w:val="97"/>
                </w:rPr>
                <w:t>Certification of President and Chief Executive Officer pursuant to SEC</w:t>
              </w:r>
            </w:hyperlink>
          </w:p>
        </w:tc>
        <w:tc>
          <w:tcPr>
            <w:tcW w:w="45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440" w:type="dxa"/>
            <w:vAlign w:val="bottom"/>
            <w:gridSpan w:val="18"/>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Rule 13a-14(a), as adopted pursuant to Section 302 of the Sarbanes-Oxley</w:t>
              </w:r>
            </w:hyperlink>
          </w:p>
        </w:tc>
        <w:tc>
          <w:tcPr>
            <w:tcW w:w="45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3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Act of 2002</w:t>
              </w:r>
            </w:hyperlink>
          </w:p>
        </w:tc>
        <w:tc>
          <w:tcPr>
            <w:tcW w:w="100" w:type="dxa"/>
            <w:vAlign w:val="bottom"/>
            <w:gridSpan w:val="2"/>
          </w:tcPr>
          <w:p>
            <w:pPr>
              <w:spacing w:after="0"/>
              <w:rPr>
                <w:sz w:val="17"/>
                <w:szCs w:val="17"/>
                <w:color w:val="auto"/>
              </w:rPr>
            </w:pPr>
          </w:p>
        </w:tc>
        <w:tc>
          <w:tcPr>
            <w:tcW w:w="454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412"/>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1"/>
              </w:rPr>
              <w:t>31.2</w:t>
            </w:r>
          </w:p>
        </w:tc>
        <w:tc>
          <w:tcPr>
            <w:tcW w:w="5440" w:type="dxa"/>
            <w:vAlign w:val="bottom"/>
            <w:gridSpan w:val="18"/>
          </w:tcPr>
          <w:p>
            <w:pPr>
              <w:spacing w:after="0"/>
              <w:rPr>
                <w:rFonts w:ascii="Arial" w:cs="Arial" w:eastAsia="Arial" w:hAnsi="Arial"/>
                <w:sz w:val="18"/>
                <w:szCs w:val="18"/>
                <w:color w:val="0000EE"/>
                <w:w w:val="96"/>
              </w:rPr>
            </w:pPr>
            <w:hyperlink w:anchor="page44">
              <w:r>
                <w:rPr>
                  <w:rFonts w:ascii="Arial" w:cs="Arial" w:eastAsia="Arial" w:hAnsi="Arial"/>
                  <w:sz w:val="18"/>
                  <w:szCs w:val="18"/>
                  <w:color w:val="0000EE"/>
                  <w:w w:val="96"/>
                </w:rPr>
                <w:t>Certification of Chief Financial Officer pursuant to SEC Rule 13a-14(a),</w:t>
              </w:r>
            </w:hyperlink>
          </w:p>
        </w:tc>
        <w:tc>
          <w:tcPr>
            <w:tcW w:w="45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196"/>
        </w:trPr>
        <w:tc>
          <w:tcPr>
            <w:tcW w:w="126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as adopted pursuant to Section 302 of the Sarbanes-Oxley Act of 2002</w:t>
              </w:r>
            </w:hyperlink>
          </w:p>
        </w:tc>
        <w:tc>
          <w:tcPr>
            <w:tcW w:w="100" w:type="dxa"/>
            <w:vAlign w:val="bottom"/>
            <w:tcBorders>
              <w:top w:val="single" w:sz="8" w:color="0000EE"/>
            </w:tcBorders>
            <w:gridSpan w:val="2"/>
          </w:tcPr>
          <w:p>
            <w:pPr>
              <w:spacing w:after="0"/>
              <w:rPr>
                <w:sz w:val="17"/>
                <w:szCs w:val="17"/>
                <w:color w:val="auto"/>
              </w:rPr>
            </w:pPr>
          </w:p>
        </w:tc>
        <w:tc>
          <w:tcPr>
            <w:tcW w:w="220" w:type="dxa"/>
            <w:vAlign w:val="bottom"/>
            <w:gridSpan w:val="5"/>
          </w:tcPr>
          <w:p>
            <w:pPr>
              <w:spacing w:after="0"/>
              <w:rPr>
                <w:sz w:val="17"/>
                <w:szCs w:val="17"/>
                <w:color w:val="auto"/>
              </w:rPr>
            </w:pPr>
          </w:p>
        </w:tc>
        <w:tc>
          <w:tcPr>
            <w:tcW w:w="4540" w:type="dxa"/>
            <w:vAlign w:val="bottom"/>
          </w:tcPr>
          <w:p>
            <w:pPr>
              <w:spacing w:after="0"/>
              <w:rPr>
                <w:sz w:val="17"/>
                <w:szCs w:val="17"/>
                <w:color w:val="auto"/>
              </w:rPr>
            </w:pPr>
          </w:p>
        </w:tc>
      </w:tr>
      <w:tr>
        <w:trPr>
          <w:trHeight w:val="412"/>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1"/>
              </w:rPr>
              <w:t>32.1</w:t>
            </w:r>
          </w:p>
        </w:tc>
        <w:tc>
          <w:tcPr>
            <w:tcW w:w="49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Certification of President and Chief Executive Officer pursuant to 18</w:t>
              </w:r>
            </w:hyperlink>
          </w:p>
        </w:tc>
        <w:tc>
          <w:tcPr>
            <w:tcW w:w="460" w:type="dxa"/>
            <w:vAlign w:val="bottom"/>
            <w:gridSpan w:val="9"/>
          </w:tcPr>
          <w:p>
            <w:pPr>
              <w:spacing w:after="0"/>
              <w:rPr>
                <w:sz w:val="24"/>
                <w:szCs w:val="24"/>
                <w:color w:val="auto"/>
              </w:rPr>
            </w:pPr>
          </w:p>
        </w:tc>
        <w:tc>
          <w:tcPr>
            <w:tcW w:w="454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r>
      <w:tr>
        <w:trPr>
          <w:trHeight w:val="196"/>
        </w:trPr>
        <w:tc>
          <w:tcPr>
            <w:tcW w:w="1260" w:type="dxa"/>
            <w:vAlign w:val="bottom"/>
          </w:tcPr>
          <w:p>
            <w:pPr>
              <w:spacing w:after="0"/>
              <w:rPr>
                <w:sz w:val="17"/>
                <w:szCs w:val="17"/>
                <w:color w:val="auto"/>
              </w:rPr>
            </w:pPr>
          </w:p>
        </w:tc>
        <w:tc>
          <w:tcPr>
            <w:tcW w:w="53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U.S.C. Section 1350, as adopted pursuant to Section 906 of the Sarbanes-</w:t>
              </w:r>
            </w:hyperlink>
          </w:p>
        </w:tc>
        <w:tc>
          <w:tcPr>
            <w:tcW w:w="140" w:type="dxa"/>
            <w:vAlign w:val="bottom"/>
            <w:gridSpan w:val="3"/>
          </w:tcPr>
          <w:p>
            <w:pPr>
              <w:spacing w:after="0"/>
              <w:rPr>
                <w:sz w:val="17"/>
                <w:szCs w:val="17"/>
                <w:color w:val="auto"/>
              </w:rPr>
            </w:pPr>
          </w:p>
        </w:tc>
        <w:tc>
          <w:tcPr>
            <w:tcW w:w="45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440" w:type="dxa"/>
            <w:vAlign w:val="bottom"/>
            <w:gridSpan w:val="1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Oxley Act of 2002</w:t>
              </w:r>
            </w:hyperlink>
          </w:p>
        </w:tc>
        <w:tc>
          <w:tcPr>
            <w:tcW w:w="454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412"/>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1"/>
              </w:rPr>
              <w:t>32.2</w:t>
            </w:r>
          </w:p>
        </w:tc>
        <w:tc>
          <w:tcPr>
            <w:tcW w:w="502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Certification of Chief Financial Officer pursuant to 18 U.S.C. Section</w:t>
              </w:r>
            </w:hyperlink>
          </w:p>
        </w:tc>
        <w:tc>
          <w:tcPr>
            <w:tcW w:w="420" w:type="dxa"/>
            <w:vAlign w:val="bottom"/>
            <w:gridSpan w:val="8"/>
          </w:tcPr>
          <w:p>
            <w:pPr>
              <w:spacing w:after="0"/>
              <w:rPr>
                <w:sz w:val="24"/>
                <w:szCs w:val="24"/>
                <w:color w:val="auto"/>
              </w:rPr>
            </w:pPr>
          </w:p>
        </w:tc>
        <w:tc>
          <w:tcPr>
            <w:tcW w:w="454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r>
      <w:tr>
        <w:trPr>
          <w:trHeight w:val="196"/>
        </w:trPr>
        <w:tc>
          <w:tcPr>
            <w:tcW w:w="1260" w:type="dxa"/>
            <w:vAlign w:val="bottom"/>
          </w:tcPr>
          <w:p>
            <w:pPr>
              <w:spacing w:after="0"/>
              <w:rPr>
                <w:sz w:val="17"/>
                <w:szCs w:val="17"/>
                <w:color w:val="auto"/>
              </w:rPr>
            </w:pPr>
          </w:p>
        </w:tc>
        <w:tc>
          <w:tcPr>
            <w:tcW w:w="5440" w:type="dxa"/>
            <w:vAlign w:val="bottom"/>
            <w:gridSpan w:val="18"/>
          </w:tcPr>
          <w:p>
            <w:pPr>
              <w:spacing w:after="0" w:line="196" w:lineRule="exact"/>
              <w:rPr>
                <w:rFonts w:ascii="Arial" w:cs="Arial" w:eastAsia="Arial" w:hAnsi="Arial"/>
                <w:sz w:val="18"/>
                <w:szCs w:val="18"/>
                <w:color w:val="0000EE"/>
                <w:w w:val="95"/>
              </w:rPr>
            </w:pPr>
            <w:hyperlink w:anchor="page46">
              <w:r>
                <w:rPr>
                  <w:rFonts w:ascii="Arial" w:cs="Arial" w:eastAsia="Arial" w:hAnsi="Arial"/>
                  <w:sz w:val="18"/>
                  <w:szCs w:val="18"/>
                  <w:color w:val="0000EE"/>
                  <w:w w:val="95"/>
                </w:rPr>
                <w:t>1350, as adopted pursuant to Section 906 of the Sarbanes-Oxley Act of</w:t>
              </w:r>
            </w:hyperlink>
          </w:p>
        </w:tc>
        <w:tc>
          <w:tcPr>
            <w:tcW w:w="45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6">
              <w:r>
                <w:rPr>
                  <w:rFonts w:ascii="Arial" w:cs="Arial" w:eastAsia="Arial" w:hAnsi="Arial"/>
                  <w:sz w:val="18"/>
                  <w:szCs w:val="18"/>
                  <w:color w:val="0000EE"/>
                  <w:w w:val="84"/>
                </w:rPr>
                <w:t>2002</w:t>
              </w:r>
            </w:hyperlink>
          </w:p>
        </w:tc>
        <w:tc>
          <w:tcPr>
            <w:tcW w:w="5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Pr>
          <w:p>
            <w:pPr>
              <w:spacing w:after="0"/>
              <w:rPr>
                <w:sz w:val="17"/>
                <w:szCs w:val="17"/>
                <w:color w:val="auto"/>
              </w:rPr>
            </w:pPr>
          </w:p>
        </w:tc>
      </w:tr>
      <w:tr>
        <w:trPr>
          <w:trHeight w:val="438"/>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3"/>
              </w:rPr>
              <w:t>101</w:t>
            </w:r>
          </w:p>
        </w:tc>
        <w:tc>
          <w:tcPr>
            <w:tcW w:w="5440" w:type="dxa"/>
            <w:vAlign w:val="bottom"/>
            <w:gridSpan w:val="18"/>
          </w:tcPr>
          <w:p>
            <w:pPr>
              <w:spacing w:after="0"/>
              <w:rPr>
                <w:sz w:val="20"/>
                <w:szCs w:val="20"/>
                <w:color w:val="auto"/>
              </w:rPr>
            </w:pPr>
            <w:r>
              <w:rPr>
                <w:rFonts w:ascii="Arial" w:cs="Arial" w:eastAsia="Arial" w:hAnsi="Arial"/>
                <w:sz w:val="18"/>
                <w:szCs w:val="18"/>
                <w:color w:val="auto"/>
                <w:w w:val="95"/>
              </w:rPr>
              <w:t>The following materials from NTIC’s Quarterly Report on Form 10-Q for</w:t>
            </w:r>
          </w:p>
        </w:tc>
        <w:tc>
          <w:tcPr>
            <w:tcW w:w="45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16"/>
        </w:trPr>
        <w:tc>
          <w:tcPr>
            <w:tcW w:w="1260" w:type="dxa"/>
            <w:vAlign w:val="bottom"/>
          </w:tcPr>
          <w:p>
            <w:pPr>
              <w:spacing w:after="0"/>
              <w:rPr>
                <w:sz w:val="18"/>
                <w:szCs w:val="18"/>
                <w:color w:val="auto"/>
              </w:rPr>
            </w:pPr>
          </w:p>
        </w:tc>
        <w:tc>
          <w:tcPr>
            <w:tcW w:w="5440" w:type="dxa"/>
            <w:vAlign w:val="bottom"/>
            <w:gridSpan w:val="18"/>
          </w:tcPr>
          <w:p>
            <w:pPr>
              <w:spacing w:after="0"/>
              <w:rPr>
                <w:sz w:val="20"/>
                <w:szCs w:val="20"/>
                <w:color w:val="auto"/>
              </w:rPr>
            </w:pPr>
            <w:r>
              <w:rPr>
                <w:rFonts w:ascii="Arial" w:cs="Arial" w:eastAsia="Arial" w:hAnsi="Arial"/>
                <w:sz w:val="18"/>
                <w:szCs w:val="18"/>
                <w:color w:val="auto"/>
                <w:w w:val="99"/>
              </w:rPr>
              <w:t>the fiscal quarter ended February 28, 2021, formatted in Inline XBRL</w:t>
            </w:r>
          </w:p>
        </w:tc>
        <w:tc>
          <w:tcPr>
            <w:tcW w:w="45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5440" w:type="dxa"/>
            <w:vAlign w:val="bottom"/>
            <w:gridSpan w:val="18"/>
          </w:tcPr>
          <w:p>
            <w:pPr>
              <w:spacing w:after="0"/>
              <w:rPr>
                <w:sz w:val="20"/>
                <w:szCs w:val="20"/>
                <w:color w:val="auto"/>
              </w:rPr>
            </w:pPr>
            <w:r>
              <w:rPr>
                <w:rFonts w:ascii="Arial" w:cs="Arial" w:eastAsia="Arial" w:hAnsi="Arial"/>
                <w:sz w:val="18"/>
                <w:szCs w:val="18"/>
                <w:color w:val="auto"/>
                <w:w w:val="91"/>
              </w:rPr>
              <w:t>(Extensible Business Reporting Language): (i) the unaudited Consolidated</w:t>
            </w:r>
          </w:p>
        </w:tc>
        <w:tc>
          <w:tcPr>
            <w:tcW w:w="45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5440" w:type="dxa"/>
            <w:vAlign w:val="bottom"/>
            <w:gridSpan w:val="18"/>
          </w:tcPr>
          <w:p>
            <w:pPr>
              <w:spacing w:after="0"/>
              <w:rPr>
                <w:sz w:val="20"/>
                <w:szCs w:val="20"/>
                <w:color w:val="auto"/>
              </w:rPr>
            </w:pPr>
            <w:r>
              <w:rPr>
                <w:rFonts w:ascii="Arial" w:cs="Arial" w:eastAsia="Arial" w:hAnsi="Arial"/>
                <w:sz w:val="18"/>
                <w:szCs w:val="18"/>
                <w:color w:val="auto"/>
                <w:w w:val="91"/>
              </w:rPr>
              <w:t>Balance Sheets, (ii) the unaudited Consolidated Statements of Operations,</w:t>
            </w:r>
          </w:p>
        </w:tc>
        <w:tc>
          <w:tcPr>
            <w:tcW w:w="45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5440" w:type="dxa"/>
            <w:vAlign w:val="bottom"/>
            <w:gridSpan w:val="18"/>
          </w:tcPr>
          <w:p>
            <w:pPr>
              <w:spacing w:after="0"/>
              <w:rPr>
                <w:sz w:val="20"/>
                <w:szCs w:val="20"/>
                <w:color w:val="auto"/>
              </w:rPr>
            </w:pPr>
            <w:r>
              <w:rPr>
                <w:rFonts w:ascii="Arial" w:cs="Arial" w:eastAsia="Arial" w:hAnsi="Arial"/>
                <w:sz w:val="18"/>
                <w:szCs w:val="18"/>
                <w:color w:val="auto"/>
                <w:w w:val="96"/>
              </w:rPr>
              <w:t>(iii) the unaudited Consolidated Statements of Comprehensive Income,</w:t>
            </w:r>
          </w:p>
        </w:tc>
        <w:tc>
          <w:tcPr>
            <w:tcW w:w="45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5440" w:type="dxa"/>
            <w:vAlign w:val="bottom"/>
            <w:gridSpan w:val="18"/>
          </w:tcPr>
          <w:p>
            <w:pPr>
              <w:spacing w:after="0"/>
              <w:rPr>
                <w:sz w:val="20"/>
                <w:szCs w:val="20"/>
                <w:color w:val="auto"/>
              </w:rPr>
            </w:pPr>
            <w:r>
              <w:rPr>
                <w:rFonts w:ascii="Arial" w:cs="Arial" w:eastAsia="Arial" w:hAnsi="Arial"/>
                <w:sz w:val="18"/>
                <w:szCs w:val="18"/>
                <w:color w:val="auto"/>
                <w:w w:val="95"/>
              </w:rPr>
              <w:t>(iv) the unaudited Consolidated Statements of Equity, (v) the unaudited</w:t>
            </w:r>
          </w:p>
        </w:tc>
        <w:tc>
          <w:tcPr>
            <w:tcW w:w="45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5440" w:type="dxa"/>
            <w:vAlign w:val="bottom"/>
            <w:gridSpan w:val="18"/>
          </w:tcPr>
          <w:p>
            <w:pPr>
              <w:spacing w:after="0"/>
              <w:rPr>
                <w:sz w:val="20"/>
                <w:szCs w:val="20"/>
                <w:color w:val="auto"/>
              </w:rPr>
            </w:pPr>
            <w:r>
              <w:rPr>
                <w:rFonts w:ascii="Arial" w:cs="Arial" w:eastAsia="Arial" w:hAnsi="Arial"/>
                <w:sz w:val="18"/>
                <w:szCs w:val="18"/>
                <w:color w:val="auto"/>
                <w:w w:val="94"/>
              </w:rPr>
              <w:t>Consolidated Statements of Cash Flows, and (vi) Notes to Consolidated</w:t>
            </w:r>
          </w:p>
        </w:tc>
        <w:tc>
          <w:tcPr>
            <w:tcW w:w="454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5440" w:type="dxa"/>
            <w:vAlign w:val="bottom"/>
            <w:gridSpan w:val="18"/>
          </w:tcPr>
          <w:p>
            <w:pPr>
              <w:spacing w:after="0"/>
              <w:rPr>
                <w:sz w:val="20"/>
                <w:szCs w:val="20"/>
                <w:color w:val="auto"/>
              </w:rPr>
            </w:pPr>
            <w:r>
              <w:rPr>
                <w:rFonts w:ascii="Arial" w:cs="Arial" w:eastAsia="Arial" w:hAnsi="Arial"/>
                <w:sz w:val="18"/>
                <w:szCs w:val="18"/>
                <w:color w:val="auto"/>
              </w:rPr>
              <w:t>Financial Statements</w:t>
            </w:r>
          </w:p>
        </w:tc>
        <w:tc>
          <w:tcPr>
            <w:tcW w:w="4540" w:type="dxa"/>
            <w:vAlign w:val="bottom"/>
          </w:tcPr>
          <w:p>
            <w:pPr>
              <w:spacing w:after="0"/>
              <w:rPr>
                <w:sz w:val="20"/>
                <w:szCs w:val="20"/>
                <w:color w:val="auto"/>
              </w:rPr>
            </w:pPr>
          </w:p>
        </w:tc>
      </w:tr>
      <w:tr>
        <w:trPr>
          <w:trHeight w:val="418"/>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3"/>
              </w:rPr>
              <w:t>104</w:t>
            </w:r>
          </w:p>
        </w:tc>
        <w:tc>
          <w:tcPr>
            <w:tcW w:w="5440" w:type="dxa"/>
            <w:vAlign w:val="bottom"/>
            <w:gridSpan w:val="18"/>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45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30"/>
        </w:trPr>
        <w:tc>
          <w:tcPr>
            <w:tcW w:w="1260" w:type="dxa"/>
            <w:vAlign w:val="bottom"/>
          </w:tcPr>
          <w:p>
            <w:pPr>
              <w:spacing w:after="0"/>
              <w:rPr>
                <w:sz w:val="20"/>
                <w:szCs w:val="20"/>
                <w:color w:val="auto"/>
              </w:rPr>
            </w:pPr>
          </w:p>
        </w:tc>
        <w:tc>
          <w:tcPr>
            <w:tcW w:w="5440" w:type="dxa"/>
            <w:vAlign w:val="bottom"/>
            <w:gridSpan w:val="18"/>
          </w:tcPr>
          <w:p>
            <w:pPr>
              <w:spacing w:after="0"/>
              <w:rPr>
                <w:sz w:val="20"/>
                <w:szCs w:val="20"/>
                <w:color w:val="auto"/>
              </w:rPr>
            </w:pPr>
            <w:r>
              <w:rPr>
                <w:rFonts w:ascii="Arial" w:cs="Arial" w:eastAsia="Arial" w:hAnsi="Arial"/>
                <w:sz w:val="18"/>
                <w:szCs w:val="18"/>
                <w:color w:val="auto"/>
              </w:rPr>
              <w:t>contained in Exhibit 101)</w:t>
            </w:r>
          </w:p>
        </w:tc>
        <w:tc>
          <w:tcPr>
            <w:tcW w:w="4540" w:type="dxa"/>
            <w:vAlign w:val="bottom"/>
          </w:tcPr>
          <w:p>
            <w:pPr>
              <w:spacing w:after="0"/>
              <w:rPr>
                <w:sz w:val="20"/>
                <w:szCs w:val="20"/>
                <w:color w:val="auto"/>
              </w:rPr>
            </w:pPr>
          </w:p>
        </w:tc>
      </w:tr>
      <w:tr>
        <w:trPr>
          <w:trHeight w:val="432"/>
        </w:trPr>
        <w:tc>
          <w:tcPr>
            <w:tcW w:w="1260" w:type="dxa"/>
            <w:vAlign w:val="bottom"/>
          </w:tcPr>
          <w:p>
            <w:pPr>
              <w:spacing w:after="0"/>
              <w:rPr>
                <w:sz w:val="24"/>
                <w:szCs w:val="24"/>
                <w:color w:val="auto"/>
              </w:rPr>
            </w:pPr>
          </w:p>
        </w:tc>
        <w:tc>
          <w:tcPr>
            <w:tcW w:w="4760" w:type="dxa"/>
            <w:vAlign w:val="bottom"/>
            <w:gridSpan w:val="7"/>
          </w:tcPr>
          <w:p>
            <w:pPr>
              <w:ind w:left="428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115"/>
        </w:trPr>
        <w:tc>
          <w:tcPr>
            <w:tcW w:w="12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5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41" w:name="page42"/>
    <w:bookmarkEnd w:id="41"/>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April 9, 2021</w:t>
      </w:r>
      <w:r>
        <w:rPr>
          <w:sz w:val="20"/>
          <w:szCs w:val="20"/>
          <w:color w:val="auto"/>
        </w:rPr>
        <w:tab/>
      </w:r>
      <w:r>
        <w:rPr>
          <w:rFonts w:ascii="Arial" w:cs="Arial" w:eastAsia="Arial" w:hAnsi="Arial"/>
          <w:sz w:val="16"/>
          <w:szCs w:val="16"/>
          <w:color w:val="auto"/>
        </w:rPr>
        <w:t>Matthew C. Wolsfeld, CPA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(Principal Financial and Accounting Officer and</w:t>
      </w:r>
    </w:p>
    <w:p>
      <w:pPr>
        <w:spacing w:after="0" w:line="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580"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SECTION 302(a)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260" w:hanging="604"/>
        <w:spacing w:after="0"/>
        <w:tabs>
          <w:tab w:leader="none" w:pos="12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34" w:lineRule="exact"/>
        <w:rPr>
          <w:rFonts w:ascii="Arial" w:cs="Arial" w:eastAsia="Arial" w:hAnsi="Arial"/>
          <w:sz w:val="17"/>
          <w:szCs w:val="17"/>
          <w:color w:val="auto"/>
        </w:rPr>
      </w:pPr>
    </w:p>
    <w:p>
      <w:pPr>
        <w:ind w:left="660" w:right="280"/>
        <w:spacing w:after="0" w:line="260" w:lineRule="auto"/>
        <w:rPr>
          <w:rFonts w:ascii="Arial" w:cs="Arial" w:eastAsia="Arial" w:hAnsi="Arial"/>
          <w:sz w:val="17"/>
          <w:szCs w:val="17"/>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ind w:left="660" w:right="60" w:hanging="4"/>
        <w:spacing w:after="0" w:line="263" w:lineRule="auto"/>
        <w:tabs>
          <w:tab w:leader="none" w:pos="127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80" w:hanging="4"/>
        <w:spacing w:after="0" w:line="342" w:lineRule="auto"/>
        <w:tabs>
          <w:tab w:leader="none" w:pos="1265"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40" w:hanging="4"/>
        <w:spacing w:after="0" w:line="263" w:lineRule="auto"/>
        <w:tabs>
          <w:tab w:leader="none" w:pos="127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500" w:hanging="4"/>
        <w:spacing w:after="0" w:line="308" w:lineRule="auto"/>
        <w:tabs>
          <w:tab w:leader="none" w:pos="1255"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180" w:hanging="4"/>
        <w:spacing w:after="0" w:line="277" w:lineRule="auto"/>
        <w:tabs>
          <w:tab w:leader="none" w:pos="126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April 9,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 Patrick Lynch</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G. Patrick Lynch</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SECTION 302(a)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260" w:hanging="604"/>
        <w:spacing w:after="0"/>
        <w:tabs>
          <w:tab w:leader="none" w:pos="12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34" w:lineRule="exact"/>
        <w:rPr>
          <w:rFonts w:ascii="Arial" w:cs="Arial" w:eastAsia="Arial" w:hAnsi="Arial"/>
          <w:sz w:val="17"/>
          <w:szCs w:val="17"/>
          <w:color w:val="auto"/>
        </w:rPr>
      </w:pPr>
    </w:p>
    <w:p>
      <w:pPr>
        <w:ind w:left="660" w:right="280"/>
        <w:spacing w:after="0" w:line="260" w:lineRule="auto"/>
        <w:rPr>
          <w:rFonts w:ascii="Arial" w:cs="Arial" w:eastAsia="Arial" w:hAnsi="Arial"/>
          <w:sz w:val="17"/>
          <w:szCs w:val="17"/>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ind w:left="660" w:right="60" w:hanging="4"/>
        <w:spacing w:after="0" w:line="263" w:lineRule="auto"/>
        <w:tabs>
          <w:tab w:leader="none" w:pos="127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80" w:hanging="4"/>
        <w:spacing w:after="0" w:line="342" w:lineRule="auto"/>
        <w:tabs>
          <w:tab w:leader="none" w:pos="1265"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40" w:hanging="4"/>
        <w:spacing w:after="0" w:line="263" w:lineRule="auto"/>
        <w:tabs>
          <w:tab w:leader="none" w:pos="127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500" w:hanging="4"/>
        <w:spacing w:after="0" w:line="308" w:lineRule="auto"/>
        <w:tabs>
          <w:tab w:leader="none" w:pos="1255"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180" w:hanging="4"/>
        <w:spacing w:after="0" w:line="277" w:lineRule="auto"/>
        <w:tabs>
          <w:tab w:leader="none" w:pos="126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April 9,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C. Wolsfeld</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Matthew C. Wolsfeld, CPA</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44" w:name="page45"/>
    <w:bookmarkEnd w:id="44"/>
    <w:p>
      <w:pPr>
        <w:ind w:left="10320"/>
        <w:spacing w:after="0"/>
        <w:rPr>
          <w:sz w:val="20"/>
          <w:szCs w:val="20"/>
          <w:color w:val="auto"/>
        </w:rPr>
      </w:pPr>
      <w:r>
        <w:rPr>
          <w:rFonts w:ascii="Arial" w:cs="Arial" w:eastAsia="Arial" w:hAnsi="Arial"/>
          <w:sz w:val="16"/>
          <w:szCs w:val="16"/>
          <w:b w:val="1"/>
          <w:bCs w:val="1"/>
          <w:color w:val="auto"/>
        </w:rPr>
        <w:t>Exhibit 32.1</w:t>
      </w:r>
    </w:p>
    <w:p>
      <w:pPr>
        <w:spacing w:after="0" w:line="27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February 28, 2021,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600" w:hanging="648"/>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 Patrick Lynch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 Patrick. Lynch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9, 2021</w:t>
      </w:r>
    </w:p>
    <w:p>
      <w:pPr>
        <w:sectPr>
          <w:pgSz w:w="11900" w:h="16838" w:orient="portrait"/>
          <w:cols w:equalWidth="0" w:num="1">
            <w:col w:w="11240"/>
          </w:cols>
          <w:pgMar w:left="320" w:top="121" w:right="339" w:bottom="1440" w:gutter="0" w:footer="0" w:header="0"/>
        </w:sectPr>
      </w:pPr>
    </w:p>
    <w:bookmarkStart w:id="45" w:name="page46"/>
    <w:bookmarkEnd w:id="45"/>
    <w:p>
      <w:pPr>
        <w:ind w:left="10320"/>
        <w:spacing w:after="0"/>
        <w:rPr>
          <w:sz w:val="20"/>
          <w:szCs w:val="20"/>
          <w:color w:val="auto"/>
        </w:rPr>
      </w:pPr>
      <w:r>
        <w:rPr>
          <w:rFonts w:ascii="Arial" w:cs="Arial" w:eastAsia="Arial" w:hAnsi="Arial"/>
          <w:sz w:val="16"/>
          <w:szCs w:val="16"/>
          <w:b w:val="1"/>
          <w:bCs w:val="1"/>
          <w:color w:val="auto"/>
        </w:rPr>
        <w:t>Exhibit 32.2</w:t>
      </w:r>
    </w:p>
    <w:p>
      <w:pPr>
        <w:spacing w:after="0" w:line="27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February 28, 2021,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980" w:hanging="648"/>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600" w:hanging="648"/>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Matthew C. Wolsfeld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9,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6"/>
    </w:lvl>
  </w:abstractNum>
  <w:abstractNum w:abstractNumId="6">
    <w:nsid w:val="4E6AFB66"/>
    <w:multiLevelType w:val="hybridMultilevel"/>
    <w:lvl w:ilvl="0">
      <w:lvlJc w:val="left"/>
      <w:lvlText w:val="%1."/>
      <w:numFmt w:val="decimal"/>
      <w:start w:val="7"/>
    </w:lvl>
  </w:abstractNum>
  <w:abstractNum w:abstractNumId="7">
    <w:nsid w:val="25E45D32"/>
    <w:multiLevelType w:val="hybridMultilevel"/>
    <w:lvl w:ilvl="0">
      <w:lvlJc w:val="left"/>
      <w:lvlText w:val="%1."/>
      <w:numFmt w:val="decimal"/>
      <w:start w:val="8"/>
    </w:lvl>
  </w:abstractNum>
  <w:abstractNum w:abstractNumId="8">
    <w:nsid w:val="519B500D"/>
    <w:multiLevelType w:val="hybridMultilevel"/>
    <w:lvl w:ilvl="0">
      <w:lvlJc w:val="left"/>
      <w:lvlText w:val="%1."/>
      <w:numFmt w:val="decimal"/>
      <w:start w:val="9"/>
    </w:lvl>
  </w:abstractNum>
  <w:abstractNum w:abstractNumId="9">
    <w:nsid w:val="431BD7B7"/>
    <w:multiLevelType w:val="hybridMultilevel"/>
    <w:lvl w:ilvl="0">
      <w:lvlJc w:val="left"/>
      <w:lvlText w:val="%1."/>
      <w:numFmt w:val="decimal"/>
      <w:start w:val="10"/>
    </w:lvl>
  </w:abstractNum>
  <w:abstractNum w:abstractNumId="10">
    <w:nsid w:val="3F2DBA31"/>
    <w:multiLevelType w:val="hybridMultilevel"/>
    <w:lvl w:ilvl="0">
      <w:lvlJc w:val="left"/>
      <w:lvlText w:val="%1."/>
      <w:numFmt w:val="decimal"/>
      <w:start w:val="1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2"/>
    </w:lvl>
  </w:abstractNum>
  <w:abstractNum w:abstractNumId="13">
    <w:nsid w:val="62BBD95A"/>
    <w:multiLevelType w:val="hybridMultilevel"/>
    <w:lvl w:ilvl="0">
      <w:lvlJc w:val="left"/>
      <w:lvlText w:val="%1."/>
      <w:numFmt w:val="decimal"/>
      <w:start w:val="13"/>
    </w:lvl>
  </w:abstractNum>
  <w:abstractNum w:abstractNumId="14">
    <w:nsid w:val="436C6125"/>
    <w:multiLevelType w:val="hybridMultilevel"/>
    <w:lvl w:ilvl="0">
      <w:lvlJc w:val="left"/>
      <w:lvlText w:val="%1."/>
      <w:numFmt w:val="decimal"/>
      <w:start w:val="14"/>
    </w:lvl>
  </w:abstractNum>
  <w:abstractNum w:abstractNumId="15">
    <w:nsid w:val="628C895D"/>
    <w:multiLevelType w:val="hybridMultilevel"/>
    <w:lvl w:ilvl="0">
      <w:lvlJc w:val="left"/>
      <w:lvlText w:val="%1."/>
      <w:numFmt w:val="decimal"/>
      <w:start w:val="15"/>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0" Type="http://schemas.openxmlformats.org/officeDocument/2006/relationships/hyperlink" Target="http://www.sec.gov/Archives/edgar/data/875582/000117184321000288/exh_101.htm" TargetMode="External"/><Relationship Id="rId51" Type="http://schemas.openxmlformats.org/officeDocument/2006/relationships/hyperlink" Target="http://www.sec.gov/Archives/edgar/data/875582/000117184320008795/exh_101.htm" TargetMode="External"/><Relationship Id="rId52" Type="http://schemas.openxmlformats.org/officeDocument/2006/relationships/hyperlink" Target="http://www.sec.gov/Archives/edgar/data/875582/000117184320008795/exh_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2021-04-09T07:03:31Z</dcterms:created>
  <dcterms:modified xsi:type="dcterms:W3CDTF">2021-04-09T07:03:31Z</dcterms:modified>
</cp:coreProperties>
</file>